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706F1" w14:textId="77777777" w:rsidR="00E47756" w:rsidRPr="00E47756" w:rsidRDefault="00E47756" w:rsidP="00E47756">
      <w:pPr>
        <w:spacing w:after="30"/>
        <w:ind w:right="252"/>
        <w:jc w:val="center"/>
        <w:rPr>
          <w:rFonts w:cs="Times New Roman"/>
          <w:b/>
          <w:sz w:val="28"/>
        </w:rPr>
      </w:pPr>
      <w:r w:rsidRPr="00E47756">
        <w:rPr>
          <w:rFonts w:cs="Times New Roman"/>
          <w:b/>
          <w:sz w:val="28"/>
          <w:u w:val="single" w:color="000000"/>
        </w:rPr>
        <w:t>Príloha I: Nové iniciatívy</w:t>
      </w:r>
      <w:r w:rsidRPr="00E47756">
        <w:rPr>
          <w:rFonts w:cs="Times New Roman"/>
          <w:sz w:val="20"/>
          <w:vertAlign w:val="superscript"/>
        </w:rPr>
        <w:footnoteReference w:id="1"/>
      </w:r>
    </w:p>
    <w:p w14:paraId="3AD2217F" w14:textId="77777777" w:rsidR="00E47756" w:rsidRPr="00E47756" w:rsidRDefault="00E47756" w:rsidP="00E47756">
      <w:pPr>
        <w:spacing w:after="30"/>
        <w:ind w:left="10" w:right="252" w:hanging="10"/>
        <w:jc w:val="center"/>
      </w:pPr>
    </w:p>
    <w:tbl>
      <w:tblPr>
        <w:tblStyle w:val="TableGrid1"/>
        <w:tblW w:w="14642" w:type="dxa"/>
        <w:tblInd w:w="-26" w:type="dxa"/>
        <w:tblCellMar>
          <w:top w:w="3" w:type="dxa"/>
          <w:right w:w="8" w:type="dxa"/>
        </w:tblCellMar>
        <w:tblLook w:val="04A0" w:firstRow="1" w:lastRow="0" w:firstColumn="1" w:lastColumn="0" w:noHBand="0" w:noVBand="1"/>
      </w:tblPr>
      <w:tblGrid>
        <w:gridCol w:w="415"/>
        <w:gridCol w:w="2396"/>
        <w:gridCol w:w="289"/>
        <w:gridCol w:w="59"/>
        <w:gridCol w:w="3734"/>
        <w:gridCol w:w="1972"/>
        <w:gridCol w:w="5777"/>
      </w:tblGrid>
      <w:tr w:rsidR="00E47756" w:rsidRPr="00E47756" w14:paraId="4579C6DA" w14:textId="77777777" w:rsidTr="001A4016">
        <w:trPr>
          <w:trHeight w:val="403"/>
          <w:tblHeader/>
        </w:trPr>
        <w:tc>
          <w:tcPr>
            <w:tcW w:w="415" w:type="dxa"/>
            <w:tcBorders>
              <w:top w:val="single" w:sz="4" w:space="0" w:color="auto"/>
              <w:left w:val="single" w:sz="4" w:space="0" w:color="auto"/>
              <w:bottom w:val="single" w:sz="4" w:space="0" w:color="auto"/>
              <w:right w:val="single" w:sz="4" w:space="0" w:color="auto"/>
            </w:tcBorders>
            <w:shd w:val="clear" w:color="auto" w:fill="99CCFF"/>
          </w:tcPr>
          <w:p w14:paraId="2A5BC5BA" w14:textId="77777777" w:rsidR="00E47756" w:rsidRPr="00E47756" w:rsidRDefault="00E47756" w:rsidP="00E47756">
            <w:pPr>
              <w:ind w:left="26"/>
              <w:jc w:val="center"/>
            </w:pPr>
            <w:r w:rsidRPr="00E47756">
              <w:rPr>
                <w:b/>
                <w:sz w:val="20"/>
              </w:rPr>
              <w:t>Č.</w:t>
            </w:r>
          </w:p>
        </w:tc>
        <w:tc>
          <w:tcPr>
            <w:tcW w:w="2396" w:type="dxa"/>
            <w:tcBorders>
              <w:top w:val="single" w:sz="4" w:space="0" w:color="auto"/>
              <w:left w:val="single" w:sz="4" w:space="0" w:color="auto"/>
              <w:bottom w:val="single" w:sz="4" w:space="0" w:color="auto"/>
              <w:right w:val="single" w:sz="4" w:space="0" w:color="auto"/>
            </w:tcBorders>
            <w:shd w:val="clear" w:color="auto" w:fill="99CCFF"/>
          </w:tcPr>
          <w:p w14:paraId="1DBD3A14" w14:textId="77777777" w:rsidR="00E47756" w:rsidRPr="00E47756" w:rsidRDefault="00E47756" w:rsidP="00E47756">
            <w:pPr>
              <w:ind w:left="1"/>
              <w:jc w:val="center"/>
            </w:pPr>
            <w:r w:rsidRPr="00E47756">
              <w:rPr>
                <w:b/>
                <w:sz w:val="20"/>
              </w:rPr>
              <w:t xml:space="preserve">Cieľ politiky </w:t>
            </w:r>
          </w:p>
        </w:tc>
        <w:tc>
          <w:tcPr>
            <w:tcW w:w="4082" w:type="dxa"/>
            <w:gridSpan w:val="3"/>
            <w:tcBorders>
              <w:top w:val="single" w:sz="4" w:space="0" w:color="auto"/>
              <w:left w:val="single" w:sz="4" w:space="0" w:color="auto"/>
              <w:bottom w:val="single" w:sz="4" w:space="0" w:color="auto"/>
              <w:right w:val="single" w:sz="4" w:space="0" w:color="auto"/>
            </w:tcBorders>
            <w:shd w:val="clear" w:color="auto" w:fill="99CCFF"/>
          </w:tcPr>
          <w:p w14:paraId="7F69CC02" w14:textId="77777777" w:rsidR="00E47756" w:rsidRPr="00E47756" w:rsidRDefault="00E47756" w:rsidP="00E47756">
            <w:pPr>
              <w:ind w:right="355"/>
              <w:jc w:val="center"/>
            </w:pPr>
            <w:r w:rsidRPr="00E47756">
              <w:rPr>
                <w:b/>
                <w:sz w:val="20"/>
              </w:rPr>
              <w:t xml:space="preserve">Iniciatívy </w:t>
            </w:r>
          </w:p>
        </w:tc>
        <w:tc>
          <w:tcPr>
            <w:tcW w:w="1972" w:type="dxa"/>
            <w:tcBorders>
              <w:top w:val="single" w:sz="4" w:space="0" w:color="auto"/>
              <w:left w:val="single" w:sz="4" w:space="0" w:color="auto"/>
              <w:bottom w:val="single" w:sz="4" w:space="0" w:color="auto"/>
              <w:right w:val="single" w:sz="4" w:space="0" w:color="auto"/>
            </w:tcBorders>
            <w:shd w:val="clear" w:color="auto" w:fill="99CCFF"/>
          </w:tcPr>
          <w:p w14:paraId="18C45227" w14:textId="77777777" w:rsidR="00E47756" w:rsidRPr="00E47756" w:rsidRDefault="00E47756" w:rsidP="00E47756">
            <w:pPr>
              <w:ind w:right="355"/>
              <w:jc w:val="center"/>
              <w:rPr>
                <w:b/>
                <w:sz w:val="20"/>
              </w:rPr>
            </w:pPr>
            <w:r w:rsidRPr="00E47756">
              <w:rPr>
                <w:b/>
                <w:sz w:val="20"/>
              </w:rPr>
              <w:t>Gestor</w:t>
            </w:r>
          </w:p>
        </w:tc>
        <w:tc>
          <w:tcPr>
            <w:tcW w:w="5777" w:type="dxa"/>
            <w:tcBorders>
              <w:top w:val="single" w:sz="4" w:space="0" w:color="auto"/>
              <w:left w:val="single" w:sz="4" w:space="0" w:color="auto"/>
              <w:bottom w:val="single" w:sz="4" w:space="0" w:color="auto"/>
              <w:right w:val="single" w:sz="4" w:space="0" w:color="auto"/>
            </w:tcBorders>
            <w:shd w:val="clear" w:color="auto" w:fill="99CCFF"/>
          </w:tcPr>
          <w:p w14:paraId="3E906B86" w14:textId="77777777" w:rsidR="00E47756" w:rsidRPr="00E47756" w:rsidRDefault="00E47756" w:rsidP="00E47756">
            <w:pPr>
              <w:jc w:val="center"/>
              <w:rPr>
                <w:b/>
                <w:sz w:val="20"/>
              </w:rPr>
            </w:pPr>
            <w:r w:rsidRPr="00E47756">
              <w:rPr>
                <w:b/>
                <w:sz w:val="20"/>
              </w:rPr>
              <w:t>Stupeň priority a pozíciu SR</w:t>
            </w:r>
          </w:p>
        </w:tc>
      </w:tr>
      <w:tr w:rsidR="00E47756" w:rsidRPr="00E47756" w14:paraId="63965C8F" w14:textId="77777777" w:rsidTr="001A4016">
        <w:trPr>
          <w:trHeight w:val="403"/>
        </w:trPr>
        <w:tc>
          <w:tcPr>
            <w:tcW w:w="2811" w:type="dxa"/>
            <w:gridSpan w:val="2"/>
            <w:tcBorders>
              <w:top w:val="single" w:sz="4" w:space="0" w:color="auto"/>
              <w:left w:val="single" w:sz="4" w:space="0" w:color="000000"/>
              <w:bottom w:val="single" w:sz="4" w:space="0" w:color="000000"/>
              <w:right w:val="nil"/>
            </w:tcBorders>
            <w:shd w:val="clear" w:color="auto" w:fill="9ACA3C"/>
          </w:tcPr>
          <w:p w14:paraId="6BCE647F" w14:textId="77777777" w:rsidR="00E47756" w:rsidRPr="00E47756" w:rsidRDefault="00E47756" w:rsidP="00E47756">
            <w:pPr>
              <w:ind w:left="26"/>
            </w:pPr>
            <w:r w:rsidRPr="00E47756">
              <w:rPr>
                <w:b/>
                <w:color w:val="FFFFFF"/>
                <w:sz w:val="20"/>
              </w:rPr>
              <w:t xml:space="preserve">Európska zelená dohoda </w:t>
            </w:r>
          </w:p>
        </w:tc>
        <w:tc>
          <w:tcPr>
            <w:tcW w:w="289" w:type="dxa"/>
            <w:tcBorders>
              <w:top w:val="single" w:sz="4" w:space="0" w:color="auto"/>
              <w:left w:val="nil"/>
              <w:bottom w:val="single" w:sz="4" w:space="0" w:color="000000"/>
              <w:right w:val="nil"/>
            </w:tcBorders>
            <w:shd w:val="clear" w:color="auto" w:fill="9ACA3C"/>
          </w:tcPr>
          <w:p w14:paraId="67F24B07" w14:textId="77777777" w:rsidR="00E47756" w:rsidRPr="00E47756" w:rsidRDefault="00E47756" w:rsidP="00E47756"/>
        </w:tc>
        <w:tc>
          <w:tcPr>
            <w:tcW w:w="3793" w:type="dxa"/>
            <w:gridSpan w:val="2"/>
            <w:tcBorders>
              <w:top w:val="single" w:sz="4" w:space="0" w:color="auto"/>
              <w:left w:val="nil"/>
              <w:bottom w:val="single" w:sz="4" w:space="0" w:color="000000"/>
              <w:right w:val="single" w:sz="4" w:space="0" w:color="000000"/>
            </w:tcBorders>
            <w:shd w:val="clear" w:color="auto" w:fill="9ACA3C"/>
          </w:tcPr>
          <w:p w14:paraId="55354527" w14:textId="77777777" w:rsidR="00E47756" w:rsidRPr="00E47756" w:rsidRDefault="00E47756" w:rsidP="00E47756"/>
        </w:tc>
        <w:tc>
          <w:tcPr>
            <w:tcW w:w="1972" w:type="dxa"/>
            <w:tcBorders>
              <w:top w:val="single" w:sz="4" w:space="0" w:color="auto"/>
              <w:left w:val="nil"/>
              <w:bottom w:val="single" w:sz="4" w:space="0" w:color="000000"/>
              <w:right w:val="single" w:sz="4" w:space="0" w:color="000000"/>
            </w:tcBorders>
            <w:shd w:val="clear" w:color="auto" w:fill="9ACA3C"/>
          </w:tcPr>
          <w:p w14:paraId="77AABB70" w14:textId="77777777" w:rsidR="00E47756" w:rsidRPr="00E47756" w:rsidRDefault="00E47756" w:rsidP="00E47756"/>
        </w:tc>
        <w:tc>
          <w:tcPr>
            <w:tcW w:w="5777" w:type="dxa"/>
            <w:tcBorders>
              <w:top w:val="single" w:sz="4" w:space="0" w:color="auto"/>
              <w:left w:val="nil"/>
              <w:bottom w:val="single" w:sz="4" w:space="0" w:color="000000"/>
              <w:right w:val="single" w:sz="4" w:space="0" w:color="000000"/>
            </w:tcBorders>
            <w:shd w:val="clear" w:color="auto" w:fill="9ACA3C"/>
          </w:tcPr>
          <w:p w14:paraId="6BE5A275" w14:textId="77777777" w:rsidR="00E47756" w:rsidRPr="00E47756" w:rsidRDefault="00E47756" w:rsidP="00E47756"/>
        </w:tc>
      </w:tr>
      <w:tr w:rsidR="00E47756" w:rsidRPr="00E47756" w14:paraId="4DDC7AB4" w14:textId="77777777" w:rsidTr="001A4016">
        <w:trPr>
          <w:trHeight w:val="504"/>
        </w:trPr>
        <w:tc>
          <w:tcPr>
            <w:tcW w:w="415" w:type="dxa"/>
            <w:tcBorders>
              <w:top w:val="single" w:sz="4" w:space="0" w:color="000000"/>
              <w:left w:val="single" w:sz="4" w:space="0" w:color="000000"/>
              <w:bottom w:val="single" w:sz="4" w:space="0" w:color="auto"/>
              <w:right w:val="single" w:sz="4" w:space="0" w:color="000000"/>
            </w:tcBorders>
          </w:tcPr>
          <w:p w14:paraId="1A69D61C" w14:textId="77777777" w:rsidR="00E47756" w:rsidRPr="00E47756" w:rsidRDefault="00E47756" w:rsidP="00E47756">
            <w:pPr>
              <w:spacing w:after="0" w:line="240" w:lineRule="auto"/>
              <w:ind w:left="57" w:right="57"/>
            </w:pPr>
            <w:r w:rsidRPr="00E47756">
              <w:rPr>
                <w:sz w:val="20"/>
              </w:rPr>
              <w:t>1.</w:t>
            </w:r>
            <w:r w:rsidRPr="00E47756">
              <w:rPr>
                <w:rFonts w:ascii="Arial" w:hAnsi="Arial" w:cs="Arial"/>
                <w:sz w:val="20"/>
              </w:rPr>
              <w:t xml:space="preserve"> </w:t>
            </w:r>
            <w:r w:rsidRPr="00E47756">
              <w:rPr>
                <w:sz w:val="20"/>
              </w:rPr>
              <w:t xml:space="preserve"> </w:t>
            </w:r>
          </w:p>
        </w:tc>
        <w:tc>
          <w:tcPr>
            <w:tcW w:w="2396" w:type="dxa"/>
            <w:tcBorders>
              <w:top w:val="single" w:sz="4" w:space="0" w:color="000000"/>
              <w:left w:val="single" w:sz="4" w:space="0" w:color="000000"/>
              <w:bottom w:val="single" w:sz="4" w:space="0" w:color="auto"/>
              <w:right w:val="single" w:sz="4" w:space="0" w:color="000000"/>
            </w:tcBorders>
          </w:tcPr>
          <w:p w14:paraId="6947A2D2" w14:textId="77777777" w:rsidR="00E47756" w:rsidRPr="00E47756" w:rsidRDefault="00E47756" w:rsidP="00E47756">
            <w:pPr>
              <w:spacing w:after="0" w:line="240" w:lineRule="auto"/>
              <w:ind w:left="57" w:right="57"/>
            </w:pPr>
            <w:r w:rsidRPr="00E47756">
              <w:rPr>
                <w:b/>
                <w:sz w:val="20"/>
              </w:rPr>
              <w:t xml:space="preserve">Balík návrhov Fit </w:t>
            </w:r>
            <w:proofErr w:type="spellStart"/>
            <w:r w:rsidRPr="00E47756">
              <w:rPr>
                <w:b/>
                <w:sz w:val="20"/>
              </w:rPr>
              <w:t>for</w:t>
            </w:r>
            <w:proofErr w:type="spellEnd"/>
            <w:r w:rsidRPr="00E47756">
              <w:rPr>
                <w:b/>
                <w:sz w:val="20"/>
              </w:rPr>
              <w:t xml:space="preserve"> 55</w:t>
            </w:r>
            <w:r w:rsidRPr="00E47756">
              <w:rPr>
                <w:sz w:val="20"/>
              </w:rPr>
              <w:t xml:space="preserve"> </w:t>
            </w:r>
          </w:p>
        </w:tc>
        <w:tc>
          <w:tcPr>
            <w:tcW w:w="289" w:type="dxa"/>
            <w:tcBorders>
              <w:top w:val="single" w:sz="4" w:space="0" w:color="000000"/>
              <w:left w:val="single" w:sz="4" w:space="0" w:color="000000"/>
              <w:bottom w:val="single" w:sz="4" w:space="0" w:color="auto"/>
              <w:right w:val="nil"/>
            </w:tcBorders>
          </w:tcPr>
          <w:p w14:paraId="7C3E4A65" w14:textId="77777777" w:rsidR="00E47756" w:rsidRPr="00E47756" w:rsidRDefault="00E47756" w:rsidP="00E47756">
            <w:pPr>
              <w:spacing w:after="0" w:line="240" w:lineRule="auto"/>
              <w:ind w:left="57" w:right="57"/>
            </w:pPr>
            <w:r w:rsidRPr="00E47756">
              <w:rPr>
                <w:sz w:val="20"/>
              </w:rPr>
              <w:t>a)</w:t>
            </w:r>
            <w:r w:rsidRPr="00E47756">
              <w:rPr>
                <w:rFonts w:ascii="Arial" w:hAnsi="Arial" w:cs="Arial"/>
                <w:sz w:val="20"/>
              </w:rPr>
              <w:t xml:space="preserve"> </w:t>
            </w:r>
          </w:p>
        </w:tc>
        <w:tc>
          <w:tcPr>
            <w:tcW w:w="3793" w:type="dxa"/>
            <w:gridSpan w:val="2"/>
            <w:tcBorders>
              <w:top w:val="single" w:sz="4" w:space="0" w:color="000000"/>
              <w:left w:val="nil"/>
              <w:bottom w:val="single" w:sz="4" w:space="0" w:color="auto"/>
              <w:right w:val="single" w:sz="4" w:space="0" w:color="000000"/>
            </w:tcBorders>
          </w:tcPr>
          <w:p w14:paraId="7CB90B69" w14:textId="77777777" w:rsidR="00E47756" w:rsidRPr="00E47756" w:rsidRDefault="00E47756" w:rsidP="00E47756">
            <w:pPr>
              <w:spacing w:after="0" w:line="240" w:lineRule="auto"/>
              <w:ind w:left="57" w:right="57"/>
              <w:rPr>
                <w:b/>
                <w:sz w:val="20"/>
              </w:rPr>
            </w:pPr>
            <w:r w:rsidRPr="00E47756">
              <w:rPr>
                <w:b/>
                <w:sz w:val="20"/>
              </w:rPr>
              <w:t>revízia systému EÚ na obchodovanie s emisiami (ETS) vrátane námorníctva, letectva a systému CORSIA, ako aj návrh týkajúci sa ETS ako vlastného zdroja</w:t>
            </w:r>
            <w:r w:rsidRPr="00E47756">
              <w:rPr>
                <w:sz w:val="20"/>
              </w:rPr>
              <w:t xml:space="preserve"> (legislatívna iniciatíva vrátane posúdenia vplyvu, 2. štvrťrok 2021);</w:t>
            </w:r>
            <w:r w:rsidRPr="00E47756">
              <w:rPr>
                <w:b/>
                <w:sz w:val="20"/>
              </w:rPr>
              <w:t xml:space="preserve"> </w:t>
            </w:r>
          </w:p>
          <w:p w14:paraId="61F7ABC3" w14:textId="77777777" w:rsidR="00E47756" w:rsidRPr="00E47756" w:rsidRDefault="00E47756" w:rsidP="00E47756">
            <w:pPr>
              <w:spacing w:after="0" w:line="240" w:lineRule="auto"/>
              <w:ind w:left="57" w:right="57"/>
              <w:rPr>
                <w:b/>
                <w:sz w:val="20"/>
              </w:rPr>
            </w:pPr>
          </w:p>
          <w:p w14:paraId="758531FA" w14:textId="77777777" w:rsidR="00E47756" w:rsidRPr="00E47756" w:rsidRDefault="00E47756" w:rsidP="00E47756">
            <w:pPr>
              <w:spacing w:after="0" w:line="240" w:lineRule="auto"/>
              <w:ind w:left="57" w:right="57"/>
              <w:rPr>
                <w:b/>
                <w:sz w:val="20"/>
              </w:rPr>
            </w:pPr>
          </w:p>
          <w:p w14:paraId="11DB315E" w14:textId="77777777" w:rsidR="00E47756" w:rsidRPr="00E47756" w:rsidRDefault="00E47756" w:rsidP="00E47756">
            <w:pPr>
              <w:spacing w:after="0" w:line="240" w:lineRule="auto"/>
              <w:ind w:left="57" w:right="57"/>
            </w:pPr>
          </w:p>
          <w:p w14:paraId="2101AC35" w14:textId="77777777" w:rsidR="00E47756" w:rsidRPr="00E47756" w:rsidRDefault="00E47756" w:rsidP="00E47756">
            <w:pPr>
              <w:spacing w:after="0" w:line="240" w:lineRule="auto"/>
              <w:ind w:left="57" w:right="57"/>
            </w:pPr>
          </w:p>
          <w:p w14:paraId="5838248D" w14:textId="77777777" w:rsidR="00E47756" w:rsidRPr="00E47756" w:rsidRDefault="00E47756" w:rsidP="00E47756">
            <w:pPr>
              <w:spacing w:after="0" w:line="240" w:lineRule="auto"/>
              <w:ind w:left="57" w:right="57"/>
            </w:pPr>
          </w:p>
          <w:p w14:paraId="7CDF1102" w14:textId="77777777" w:rsidR="00E47756" w:rsidRPr="00E47756" w:rsidRDefault="00E47756" w:rsidP="00E47756">
            <w:pPr>
              <w:spacing w:after="0" w:line="240" w:lineRule="auto"/>
              <w:ind w:left="57" w:right="57"/>
            </w:pPr>
          </w:p>
          <w:p w14:paraId="149C6720" w14:textId="77777777" w:rsidR="00E47756" w:rsidRPr="00E47756" w:rsidRDefault="00E47756" w:rsidP="00E47756">
            <w:pPr>
              <w:spacing w:after="0" w:line="240" w:lineRule="auto"/>
              <w:ind w:left="57" w:right="57"/>
            </w:pPr>
          </w:p>
          <w:p w14:paraId="4F2CF198" w14:textId="77777777" w:rsidR="00E47756" w:rsidRPr="00E47756" w:rsidRDefault="00E47756" w:rsidP="00E47756">
            <w:pPr>
              <w:spacing w:after="0" w:line="240" w:lineRule="auto"/>
              <w:ind w:left="57" w:right="57"/>
            </w:pPr>
          </w:p>
          <w:p w14:paraId="0A3D2C30" w14:textId="77777777" w:rsidR="00E47756" w:rsidRPr="00E47756" w:rsidRDefault="00E47756" w:rsidP="00E47756">
            <w:pPr>
              <w:spacing w:after="0" w:line="240" w:lineRule="auto"/>
              <w:ind w:left="57" w:right="57"/>
            </w:pPr>
          </w:p>
          <w:p w14:paraId="67D4EA5A" w14:textId="77777777" w:rsidR="00E47756" w:rsidRPr="00E47756" w:rsidRDefault="00E47756" w:rsidP="00E47756">
            <w:pPr>
              <w:spacing w:after="0" w:line="240" w:lineRule="auto"/>
              <w:ind w:left="57" w:right="57"/>
            </w:pPr>
          </w:p>
          <w:p w14:paraId="6E2F7262" w14:textId="77777777" w:rsidR="00E47756" w:rsidRPr="00E47756" w:rsidRDefault="00E47756" w:rsidP="00E47756">
            <w:pPr>
              <w:spacing w:after="0" w:line="240" w:lineRule="auto"/>
              <w:ind w:left="57" w:right="57"/>
            </w:pPr>
          </w:p>
          <w:p w14:paraId="2D4404D3" w14:textId="77777777" w:rsidR="00E47756" w:rsidRPr="00E47756" w:rsidRDefault="00E47756" w:rsidP="00E47756">
            <w:pPr>
              <w:spacing w:after="0" w:line="240" w:lineRule="auto"/>
              <w:ind w:left="57" w:right="57"/>
            </w:pPr>
          </w:p>
          <w:p w14:paraId="2579E9CC" w14:textId="77777777" w:rsidR="00E47756" w:rsidRPr="00E47756" w:rsidRDefault="00E47756" w:rsidP="00E47756">
            <w:pPr>
              <w:spacing w:after="0" w:line="240" w:lineRule="auto"/>
              <w:ind w:left="57" w:right="57"/>
            </w:pPr>
          </w:p>
          <w:p w14:paraId="510AF41A" w14:textId="77777777" w:rsidR="00E47756" w:rsidRPr="00E47756" w:rsidRDefault="00E47756" w:rsidP="00E47756">
            <w:pPr>
              <w:spacing w:after="0" w:line="240" w:lineRule="auto"/>
              <w:ind w:left="57" w:right="57"/>
            </w:pPr>
          </w:p>
          <w:p w14:paraId="2C435DBE" w14:textId="77777777" w:rsidR="00E47756" w:rsidRPr="00E47756" w:rsidRDefault="00E47756" w:rsidP="00E47756">
            <w:pPr>
              <w:spacing w:after="0" w:line="240" w:lineRule="auto"/>
              <w:ind w:left="57" w:right="57"/>
            </w:pPr>
          </w:p>
          <w:p w14:paraId="2F7002C3" w14:textId="77777777" w:rsidR="00E47756" w:rsidRPr="00E47756" w:rsidRDefault="00E47756" w:rsidP="00E47756">
            <w:pPr>
              <w:spacing w:after="0" w:line="240" w:lineRule="auto"/>
              <w:ind w:left="57" w:right="57"/>
            </w:pPr>
          </w:p>
        </w:tc>
        <w:tc>
          <w:tcPr>
            <w:tcW w:w="1972" w:type="dxa"/>
            <w:tcBorders>
              <w:top w:val="single" w:sz="4" w:space="0" w:color="000000"/>
              <w:left w:val="nil"/>
              <w:bottom w:val="single" w:sz="4" w:space="0" w:color="auto"/>
              <w:right w:val="single" w:sz="4" w:space="0" w:color="000000"/>
            </w:tcBorders>
          </w:tcPr>
          <w:p w14:paraId="7726CA47" w14:textId="77777777" w:rsidR="00E47756" w:rsidRPr="00E47756" w:rsidRDefault="00E47756" w:rsidP="00E47756">
            <w:pPr>
              <w:spacing w:after="0" w:line="240" w:lineRule="auto"/>
              <w:ind w:left="57" w:right="57"/>
              <w:jc w:val="center"/>
              <w:rPr>
                <w:b/>
                <w:sz w:val="20"/>
                <w:szCs w:val="20"/>
              </w:rPr>
            </w:pPr>
            <w:r w:rsidRPr="00E47756">
              <w:rPr>
                <w:b/>
                <w:sz w:val="20"/>
                <w:szCs w:val="20"/>
              </w:rPr>
              <w:t>MŽP SR</w:t>
            </w:r>
          </w:p>
          <w:p w14:paraId="262B0506" w14:textId="77777777" w:rsidR="00E47756" w:rsidRPr="00E47756" w:rsidRDefault="00E47756" w:rsidP="00E47756">
            <w:pPr>
              <w:spacing w:after="0" w:line="240" w:lineRule="auto"/>
              <w:ind w:left="57" w:right="57"/>
              <w:jc w:val="center"/>
              <w:rPr>
                <w:b/>
                <w:sz w:val="20"/>
                <w:szCs w:val="20"/>
              </w:rPr>
            </w:pPr>
            <w:r w:rsidRPr="00E47756">
              <w:rPr>
                <w:b/>
                <w:sz w:val="20"/>
                <w:szCs w:val="20"/>
              </w:rPr>
              <w:t>MF SR</w:t>
            </w:r>
          </w:p>
          <w:p w14:paraId="5B6C7B23" w14:textId="77777777" w:rsidR="00E47756" w:rsidRPr="00E47756" w:rsidRDefault="00E47756" w:rsidP="00E47756">
            <w:pPr>
              <w:spacing w:after="0" w:line="240" w:lineRule="auto"/>
              <w:ind w:left="57" w:right="57"/>
              <w:jc w:val="center"/>
              <w:rPr>
                <w:b/>
                <w:sz w:val="20"/>
                <w:szCs w:val="20"/>
              </w:rPr>
            </w:pPr>
            <w:r w:rsidRPr="00E47756">
              <w:rPr>
                <w:b/>
                <w:sz w:val="20"/>
                <w:szCs w:val="20"/>
              </w:rPr>
              <w:t>MDV SR</w:t>
            </w:r>
          </w:p>
          <w:p w14:paraId="6BBCE440" w14:textId="77777777" w:rsidR="00E47756" w:rsidRPr="00E47756" w:rsidRDefault="00E47756" w:rsidP="00E47756">
            <w:pPr>
              <w:spacing w:after="0" w:line="240" w:lineRule="auto"/>
              <w:ind w:left="57" w:right="57"/>
              <w:jc w:val="center"/>
              <w:rPr>
                <w:b/>
                <w:sz w:val="20"/>
                <w:szCs w:val="20"/>
              </w:rPr>
            </w:pPr>
            <w:r w:rsidRPr="00E47756">
              <w:rPr>
                <w:b/>
                <w:sz w:val="20"/>
                <w:szCs w:val="20"/>
              </w:rPr>
              <w:t>MH SR</w:t>
            </w:r>
          </w:p>
        </w:tc>
        <w:tc>
          <w:tcPr>
            <w:tcW w:w="5777" w:type="dxa"/>
            <w:tcBorders>
              <w:top w:val="single" w:sz="4" w:space="0" w:color="000000"/>
              <w:left w:val="nil"/>
              <w:bottom w:val="single" w:sz="4" w:space="0" w:color="auto"/>
              <w:right w:val="single" w:sz="4" w:space="0" w:color="000000"/>
            </w:tcBorders>
          </w:tcPr>
          <w:p w14:paraId="488D52BA" w14:textId="77777777" w:rsidR="00E47756" w:rsidRPr="00E47756" w:rsidRDefault="00E47756" w:rsidP="00E47756">
            <w:pPr>
              <w:spacing w:after="0" w:line="240" w:lineRule="auto"/>
              <w:ind w:left="57" w:right="57"/>
              <w:rPr>
                <w:b/>
                <w:sz w:val="20"/>
                <w:szCs w:val="20"/>
                <w:u w:val="single"/>
              </w:rPr>
            </w:pPr>
            <w:r w:rsidRPr="00E47756">
              <w:rPr>
                <w:b/>
                <w:sz w:val="20"/>
                <w:szCs w:val="20"/>
                <w:u w:val="single"/>
              </w:rPr>
              <w:t>Vysoká priorita</w:t>
            </w:r>
            <w:r w:rsidRPr="00E47756">
              <w:rPr>
                <w:b/>
                <w:sz w:val="20"/>
                <w:szCs w:val="20"/>
              </w:rPr>
              <w:t xml:space="preserve"> - </w:t>
            </w:r>
            <w:r w:rsidRPr="00E47756">
              <w:rPr>
                <w:sz w:val="20"/>
                <w:szCs w:val="20"/>
              </w:rPr>
              <w:t>ETS predstavuje hlavný nástroj na znižovanie emisií skleníkových plynov v EÚ, v ktorom sú zaradené zdroje pokrývajúce cca 40% všetkých emisií. Z pohľadu SR bude kľúčové, aby boli akékoľvek zmeny podrobne analyzované. V prípade pridania nových odvetví, hlavne pokiaľ ide o cestnú dopravu a budovy, budú musieť byť zavedené nové monitorovacie mechanizmy a spustený pilotný systém pre tieto nové odvetvia, aby sa zabránilo prípadnému narušeniu trhu s emisnými kvótami. SR vo všeobecnosti podporuje opatrenia zamerané na zníženie emisií a dosiahnutie klimatických cieľov do roku 2030 i napriek podstatnému zvýšeniu odvodov do rozpočtu EÚ. SR očakáva ďalšie kroky EK v tejto oblasti a  rozšírenie mechanizmu na letecký a námorný sektor so zmenami vo výške príspevkov do modernizačného fondu by nemali mať výrazný vplyv na výšku odvodov SR. Je veľmi dôležité pre SR sledovať vývoj zavádzania tohto nového zdroja a ako kompromis medzi zvýšenými nákladmi na odvody a dosiahnutie klimatického cieľa do roku 2030 by mohol byť mechanizmus, ktorý by reflektoval štartovaciu pozíciu jednotlivých členských štátov.</w:t>
            </w:r>
          </w:p>
          <w:p w14:paraId="70AB7D90" w14:textId="77777777" w:rsidR="00E47756" w:rsidRPr="00E47756" w:rsidRDefault="00E47756" w:rsidP="00E47756">
            <w:pPr>
              <w:spacing w:after="0" w:line="240" w:lineRule="auto"/>
              <w:ind w:left="57" w:right="57"/>
              <w:rPr>
                <w:sz w:val="20"/>
                <w:szCs w:val="20"/>
              </w:rPr>
            </w:pPr>
          </w:p>
          <w:p w14:paraId="7DFCEEE6" w14:textId="77777777" w:rsidR="00E47756" w:rsidRDefault="00E47756" w:rsidP="00E47756">
            <w:pPr>
              <w:spacing w:after="0" w:line="240" w:lineRule="auto"/>
              <w:ind w:left="57" w:right="57"/>
              <w:rPr>
                <w:b/>
                <w:sz w:val="20"/>
                <w:szCs w:val="20"/>
              </w:rPr>
            </w:pPr>
          </w:p>
          <w:p w14:paraId="6B65FBD7" w14:textId="77777777" w:rsidR="00E47756" w:rsidRDefault="00E47756" w:rsidP="00E47756">
            <w:pPr>
              <w:spacing w:after="0" w:line="240" w:lineRule="auto"/>
              <w:ind w:left="57" w:right="57"/>
              <w:rPr>
                <w:b/>
                <w:sz w:val="20"/>
                <w:szCs w:val="20"/>
              </w:rPr>
            </w:pPr>
          </w:p>
          <w:p w14:paraId="427B64E9" w14:textId="77777777" w:rsidR="00E47756" w:rsidRDefault="00E47756" w:rsidP="00E47756">
            <w:pPr>
              <w:spacing w:after="0" w:line="240" w:lineRule="auto"/>
              <w:ind w:left="57" w:right="57"/>
              <w:rPr>
                <w:b/>
                <w:sz w:val="20"/>
                <w:szCs w:val="20"/>
              </w:rPr>
            </w:pPr>
          </w:p>
          <w:p w14:paraId="12DB1796" w14:textId="77777777" w:rsidR="00E47756" w:rsidRDefault="00E47756" w:rsidP="00E47756">
            <w:pPr>
              <w:spacing w:after="0" w:line="240" w:lineRule="auto"/>
              <w:ind w:left="57" w:right="57"/>
              <w:rPr>
                <w:b/>
                <w:sz w:val="20"/>
                <w:szCs w:val="20"/>
              </w:rPr>
            </w:pPr>
          </w:p>
          <w:p w14:paraId="7A24A044" w14:textId="77777777" w:rsidR="00E47756" w:rsidRDefault="00E47756" w:rsidP="00E47756">
            <w:pPr>
              <w:spacing w:after="0" w:line="240" w:lineRule="auto"/>
              <w:ind w:left="57" w:right="57"/>
              <w:rPr>
                <w:b/>
                <w:sz w:val="20"/>
                <w:szCs w:val="20"/>
              </w:rPr>
            </w:pPr>
          </w:p>
          <w:p w14:paraId="6A255B8B" w14:textId="77777777" w:rsidR="00A41E9A" w:rsidRDefault="00A41E9A" w:rsidP="00E47756">
            <w:pPr>
              <w:spacing w:after="0" w:line="240" w:lineRule="auto"/>
              <w:ind w:left="57" w:right="57"/>
              <w:rPr>
                <w:b/>
                <w:sz w:val="20"/>
                <w:szCs w:val="20"/>
              </w:rPr>
            </w:pPr>
          </w:p>
          <w:p w14:paraId="3635D3AA" w14:textId="77777777" w:rsidR="00A41E9A" w:rsidRDefault="00A41E9A" w:rsidP="00E47756">
            <w:pPr>
              <w:spacing w:after="0" w:line="240" w:lineRule="auto"/>
              <w:ind w:left="57" w:right="57"/>
              <w:rPr>
                <w:b/>
                <w:sz w:val="20"/>
                <w:szCs w:val="20"/>
              </w:rPr>
            </w:pPr>
          </w:p>
          <w:p w14:paraId="4A05F760" w14:textId="77777777" w:rsidR="00A41E9A" w:rsidRDefault="00A41E9A" w:rsidP="00E47756">
            <w:pPr>
              <w:spacing w:after="0" w:line="240" w:lineRule="auto"/>
              <w:ind w:left="57" w:right="57"/>
              <w:rPr>
                <w:b/>
                <w:sz w:val="20"/>
                <w:szCs w:val="20"/>
              </w:rPr>
            </w:pPr>
          </w:p>
          <w:p w14:paraId="61EFF6D0" w14:textId="77777777" w:rsidR="00E47756" w:rsidRPr="00E47756" w:rsidRDefault="00E47756" w:rsidP="00E47756">
            <w:pPr>
              <w:spacing w:after="0" w:line="240" w:lineRule="auto"/>
              <w:ind w:left="57" w:right="57"/>
              <w:rPr>
                <w:b/>
                <w:sz w:val="20"/>
                <w:szCs w:val="20"/>
              </w:rPr>
            </w:pPr>
          </w:p>
        </w:tc>
      </w:tr>
      <w:tr w:rsidR="00E47756" w:rsidRPr="00E47756" w14:paraId="5F726DD2" w14:textId="77777777" w:rsidTr="001A4016">
        <w:trPr>
          <w:trHeight w:val="461"/>
        </w:trPr>
        <w:tc>
          <w:tcPr>
            <w:tcW w:w="415" w:type="dxa"/>
            <w:tcBorders>
              <w:top w:val="single" w:sz="4" w:space="0" w:color="auto"/>
              <w:left w:val="single" w:sz="4" w:space="0" w:color="000000"/>
              <w:right w:val="single" w:sz="4" w:space="0" w:color="000000"/>
            </w:tcBorders>
          </w:tcPr>
          <w:p w14:paraId="1E5C2FDF" w14:textId="77777777" w:rsidR="00E47756" w:rsidRPr="00E47756" w:rsidRDefault="00E47756" w:rsidP="00E47756">
            <w:pPr>
              <w:spacing w:after="0" w:line="240" w:lineRule="auto"/>
              <w:ind w:left="57" w:right="57"/>
            </w:pPr>
          </w:p>
        </w:tc>
        <w:tc>
          <w:tcPr>
            <w:tcW w:w="2396" w:type="dxa"/>
            <w:tcBorders>
              <w:top w:val="single" w:sz="4" w:space="0" w:color="auto"/>
              <w:left w:val="single" w:sz="4" w:space="0" w:color="000000"/>
              <w:right w:val="single" w:sz="4" w:space="0" w:color="000000"/>
            </w:tcBorders>
          </w:tcPr>
          <w:p w14:paraId="51A547BE" w14:textId="77777777" w:rsidR="00E47756" w:rsidRPr="00E47756" w:rsidRDefault="00E47756" w:rsidP="00E47756">
            <w:pPr>
              <w:spacing w:after="0" w:line="240" w:lineRule="auto"/>
              <w:ind w:left="57" w:right="57"/>
            </w:pPr>
          </w:p>
        </w:tc>
        <w:tc>
          <w:tcPr>
            <w:tcW w:w="289" w:type="dxa"/>
            <w:tcBorders>
              <w:top w:val="single" w:sz="4" w:space="0" w:color="auto"/>
              <w:left w:val="single" w:sz="4" w:space="0" w:color="000000"/>
              <w:right w:val="nil"/>
            </w:tcBorders>
          </w:tcPr>
          <w:p w14:paraId="4CBE13AC" w14:textId="77777777" w:rsidR="00E47756" w:rsidRPr="00E47756" w:rsidRDefault="00E47756" w:rsidP="00E47756">
            <w:pPr>
              <w:spacing w:after="0" w:line="240" w:lineRule="auto"/>
              <w:ind w:left="57" w:right="57"/>
            </w:pPr>
            <w:r w:rsidRPr="00E47756">
              <w:rPr>
                <w:sz w:val="20"/>
              </w:rPr>
              <w:t>b)</w:t>
            </w:r>
            <w:r w:rsidRPr="00E47756">
              <w:rPr>
                <w:rFonts w:ascii="Arial" w:hAnsi="Arial" w:cs="Arial"/>
                <w:sz w:val="20"/>
              </w:rPr>
              <w:t xml:space="preserve"> </w:t>
            </w:r>
          </w:p>
        </w:tc>
        <w:tc>
          <w:tcPr>
            <w:tcW w:w="3793" w:type="dxa"/>
            <w:gridSpan w:val="2"/>
            <w:tcBorders>
              <w:top w:val="single" w:sz="4" w:space="0" w:color="auto"/>
              <w:left w:val="nil"/>
              <w:right w:val="single" w:sz="4" w:space="0" w:color="000000"/>
            </w:tcBorders>
          </w:tcPr>
          <w:p w14:paraId="33058A8C" w14:textId="77777777" w:rsidR="00E47756" w:rsidRPr="00E47756" w:rsidRDefault="00E47756" w:rsidP="00E47756">
            <w:pPr>
              <w:spacing w:after="0" w:line="240" w:lineRule="auto"/>
              <w:ind w:left="57" w:right="57"/>
            </w:pPr>
            <w:r w:rsidRPr="00E47756">
              <w:rPr>
                <w:b/>
                <w:sz w:val="20"/>
              </w:rPr>
              <w:t xml:space="preserve">mechanizmus kompenzácie uhlíka na hraniciach (CBAM) a návrh CBAM ako vlastného zdroja </w:t>
            </w:r>
            <w:r w:rsidRPr="00E47756">
              <w:rPr>
                <w:sz w:val="20"/>
              </w:rPr>
              <w:t>(legislatívna iniciatíva vrátane posúdenia vplyvu,</w:t>
            </w:r>
            <w:r w:rsidRPr="00E47756">
              <w:t xml:space="preserve"> </w:t>
            </w:r>
            <w:r w:rsidRPr="00E47756">
              <w:rPr>
                <w:sz w:val="20"/>
              </w:rPr>
              <w:t>2. štvrťrok 2021);</w:t>
            </w:r>
            <w:r w:rsidRPr="00E47756">
              <w:rPr>
                <w:b/>
                <w:sz w:val="20"/>
              </w:rPr>
              <w:t xml:space="preserve"> </w:t>
            </w:r>
          </w:p>
        </w:tc>
        <w:tc>
          <w:tcPr>
            <w:tcW w:w="1972" w:type="dxa"/>
            <w:tcBorders>
              <w:top w:val="single" w:sz="4" w:space="0" w:color="auto"/>
              <w:left w:val="nil"/>
              <w:right w:val="single" w:sz="4" w:space="0" w:color="000000"/>
            </w:tcBorders>
          </w:tcPr>
          <w:p w14:paraId="76A0E743" w14:textId="77777777" w:rsidR="00E47756" w:rsidRPr="00E47756" w:rsidRDefault="00E47756" w:rsidP="00E47756">
            <w:pPr>
              <w:spacing w:after="0" w:line="240" w:lineRule="auto"/>
              <w:ind w:left="57" w:right="57"/>
              <w:jc w:val="center"/>
              <w:rPr>
                <w:b/>
                <w:sz w:val="20"/>
                <w:szCs w:val="20"/>
              </w:rPr>
            </w:pPr>
            <w:r w:rsidRPr="00E47756">
              <w:rPr>
                <w:b/>
                <w:sz w:val="20"/>
                <w:szCs w:val="20"/>
              </w:rPr>
              <w:t>MF SR</w:t>
            </w:r>
          </w:p>
          <w:p w14:paraId="328E3E4E" w14:textId="77777777" w:rsidR="00E47756" w:rsidRDefault="00E47756" w:rsidP="00E47756">
            <w:pPr>
              <w:spacing w:after="0" w:line="240" w:lineRule="auto"/>
              <w:ind w:left="57" w:right="57"/>
              <w:jc w:val="center"/>
              <w:rPr>
                <w:b/>
                <w:sz w:val="20"/>
                <w:szCs w:val="20"/>
              </w:rPr>
            </w:pPr>
            <w:r w:rsidRPr="00E47756">
              <w:rPr>
                <w:b/>
                <w:sz w:val="20"/>
                <w:szCs w:val="20"/>
              </w:rPr>
              <w:t>MŽP SR</w:t>
            </w:r>
          </w:p>
          <w:p w14:paraId="15D4DD58" w14:textId="37E023DC" w:rsidR="0091327A" w:rsidRPr="00E47756" w:rsidRDefault="0091327A" w:rsidP="00E47756">
            <w:pPr>
              <w:spacing w:after="0" w:line="240" w:lineRule="auto"/>
              <w:ind w:left="57" w:right="57"/>
              <w:jc w:val="center"/>
              <w:rPr>
                <w:b/>
                <w:sz w:val="20"/>
                <w:szCs w:val="20"/>
              </w:rPr>
            </w:pPr>
            <w:r>
              <w:rPr>
                <w:b/>
                <w:sz w:val="20"/>
                <w:szCs w:val="20"/>
              </w:rPr>
              <w:t>MH SR</w:t>
            </w:r>
          </w:p>
        </w:tc>
        <w:tc>
          <w:tcPr>
            <w:tcW w:w="5777" w:type="dxa"/>
            <w:tcBorders>
              <w:top w:val="single" w:sz="4" w:space="0" w:color="auto"/>
              <w:left w:val="nil"/>
              <w:right w:val="single" w:sz="4" w:space="0" w:color="000000"/>
            </w:tcBorders>
          </w:tcPr>
          <w:p w14:paraId="223C30F1" w14:textId="77777777" w:rsidR="00E47756" w:rsidRPr="00E47756" w:rsidRDefault="00E47756" w:rsidP="00E47756">
            <w:pPr>
              <w:spacing w:after="0" w:line="240" w:lineRule="auto"/>
              <w:ind w:left="57" w:right="57"/>
              <w:rPr>
                <w:b/>
                <w:sz w:val="20"/>
                <w:szCs w:val="20"/>
                <w:u w:val="single"/>
              </w:rPr>
            </w:pPr>
            <w:r w:rsidRPr="00E47756">
              <w:rPr>
                <w:b/>
                <w:sz w:val="20"/>
                <w:szCs w:val="20"/>
                <w:u w:val="single"/>
              </w:rPr>
              <w:t>Vysoká priorita</w:t>
            </w:r>
            <w:r w:rsidRPr="00E47756">
              <w:rPr>
                <w:b/>
                <w:sz w:val="20"/>
                <w:szCs w:val="20"/>
              </w:rPr>
              <w:t xml:space="preserve"> - </w:t>
            </w:r>
            <w:r w:rsidRPr="00E47756">
              <w:rPr>
                <w:sz w:val="20"/>
                <w:szCs w:val="20"/>
              </w:rPr>
              <w:t>Mechanizmus kompenzácie uhlíka na hraniciach predstavuje jednu z možností, ako riešiť riziko úniku uhlíka. Hlavným nástrojom tu však stále ostáva bezodplatná alokácia v rámci ETS. Z pohľadu SK bude preto dôležité, ktoré konkrétne odvetvia budú zahrnuté do tohto nového mechanizmu a ako bude riešená „dvojitá“ podpora v prípade tých odvetví, ktoré budú zahrnuté aj do tohto mechanizmu a zároveň budú dostávať bezodplatnú alokáciu.</w:t>
            </w:r>
            <w:r w:rsidRPr="00E47756">
              <w:rPr>
                <w:b/>
                <w:sz w:val="20"/>
                <w:szCs w:val="20"/>
              </w:rPr>
              <w:t xml:space="preserve"> </w:t>
            </w:r>
            <w:r w:rsidRPr="00E47756">
              <w:rPr>
                <w:sz w:val="20"/>
                <w:szCs w:val="20"/>
              </w:rPr>
              <w:t>SR verí v prínos tohto nového zdroja, ktorým sa podarí priblížiť k dosiahnutiu cieľu klimatickej neutrality.je otvorené ďalším krokom EK v danej oblasti. Očakáva sa široká diskusia najmä pokiaľ ide o reakciu medzinárodných partnerov nakoľko hrozí  pokles exportných príjmov obchodných partnerov a prípadné zavedenie kompenzačných opatrení voči EÚ. Je preto veľmi dôležité pre SR sledovať vývoj následných diskusií k primárnej legislatíve.</w:t>
            </w:r>
          </w:p>
          <w:p w14:paraId="7A2E5B53" w14:textId="77777777" w:rsidR="00E47756" w:rsidRPr="00E47756" w:rsidRDefault="00E47756" w:rsidP="00E47756">
            <w:pPr>
              <w:spacing w:after="0" w:line="240" w:lineRule="auto"/>
              <w:ind w:left="57" w:right="57"/>
              <w:rPr>
                <w:b/>
                <w:sz w:val="20"/>
                <w:szCs w:val="20"/>
              </w:rPr>
            </w:pPr>
          </w:p>
        </w:tc>
      </w:tr>
      <w:tr w:rsidR="00E47756" w:rsidRPr="00E47756" w14:paraId="5A263142" w14:textId="77777777" w:rsidTr="001A4016">
        <w:trPr>
          <w:trHeight w:val="461"/>
        </w:trPr>
        <w:tc>
          <w:tcPr>
            <w:tcW w:w="415" w:type="dxa"/>
            <w:tcBorders>
              <w:top w:val="nil"/>
              <w:left w:val="single" w:sz="4" w:space="0" w:color="000000"/>
              <w:bottom w:val="single" w:sz="4" w:space="0" w:color="auto"/>
              <w:right w:val="single" w:sz="4" w:space="0" w:color="000000"/>
            </w:tcBorders>
          </w:tcPr>
          <w:p w14:paraId="43EBF611" w14:textId="77777777" w:rsidR="00E47756" w:rsidRPr="00E47756" w:rsidRDefault="00E47756" w:rsidP="00E47756">
            <w:pPr>
              <w:spacing w:after="0" w:line="240" w:lineRule="auto"/>
              <w:ind w:left="57" w:right="57"/>
            </w:pPr>
          </w:p>
        </w:tc>
        <w:tc>
          <w:tcPr>
            <w:tcW w:w="2396" w:type="dxa"/>
            <w:tcBorders>
              <w:top w:val="nil"/>
              <w:left w:val="single" w:sz="4" w:space="0" w:color="000000"/>
              <w:bottom w:val="single" w:sz="4" w:space="0" w:color="auto"/>
              <w:right w:val="single" w:sz="4" w:space="0" w:color="000000"/>
            </w:tcBorders>
          </w:tcPr>
          <w:p w14:paraId="4E4BCFC7" w14:textId="77777777" w:rsidR="00E47756" w:rsidRPr="00E47756" w:rsidRDefault="00E47756" w:rsidP="00E47756">
            <w:pPr>
              <w:spacing w:after="0" w:line="240" w:lineRule="auto"/>
              <w:ind w:left="57" w:right="57"/>
            </w:pPr>
          </w:p>
        </w:tc>
        <w:tc>
          <w:tcPr>
            <w:tcW w:w="289" w:type="dxa"/>
            <w:tcBorders>
              <w:top w:val="nil"/>
              <w:left w:val="single" w:sz="4" w:space="0" w:color="000000"/>
              <w:bottom w:val="single" w:sz="4" w:space="0" w:color="auto"/>
              <w:right w:val="nil"/>
            </w:tcBorders>
          </w:tcPr>
          <w:p w14:paraId="4D6EEAD2" w14:textId="77777777" w:rsidR="00E47756" w:rsidRPr="00E47756" w:rsidRDefault="00E47756" w:rsidP="00E47756">
            <w:pPr>
              <w:spacing w:after="0" w:line="240" w:lineRule="auto"/>
              <w:ind w:left="57" w:right="57"/>
            </w:pPr>
            <w:r w:rsidRPr="00E47756">
              <w:rPr>
                <w:sz w:val="20"/>
              </w:rPr>
              <w:t>c)</w:t>
            </w:r>
            <w:r w:rsidRPr="00E47756">
              <w:rPr>
                <w:rFonts w:ascii="Arial" w:hAnsi="Arial" w:cs="Arial"/>
                <w:sz w:val="20"/>
              </w:rPr>
              <w:t xml:space="preserve"> </w:t>
            </w:r>
          </w:p>
        </w:tc>
        <w:tc>
          <w:tcPr>
            <w:tcW w:w="3793" w:type="dxa"/>
            <w:gridSpan w:val="2"/>
            <w:tcBorders>
              <w:top w:val="nil"/>
              <w:left w:val="nil"/>
              <w:bottom w:val="single" w:sz="4" w:space="0" w:color="auto"/>
              <w:right w:val="single" w:sz="4" w:space="0" w:color="000000"/>
            </w:tcBorders>
          </w:tcPr>
          <w:p w14:paraId="333358DA" w14:textId="77777777" w:rsidR="00E47756" w:rsidRPr="00E47756" w:rsidRDefault="00E47756" w:rsidP="00E47756">
            <w:pPr>
              <w:spacing w:after="0" w:line="240" w:lineRule="auto"/>
              <w:ind w:left="57" w:right="57"/>
            </w:pPr>
            <w:r w:rsidRPr="00E47756">
              <w:rPr>
                <w:b/>
                <w:sz w:val="20"/>
              </w:rPr>
              <w:t>nariadenie o spoločnom úsilí</w:t>
            </w:r>
            <w:r w:rsidRPr="00E47756">
              <w:rPr>
                <w:sz w:val="20"/>
              </w:rPr>
              <w:t xml:space="preserve"> (legislatívna iniciatíva vrátane posúdenia vplyvu, článok 192 ods. 1 ZFEÚ, 2. štvrťrok </w:t>
            </w:r>
          </w:p>
          <w:p w14:paraId="53E45F83" w14:textId="77777777" w:rsidR="00E47756" w:rsidRPr="00E47756" w:rsidRDefault="00E47756" w:rsidP="00E47756">
            <w:pPr>
              <w:spacing w:after="0" w:line="240" w:lineRule="auto"/>
              <w:ind w:left="57" w:right="57"/>
            </w:pPr>
            <w:r w:rsidRPr="00E47756">
              <w:rPr>
                <w:sz w:val="20"/>
              </w:rPr>
              <w:t>2021);</w:t>
            </w:r>
            <w:r w:rsidRPr="00E47756">
              <w:rPr>
                <w:b/>
                <w:sz w:val="20"/>
              </w:rPr>
              <w:t xml:space="preserve"> </w:t>
            </w:r>
          </w:p>
        </w:tc>
        <w:tc>
          <w:tcPr>
            <w:tcW w:w="1972" w:type="dxa"/>
            <w:tcBorders>
              <w:top w:val="nil"/>
              <w:left w:val="nil"/>
              <w:bottom w:val="single" w:sz="4" w:space="0" w:color="auto"/>
              <w:right w:val="single" w:sz="4" w:space="0" w:color="000000"/>
            </w:tcBorders>
          </w:tcPr>
          <w:p w14:paraId="7B3106E4" w14:textId="77777777" w:rsidR="00E47756" w:rsidRPr="00E47756" w:rsidRDefault="00E47756" w:rsidP="00E47756">
            <w:pPr>
              <w:spacing w:after="0" w:line="240" w:lineRule="auto"/>
              <w:ind w:left="57" w:right="57"/>
              <w:jc w:val="center"/>
              <w:rPr>
                <w:b/>
                <w:sz w:val="20"/>
                <w:szCs w:val="20"/>
              </w:rPr>
            </w:pPr>
            <w:r w:rsidRPr="00E47756">
              <w:rPr>
                <w:b/>
                <w:sz w:val="20"/>
                <w:szCs w:val="20"/>
              </w:rPr>
              <w:t>MŽP SR</w:t>
            </w:r>
          </w:p>
        </w:tc>
        <w:tc>
          <w:tcPr>
            <w:tcW w:w="5777" w:type="dxa"/>
            <w:tcBorders>
              <w:top w:val="nil"/>
              <w:left w:val="nil"/>
              <w:bottom w:val="single" w:sz="4" w:space="0" w:color="auto"/>
              <w:right w:val="single" w:sz="4" w:space="0" w:color="000000"/>
            </w:tcBorders>
          </w:tcPr>
          <w:p w14:paraId="22E26505" w14:textId="77777777" w:rsidR="00E47756" w:rsidRPr="00E47756" w:rsidRDefault="00E47756" w:rsidP="00E47756">
            <w:pPr>
              <w:spacing w:after="0" w:line="240" w:lineRule="auto"/>
              <w:ind w:left="57" w:right="57"/>
              <w:rPr>
                <w:sz w:val="20"/>
                <w:szCs w:val="20"/>
              </w:rPr>
            </w:pPr>
            <w:r w:rsidRPr="00E47756">
              <w:rPr>
                <w:b/>
                <w:sz w:val="20"/>
                <w:szCs w:val="20"/>
                <w:u w:val="single"/>
              </w:rPr>
              <w:t>Vysoká priorita</w:t>
            </w:r>
            <w:r w:rsidRPr="00E47756">
              <w:rPr>
                <w:b/>
                <w:sz w:val="20"/>
                <w:szCs w:val="20"/>
              </w:rPr>
              <w:t xml:space="preserve">- </w:t>
            </w:r>
            <w:r w:rsidRPr="00E47756">
              <w:rPr>
                <w:sz w:val="20"/>
                <w:szCs w:val="20"/>
              </w:rPr>
              <w:t>Pri revízií nariadenia o spoločnom úsilí (ESR) bude z pohľadu SK potrebné zachovať už dohodnuté princípy, hlavne pokiaľ ide o férové zdieľanie úsilia a nákladovú efektívnosť. Slovensko si uvedomuje svoju úlohu a aj preto sa v rámci národného klimatického a energetického plánu zaviazalo znížiť emisie v týchto odvetviach až o 20% do roku 2030 (oproti 12% stavovaných v európskej legislatíve). Pri ESR by mali byť tiež zachované flexibility, keďže dosahovanie týchto cieľov bude náramne zložité.</w:t>
            </w:r>
          </w:p>
          <w:p w14:paraId="624A44F6" w14:textId="77777777" w:rsidR="00E47756" w:rsidRPr="00E47756" w:rsidRDefault="00E47756" w:rsidP="00E47756">
            <w:pPr>
              <w:spacing w:after="0" w:line="240" w:lineRule="auto"/>
              <w:ind w:left="57" w:right="57"/>
              <w:rPr>
                <w:b/>
                <w:sz w:val="20"/>
                <w:szCs w:val="20"/>
                <w:u w:val="single"/>
              </w:rPr>
            </w:pPr>
          </w:p>
          <w:p w14:paraId="56446A88" w14:textId="77777777" w:rsidR="00E47756" w:rsidRPr="00E47756" w:rsidRDefault="00E47756" w:rsidP="00E47756">
            <w:pPr>
              <w:spacing w:after="0" w:line="240" w:lineRule="auto"/>
              <w:ind w:left="57" w:right="57"/>
              <w:rPr>
                <w:b/>
                <w:sz w:val="20"/>
                <w:szCs w:val="20"/>
                <w:u w:val="single"/>
              </w:rPr>
            </w:pPr>
          </w:p>
          <w:p w14:paraId="19B7C318" w14:textId="77777777" w:rsidR="00E47756" w:rsidRPr="00E47756" w:rsidRDefault="00E47756" w:rsidP="00E47756">
            <w:pPr>
              <w:spacing w:after="0" w:line="240" w:lineRule="auto"/>
              <w:ind w:left="57" w:right="57"/>
              <w:rPr>
                <w:b/>
                <w:sz w:val="20"/>
                <w:szCs w:val="20"/>
                <w:u w:val="single"/>
              </w:rPr>
            </w:pPr>
          </w:p>
          <w:p w14:paraId="39C42179" w14:textId="77777777" w:rsidR="00E47756" w:rsidRPr="00E47756" w:rsidRDefault="00E47756" w:rsidP="00E47756">
            <w:pPr>
              <w:spacing w:after="0" w:line="240" w:lineRule="auto"/>
              <w:ind w:left="57" w:right="57"/>
              <w:rPr>
                <w:b/>
                <w:sz w:val="20"/>
                <w:szCs w:val="20"/>
                <w:u w:val="single"/>
              </w:rPr>
            </w:pPr>
          </w:p>
          <w:p w14:paraId="3444E9D0" w14:textId="77777777" w:rsidR="00E47756" w:rsidRPr="00E47756" w:rsidRDefault="00E47756" w:rsidP="00E47756">
            <w:pPr>
              <w:spacing w:after="0" w:line="240" w:lineRule="auto"/>
              <w:ind w:left="57" w:right="57"/>
              <w:rPr>
                <w:b/>
                <w:sz w:val="20"/>
                <w:szCs w:val="20"/>
                <w:u w:val="single"/>
              </w:rPr>
            </w:pPr>
          </w:p>
          <w:p w14:paraId="52CA95A5" w14:textId="77777777" w:rsidR="00E47756" w:rsidRPr="00E47756" w:rsidRDefault="00E47756" w:rsidP="00E47756">
            <w:pPr>
              <w:spacing w:after="0" w:line="240" w:lineRule="auto"/>
              <w:ind w:left="57" w:right="57"/>
              <w:rPr>
                <w:b/>
                <w:sz w:val="20"/>
                <w:szCs w:val="20"/>
                <w:u w:val="single"/>
              </w:rPr>
            </w:pPr>
          </w:p>
          <w:p w14:paraId="40DBC6EA" w14:textId="77777777" w:rsidR="00E47756" w:rsidRPr="00E47756" w:rsidRDefault="00E47756" w:rsidP="00E47756">
            <w:pPr>
              <w:spacing w:after="0" w:line="240" w:lineRule="auto"/>
              <w:ind w:left="57" w:right="57"/>
              <w:rPr>
                <w:b/>
                <w:sz w:val="20"/>
                <w:szCs w:val="20"/>
                <w:u w:val="single"/>
              </w:rPr>
            </w:pPr>
          </w:p>
          <w:p w14:paraId="4A6ACF08" w14:textId="77777777" w:rsidR="00E47756" w:rsidRPr="00E47756" w:rsidRDefault="00E47756" w:rsidP="00E47756">
            <w:pPr>
              <w:spacing w:after="0" w:line="240" w:lineRule="auto"/>
              <w:ind w:left="57" w:right="57"/>
              <w:rPr>
                <w:b/>
                <w:sz w:val="20"/>
                <w:szCs w:val="20"/>
                <w:u w:val="single"/>
              </w:rPr>
            </w:pPr>
          </w:p>
          <w:p w14:paraId="7E953F71" w14:textId="77777777" w:rsidR="00E47756" w:rsidRPr="00E47756" w:rsidRDefault="00E47756" w:rsidP="00E47756">
            <w:pPr>
              <w:spacing w:after="0" w:line="240" w:lineRule="auto"/>
              <w:ind w:left="57" w:right="57"/>
              <w:rPr>
                <w:b/>
                <w:sz w:val="20"/>
                <w:szCs w:val="20"/>
                <w:u w:val="single"/>
              </w:rPr>
            </w:pPr>
          </w:p>
          <w:p w14:paraId="3EAFD494" w14:textId="77777777" w:rsidR="00E47756" w:rsidRPr="00E47756" w:rsidRDefault="00E47756" w:rsidP="00A41E9A">
            <w:pPr>
              <w:spacing w:after="0" w:line="240" w:lineRule="auto"/>
              <w:ind w:right="57"/>
              <w:rPr>
                <w:b/>
                <w:sz w:val="20"/>
                <w:szCs w:val="20"/>
                <w:u w:val="single"/>
              </w:rPr>
            </w:pPr>
          </w:p>
          <w:p w14:paraId="7A7AF56C" w14:textId="77777777" w:rsidR="00E47756" w:rsidRPr="00E47756" w:rsidRDefault="00E47756" w:rsidP="00E47756">
            <w:pPr>
              <w:spacing w:after="0" w:line="240" w:lineRule="auto"/>
              <w:ind w:left="57" w:right="57"/>
              <w:rPr>
                <w:b/>
                <w:sz w:val="20"/>
                <w:szCs w:val="20"/>
              </w:rPr>
            </w:pPr>
          </w:p>
        </w:tc>
      </w:tr>
      <w:tr w:rsidR="00E47756" w:rsidRPr="00E47756" w14:paraId="61FAF47B" w14:textId="77777777" w:rsidTr="001A4016">
        <w:trPr>
          <w:trHeight w:val="461"/>
        </w:trPr>
        <w:tc>
          <w:tcPr>
            <w:tcW w:w="415" w:type="dxa"/>
            <w:tcBorders>
              <w:top w:val="single" w:sz="4" w:space="0" w:color="auto"/>
              <w:left w:val="single" w:sz="4" w:space="0" w:color="000000"/>
              <w:bottom w:val="single" w:sz="4" w:space="0" w:color="auto"/>
              <w:right w:val="single" w:sz="4" w:space="0" w:color="000000"/>
            </w:tcBorders>
          </w:tcPr>
          <w:p w14:paraId="063CA917" w14:textId="77777777" w:rsidR="00E47756" w:rsidRPr="00E47756" w:rsidRDefault="00E47756" w:rsidP="00E47756">
            <w:pPr>
              <w:spacing w:after="0" w:line="240" w:lineRule="auto"/>
              <w:ind w:left="57" w:right="57"/>
            </w:pPr>
          </w:p>
        </w:tc>
        <w:tc>
          <w:tcPr>
            <w:tcW w:w="2396" w:type="dxa"/>
            <w:tcBorders>
              <w:top w:val="single" w:sz="4" w:space="0" w:color="auto"/>
              <w:left w:val="single" w:sz="4" w:space="0" w:color="000000"/>
              <w:bottom w:val="single" w:sz="4" w:space="0" w:color="auto"/>
              <w:right w:val="single" w:sz="4" w:space="0" w:color="000000"/>
            </w:tcBorders>
          </w:tcPr>
          <w:p w14:paraId="602F9159" w14:textId="77777777" w:rsidR="00E47756" w:rsidRPr="00E47756" w:rsidRDefault="00E47756" w:rsidP="00E47756">
            <w:pPr>
              <w:spacing w:after="0" w:line="240" w:lineRule="auto"/>
              <w:ind w:left="57" w:right="57"/>
            </w:pPr>
          </w:p>
        </w:tc>
        <w:tc>
          <w:tcPr>
            <w:tcW w:w="289" w:type="dxa"/>
            <w:tcBorders>
              <w:top w:val="single" w:sz="4" w:space="0" w:color="auto"/>
              <w:left w:val="single" w:sz="4" w:space="0" w:color="000000"/>
              <w:bottom w:val="single" w:sz="4" w:space="0" w:color="auto"/>
              <w:right w:val="nil"/>
            </w:tcBorders>
          </w:tcPr>
          <w:p w14:paraId="1BE7F3CD" w14:textId="77777777" w:rsidR="00E47756" w:rsidRPr="00E47756" w:rsidRDefault="00E47756" w:rsidP="00E47756">
            <w:pPr>
              <w:spacing w:after="0" w:line="240" w:lineRule="auto"/>
              <w:ind w:left="57" w:right="57"/>
            </w:pPr>
            <w:r w:rsidRPr="00E47756">
              <w:rPr>
                <w:sz w:val="20"/>
              </w:rPr>
              <w:t>d)</w:t>
            </w:r>
            <w:r w:rsidRPr="00E47756">
              <w:rPr>
                <w:rFonts w:ascii="Arial" w:hAnsi="Arial" w:cs="Arial"/>
                <w:sz w:val="20"/>
              </w:rPr>
              <w:t xml:space="preserve"> </w:t>
            </w:r>
          </w:p>
        </w:tc>
        <w:tc>
          <w:tcPr>
            <w:tcW w:w="3793" w:type="dxa"/>
            <w:gridSpan w:val="2"/>
            <w:tcBorders>
              <w:top w:val="single" w:sz="4" w:space="0" w:color="auto"/>
              <w:left w:val="nil"/>
              <w:bottom w:val="single" w:sz="4" w:space="0" w:color="auto"/>
              <w:right w:val="single" w:sz="4" w:space="0" w:color="000000"/>
            </w:tcBorders>
          </w:tcPr>
          <w:p w14:paraId="2C80CB9A" w14:textId="77777777" w:rsidR="00E47756" w:rsidRPr="00E47756" w:rsidRDefault="00E47756" w:rsidP="00E47756">
            <w:pPr>
              <w:spacing w:after="0" w:line="240" w:lineRule="auto"/>
              <w:ind w:left="57" w:right="57"/>
            </w:pPr>
            <w:r w:rsidRPr="00E47756">
              <w:rPr>
                <w:b/>
                <w:sz w:val="20"/>
              </w:rPr>
              <w:t>zmena smernice o obnoviteľných zdrojoch energie s cieľom naplniť ambície nových cieľov v oblasti klímy do roku 2030</w:t>
            </w:r>
            <w:r w:rsidRPr="00E47756">
              <w:rPr>
                <w:sz w:val="20"/>
              </w:rPr>
              <w:t xml:space="preserve"> </w:t>
            </w:r>
            <w:r w:rsidRPr="00E47756">
              <w:rPr>
                <w:sz w:val="20"/>
              </w:rPr>
              <w:lastRenderedPageBreak/>
              <w:t>(legislatívna iniciatíva vrátane posúdenia vplyvu, článok 194 ZFEÚ, 2. štvrťrok 2021);</w:t>
            </w:r>
            <w:r w:rsidRPr="00E47756">
              <w:rPr>
                <w:b/>
                <w:sz w:val="20"/>
              </w:rPr>
              <w:t xml:space="preserve"> </w:t>
            </w:r>
          </w:p>
        </w:tc>
        <w:tc>
          <w:tcPr>
            <w:tcW w:w="1972" w:type="dxa"/>
            <w:tcBorders>
              <w:top w:val="single" w:sz="4" w:space="0" w:color="auto"/>
              <w:left w:val="nil"/>
              <w:bottom w:val="single" w:sz="4" w:space="0" w:color="auto"/>
              <w:right w:val="single" w:sz="4" w:space="0" w:color="000000"/>
            </w:tcBorders>
          </w:tcPr>
          <w:p w14:paraId="640F9B66" w14:textId="77777777" w:rsidR="00E47756" w:rsidRPr="00E47756" w:rsidRDefault="00E47756" w:rsidP="00E47756">
            <w:pPr>
              <w:spacing w:after="0" w:line="240" w:lineRule="auto"/>
              <w:ind w:left="57" w:right="57"/>
              <w:jc w:val="center"/>
              <w:rPr>
                <w:b/>
                <w:sz w:val="20"/>
                <w:szCs w:val="20"/>
              </w:rPr>
            </w:pPr>
            <w:r w:rsidRPr="00E47756">
              <w:rPr>
                <w:b/>
                <w:sz w:val="20"/>
                <w:szCs w:val="20"/>
              </w:rPr>
              <w:lastRenderedPageBreak/>
              <w:t>MH SR</w:t>
            </w:r>
          </w:p>
        </w:tc>
        <w:tc>
          <w:tcPr>
            <w:tcW w:w="5777" w:type="dxa"/>
            <w:tcBorders>
              <w:top w:val="single" w:sz="4" w:space="0" w:color="auto"/>
              <w:left w:val="nil"/>
              <w:bottom w:val="single" w:sz="4" w:space="0" w:color="auto"/>
              <w:right w:val="single" w:sz="4" w:space="0" w:color="000000"/>
            </w:tcBorders>
          </w:tcPr>
          <w:p w14:paraId="45C98AB2" w14:textId="77777777" w:rsidR="00E47756" w:rsidRPr="00E47756" w:rsidRDefault="00E47756" w:rsidP="00E47756">
            <w:pPr>
              <w:spacing w:after="0" w:line="240" w:lineRule="auto"/>
              <w:ind w:left="57" w:right="57"/>
              <w:rPr>
                <w:b/>
                <w:sz w:val="20"/>
                <w:szCs w:val="20"/>
                <w:u w:val="single"/>
              </w:rPr>
            </w:pPr>
            <w:r w:rsidRPr="00E47756">
              <w:rPr>
                <w:b/>
                <w:sz w:val="20"/>
                <w:szCs w:val="20"/>
                <w:u w:val="single"/>
              </w:rPr>
              <w:t>Vysoká priorita</w:t>
            </w:r>
            <w:r w:rsidRPr="00E47756">
              <w:rPr>
                <w:b/>
                <w:sz w:val="20"/>
                <w:szCs w:val="20"/>
              </w:rPr>
              <w:t xml:space="preserve">- </w:t>
            </w:r>
            <w:r w:rsidRPr="00E47756">
              <w:rPr>
                <w:sz w:val="20"/>
                <w:szCs w:val="20"/>
              </w:rPr>
              <w:t xml:space="preserve">Zvyšovane podielu obnoviteľných zdrojov sa považuje za účinný nástroj znižovania emisií GHG a na základe dopadovej štúdie EK pre cieľ najmenej 55% by mal tvoriť ich podiel </w:t>
            </w:r>
            <w:r w:rsidRPr="00E47756">
              <w:rPr>
                <w:sz w:val="20"/>
                <w:szCs w:val="20"/>
              </w:rPr>
              <w:lastRenderedPageBreak/>
              <w:t xml:space="preserve">na konečnej energetickej spotrebe v roku 2030 v rámci integrovaného energetického systému približne 38,5%. Hlavné opatrenia sa môžu týkať stanovenia povinného cieľa pre sektor vykurovania a chladenia, vrátane cieľa pre centrálne zásobovanie teplom, postupnej elektrifikácie dopravy, využívania </w:t>
            </w:r>
            <w:proofErr w:type="spellStart"/>
            <w:r w:rsidRPr="00E47756">
              <w:rPr>
                <w:sz w:val="20"/>
                <w:szCs w:val="20"/>
              </w:rPr>
              <w:t>nízkouhlíkových</w:t>
            </w:r>
            <w:proofErr w:type="spellEnd"/>
            <w:r w:rsidRPr="00E47756">
              <w:rPr>
                <w:sz w:val="20"/>
                <w:szCs w:val="20"/>
              </w:rPr>
              <w:t xml:space="preserve"> palív a </w:t>
            </w:r>
            <w:proofErr w:type="spellStart"/>
            <w:r w:rsidRPr="00E47756">
              <w:rPr>
                <w:sz w:val="20"/>
                <w:szCs w:val="20"/>
              </w:rPr>
              <w:t>biopalív</w:t>
            </w:r>
            <w:proofErr w:type="spellEnd"/>
            <w:r w:rsidRPr="00E47756">
              <w:rPr>
                <w:sz w:val="20"/>
                <w:szCs w:val="20"/>
              </w:rPr>
              <w:t>. Zvýšená pozornosť bude venovaná cezhraničným projektom v OZE.Z pohľadu SR pôjde o politicky citlivý návrh na zvýšenie cieľov OZE. Už súčasná miera ambície je spojená s vysokými investičnými nákladmi a dopadmi na ceny energie. Zvýšená klimatická ambícia smerom ku klimatickej neutralite si vyžiada zvýšenie úsilia pri OZE, ČŠ by však mala byť ponechaná maximálna flexibilita. SK nesúhlasí s povinnými národnými/sektorovými cieľmi. Akékoľvek zvýšenie cieľa by malo byť sprevádzané posilneným financovaním.</w:t>
            </w:r>
          </w:p>
          <w:p w14:paraId="5FDAA50E" w14:textId="77777777" w:rsidR="00E47756" w:rsidRPr="00E47756" w:rsidRDefault="00E47756" w:rsidP="00E47756">
            <w:pPr>
              <w:spacing w:after="0" w:line="240" w:lineRule="auto"/>
              <w:ind w:left="57" w:right="57"/>
              <w:rPr>
                <w:b/>
                <w:sz w:val="20"/>
                <w:szCs w:val="20"/>
              </w:rPr>
            </w:pPr>
          </w:p>
        </w:tc>
      </w:tr>
      <w:tr w:rsidR="00E47756" w:rsidRPr="00E47756" w14:paraId="76A492C4" w14:textId="77777777" w:rsidTr="001A4016">
        <w:trPr>
          <w:trHeight w:val="460"/>
        </w:trPr>
        <w:tc>
          <w:tcPr>
            <w:tcW w:w="415" w:type="dxa"/>
            <w:tcBorders>
              <w:top w:val="single" w:sz="4" w:space="0" w:color="auto"/>
              <w:left w:val="single" w:sz="4" w:space="0" w:color="000000"/>
              <w:bottom w:val="single" w:sz="4" w:space="0" w:color="auto"/>
              <w:right w:val="single" w:sz="4" w:space="0" w:color="000000"/>
            </w:tcBorders>
          </w:tcPr>
          <w:p w14:paraId="73821030" w14:textId="77777777" w:rsidR="00E47756" w:rsidRPr="00E47756" w:rsidRDefault="00E47756" w:rsidP="00E47756">
            <w:pPr>
              <w:spacing w:after="0" w:line="240" w:lineRule="auto"/>
              <w:ind w:left="57" w:right="57"/>
            </w:pPr>
          </w:p>
        </w:tc>
        <w:tc>
          <w:tcPr>
            <w:tcW w:w="2396" w:type="dxa"/>
            <w:tcBorders>
              <w:top w:val="single" w:sz="4" w:space="0" w:color="auto"/>
              <w:left w:val="single" w:sz="4" w:space="0" w:color="000000"/>
              <w:bottom w:val="single" w:sz="4" w:space="0" w:color="auto"/>
              <w:right w:val="single" w:sz="4" w:space="0" w:color="000000"/>
            </w:tcBorders>
          </w:tcPr>
          <w:p w14:paraId="5FB3E4CA" w14:textId="77777777" w:rsidR="00E47756" w:rsidRPr="00E47756" w:rsidRDefault="00E47756" w:rsidP="00E47756">
            <w:pPr>
              <w:spacing w:after="0" w:line="240" w:lineRule="auto"/>
              <w:ind w:left="57" w:right="57"/>
            </w:pPr>
          </w:p>
        </w:tc>
        <w:tc>
          <w:tcPr>
            <w:tcW w:w="289" w:type="dxa"/>
            <w:tcBorders>
              <w:top w:val="single" w:sz="4" w:space="0" w:color="auto"/>
              <w:left w:val="single" w:sz="4" w:space="0" w:color="000000"/>
              <w:bottom w:val="single" w:sz="4" w:space="0" w:color="auto"/>
              <w:right w:val="nil"/>
            </w:tcBorders>
          </w:tcPr>
          <w:p w14:paraId="135D1431" w14:textId="77777777" w:rsidR="00E47756" w:rsidRPr="00E47756" w:rsidRDefault="00E47756" w:rsidP="00E47756">
            <w:pPr>
              <w:spacing w:after="0" w:line="240" w:lineRule="auto"/>
              <w:ind w:left="57" w:right="57"/>
            </w:pPr>
            <w:r w:rsidRPr="00E47756">
              <w:rPr>
                <w:sz w:val="20"/>
              </w:rPr>
              <w:t>e)</w:t>
            </w:r>
            <w:r w:rsidRPr="00E47756">
              <w:rPr>
                <w:rFonts w:ascii="Arial" w:hAnsi="Arial" w:cs="Arial"/>
                <w:sz w:val="20"/>
              </w:rPr>
              <w:t xml:space="preserve"> </w:t>
            </w:r>
          </w:p>
        </w:tc>
        <w:tc>
          <w:tcPr>
            <w:tcW w:w="3793" w:type="dxa"/>
            <w:gridSpan w:val="2"/>
            <w:tcBorders>
              <w:top w:val="single" w:sz="4" w:space="0" w:color="auto"/>
              <w:left w:val="nil"/>
              <w:bottom w:val="single" w:sz="4" w:space="0" w:color="auto"/>
              <w:right w:val="single" w:sz="4" w:space="0" w:color="000000"/>
            </w:tcBorders>
          </w:tcPr>
          <w:p w14:paraId="74DC6A79" w14:textId="77777777" w:rsidR="00E47756" w:rsidRPr="00E47756" w:rsidRDefault="00E47756" w:rsidP="00E47756">
            <w:pPr>
              <w:spacing w:after="0" w:line="240" w:lineRule="auto"/>
              <w:ind w:left="57" w:right="57"/>
            </w:pPr>
            <w:r w:rsidRPr="00E47756">
              <w:rPr>
                <w:b/>
                <w:sz w:val="20"/>
              </w:rPr>
              <w:t>zmena smernice o energetickej efektívnosti s cieľom naplniť ambície nových cieľov v oblasti klímy do roku 2030</w:t>
            </w:r>
            <w:r w:rsidRPr="00E47756">
              <w:rPr>
                <w:sz w:val="20"/>
              </w:rPr>
              <w:t xml:space="preserve"> </w:t>
            </w:r>
          </w:p>
          <w:p w14:paraId="46ED9985" w14:textId="77777777" w:rsidR="00E47756" w:rsidRPr="00E47756" w:rsidRDefault="00E47756" w:rsidP="00E47756">
            <w:pPr>
              <w:spacing w:after="0" w:line="240" w:lineRule="auto"/>
              <w:ind w:left="57" w:right="57"/>
              <w:rPr>
                <w:b/>
                <w:sz w:val="20"/>
              </w:rPr>
            </w:pPr>
            <w:r w:rsidRPr="00E47756">
              <w:rPr>
                <w:sz w:val="20"/>
              </w:rPr>
              <w:t>(legislatívna iniciatíva vrátane posúdenia vplyvu, článok 194 ZFEÚ, 2. štvrťrok 2021);</w:t>
            </w:r>
            <w:r w:rsidRPr="00E47756">
              <w:rPr>
                <w:b/>
                <w:sz w:val="20"/>
              </w:rPr>
              <w:t xml:space="preserve"> </w:t>
            </w:r>
          </w:p>
          <w:p w14:paraId="24275D02" w14:textId="77777777" w:rsidR="00E47756" w:rsidRPr="00E47756" w:rsidRDefault="00E47756" w:rsidP="00E47756">
            <w:pPr>
              <w:spacing w:after="0" w:line="240" w:lineRule="auto"/>
              <w:ind w:left="57" w:right="57"/>
              <w:rPr>
                <w:b/>
                <w:sz w:val="20"/>
              </w:rPr>
            </w:pPr>
          </w:p>
          <w:p w14:paraId="1527D977" w14:textId="77777777" w:rsidR="00E47756" w:rsidRPr="00E47756" w:rsidRDefault="00E47756" w:rsidP="00E47756">
            <w:pPr>
              <w:spacing w:after="0" w:line="240" w:lineRule="auto"/>
              <w:ind w:left="57" w:right="57"/>
              <w:rPr>
                <w:b/>
                <w:sz w:val="20"/>
              </w:rPr>
            </w:pPr>
          </w:p>
          <w:p w14:paraId="34CE6580" w14:textId="77777777" w:rsidR="00E47756" w:rsidRPr="00E47756" w:rsidRDefault="00E47756" w:rsidP="00E47756">
            <w:pPr>
              <w:spacing w:after="0" w:line="240" w:lineRule="auto"/>
              <w:ind w:left="57" w:right="57"/>
              <w:rPr>
                <w:b/>
                <w:sz w:val="20"/>
              </w:rPr>
            </w:pPr>
          </w:p>
          <w:p w14:paraId="6D18ACF9" w14:textId="77777777" w:rsidR="00E47756" w:rsidRPr="00E47756" w:rsidRDefault="00E47756" w:rsidP="00E47756">
            <w:pPr>
              <w:spacing w:after="0" w:line="240" w:lineRule="auto"/>
              <w:ind w:left="57" w:right="57"/>
              <w:rPr>
                <w:b/>
                <w:sz w:val="20"/>
              </w:rPr>
            </w:pPr>
          </w:p>
          <w:p w14:paraId="66B0C59D" w14:textId="77777777" w:rsidR="00E47756" w:rsidRPr="00E47756" w:rsidRDefault="00E47756" w:rsidP="00E47756">
            <w:pPr>
              <w:spacing w:after="0" w:line="240" w:lineRule="auto"/>
              <w:ind w:left="57" w:right="57"/>
              <w:rPr>
                <w:b/>
                <w:sz w:val="20"/>
              </w:rPr>
            </w:pPr>
          </w:p>
          <w:p w14:paraId="269A0D4D" w14:textId="77777777" w:rsidR="00E47756" w:rsidRPr="00E47756" w:rsidRDefault="00E47756" w:rsidP="00E47756">
            <w:pPr>
              <w:spacing w:after="0" w:line="240" w:lineRule="auto"/>
              <w:ind w:left="57" w:right="57"/>
              <w:rPr>
                <w:b/>
                <w:sz w:val="20"/>
              </w:rPr>
            </w:pPr>
          </w:p>
          <w:p w14:paraId="7EFD00B6" w14:textId="77777777" w:rsidR="00E47756" w:rsidRPr="00E47756" w:rsidRDefault="00E47756" w:rsidP="00E47756">
            <w:pPr>
              <w:spacing w:after="0" w:line="240" w:lineRule="auto"/>
              <w:ind w:left="57" w:right="57"/>
              <w:rPr>
                <w:b/>
                <w:sz w:val="20"/>
              </w:rPr>
            </w:pPr>
          </w:p>
          <w:p w14:paraId="4B1139BB" w14:textId="77777777" w:rsidR="00E47756" w:rsidRPr="00E47756" w:rsidRDefault="00E47756" w:rsidP="00E47756">
            <w:pPr>
              <w:spacing w:after="0" w:line="240" w:lineRule="auto"/>
              <w:ind w:left="57" w:right="57"/>
              <w:rPr>
                <w:b/>
                <w:sz w:val="20"/>
              </w:rPr>
            </w:pPr>
          </w:p>
          <w:p w14:paraId="6EE09F43" w14:textId="77777777" w:rsidR="00E47756" w:rsidRPr="00E47756" w:rsidRDefault="00E47756" w:rsidP="00E47756">
            <w:pPr>
              <w:spacing w:after="0" w:line="240" w:lineRule="auto"/>
              <w:ind w:left="57" w:right="57"/>
              <w:rPr>
                <w:b/>
                <w:sz w:val="20"/>
              </w:rPr>
            </w:pPr>
          </w:p>
          <w:p w14:paraId="3A4AAF7F" w14:textId="77777777" w:rsidR="00E47756" w:rsidRPr="00E47756" w:rsidRDefault="00E47756" w:rsidP="00E47756">
            <w:pPr>
              <w:spacing w:after="0" w:line="240" w:lineRule="auto"/>
              <w:ind w:left="57" w:right="57"/>
              <w:rPr>
                <w:b/>
                <w:sz w:val="20"/>
              </w:rPr>
            </w:pPr>
          </w:p>
          <w:p w14:paraId="5E3B732D" w14:textId="77777777" w:rsidR="00E47756" w:rsidRPr="00E47756" w:rsidRDefault="00E47756" w:rsidP="00E47756">
            <w:pPr>
              <w:spacing w:after="0" w:line="240" w:lineRule="auto"/>
              <w:ind w:left="57" w:right="57"/>
            </w:pPr>
          </w:p>
        </w:tc>
        <w:tc>
          <w:tcPr>
            <w:tcW w:w="1972" w:type="dxa"/>
            <w:tcBorders>
              <w:top w:val="single" w:sz="4" w:space="0" w:color="auto"/>
              <w:left w:val="nil"/>
              <w:bottom w:val="single" w:sz="4" w:space="0" w:color="auto"/>
              <w:right w:val="single" w:sz="4" w:space="0" w:color="000000"/>
            </w:tcBorders>
          </w:tcPr>
          <w:p w14:paraId="29BE6F99" w14:textId="77777777" w:rsidR="00E47756" w:rsidRPr="00E47756" w:rsidRDefault="00E47756" w:rsidP="00E47756">
            <w:pPr>
              <w:spacing w:after="0" w:line="240" w:lineRule="auto"/>
              <w:ind w:left="57" w:right="57"/>
              <w:jc w:val="center"/>
              <w:rPr>
                <w:b/>
                <w:sz w:val="20"/>
                <w:szCs w:val="20"/>
              </w:rPr>
            </w:pPr>
            <w:r w:rsidRPr="00E47756">
              <w:rPr>
                <w:b/>
                <w:sz w:val="20"/>
                <w:szCs w:val="20"/>
              </w:rPr>
              <w:t>MH SR</w:t>
            </w:r>
          </w:p>
        </w:tc>
        <w:tc>
          <w:tcPr>
            <w:tcW w:w="5777" w:type="dxa"/>
            <w:tcBorders>
              <w:top w:val="single" w:sz="4" w:space="0" w:color="auto"/>
              <w:left w:val="nil"/>
              <w:bottom w:val="single" w:sz="4" w:space="0" w:color="auto"/>
              <w:right w:val="single" w:sz="4" w:space="0" w:color="000000"/>
            </w:tcBorders>
          </w:tcPr>
          <w:p w14:paraId="09CC09CA" w14:textId="77777777" w:rsidR="00E47756" w:rsidRPr="00E47756" w:rsidRDefault="00E47756" w:rsidP="00E47756">
            <w:pPr>
              <w:spacing w:after="0" w:line="240" w:lineRule="auto"/>
              <w:ind w:left="57" w:right="57"/>
              <w:rPr>
                <w:b/>
                <w:sz w:val="20"/>
                <w:szCs w:val="20"/>
                <w:u w:val="single"/>
              </w:rPr>
            </w:pPr>
            <w:r w:rsidRPr="00E47756">
              <w:rPr>
                <w:b/>
                <w:sz w:val="20"/>
                <w:szCs w:val="20"/>
                <w:u w:val="single"/>
              </w:rPr>
              <w:t>Vysoká priorita</w:t>
            </w:r>
            <w:r w:rsidRPr="00E47756">
              <w:rPr>
                <w:b/>
                <w:sz w:val="20"/>
                <w:szCs w:val="20"/>
              </w:rPr>
              <w:t xml:space="preserve"> - </w:t>
            </w:r>
            <w:r w:rsidRPr="00E47756">
              <w:rPr>
                <w:sz w:val="20"/>
                <w:szCs w:val="20"/>
              </w:rPr>
              <w:t xml:space="preserve">Na základe </w:t>
            </w:r>
            <w:proofErr w:type="spellStart"/>
            <w:r w:rsidRPr="00E47756">
              <w:rPr>
                <w:sz w:val="20"/>
                <w:szCs w:val="20"/>
              </w:rPr>
              <w:t>impact</w:t>
            </w:r>
            <w:proofErr w:type="spellEnd"/>
            <w:r w:rsidRPr="00E47756">
              <w:rPr>
                <w:sz w:val="20"/>
                <w:szCs w:val="20"/>
              </w:rPr>
              <w:t xml:space="preserve"> </w:t>
            </w:r>
            <w:proofErr w:type="spellStart"/>
            <w:r w:rsidRPr="00E47756">
              <w:rPr>
                <w:sz w:val="20"/>
                <w:szCs w:val="20"/>
              </w:rPr>
              <w:t>assessementu</w:t>
            </w:r>
            <w:proofErr w:type="spellEnd"/>
            <w:r w:rsidRPr="00E47756">
              <w:rPr>
                <w:sz w:val="20"/>
                <w:szCs w:val="20"/>
              </w:rPr>
              <w:t xml:space="preserve"> k Oznámeniu EK „Posilnenie európskych ambícií v oblasti klímy do roku 2030“ bude potrebné pre dosiahnutie klimatického cieľa zvýšiť cieľ pre energetickú efektívnosť na približne 36% z konečnej energetickej spotreby. Dosiahnutie ambicióznejšieho cieľa si bude vyžadovať najmä väčšie úspory v sektore budov, pričom možné riešenia zverejnila EK v rámci Oznámenia „Renovačná vlna“ dňa 14. 10. 2020, kde avizuje EK rozšíriť povinnosť miery obnovy na všetky verejné budovy (v súčasnosti len budovy ústredných orgánov štátnej správy, ktoré tvoria len 4,5% verejných budov) v Smernici o energetickej efektívnosti.</w:t>
            </w:r>
          </w:p>
          <w:p w14:paraId="73A04F9D" w14:textId="77777777" w:rsidR="00E47756" w:rsidRPr="00E47756" w:rsidRDefault="00E47756" w:rsidP="00E47756">
            <w:pPr>
              <w:spacing w:after="0" w:line="240" w:lineRule="auto"/>
              <w:ind w:left="57" w:right="57"/>
              <w:rPr>
                <w:sz w:val="20"/>
                <w:szCs w:val="20"/>
              </w:rPr>
            </w:pPr>
          </w:p>
          <w:p w14:paraId="681B33F1" w14:textId="77777777" w:rsidR="00E47756" w:rsidRPr="00E47756" w:rsidRDefault="00E47756" w:rsidP="00E47756">
            <w:pPr>
              <w:spacing w:after="0" w:line="240" w:lineRule="auto"/>
              <w:ind w:left="57" w:right="57"/>
              <w:rPr>
                <w:sz w:val="20"/>
                <w:szCs w:val="20"/>
              </w:rPr>
            </w:pPr>
            <w:r w:rsidRPr="00E47756">
              <w:rPr>
                <w:sz w:val="20"/>
                <w:szCs w:val="20"/>
              </w:rPr>
              <w:t>SK nesúhlasí s automatickým zvyšovaním cieľov pre energetickú efektívnosť a záväznosťou na národnej úrovni. SR by rovnako nesúhlasila s povinným zavádzaním povinných schém energetickej efektívnosti podľa článku 7 Smernice o energetickej efektívnosti.</w:t>
            </w:r>
          </w:p>
        </w:tc>
      </w:tr>
      <w:tr w:rsidR="00E47756" w:rsidRPr="00E47756" w14:paraId="747006A9" w14:textId="77777777" w:rsidTr="001A4016">
        <w:trPr>
          <w:trHeight w:val="688"/>
        </w:trPr>
        <w:tc>
          <w:tcPr>
            <w:tcW w:w="415" w:type="dxa"/>
            <w:tcBorders>
              <w:top w:val="single" w:sz="4" w:space="0" w:color="auto"/>
              <w:left w:val="single" w:sz="4" w:space="0" w:color="000000"/>
              <w:bottom w:val="single" w:sz="4" w:space="0" w:color="auto"/>
              <w:right w:val="single" w:sz="4" w:space="0" w:color="000000"/>
            </w:tcBorders>
          </w:tcPr>
          <w:p w14:paraId="229F70D3" w14:textId="77777777" w:rsidR="00E47756" w:rsidRPr="00E47756" w:rsidRDefault="00E47756" w:rsidP="00E47756">
            <w:pPr>
              <w:spacing w:after="0" w:line="240" w:lineRule="auto"/>
              <w:ind w:left="57" w:right="57"/>
            </w:pPr>
          </w:p>
        </w:tc>
        <w:tc>
          <w:tcPr>
            <w:tcW w:w="2396" w:type="dxa"/>
            <w:tcBorders>
              <w:top w:val="single" w:sz="4" w:space="0" w:color="auto"/>
              <w:left w:val="single" w:sz="4" w:space="0" w:color="000000"/>
              <w:bottom w:val="single" w:sz="4" w:space="0" w:color="auto"/>
              <w:right w:val="single" w:sz="4" w:space="0" w:color="000000"/>
            </w:tcBorders>
          </w:tcPr>
          <w:p w14:paraId="59B81FCC" w14:textId="77777777" w:rsidR="00E47756" w:rsidRPr="00E47756" w:rsidRDefault="00E47756" w:rsidP="00E47756">
            <w:pPr>
              <w:spacing w:after="0" w:line="240" w:lineRule="auto"/>
              <w:ind w:left="57" w:right="57"/>
            </w:pPr>
          </w:p>
        </w:tc>
        <w:tc>
          <w:tcPr>
            <w:tcW w:w="289" w:type="dxa"/>
            <w:tcBorders>
              <w:top w:val="single" w:sz="4" w:space="0" w:color="auto"/>
              <w:left w:val="single" w:sz="4" w:space="0" w:color="000000"/>
              <w:bottom w:val="single" w:sz="4" w:space="0" w:color="auto"/>
              <w:right w:val="nil"/>
            </w:tcBorders>
          </w:tcPr>
          <w:p w14:paraId="07A8CA73" w14:textId="77777777" w:rsidR="00E47756" w:rsidRPr="00E47756" w:rsidRDefault="00E47756" w:rsidP="00E47756">
            <w:pPr>
              <w:spacing w:after="0" w:line="240" w:lineRule="auto"/>
              <w:ind w:left="57" w:right="57"/>
            </w:pPr>
            <w:r w:rsidRPr="00E47756">
              <w:rPr>
                <w:sz w:val="20"/>
              </w:rPr>
              <w:t>f)</w:t>
            </w:r>
            <w:r w:rsidRPr="00E47756">
              <w:rPr>
                <w:rFonts w:ascii="Arial" w:hAnsi="Arial" w:cs="Arial"/>
                <w:sz w:val="20"/>
              </w:rPr>
              <w:t xml:space="preserve"> </w:t>
            </w:r>
          </w:p>
        </w:tc>
        <w:tc>
          <w:tcPr>
            <w:tcW w:w="3793" w:type="dxa"/>
            <w:gridSpan w:val="2"/>
            <w:tcBorders>
              <w:top w:val="single" w:sz="4" w:space="0" w:color="auto"/>
              <w:left w:val="nil"/>
              <w:bottom w:val="single" w:sz="4" w:space="0" w:color="auto"/>
              <w:right w:val="single" w:sz="4" w:space="0" w:color="000000"/>
            </w:tcBorders>
          </w:tcPr>
          <w:p w14:paraId="716B627C" w14:textId="77777777" w:rsidR="00E47756" w:rsidRPr="00E47756" w:rsidRDefault="00E47756" w:rsidP="00E47756">
            <w:pPr>
              <w:spacing w:after="0" w:line="240" w:lineRule="auto"/>
              <w:ind w:left="57" w:right="57"/>
              <w:rPr>
                <w:b/>
                <w:color w:val="auto"/>
                <w:sz w:val="20"/>
              </w:rPr>
            </w:pPr>
            <w:r w:rsidRPr="00E47756">
              <w:rPr>
                <w:b/>
                <w:color w:val="auto"/>
                <w:sz w:val="20"/>
              </w:rPr>
              <w:t>revízia nariadenia o začlenení emisií a záchytov skleníkových plynov z využívania pôdy, zo zmien vo využívaní pôdy a z lesného hospodárstva</w:t>
            </w:r>
            <w:r w:rsidRPr="00E47756">
              <w:rPr>
                <w:color w:val="auto"/>
                <w:sz w:val="20"/>
              </w:rPr>
              <w:t xml:space="preserve"> (legislatívna iniciatíva vrátane posúdenia vplyvu, článok 192 ods. 1 ZFEÚ, 2. štvrťrok 2021);</w:t>
            </w:r>
            <w:r w:rsidRPr="00E47756">
              <w:rPr>
                <w:b/>
                <w:color w:val="auto"/>
                <w:sz w:val="20"/>
              </w:rPr>
              <w:t xml:space="preserve"> </w:t>
            </w:r>
          </w:p>
          <w:p w14:paraId="3FAE1E8A" w14:textId="77777777" w:rsidR="00E47756" w:rsidRPr="00E47756" w:rsidRDefault="00E47756" w:rsidP="00E47756">
            <w:pPr>
              <w:spacing w:after="0" w:line="240" w:lineRule="auto"/>
              <w:ind w:left="57" w:right="57"/>
              <w:rPr>
                <w:color w:val="92D050"/>
              </w:rPr>
            </w:pPr>
          </w:p>
        </w:tc>
        <w:tc>
          <w:tcPr>
            <w:tcW w:w="1972" w:type="dxa"/>
            <w:tcBorders>
              <w:top w:val="single" w:sz="4" w:space="0" w:color="auto"/>
              <w:left w:val="nil"/>
              <w:bottom w:val="single" w:sz="4" w:space="0" w:color="auto"/>
              <w:right w:val="single" w:sz="4" w:space="0" w:color="000000"/>
            </w:tcBorders>
          </w:tcPr>
          <w:p w14:paraId="15D678C4" w14:textId="77777777" w:rsidR="00E47756" w:rsidRPr="00E47756" w:rsidRDefault="00E47756" w:rsidP="00E47756">
            <w:pPr>
              <w:spacing w:after="0" w:line="240" w:lineRule="auto"/>
              <w:ind w:left="57" w:right="57"/>
              <w:jc w:val="center"/>
              <w:rPr>
                <w:b/>
                <w:color w:val="92D050"/>
                <w:sz w:val="20"/>
                <w:szCs w:val="20"/>
              </w:rPr>
            </w:pPr>
            <w:r w:rsidRPr="00E47756">
              <w:rPr>
                <w:b/>
                <w:color w:val="auto"/>
                <w:sz w:val="20"/>
                <w:szCs w:val="20"/>
              </w:rPr>
              <w:t>MPRV SR</w:t>
            </w:r>
          </w:p>
        </w:tc>
        <w:tc>
          <w:tcPr>
            <w:tcW w:w="5777" w:type="dxa"/>
            <w:tcBorders>
              <w:top w:val="single" w:sz="4" w:space="0" w:color="auto"/>
              <w:left w:val="nil"/>
              <w:bottom w:val="single" w:sz="4" w:space="0" w:color="auto"/>
              <w:right w:val="single" w:sz="4" w:space="0" w:color="000000"/>
            </w:tcBorders>
          </w:tcPr>
          <w:p w14:paraId="5FE3A881" w14:textId="77777777" w:rsidR="00E47756" w:rsidRPr="00E47756" w:rsidRDefault="00E47756" w:rsidP="00E47756">
            <w:pPr>
              <w:spacing w:after="0" w:line="240" w:lineRule="auto"/>
              <w:ind w:left="57" w:right="57"/>
              <w:rPr>
                <w:b/>
                <w:color w:val="auto"/>
                <w:sz w:val="20"/>
                <w:szCs w:val="20"/>
                <w:u w:val="single"/>
              </w:rPr>
            </w:pPr>
            <w:r w:rsidRPr="00E47756">
              <w:rPr>
                <w:b/>
                <w:color w:val="auto"/>
                <w:sz w:val="20"/>
                <w:szCs w:val="20"/>
                <w:u w:val="single"/>
              </w:rPr>
              <w:t>Stredná priorita</w:t>
            </w:r>
            <w:r w:rsidRPr="00E47756">
              <w:rPr>
                <w:b/>
                <w:color w:val="auto"/>
                <w:sz w:val="20"/>
                <w:szCs w:val="20"/>
              </w:rPr>
              <w:t xml:space="preserve"> - </w:t>
            </w:r>
            <w:r w:rsidRPr="00E47756">
              <w:rPr>
                <w:color w:val="auto"/>
                <w:sz w:val="20"/>
                <w:szCs w:val="20"/>
              </w:rPr>
              <w:t>SR podporuje revíziu nariadenia; pozícia sa bude odvíjať od obsahu návrhu. Vo všeobecnosti však zastávame názor, že revízia by mala náležite zohľadniť očakávané budúce okolnosti súvisiace s projektovanou vekovou štruktúrou lesných porastov. Aktuálna veková štruktúra lesných porastov na Slovensku bude limitovať záchyty skleníkových plynov v budúcnosti.</w:t>
            </w:r>
          </w:p>
          <w:p w14:paraId="3BC44AA2" w14:textId="77777777" w:rsidR="00E47756" w:rsidRPr="00E47756" w:rsidRDefault="00E47756" w:rsidP="00E47756">
            <w:pPr>
              <w:spacing w:after="0" w:line="240" w:lineRule="auto"/>
              <w:ind w:left="57" w:right="57"/>
              <w:rPr>
                <w:b/>
                <w:color w:val="92D050"/>
                <w:sz w:val="20"/>
                <w:szCs w:val="20"/>
                <w:u w:val="single"/>
              </w:rPr>
            </w:pPr>
          </w:p>
        </w:tc>
      </w:tr>
      <w:tr w:rsidR="00E47756" w:rsidRPr="00E47756" w14:paraId="1242C717" w14:textId="77777777" w:rsidTr="001A4016">
        <w:trPr>
          <w:trHeight w:val="3710"/>
        </w:trPr>
        <w:tc>
          <w:tcPr>
            <w:tcW w:w="415" w:type="dxa"/>
            <w:tcBorders>
              <w:top w:val="single" w:sz="4" w:space="0" w:color="auto"/>
              <w:left w:val="single" w:sz="4" w:space="0" w:color="000000"/>
              <w:bottom w:val="single" w:sz="4" w:space="0" w:color="auto"/>
              <w:right w:val="single" w:sz="4" w:space="0" w:color="000000"/>
            </w:tcBorders>
          </w:tcPr>
          <w:p w14:paraId="08BC6B1F" w14:textId="77777777" w:rsidR="00E47756" w:rsidRPr="00E47756" w:rsidRDefault="00E47756" w:rsidP="00E47756">
            <w:pPr>
              <w:spacing w:after="0" w:line="240" w:lineRule="auto"/>
              <w:ind w:left="57" w:right="57"/>
            </w:pPr>
          </w:p>
        </w:tc>
        <w:tc>
          <w:tcPr>
            <w:tcW w:w="2396" w:type="dxa"/>
            <w:tcBorders>
              <w:top w:val="single" w:sz="4" w:space="0" w:color="auto"/>
              <w:left w:val="single" w:sz="4" w:space="0" w:color="000000"/>
              <w:bottom w:val="single" w:sz="4" w:space="0" w:color="auto"/>
              <w:right w:val="single" w:sz="4" w:space="0" w:color="000000"/>
            </w:tcBorders>
          </w:tcPr>
          <w:p w14:paraId="3F664320" w14:textId="77777777" w:rsidR="00E47756" w:rsidRPr="00E47756" w:rsidRDefault="00E47756" w:rsidP="00E47756">
            <w:pPr>
              <w:spacing w:after="0" w:line="240" w:lineRule="auto"/>
              <w:ind w:left="57" w:right="57"/>
            </w:pPr>
          </w:p>
        </w:tc>
        <w:tc>
          <w:tcPr>
            <w:tcW w:w="289" w:type="dxa"/>
            <w:tcBorders>
              <w:top w:val="single" w:sz="4" w:space="0" w:color="auto"/>
              <w:left w:val="single" w:sz="4" w:space="0" w:color="000000"/>
              <w:bottom w:val="single" w:sz="4" w:space="0" w:color="auto"/>
              <w:right w:val="nil"/>
            </w:tcBorders>
          </w:tcPr>
          <w:p w14:paraId="512A0BAC" w14:textId="77777777" w:rsidR="00E47756" w:rsidRPr="00E47756" w:rsidRDefault="00E47756" w:rsidP="00E47756">
            <w:pPr>
              <w:spacing w:after="0" w:line="240" w:lineRule="auto"/>
              <w:ind w:left="57" w:right="57"/>
            </w:pPr>
            <w:r w:rsidRPr="00E47756">
              <w:rPr>
                <w:sz w:val="20"/>
              </w:rPr>
              <w:t>g)</w:t>
            </w:r>
            <w:r w:rsidRPr="00E47756">
              <w:rPr>
                <w:rFonts w:ascii="Arial" w:hAnsi="Arial" w:cs="Arial"/>
                <w:sz w:val="20"/>
              </w:rPr>
              <w:t xml:space="preserve"> </w:t>
            </w:r>
          </w:p>
        </w:tc>
        <w:tc>
          <w:tcPr>
            <w:tcW w:w="3793" w:type="dxa"/>
            <w:gridSpan w:val="2"/>
            <w:tcBorders>
              <w:top w:val="single" w:sz="4" w:space="0" w:color="auto"/>
              <w:left w:val="nil"/>
              <w:bottom w:val="single" w:sz="4" w:space="0" w:color="auto"/>
              <w:right w:val="single" w:sz="4" w:space="0" w:color="000000"/>
            </w:tcBorders>
          </w:tcPr>
          <w:p w14:paraId="550EB8A6" w14:textId="77777777" w:rsidR="00E47756" w:rsidRPr="00E47756" w:rsidRDefault="00E47756" w:rsidP="00E47756">
            <w:pPr>
              <w:spacing w:after="0" w:line="240" w:lineRule="auto"/>
              <w:ind w:left="57" w:right="57"/>
            </w:pPr>
            <w:r w:rsidRPr="00E47756">
              <w:rPr>
                <w:b/>
                <w:sz w:val="20"/>
              </w:rPr>
              <w:t>znižovanie emisií metánu v energetickom sektore</w:t>
            </w:r>
            <w:r w:rsidRPr="00E47756">
              <w:rPr>
                <w:sz w:val="20"/>
              </w:rPr>
              <w:t xml:space="preserve"> (legislatívna iniciatíva vrátane posúdenia vplyvu, články 192 a 194 </w:t>
            </w:r>
          </w:p>
          <w:p w14:paraId="30CE991D" w14:textId="77777777" w:rsidR="00E47756" w:rsidRPr="00E47756" w:rsidRDefault="00E47756" w:rsidP="00E47756">
            <w:pPr>
              <w:spacing w:after="0" w:line="240" w:lineRule="auto"/>
              <w:ind w:left="57" w:right="57"/>
              <w:rPr>
                <w:b/>
                <w:sz w:val="20"/>
              </w:rPr>
            </w:pPr>
            <w:r w:rsidRPr="00E47756">
              <w:rPr>
                <w:sz w:val="20"/>
              </w:rPr>
              <w:t>ZFEÚ, 2. štvrťrok 2021);</w:t>
            </w:r>
            <w:r w:rsidRPr="00E47756">
              <w:rPr>
                <w:b/>
                <w:sz w:val="20"/>
              </w:rPr>
              <w:t xml:space="preserve"> </w:t>
            </w:r>
          </w:p>
          <w:p w14:paraId="00D4BB17" w14:textId="77777777" w:rsidR="00E47756" w:rsidRPr="00E47756" w:rsidRDefault="00E47756" w:rsidP="00E47756">
            <w:pPr>
              <w:spacing w:after="0" w:line="240" w:lineRule="auto"/>
              <w:ind w:right="57"/>
            </w:pPr>
          </w:p>
        </w:tc>
        <w:tc>
          <w:tcPr>
            <w:tcW w:w="1972" w:type="dxa"/>
            <w:tcBorders>
              <w:top w:val="single" w:sz="4" w:space="0" w:color="auto"/>
              <w:left w:val="nil"/>
              <w:bottom w:val="single" w:sz="4" w:space="0" w:color="auto"/>
              <w:right w:val="single" w:sz="4" w:space="0" w:color="000000"/>
            </w:tcBorders>
          </w:tcPr>
          <w:p w14:paraId="7C1A14C1" w14:textId="77777777" w:rsidR="00E47756" w:rsidRPr="00E47756" w:rsidRDefault="00E47756" w:rsidP="00E47756">
            <w:pPr>
              <w:spacing w:after="0" w:line="240" w:lineRule="auto"/>
              <w:ind w:left="57" w:right="57"/>
              <w:jc w:val="center"/>
              <w:rPr>
                <w:b/>
                <w:color w:val="auto"/>
                <w:sz w:val="20"/>
                <w:szCs w:val="20"/>
              </w:rPr>
            </w:pPr>
            <w:r w:rsidRPr="00E47756">
              <w:rPr>
                <w:b/>
                <w:color w:val="auto"/>
                <w:sz w:val="20"/>
                <w:szCs w:val="20"/>
              </w:rPr>
              <w:t>MH SR</w:t>
            </w:r>
          </w:p>
          <w:p w14:paraId="0F9B212F" w14:textId="77777777" w:rsidR="00E47756" w:rsidRPr="00E47756" w:rsidRDefault="00E47756" w:rsidP="00E47756">
            <w:pPr>
              <w:spacing w:after="0" w:line="240" w:lineRule="auto"/>
              <w:ind w:left="57" w:right="57"/>
              <w:jc w:val="center"/>
              <w:rPr>
                <w:b/>
                <w:color w:val="auto"/>
                <w:sz w:val="20"/>
                <w:szCs w:val="20"/>
              </w:rPr>
            </w:pPr>
          </w:p>
          <w:p w14:paraId="4D54CAD6" w14:textId="77777777" w:rsidR="00E47756" w:rsidRPr="00E47756" w:rsidRDefault="00E47756" w:rsidP="00E47756">
            <w:pPr>
              <w:spacing w:after="0" w:line="240" w:lineRule="auto"/>
              <w:ind w:left="57" w:right="57"/>
              <w:jc w:val="center"/>
              <w:rPr>
                <w:b/>
                <w:color w:val="auto"/>
                <w:sz w:val="20"/>
                <w:szCs w:val="20"/>
              </w:rPr>
            </w:pPr>
          </w:p>
          <w:p w14:paraId="48F64783" w14:textId="77777777" w:rsidR="00E47756" w:rsidRPr="00E47756" w:rsidRDefault="00E47756" w:rsidP="00E47756">
            <w:pPr>
              <w:spacing w:after="0" w:line="240" w:lineRule="auto"/>
              <w:ind w:left="57" w:right="57"/>
              <w:jc w:val="center"/>
              <w:rPr>
                <w:b/>
                <w:color w:val="auto"/>
                <w:sz w:val="20"/>
                <w:szCs w:val="20"/>
              </w:rPr>
            </w:pPr>
          </w:p>
          <w:p w14:paraId="2B224947" w14:textId="77777777" w:rsidR="00E47756" w:rsidRPr="00E47756" w:rsidRDefault="00E47756" w:rsidP="00E47756">
            <w:pPr>
              <w:spacing w:after="0" w:line="240" w:lineRule="auto"/>
              <w:ind w:left="57" w:right="57"/>
              <w:rPr>
                <w:b/>
                <w:color w:val="FF0000"/>
                <w:sz w:val="20"/>
                <w:szCs w:val="20"/>
              </w:rPr>
            </w:pPr>
          </w:p>
        </w:tc>
        <w:tc>
          <w:tcPr>
            <w:tcW w:w="5777" w:type="dxa"/>
            <w:tcBorders>
              <w:top w:val="single" w:sz="4" w:space="0" w:color="auto"/>
              <w:left w:val="nil"/>
              <w:bottom w:val="single" w:sz="4" w:space="0" w:color="auto"/>
              <w:right w:val="single" w:sz="4" w:space="0" w:color="000000"/>
            </w:tcBorders>
          </w:tcPr>
          <w:p w14:paraId="5D61F6B8" w14:textId="77777777" w:rsidR="00E47756" w:rsidRPr="00E47756" w:rsidRDefault="00E47756" w:rsidP="001A4016">
            <w:pPr>
              <w:spacing w:after="0" w:line="240" w:lineRule="auto"/>
              <w:ind w:left="57" w:right="57"/>
              <w:rPr>
                <w:sz w:val="20"/>
                <w:szCs w:val="20"/>
              </w:rPr>
            </w:pPr>
            <w:r w:rsidRPr="00E47756">
              <w:rPr>
                <w:b/>
                <w:sz w:val="20"/>
                <w:szCs w:val="20"/>
                <w:u w:val="single"/>
              </w:rPr>
              <w:t>Stredná priorita</w:t>
            </w:r>
            <w:r w:rsidRPr="00E47756">
              <w:rPr>
                <w:b/>
                <w:sz w:val="20"/>
                <w:szCs w:val="20"/>
              </w:rPr>
              <w:t xml:space="preserve"> - </w:t>
            </w:r>
            <w:r w:rsidRPr="00E47756">
              <w:rPr>
                <w:sz w:val="20"/>
                <w:szCs w:val="20"/>
              </w:rPr>
              <w:t>Návrh by sa mal týkať povinného merania, vykazovania a overovania pre všetky emisie metánu súvisiace s energetikou. Okrem toho by takéto právne predpisy mali obsahovať záväzok zlepšiť postupy zisťovania únikov a ich opravy, pokiaľ ide o všetku infraštruktúru pre fosílne plyny, ako aj ďalšiu infraštruktúru, ktorá produkuje, prepravuje alebo využíva plyn, a to aj ako surovinu. Komisia ďalej preskúma možnosti týkajúce sa možných cieľov alebo noriem znižovania emisií metánu alebo iných stimulov, pokiaľ ide o spotrebu energie z fosílnych zdrojov v EÚ alebo dovoz takejto energie do EÚ. SR vníma potrebu monitoringu emisií metánu v sektore energetiky, otázna je použitá metodika a náklady s ňou spojené. To sa týka aj navrhnutých postupov zisťovania únikov a ich opravy (LDAR), ktoré môže byť nákladné najmä v prípade hustej plynárenskej siete. Zároveň bude potrebné zamedziť duplicitným povinnostiam a prihliadnuť na proporcionalitu navrhovaných opatrení, a to aj z pohľadu ich dopadu na ceny energie.</w:t>
            </w:r>
          </w:p>
        </w:tc>
      </w:tr>
      <w:tr w:rsidR="00E47756" w:rsidRPr="00E47756" w14:paraId="41866287" w14:textId="77777777" w:rsidTr="001A4016">
        <w:trPr>
          <w:trHeight w:val="229"/>
        </w:trPr>
        <w:tc>
          <w:tcPr>
            <w:tcW w:w="415" w:type="dxa"/>
            <w:tcBorders>
              <w:top w:val="single" w:sz="4" w:space="0" w:color="auto"/>
              <w:left w:val="single" w:sz="4" w:space="0" w:color="000000"/>
              <w:bottom w:val="single" w:sz="4" w:space="0" w:color="auto"/>
              <w:right w:val="single" w:sz="4" w:space="0" w:color="000000"/>
            </w:tcBorders>
          </w:tcPr>
          <w:p w14:paraId="26DC7375" w14:textId="77777777" w:rsidR="00E47756" w:rsidRPr="00E47756" w:rsidRDefault="00E47756" w:rsidP="00E47756">
            <w:pPr>
              <w:spacing w:after="0" w:line="240" w:lineRule="auto"/>
              <w:ind w:left="57" w:right="57"/>
            </w:pPr>
          </w:p>
        </w:tc>
        <w:tc>
          <w:tcPr>
            <w:tcW w:w="2396" w:type="dxa"/>
            <w:tcBorders>
              <w:top w:val="single" w:sz="4" w:space="0" w:color="auto"/>
              <w:left w:val="single" w:sz="4" w:space="0" w:color="000000"/>
              <w:bottom w:val="single" w:sz="4" w:space="0" w:color="auto"/>
              <w:right w:val="single" w:sz="4" w:space="0" w:color="000000"/>
            </w:tcBorders>
          </w:tcPr>
          <w:p w14:paraId="72460886" w14:textId="77777777" w:rsidR="00E47756" w:rsidRPr="00E47756" w:rsidRDefault="00E47756" w:rsidP="00E47756">
            <w:pPr>
              <w:spacing w:after="0" w:line="240" w:lineRule="auto"/>
              <w:ind w:left="57" w:right="57"/>
            </w:pPr>
          </w:p>
        </w:tc>
        <w:tc>
          <w:tcPr>
            <w:tcW w:w="289" w:type="dxa"/>
            <w:tcBorders>
              <w:top w:val="single" w:sz="4" w:space="0" w:color="auto"/>
              <w:left w:val="single" w:sz="4" w:space="0" w:color="000000"/>
              <w:bottom w:val="single" w:sz="4" w:space="0" w:color="auto"/>
              <w:right w:val="nil"/>
            </w:tcBorders>
          </w:tcPr>
          <w:p w14:paraId="03C1DF4A" w14:textId="77777777" w:rsidR="00E47756" w:rsidRPr="00E47756" w:rsidRDefault="00E47756" w:rsidP="00E47756">
            <w:pPr>
              <w:spacing w:after="0" w:line="240" w:lineRule="auto"/>
              <w:ind w:left="57" w:right="57"/>
            </w:pPr>
            <w:r w:rsidRPr="00E47756">
              <w:rPr>
                <w:sz w:val="20"/>
              </w:rPr>
              <w:t>h)</w:t>
            </w:r>
            <w:r w:rsidRPr="00E47756">
              <w:rPr>
                <w:rFonts w:ascii="Arial" w:hAnsi="Arial" w:cs="Arial"/>
                <w:sz w:val="20"/>
              </w:rPr>
              <w:t xml:space="preserve"> </w:t>
            </w:r>
          </w:p>
        </w:tc>
        <w:tc>
          <w:tcPr>
            <w:tcW w:w="3793" w:type="dxa"/>
            <w:gridSpan w:val="2"/>
            <w:tcBorders>
              <w:top w:val="single" w:sz="4" w:space="0" w:color="auto"/>
              <w:left w:val="nil"/>
              <w:bottom w:val="single" w:sz="4" w:space="0" w:color="auto"/>
              <w:right w:val="single" w:sz="4" w:space="0" w:color="000000"/>
            </w:tcBorders>
          </w:tcPr>
          <w:p w14:paraId="3F9FCEDC" w14:textId="77777777" w:rsidR="00E47756" w:rsidRPr="00E47756" w:rsidRDefault="00E47756" w:rsidP="00E47756">
            <w:pPr>
              <w:spacing w:after="0" w:line="240" w:lineRule="auto"/>
              <w:ind w:left="57" w:right="57"/>
            </w:pPr>
            <w:r w:rsidRPr="00E47756">
              <w:rPr>
                <w:b/>
                <w:sz w:val="20"/>
              </w:rPr>
              <w:t>revízia smernice o zdaňovaní energie</w:t>
            </w:r>
            <w:r w:rsidRPr="00E47756">
              <w:rPr>
                <w:sz w:val="20"/>
              </w:rPr>
              <w:t xml:space="preserve"> (legislatívna iniciatíva vrátane posúdenia vplyvu; 2. štvrťrok 2021);</w:t>
            </w:r>
            <w:r w:rsidRPr="00E47756">
              <w:rPr>
                <w:b/>
                <w:sz w:val="20"/>
              </w:rPr>
              <w:t xml:space="preserve"> </w:t>
            </w:r>
          </w:p>
        </w:tc>
        <w:tc>
          <w:tcPr>
            <w:tcW w:w="1972" w:type="dxa"/>
            <w:tcBorders>
              <w:top w:val="single" w:sz="4" w:space="0" w:color="auto"/>
              <w:left w:val="nil"/>
              <w:bottom w:val="single" w:sz="4" w:space="0" w:color="auto"/>
              <w:right w:val="single" w:sz="4" w:space="0" w:color="000000"/>
            </w:tcBorders>
          </w:tcPr>
          <w:p w14:paraId="70CF9181" w14:textId="77777777" w:rsidR="00E47756" w:rsidRPr="00E47756" w:rsidRDefault="00E47756" w:rsidP="00E47756">
            <w:pPr>
              <w:spacing w:after="0" w:line="240" w:lineRule="auto"/>
              <w:ind w:left="57" w:right="57"/>
              <w:jc w:val="center"/>
              <w:rPr>
                <w:b/>
                <w:sz w:val="20"/>
                <w:szCs w:val="20"/>
              </w:rPr>
            </w:pPr>
            <w:r w:rsidRPr="00E47756">
              <w:rPr>
                <w:b/>
                <w:sz w:val="20"/>
                <w:szCs w:val="20"/>
              </w:rPr>
              <w:t>MF SR</w:t>
            </w:r>
          </w:p>
        </w:tc>
        <w:tc>
          <w:tcPr>
            <w:tcW w:w="5777" w:type="dxa"/>
            <w:tcBorders>
              <w:top w:val="single" w:sz="4" w:space="0" w:color="auto"/>
              <w:left w:val="nil"/>
              <w:bottom w:val="single" w:sz="4" w:space="0" w:color="auto"/>
              <w:right w:val="single" w:sz="4" w:space="0" w:color="000000"/>
            </w:tcBorders>
            <w:vAlign w:val="bottom"/>
          </w:tcPr>
          <w:p w14:paraId="660DFBEB" w14:textId="77777777" w:rsidR="00E47756" w:rsidRPr="00E47756" w:rsidRDefault="00E47756" w:rsidP="00E47756">
            <w:pPr>
              <w:spacing w:after="0" w:line="240" w:lineRule="auto"/>
              <w:ind w:left="57" w:right="57"/>
              <w:rPr>
                <w:b/>
                <w:sz w:val="20"/>
                <w:szCs w:val="20"/>
                <w:u w:val="single"/>
              </w:rPr>
            </w:pPr>
            <w:r w:rsidRPr="00E47756">
              <w:rPr>
                <w:b/>
                <w:sz w:val="20"/>
                <w:szCs w:val="20"/>
                <w:u w:val="single"/>
              </w:rPr>
              <w:t>Vysoká priorita</w:t>
            </w:r>
            <w:r w:rsidRPr="00E47756">
              <w:rPr>
                <w:b/>
                <w:sz w:val="20"/>
                <w:szCs w:val="20"/>
              </w:rPr>
              <w:t xml:space="preserve"> - </w:t>
            </w:r>
            <w:r w:rsidRPr="00E47756">
              <w:rPr>
                <w:sz w:val="20"/>
                <w:szCs w:val="20"/>
              </w:rPr>
              <w:t xml:space="preserve">SR si uvedomuje naliehavosť a významnosť uvedenej agendy, a to jednak v kontexte </w:t>
            </w:r>
            <w:proofErr w:type="spellStart"/>
            <w:r w:rsidRPr="00E47756">
              <w:rPr>
                <w:sz w:val="20"/>
                <w:szCs w:val="20"/>
              </w:rPr>
              <w:t>Green</w:t>
            </w:r>
            <w:proofErr w:type="spellEnd"/>
            <w:r w:rsidRPr="00E47756">
              <w:rPr>
                <w:sz w:val="20"/>
                <w:szCs w:val="20"/>
              </w:rPr>
              <w:t xml:space="preserve"> </w:t>
            </w:r>
            <w:proofErr w:type="spellStart"/>
            <w:r w:rsidRPr="00E47756">
              <w:rPr>
                <w:sz w:val="20"/>
                <w:szCs w:val="20"/>
              </w:rPr>
              <w:t>Dealu</w:t>
            </w:r>
            <w:proofErr w:type="spellEnd"/>
            <w:r w:rsidRPr="00E47756">
              <w:rPr>
                <w:sz w:val="20"/>
                <w:szCs w:val="20"/>
              </w:rPr>
              <w:t xml:space="preserve"> a jeho priorít a cieľov a jednak v kontexte daňovej politiky. Revízia smernice je nutná z dôvodu zastaranosti tej pôvodnej a potreby jej novelizácie najmä s ohľadom na nové technológie, produkty a vývoj európskych ekonomík a cieľov ako v oblasti ochrany životného prostredia, tak i energetiky a daňovej politiky. Trh prináša nové produkty, zdaňovanie ktorých je potrebné podchytiť a nastaviť podmienky trhu tak, aby bol systém spravodlivý a proporcionálny a zároveň sledoval ciele daňovej politiky, teda zamedzil daňovým podvodom a podporil výber daní do štátneho rozpočtu. Výzvou bude tiež nastaviť nové pravidlá štátnej pomoci, ktoré by mali v praxi fungovať flexibilnejšie a reálnejšie odrážať osobitosti trhov a ekonomík jednotlivých členských </w:t>
            </w:r>
            <w:proofErr w:type="spellStart"/>
            <w:r w:rsidRPr="00E47756">
              <w:rPr>
                <w:sz w:val="20"/>
                <w:szCs w:val="20"/>
              </w:rPr>
              <w:t>štátov.Európska</w:t>
            </w:r>
            <w:proofErr w:type="spellEnd"/>
            <w:r w:rsidRPr="00E47756">
              <w:rPr>
                <w:sz w:val="20"/>
                <w:szCs w:val="20"/>
              </w:rPr>
              <w:t xml:space="preserve"> rada podporila revíziu legislatívneho rámca pre zdaňovanie energií, čo by malo prispieť k napĺňaniu ekonomických a environmentálnych cieľov. Revízia legislatívneho rámca by mala predovšetkým zlepšiť fungovanie vnútorného trhu EÚ, zabezpečiť väčšiu právnu istotu, podporiť prechod ku klimaticky neutrálnej EÚ a prispieť k dlhodobej konkurencieschopnosti EÚ a  členských štátov. Osobitná pozornosť by mala byť venovaná najmä </w:t>
            </w:r>
            <w:proofErr w:type="spellStart"/>
            <w:r w:rsidRPr="00E47756">
              <w:rPr>
                <w:sz w:val="20"/>
                <w:szCs w:val="20"/>
              </w:rPr>
              <w:t>biopalivám</w:t>
            </w:r>
            <w:proofErr w:type="spellEnd"/>
            <w:r w:rsidRPr="00E47756">
              <w:rPr>
                <w:sz w:val="20"/>
                <w:szCs w:val="20"/>
              </w:rPr>
              <w:t xml:space="preserve">, novým energetickým produktom, zdaňovaniu sektora námornej a leteckej </w:t>
            </w:r>
            <w:r w:rsidRPr="00E47756">
              <w:rPr>
                <w:sz w:val="20"/>
                <w:szCs w:val="20"/>
              </w:rPr>
              <w:lastRenderedPageBreak/>
              <w:t>prepravy, dopadom na štátne rozpočty a pravidlám štátnej pomoci. Daňová politika by mala byť zosúladená s ostatnými politikami, ich cieľmi, nástrojmi a legislatívou. Za dôležitú považuje flexibilitu pre jednotlivé členské štáty s ohľadom na ich domáce východiskové podmienky.</w:t>
            </w:r>
          </w:p>
        </w:tc>
      </w:tr>
      <w:tr w:rsidR="00E47756" w:rsidRPr="00E47756" w14:paraId="5F358FD5" w14:textId="77777777" w:rsidTr="001A4016">
        <w:trPr>
          <w:trHeight w:val="462"/>
        </w:trPr>
        <w:tc>
          <w:tcPr>
            <w:tcW w:w="415" w:type="dxa"/>
            <w:tcBorders>
              <w:top w:val="single" w:sz="4" w:space="0" w:color="auto"/>
              <w:left w:val="single" w:sz="4" w:space="0" w:color="000000"/>
              <w:bottom w:val="single" w:sz="4" w:space="0" w:color="auto"/>
              <w:right w:val="single" w:sz="4" w:space="0" w:color="000000"/>
            </w:tcBorders>
          </w:tcPr>
          <w:p w14:paraId="5B7EAE0E" w14:textId="77777777" w:rsidR="00E47756" w:rsidRPr="00E47756" w:rsidRDefault="00E47756" w:rsidP="00E47756">
            <w:pPr>
              <w:spacing w:after="0" w:line="240" w:lineRule="auto"/>
              <w:ind w:left="57" w:right="57"/>
            </w:pPr>
          </w:p>
        </w:tc>
        <w:tc>
          <w:tcPr>
            <w:tcW w:w="2396" w:type="dxa"/>
            <w:tcBorders>
              <w:top w:val="single" w:sz="4" w:space="0" w:color="auto"/>
              <w:left w:val="single" w:sz="4" w:space="0" w:color="000000"/>
              <w:bottom w:val="single" w:sz="4" w:space="0" w:color="auto"/>
              <w:right w:val="single" w:sz="4" w:space="0" w:color="000000"/>
            </w:tcBorders>
          </w:tcPr>
          <w:p w14:paraId="25E84733" w14:textId="77777777" w:rsidR="00E47756" w:rsidRPr="00E47756" w:rsidRDefault="00E47756" w:rsidP="00E47756">
            <w:pPr>
              <w:spacing w:after="0" w:line="240" w:lineRule="auto"/>
              <w:ind w:left="57" w:right="57"/>
            </w:pPr>
          </w:p>
        </w:tc>
        <w:tc>
          <w:tcPr>
            <w:tcW w:w="289" w:type="dxa"/>
            <w:tcBorders>
              <w:top w:val="single" w:sz="4" w:space="0" w:color="auto"/>
              <w:left w:val="single" w:sz="4" w:space="0" w:color="000000"/>
              <w:bottom w:val="single" w:sz="4" w:space="0" w:color="auto"/>
              <w:right w:val="nil"/>
            </w:tcBorders>
          </w:tcPr>
          <w:p w14:paraId="5B002985" w14:textId="77777777" w:rsidR="00E47756" w:rsidRPr="00E47756" w:rsidRDefault="00E47756" w:rsidP="00E47756">
            <w:pPr>
              <w:spacing w:after="0" w:line="240" w:lineRule="auto"/>
              <w:ind w:left="57" w:right="57"/>
            </w:pPr>
            <w:r w:rsidRPr="00E47756">
              <w:rPr>
                <w:sz w:val="20"/>
              </w:rPr>
              <w:t>i)</w:t>
            </w:r>
            <w:r w:rsidRPr="00E47756">
              <w:rPr>
                <w:rFonts w:ascii="Arial" w:hAnsi="Arial" w:cs="Arial"/>
                <w:sz w:val="20"/>
              </w:rPr>
              <w:t xml:space="preserve"> </w:t>
            </w:r>
          </w:p>
        </w:tc>
        <w:tc>
          <w:tcPr>
            <w:tcW w:w="3793" w:type="dxa"/>
            <w:gridSpan w:val="2"/>
            <w:tcBorders>
              <w:top w:val="single" w:sz="4" w:space="0" w:color="auto"/>
              <w:left w:val="nil"/>
              <w:bottom w:val="single" w:sz="4" w:space="0" w:color="auto"/>
              <w:right w:val="single" w:sz="4" w:space="0" w:color="000000"/>
            </w:tcBorders>
          </w:tcPr>
          <w:p w14:paraId="3045C3C9" w14:textId="77777777" w:rsidR="00E47756" w:rsidRPr="00E47756" w:rsidRDefault="00E47756" w:rsidP="00E47756">
            <w:pPr>
              <w:spacing w:after="0" w:line="240" w:lineRule="auto"/>
              <w:ind w:left="57" w:right="57"/>
              <w:rPr>
                <w:b/>
                <w:sz w:val="20"/>
              </w:rPr>
            </w:pPr>
            <w:r w:rsidRPr="00E47756">
              <w:rPr>
                <w:b/>
                <w:sz w:val="20"/>
              </w:rPr>
              <w:t>revízia smernice o zavádzaní infraštruktúry pre alternatívne palivá</w:t>
            </w:r>
            <w:r w:rsidRPr="00E47756">
              <w:rPr>
                <w:sz w:val="20"/>
              </w:rPr>
              <w:t xml:space="preserve"> (legislatívna iniciatíva vrátane posúdenia vplyvu, článok 91 ZFEÚ, 2. štvrťrok 2021);</w:t>
            </w:r>
            <w:r w:rsidRPr="00E47756">
              <w:rPr>
                <w:b/>
                <w:sz w:val="20"/>
              </w:rPr>
              <w:t xml:space="preserve"> </w:t>
            </w:r>
          </w:p>
          <w:p w14:paraId="7F74C225" w14:textId="77777777" w:rsidR="00E47756" w:rsidRPr="00E47756" w:rsidRDefault="00E47756" w:rsidP="00E47756">
            <w:pPr>
              <w:spacing w:after="0" w:line="240" w:lineRule="auto"/>
              <w:ind w:left="57" w:right="57"/>
              <w:rPr>
                <w:b/>
                <w:sz w:val="20"/>
              </w:rPr>
            </w:pPr>
          </w:p>
          <w:p w14:paraId="3D48F443" w14:textId="77777777" w:rsidR="00E47756" w:rsidRPr="00E47756" w:rsidRDefault="00E47756" w:rsidP="00E47756">
            <w:pPr>
              <w:spacing w:after="0" w:line="240" w:lineRule="auto"/>
              <w:ind w:left="57" w:right="57"/>
              <w:rPr>
                <w:b/>
                <w:sz w:val="20"/>
              </w:rPr>
            </w:pPr>
          </w:p>
          <w:p w14:paraId="32CF7AB1" w14:textId="77777777" w:rsidR="00E47756" w:rsidRPr="00E47756" w:rsidRDefault="00E47756" w:rsidP="00E47756">
            <w:pPr>
              <w:spacing w:after="0" w:line="240" w:lineRule="auto"/>
              <w:ind w:left="57" w:right="57"/>
            </w:pPr>
          </w:p>
        </w:tc>
        <w:tc>
          <w:tcPr>
            <w:tcW w:w="1972" w:type="dxa"/>
            <w:tcBorders>
              <w:top w:val="single" w:sz="4" w:space="0" w:color="auto"/>
              <w:left w:val="nil"/>
              <w:bottom w:val="single" w:sz="4" w:space="0" w:color="auto"/>
              <w:right w:val="single" w:sz="4" w:space="0" w:color="000000"/>
            </w:tcBorders>
          </w:tcPr>
          <w:p w14:paraId="35D57195" w14:textId="77777777" w:rsidR="00E47756" w:rsidRDefault="00E47756" w:rsidP="00E47756">
            <w:pPr>
              <w:spacing w:after="0" w:line="240" w:lineRule="auto"/>
              <w:ind w:left="57" w:right="57"/>
              <w:jc w:val="center"/>
              <w:rPr>
                <w:b/>
                <w:sz w:val="20"/>
                <w:szCs w:val="20"/>
              </w:rPr>
            </w:pPr>
            <w:r w:rsidRPr="00E47756">
              <w:rPr>
                <w:b/>
                <w:sz w:val="20"/>
                <w:szCs w:val="20"/>
              </w:rPr>
              <w:t>MDV SR</w:t>
            </w:r>
          </w:p>
          <w:p w14:paraId="5CA2B5A9" w14:textId="4A13DCB4" w:rsidR="0091327A" w:rsidRPr="00E47756" w:rsidRDefault="0091327A" w:rsidP="00E47756">
            <w:pPr>
              <w:spacing w:after="0" w:line="240" w:lineRule="auto"/>
              <w:ind w:left="57" w:right="57"/>
              <w:jc w:val="center"/>
              <w:rPr>
                <w:b/>
                <w:sz w:val="20"/>
                <w:szCs w:val="20"/>
              </w:rPr>
            </w:pPr>
            <w:r>
              <w:rPr>
                <w:b/>
                <w:sz w:val="20"/>
                <w:szCs w:val="20"/>
              </w:rPr>
              <w:t>MH SR</w:t>
            </w:r>
          </w:p>
        </w:tc>
        <w:tc>
          <w:tcPr>
            <w:tcW w:w="5777" w:type="dxa"/>
            <w:tcBorders>
              <w:top w:val="single" w:sz="4" w:space="0" w:color="auto"/>
              <w:left w:val="nil"/>
              <w:bottom w:val="single" w:sz="4" w:space="0" w:color="auto"/>
              <w:right w:val="single" w:sz="4" w:space="0" w:color="000000"/>
            </w:tcBorders>
          </w:tcPr>
          <w:p w14:paraId="691FFAAB" w14:textId="77777777" w:rsidR="00E47756" w:rsidRPr="00E47756" w:rsidRDefault="00E47756" w:rsidP="00E47756">
            <w:pPr>
              <w:spacing w:after="0" w:line="240" w:lineRule="auto"/>
              <w:ind w:left="57" w:right="57"/>
              <w:rPr>
                <w:b/>
                <w:sz w:val="20"/>
                <w:szCs w:val="20"/>
                <w:u w:val="single"/>
              </w:rPr>
            </w:pPr>
            <w:r w:rsidRPr="00E47756">
              <w:rPr>
                <w:b/>
                <w:sz w:val="20"/>
                <w:szCs w:val="20"/>
                <w:u w:val="single"/>
              </w:rPr>
              <w:t>Vysoká priorita</w:t>
            </w:r>
            <w:r w:rsidRPr="00E47756">
              <w:rPr>
                <w:b/>
                <w:sz w:val="20"/>
                <w:szCs w:val="20"/>
              </w:rPr>
              <w:t xml:space="preserve"> - </w:t>
            </w:r>
            <w:r w:rsidRPr="00E47756">
              <w:rPr>
                <w:sz w:val="20"/>
                <w:szCs w:val="20"/>
              </w:rPr>
              <w:t>SK má silné zastúpenie automobilového priemyslu, preto budú všetky zmeny v legislatíve pre toto odvetvie vnímané veľmi citlivo. Dosiahnutie už súčasných cieľov bude veľmi zložité. Preto by sme sa tu mali v prvom rade zamerať na nástroje, ktoré zabezpečia naplnenie týchto cieľov, ako sú napríklad budovanie nabíjacej infraštruktúry, revízia nariadenia TEN-T a revízia smernice o alternatívnych palivách. Až potom by sme mali pristúpiť k zvýšeniu cieľov pre toto odvetvie.</w:t>
            </w:r>
          </w:p>
          <w:p w14:paraId="0AE07001" w14:textId="77777777" w:rsidR="00E47756" w:rsidRPr="00E47756" w:rsidRDefault="00E47756" w:rsidP="00E47756">
            <w:pPr>
              <w:spacing w:after="0" w:line="240" w:lineRule="auto"/>
              <w:ind w:left="57" w:right="57"/>
              <w:rPr>
                <w:b/>
                <w:sz w:val="20"/>
                <w:szCs w:val="20"/>
              </w:rPr>
            </w:pPr>
          </w:p>
        </w:tc>
      </w:tr>
      <w:tr w:rsidR="00E47756" w:rsidRPr="00E47756" w14:paraId="50DBFA83" w14:textId="77777777" w:rsidTr="001A4016">
        <w:trPr>
          <w:trHeight w:val="285"/>
        </w:trPr>
        <w:tc>
          <w:tcPr>
            <w:tcW w:w="415" w:type="dxa"/>
            <w:tcBorders>
              <w:top w:val="single" w:sz="4" w:space="0" w:color="auto"/>
              <w:left w:val="single" w:sz="4" w:space="0" w:color="000000"/>
              <w:bottom w:val="single" w:sz="4" w:space="0" w:color="auto"/>
              <w:right w:val="single" w:sz="4" w:space="0" w:color="000000"/>
            </w:tcBorders>
          </w:tcPr>
          <w:p w14:paraId="24DBC46F" w14:textId="77777777" w:rsidR="00E47756" w:rsidRPr="00E47756" w:rsidRDefault="00E47756" w:rsidP="00E47756">
            <w:pPr>
              <w:spacing w:after="0" w:line="240" w:lineRule="auto"/>
              <w:ind w:left="57" w:right="57"/>
            </w:pPr>
          </w:p>
        </w:tc>
        <w:tc>
          <w:tcPr>
            <w:tcW w:w="2396" w:type="dxa"/>
            <w:tcBorders>
              <w:top w:val="single" w:sz="4" w:space="0" w:color="auto"/>
              <w:left w:val="single" w:sz="4" w:space="0" w:color="000000"/>
              <w:bottom w:val="single" w:sz="4" w:space="0" w:color="auto"/>
              <w:right w:val="single" w:sz="4" w:space="0" w:color="000000"/>
            </w:tcBorders>
          </w:tcPr>
          <w:p w14:paraId="1E0B98F0" w14:textId="77777777" w:rsidR="00E47756" w:rsidRPr="00E47756" w:rsidRDefault="00E47756" w:rsidP="00E47756">
            <w:pPr>
              <w:spacing w:after="0" w:line="240" w:lineRule="auto"/>
              <w:ind w:left="57" w:right="57"/>
            </w:pPr>
          </w:p>
        </w:tc>
        <w:tc>
          <w:tcPr>
            <w:tcW w:w="289" w:type="dxa"/>
            <w:tcBorders>
              <w:top w:val="single" w:sz="4" w:space="0" w:color="auto"/>
              <w:left w:val="single" w:sz="4" w:space="0" w:color="000000"/>
              <w:bottom w:val="single" w:sz="4" w:space="0" w:color="auto"/>
              <w:right w:val="nil"/>
            </w:tcBorders>
          </w:tcPr>
          <w:p w14:paraId="3DF6F505" w14:textId="77777777" w:rsidR="00E47756" w:rsidRPr="00E47756" w:rsidRDefault="00E47756" w:rsidP="00E47756">
            <w:pPr>
              <w:spacing w:after="0" w:line="240" w:lineRule="auto"/>
              <w:ind w:left="57" w:right="57"/>
            </w:pPr>
            <w:r w:rsidRPr="00E47756">
              <w:rPr>
                <w:sz w:val="20"/>
              </w:rPr>
              <w:t>j)</w:t>
            </w:r>
            <w:r w:rsidRPr="00E47756">
              <w:rPr>
                <w:rFonts w:ascii="Arial" w:hAnsi="Arial" w:cs="Arial"/>
                <w:sz w:val="20"/>
              </w:rPr>
              <w:t xml:space="preserve"> </w:t>
            </w:r>
          </w:p>
        </w:tc>
        <w:tc>
          <w:tcPr>
            <w:tcW w:w="3793" w:type="dxa"/>
            <w:gridSpan w:val="2"/>
            <w:tcBorders>
              <w:top w:val="single" w:sz="4" w:space="0" w:color="auto"/>
              <w:left w:val="nil"/>
              <w:bottom w:val="single" w:sz="4" w:space="0" w:color="auto"/>
              <w:right w:val="single" w:sz="4" w:space="0" w:color="000000"/>
            </w:tcBorders>
          </w:tcPr>
          <w:p w14:paraId="4622A5BF" w14:textId="77777777" w:rsidR="00E47756" w:rsidRPr="00E47756" w:rsidRDefault="00E47756" w:rsidP="00E47756">
            <w:pPr>
              <w:spacing w:after="0" w:line="240" w:lineRule="auto"/>
              <w:ind w:left="57" w:right="57"/>
              <w:rPr>
                <w:sz w:val="20"/>
              </w:rPr>
            </w:pPr>
            <w:r w:rsidRPr="00E47756">
              <w:rPr>
                <w:b/>
                <w:sz w:val="20"/>
              </w:rPr>
              <w:t>revízia nariadenia, ktorým sa stanovujú emisné normy CO</w:t>
            </w:r>
            <w:r w:rsidR="000A13B2" w:rsidRPr="00E47756">
              <w:rPr>
                <w:noProof/>
              </w:rPr>
              <w:drawing>
                <wp:inline distT="0" distB="0" distL="0" distR="0" wp14:anchorId="4674E53D" wp14:editId="0D8B21D1">
                  <wp:extent cx="47625" cy="57150"/>
                  <wp:effectExtent l="0" t="0" r="0" b="0"/>
                  <wp:docPr id="1" name="Picture 76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57150"/>
                          </a:xfrm>
                          <a:prstGeom prst="rect">
                            <a:avLst/>
                          </a:prstGeom>
                          <a:noFill/>
                          <a:ln>
                            <a:noFill/>
                          </a:ln>
                        </pic:spPr>
                      </pic:pic>
                    </a:graphicData>
                  </a:graphic>
                </wp:inline>
              </w:drawing>
            </w:r>
            <w:r w:rsidRPr="00E47756">
              <w:rPr>
                <w:b/>
                <w:sz w:val="20"/>
              </w:rPr>
              <w:tab/>
              <w:t xml:space="preserve"> pre nové osobné vozidlá a nové ľahké úžitkové vozidlá</w:t>
            </w:r>
            <w:r w:rsidRPr="00E47756">
              <w:rPr>
                <w:sz w:val="20"/>
              </w:rPr>
              <w:t xml:space="preserve"> (legislatívna iniciatíva vrátane posúdenia vplyvu, článok 192 ods. 1 ZFEÚ, 2. štvrťrok 2021);</w:t>
            </w:r>
          </w:p>
          <w:p w14:paraId="3A3D5D90" w14:textId="77777777" w:rsidR="00E47756" w:rsidRPr="00E47756" w:rsidRDefault="00E47756" w:rsidP="00E47756">
            <w:pPr>
              <w:spacing w:after="0" w:line="240" w:lineRule="auto"/>
              <w:ind w:left="57" w:right="57"/>
              <w:rPr>
                <w:b/>
                <w:sz w:val="20"/>
              </w:rPr>
            </w:pPr>
          </w:p>
          <w:p w14:paraId="5F3B3A99" w14:textId="77777777" w:rsidR="00E47756" w:rsidRPr="00E47756" w:rsidRDefault="00E47756" w:rsidP="00E47756">
            <w:pPr>
              <w:spacing w:after="0" w:line="240" w:lineRule="auto"/>
              <w:ind w:left="57" w:right="57"/>
              <w:rPr>
                <w:b/>
                <w:sz w:val="20"/>
              </w:rPr>
            </w:pPr>
          </w:p>
          <w:p w14:paraId="7E43DEE3" w14:textId="77777777" w:rsidR="00E47756" w:rsidRPr="00E47756" w:rsidRDefault="00E47756" w:rsidP="00E47756">
            <w:pPr>
              <w:spacing w:after="0" w:line="240" w:lineRule="auto"/>
              <w:ind w:left="57" w:right="57"/>
              <w:rPr>
                <w:b/>
                <w:sz w:val="20"/>
              </w:rPr>
            </w:pPr>
          </w:p>
          <w:p w14:paraId="0CCAAC78" w14:textId="77777777" w:rsidR="00E47756" w:rsidRPr="00E47756" w:rsidRDefault="00E47756" w:rsidP="00E47756">
            <w:pPr>
              <w:spacing w:after="0" w:line="240" w:lineRule="auto"/>
              <w:ind w:left="57" w:right="57"/>
              <w:rPr>
                <w:b/>
                <w:sz w:val="20"/>
              </w:rPr>
            </w:pPr>
          </w:p>
          <w:p w14:paraId="564730C3" w14:textId="77777777" w:rsidR="00E47756" w:rsidRPr="00E47756" w:rsidRDefault="00E47756" w:rsidP="00E47756">
            <w:pPr>
              <w:spacing w:after="0" w:line="240" w:lineRule="auto"/>
              <w:ind w:left="57" w:right="57"/>
              <w:rPr>
                <w:b/>
                <w:sz w:val="20"/>
              </w:rPr>
            </w:pPr>
          </w:p>
          <w:p w14:paraId="04269963" w14:textId="77777777" w:rsidR="00E47756" w:rsidRPr="00E47756" w:rsidRDefault="00E47756" w:rsidP="00E47756">
            <w:pPr>
              <w:spacing w:after="0" w:line="240" w:lineRule="auto"/>
              <w:ind w:left="57" w:right="57"/>
              <w:rPr>
                <w:b/>
                <w:sz w:val="20"/>
              </w:rPr>
            </w:pPr>
          </w:p>
          <w:p w14:paraId="57D717B2" w14:textId="77777777" w:rsidR="00E47756" w:rsidRPr="00E47756" w:rsidRDefault="00E47756" w:rsidP="00E47756">
            <w:pPr>
              <w:spacing w:after="0" w:line="240" w:lineRule="auto"/>
              <w:ind w:left="57" w:right="57"/>
            </w:pPr>
            <w:r w:rsidRPr="00E47756">
              <w:rPr>
                <w:b/>
                <w:sz w:val="20"/>
              </w:rPr>
              <w:t xml:space="preserve"> </w:t>
            </w:r>
          </w:p>
        </w:tc>
        <w:tc>
          <w:tcPr>
            <w:tcW w:w="1972" w:type="dxa"/>
            <w:tcBorders>
              <w:top w:val="single" w:sz="4" w:space="0" w:color="auto"/>
              <w:left w:val="nil"/>
              <w:bottom w:val="single" w:sz="4" w:space="0" w:color="auto"/>
              <w:right w:val="single" w:sz="4" w:space="0" w:color="000000"/>
            </w:tcBorders>
          </w:tcPr>
          <w:p w14:paraId="71B4F25C" w14:textId="77777777" w:rsidR="00E47756" w:rsidRPr="00E47756" w:rsidRDefault="00E47756" w:rsidP="00E47756">
            <w:pPr>
              <w:spacing w:after="0" w:line="240" w:lineRule="auto"/>
              <w:ind w:left="57" w:right="57"/>
              <w:jc w:val="center"/>
              <w:rPr>
                <w:b/>
                <w:sz w:val="20"/>
                <w:szCs w:val="20"/>
              </w:rPr>
            </w:pPr>
            <w:r w:rsidRPr="00E47756">
              <w:rPr>
                <w:b/>
                <w:sz w:val="20"/>
                <w:szCs w:val="20"/>
              </w:rPr>
              <w:t>MŽP SR</w:t>
            </w:r>
          </w:p>
          <w:p w14:paraId="45C2A670" w14:textId="77777777" w:rsidR="00E47756" w:rsidRPr="00E47756" w:rsidRDefault="00E47756" w:rsidP="00E47756">
            <w:pPr>
              <w:spacing w:after="0" w:line="240" w:lineRule="auto"/>
              <w:ind w:left="57" w:right="57"/>
              <w:jc w:val="center"/>
              <w:rPr>
                <w:b/>
                <w:sz w:val="20"/>
                <w:szCs w:val="20"/>
              </w:rPr>
            </w:pPr>
            <w:r w:rsidRPr="00E47756">
              <w:rPr>
                <w:b/>
                <w:sz w:val="20"/>
                <w:szCs w:val="20"/>
              </w:rPr>
              <w:t>MDV SR</w:t>
            </w:r>
          </w:p>
          <w:p w14:paraId="5777E9A2" w14:textId="77777777" w:rsidR="00E47756" w:rsidRPr="00E47756" w:rsidRDefault="00E47756" w:rsidP="00E47756">
            <w:pPr>
              <w:spacing w:after="0" w:line="240" w:lineRule="auto"/>
              <w:ind w:left="57" w:right="57"/>
              <w:rPr>
                <w:b/>
                <w:sz w:val="20"/>
                <w:szCs w:val="20"/>
              </w:rPr>
            </w:pPr>
          </w:p>
          <w:p w14:paraId="2E4AC89D" w14:textId="77777777" w:rsidR="00E47756" w:rsidRPr="00E47756" w:rsidRDefault="00E47756" w:rsidP="00E47756">
            <w:pPr>
              <w:spacing w:after="0" w:line="240" w:lineRule="auto"/>
              <w:ind w:left="57" w:right="57"/>
              <w:rPr>
                <w:b/>
                <w:sz w:val="20"/>
                <w:szCs w:val="20"/>
              </w:rPr>
            </w:pPr>
          </w:p>
          <w:p w14:paraId="05FF03EF" w14:textId="77777777" w:rsidR="00E47756" w:rsidRPr="00E47756" w:rsidRDefault="00E47756" w:rsidP="00E47756">
            <w:pPr>
              <w:spacing w:after="0" w:line="240" w:lineRule="auto"/>
              <w:ind w:left="57" w:right="57"/>
              <w:rPr>
                <w:b/>
                <w:sz w:val="20"/>
                <w:szCs w:val="20"/>
              </w:rPr>
            </w:pPr>
          </w:p>
          <w:p w14:paraId="23469396" w14:textId="77777777" w:rsidR="00E47756" w:rsidRPr="00E47756" w:rsidRDefault="00E47756" w:rsidP="00E47756">
            <w:pPr>
              <w:spacing w:after="0" w:line="240" w:lineRule="auto"/>
              <w:ind w:left="57" w:right="57"/>
              <w:rPr>
                <w:b/>
                <w:sz w:val="20"/>
                <w:szCs w:val="20"/>
              </w:rPr>
            </w:pPr>
          </w:p>
          <w:p w14:paraId="659897F7" w14:textId="77777777" w:rsidR="00E47756" w:rsidRPr="00E47756" w:rsidRDefault="00E47756" w:rsidP="00E47756">
            <w:pPr>
              <w:spacing w:after="0" w:line="240" w:lineRule="auto"/>
              <w:ind w:left="57" w:right="57"/>
              <w:rPr>
                <w:b/>
                <w:sz w:val="20"/>
                <w:szCs w:val="20"/>
              </w:rPr>
            </w:pPr>
          </w:p>
          <w:p w14:paraId="2A0ABA98" w14:textId="77777777" w:rsidR="00E47756" w:rsidRPr="00E47756" w:rsidRDefault="00E47756" w:rsidP="00E47756">
            <w:pPr>
              <w:spacing w:after="0" w:line="240" w:lineRule="auto"/>
              <w:ind w:left="57" w:right="57"/>
              <w:rPr>
                <w:b/>
                <w:sz w:val="20"/>
                <w:szCs w:val="20"/>
              </w:rPr>
            </w:pPr>
          </w:p>
          <w:p w14:paraId="78A52737" w14:textId="77777777" w:rsidR="00E47756" w:rsidRPr="00E47756" w:rsidRDefault="00E47756" w:rsidP="00E47756">
            <w:pPr>
              <w:spacing w:after="0" w:line="240" w:lineRule="auto"/>
              <w:ind w:left="57" w:right="57"/>
              <w:rPr>
                <w:b/>
                <w:sz w:val="20"/>
                <w:szCs w:val="20"/>
              </w:rPr>
            </w:pPr>
          </w:p>
          <w:p w14:paraId="72DE6C8D" w14:textId="77777777" w:rsidR="00E47756" w:rsidRPr="00E47756" w:rsidRDefault="00E47756" w:rsidP="00E47756">
            <w:pPr>
              <w:spacing w:after="0" w:line="240" w:lineRule="auto"/>
              <w:ind w:left="57" w:right="57"/>
              <w:rPr>
                <w:b/>
                <w:sz w:val="20"/>
                <w:szCs w:val="20"/>
              </w:rPr>
            </w:pPr>
          </w:p>
        </w:tc>
        <w:tc>
          <w:tcPr>
            <w:tcW w:w="5777" w:type="dxa"/>
            <w:tcBorders>
              <w:top w:val="single" w:sz="4" w:space="0" w:color="auto"/>
              <w:left w:val="nil"/>
              <w:bottom w:val="single" w:sz="4" w:space="0" w:color="auto"/>
              <w:right w:val="single" w:sz="4" w:space="0" w:color="000000"/>
            </w:tcBorders>
          </w:tcPr>
          <w:p w14:paraId="59F75BED" w14:textId="77777777" w:rsidR="00E47756" w:rsidRPr="00E47756" w:rsidRDefault="00E47756" w:rsidP="00E47756">
            <w:pPr>
              <w:spacing w:after="0" w:line="240" w:lineRule="auto"/>
              <w:ind w:left="57" w:right="57"/>
              <w:rPr>
                <w:b/>
                <w:sz w:val="20"/>
                <w:szCs w:val="20"/>
                <w:u w:val="single"/>
              </w:rPr>
            </w:pPr>
            <w:r w:rsidRPr="00E47756">
              <w:rPr>
                <w:b/>
                <w:sz w:val="20"/>
                <w:szCs w:val="20"/>
                <w:u w:val="single"/>
              </w:rPr>
              <w:t>Stredná priorita</w:t>
            </w:r>
            <w:r w:rsidRPr="00E47756">
              <w:rPr>
                <w:b/>
                <w:sz w:val="20"/>
                <w:szCs w:val="20"/>
              </w:rPr>
              <w:t xml:space="preserve"> - </w:t>
            </w:r>
            <w:r w:rsidRPr="00E47756">
              <w:rPr>
                <w:sz w:val="20"/>
                <w:szCs w:val="20"/>
              </w:rPr>
              <w:t>SR má silné zastúpenie automobilového priemyslu, preto všetky zmeny pre toto odvetvie sú vnímané veľmi citlivo. Mali by sme sa v prvom rade zamerať na nástroje, ktoré zabezpečia naplnenie týchto cieľov, ako sú napr. budovanie nabíjacej infraštruktúry, revízia nariadenia TEN-T a revízia smernice o alternatívnych palivách. Až potom by sme mali pristúpiť k zvýšeniu cieľov pre toto odvetvie. Zároveň veľmi dôležitým prvkom bude realizovateľnosť navrhnutých opatrení pri vozidlách uvádzaných na trh.</w:t>
            </w:r>
          </w:p>
          <w:p w14:paraId="018E72EF" w14:textId="77777777" w:rsidR="00E47756" w:rsidRPr="00E47756" w:rsidRDefault="00E47756" w:rsidP="00E47756">
            <w:pPr>
              <w:spacing w:after="0" w:line="240" w:lineRule="auto"/>
              <w:ind w:right="57"/>
              <w:rPr>
                <w:sz w:val="20"/>
                <w:szCs w:val="20"/>
              </w:rPr>
            </w:pPr>
          </w:p>
        </w:tc>
      </w:tr>
      <w:tr w:rsidR="00E47756" w:rsidRPr="00E47756" w14:paraId="17BEC388" w14:textId="77777777" w:rsidTr="001A4016">
        <w:trPr>
          <w:trHeight w:val="462"/>
        </w:trPr>
        <w:tc>
          <w:tcPr>
            <w:tcW w:w="415" w:type="dxa"/>
            <w:tcBorders>
              <w:top w:val="single" w:sz="4" w:space="0" w:color="auto"/>
              <w:left w:val="single" w:sz="4" w:space="0" w:color="000000"/>
              <w:bottom w:val="single" w:sz="4" w:space="0" w:color="auto"/>
              <w:right w:val="single" w:sz="4" w:space="0" w:color="000000"/>
            </w:tcBorders>
          </w:tcPr>
          <w:p w14:paraId="22265C91" w14:textId="77777777" w:rsidR="00E47756" w:rsidRPr="00E47756" w:rsidRDefault="00E47756" w:rsidP="00E47756">
            <w:pPr>
              <w:spacing w:after="0" w:line="240" w:lineRule="auto"/>
              <w:ind w:left="57" w:right="57"/>
            </w:pPr>
          </w:p>
        </w:tc>
        <w:tc>
          <w:tcPr>
            <w:tcW w:w="2396" w:type="dxa"/>
            <w:tcBorders>
              <w:top w:val="single" w:sz="4" w:space="0" w:color="auto"/>
              <w:left w:val="single" w:sz="4" w:space="0" w:color="000000"/>
              <w:bottom w:val="single" w:sz="4" w:space="0" w:color="auto"/>
              <w:right w:val="single" w:sz="4" w:space="0" w:color="000000"/>
            </w:tcBorders>
          </w:tcPr>
          <w:p w14:paraId="34B9F7F9" w14:textId="77777777" w:rsidR="00E47756" w:rsidRPr="00E47756" w:rsidRDefault="00E47756" w:rsidP="00E47756">
            <w:pPr>
              <w:spacing w:after="0" w:line="240" w:lineRule="auto"/>
              <w:ind w:left="57" w:right="57"/>
            </w:pPr>
          </w:p>
        </w:tc>
        <w:tc>
          <w:tcPr>
            <w:tcW w:w="289" w:type="dxa"/>
            <w:tcBorders>
              <w:top w:val="single" w:sz="4" w:space="0" w:color="auto"/>
              <w:left w:val="single" w:sz="4" w:space="0" w:color="000000"/>
              <w:bottom w:val="single" w:sz="4" w:space="0" w:color="auto"/>
              <w:right w:val="nil"/>
            </w:tcBorders>
          </w:tcPr>
          <w:p w14:paraId="5D6AE85E" w14:textId="77777777" w:rsidR="00E47756" w:rsidRPr="00E47756" w:rsidRDefault="00E47756" w:rsidP="00E47756">
            <w:pPr>
              <w:spacing w:after="0" w:line="240" w:lineRule="auto"/>
              <w:ind w:left="57" w:right="57"/>
            </w:pPr>
            <w:r w:rsidRPr="00E47756">
              <w:rPr>
                <w:sz w:val="20"/>
              </w:rPr>
              <w:t>k)</w:t>
            </w:r>
            <w:r w:rsidRPr="00E47756">
              <w:rPr>
                <w:rFonts w:ascii="Arial" w:hAnsi="Arial" w:cs="Arial"/>
                <w:sz w:val="20"/>
              </w:rPr>
              <w:t xml:space="preserve"> </w:t>
            </w:r>
          </w:p>
        </w:tc>
        <w:tc>
          <w:tcPr>
            <w:tcW w:w="3793" w:type="dxa"/>
            <w:gridSpan w:val="2"/>
            <w:tcBorders>
              <w:top w:val="single" w:sz="4" w:space="0" w:color="auto"/>
              <w:left w:val="nil"/>
              <w:bottom w:val="single" w:sz="4" w:space="0" w:color="auto"/>
              <w:right w:val="single" w:sz="4" w:space="0" w:color="000000"/>
            </w:tcBorders>
          </w:tcPr>
          <w:p w14:paraId="696140FA" w14:textId="77777777" w:rsidR="00E47756" w:rsidRPr="00E47756" w:rsidRDefault="00E47756" w:rsidP="00E47756">
            <w:pPr>
              <w:spacing w:after="0" w:line="240" w:lineRule="auto"/>
              <w:ind w:left="57" w:right="57"/>
            </w:pPr>
            <w:r w:rsidRPr="00E47756">
              <w:rPr>
                <w:b/>
                <w:sz w:val="20"/>
              </w:rPr>
              <w:t>revízia smernice o energetickej hospodárnosti budov</w:t>
            </w:r>
            <w:r w:rsidRPr="00E47756">
              <w:rPr>
                <w:sz w:val="20"/>
              </w:rPr>
              <w:t xml:space="preserve"> (legislatívna iniciatíva vrátane posúdenia vplyvu, článok 194 </w:t>
            </w:r>
          </w:p>
          <w:p w14:paraId="5306A710" w14:textId="77777777" w:rsidR="00E47756" w:rsidRPr="00E47756" w:rsidRDefault="00E47756" w:rsidP="00E47756">
            <w:pPr>
              <w:spacing w:after="0" w:line="240" w:lineRule="auto"/>
              <w:ind w:left="57" w:right="57"/>
            </w:pPr>
            <w:r w:rsidRPr="00E47756">
              <w:rPr>
                <w:sz w:val="20"/>
              </w:rPr>
              <w:t>ZFEÚ, 4. štvrťrok 2021);</w:t>
            </w:r>
            <w:r w:rsidRPr="00E47756">
              <w:rPr>
                <w:b/>
                <w:sz w:val="20"/>
              </w:rPr>
              <w:t xml:space="preserve"> </w:t>
            </w:r>
          </w:p>
        </w:tc>
        <w:tc>
          <w:tcPr>
            <w:tcW w:w="1972" w:type="dxa"/>
            <w:tcBorders>
              <w:top w:val="single" w:sz="4" w:space="0" w:color="auto"/>
              <w:left w:val="nil"/>
              <w:bottom w:val="single" w:sz="4" w:space="0" w:color="auto"/>
              <w:right w:val="single" w:sz="4" w:space="0" w:color="000000"/>
            </w:tcBorders>
          </w:tcPr>
          <w:p w14:paraId="4143EE66" w14:textId="77777777" w:rsidR="00E47756" w:rsidRPr="00E47756" w:rsidRDefault="00E47756" w:rsidP="00E47756">
            <w:pPr>
              <w:spacing w:after="0" w:line="240" w:lineRule="auto"/>
              <w:ind w:left="57" w:right="57"/>
              <w:jc w:val="center"/>
              <w:rPr>
                <w:b/>
                <w:sz w:val="20"/>
                <w:szCs w:val="20"/>
              </w:rPr>
            </w:pPr>
            <w:r w:rsidRPr="00E47756">
              <w:rPr>
                <w:b/>
                <w:color w:val="auto"/>
                <w:sz w:val="20"/>
                <w:szCs w:val="20"/>
              </w:rPr>
              <w:t>MDV SR</w:t>
            </w:r>
          </w:p>
        </w:tc>
        <w:tc>
          <w:tcPr>
            <w:tcW w:w="5777" w:type="dxa"/>
            <w:tcBorders>
              <w:top w:val="single" w:sz="4" w:space="0" w:color="auto"/>
              <w:left w:val="nil"/>
              <w:bottom w:val="single" w:sz="4" w:space="0" w:color="auto"/>
              <w:right w:val="single" w:sz="4" w:space="0" w:color="000000"/>
            </w:tcBorders>
          </w:tcPr>
          <w:p w14:paraId="661D93DF" w14:textId="77777777" w:rsidR="00E47756" w:rsidRPr="00E47756" w:rsidRDefault="00E47756" w:rsidP="00E47756">
            <w:pPr>
              <w:spacing w:after="0" w:line="240" w:lineRule="auto"/>
              <w:ind w:left="57" w:right="57"/>
              <w:rPr>
                <w:b/>
                <w:sz w:val="20"/>
                <w:szCs w:val="20"/>
                <w:u w:val="single"/>
              </w:rPr>
            </w:pPr>
            <w:r w:rsidRPr="00E47756">
              <w:rPr>
                <w:b/>
                <w:sz w:val="20"/>
                <w:szCs w:val="20"/>
                <w:u w:val="single"/>
              </w:rPr>
              <w:t>Stredná priorita</w:t>
            </w:r>
            <w:r w:rsidRPr="00E47756">
              <w:rPr>
                <w:b/>
                <w:sz w:val="20"/>
                <w:szCs w:val="20"/>
              </w:rPr>
              <w:t xml:space="preserve"> - </w:t>
            </w:r>
            <w:r w:rsidRPr="00E47756">
              <w:rPr>
                <w:sz w:val="20"/>
                <w:szCs w:val="20"/>
              </w:rPr>
              <w:t xml:space="preserve">Revízia smernice o EHB má zahŕňať návrh na povinné štandardy pre minimálne požiadavky na energetickú hospodárnosť, aktualizáciu rámca pre EPC (energetické certifikáty), rozšírenie požiadaviek na obnovu pre všetky verejné budovy. SK vykonala transpozíciu smernice 2018/844 v roku 2019 a v súčasnosti nevníma akútnu potrebu revízie smernice o EHB. Minimálne požiadavky na energetickú hospodárnosť sú v SK po roku 2020 nastavené na prísnu úroveň výstavby takmer nulových budov aj pre všetky významne obnovované budovy. SK patrí k lídrom v oblasti </w:t>
            </w:r>
            <w:r w:rsidRPr="00E47756">
              <w:rPr>
                <w:sz w:val="20"/>
                <w:szCs w:val="20"/>
              </w:rPr>
              <w:lastRenderedPageBreak/>
              <w:t>obnovy budov a vníma snahu EK zabezpečiť revíziou smernice spoločný rámec a zjednocujúce nastavenie v požiadavkách na EHB pre všetky ČŠ.</w:t>
            </w:r>
          </w:p>
        </w:tc>
      </w:tr>
      <w:tr w:rsidR="00E47756" w:rsidRPr="00E47756" w14:paraId="0F70145B" w14:textId="77777777" w:rsidTr="001A4016">
        <w:trPr>
          <w:trHeight w:val="3523"/>
        </w:trPr>
        <w:tc>
          <w:tcPr>
            <w:tcW w:w="415" w:type="dxa"/>
            <w:tcBorders>
              <w:top w:val="single" w:sz="4" w:space="0" w:color="auto"/>
              <w:left w:val="single" w:sz="4" w:space="0" w:color="000000"/>
              <w:bottom w:val="single" w:sz="4" w:space="0" w:color="auto"/>
              <w:right w:val="single" w:sz="4" w:space="0" w:color="000000"/>
            </w:tcBorders>
          </w:tcPr>
          <w:p w14:paraId="0C5FF301" w14:textId="77777777" w:rsidR="00E47756" w:rsidRPr="00E47756" w:rsidRDefault="00E47756" w:rsidP="00E47756">
            <w:pPr>
              <w:spacing w:after="0" w:line="240" w:lineRule="auto"/>
              <w:ind w:left="57" w:right="57"/>
            </w:pPr>
          </w:p>
        </w:tc>
        <w:tc>
          <w:tcPr>
            <w:tcW w:w="2396" w:type="dxa"/>
            <w:tcBorders>
              <w:top w:val="single" w:sz="4" w:space="0" w:color="auto"/>
              <w:left w:val="single" w:sz="4" w:space="0" w:color="000000"/>
              <w:bottom w:val="single" w:sz="4" w:space="0" w:color="auto"/>
              <w:right w:val="single" w:sz="4" w:space="0" w:color="000000"/>
            </w:tcBorders>
          </w:tcPr>
          <w:p w14:paraId="57FA227C" w14:textId="77777777" w:rsidR="00E47756" w:rsidRPr="00E47756" w:rsidRDefault="00E47756" w:rsidP="00E47756">
            <w:pPr>
              <w:spacing w:after="0" w:line="240" w:lineRule="auto"/>
              <w:ind w:left="57" w:right="57"/>
            </w:pPr>
          </w:p>
        </w:tc>
        <w:tc>
          <w:tcPr>
            <w:tcW w:w="289" w:type="dxa"/>
            <w:tcBorders>
              <w:top w:val="single" w:sz="4" w:space="0" w:color="auto"/>
              <w:left w:val="single" w:sz="4" w:space="0" w:color="000000"/>
              <w:bottom w:val="single" w:sz="4" w:space="0" w:color="auto"/>
              <w:right w:val="nil"/>
            </w:tcBorders>
          </w:tcPr>
          <w:p w14:paraId="3209E6EF" w14:textId="77777777" w:rsidR="00E47756" w:rsidRPr="00E47756" w:rsidRDefault="00E47756" w:rsidP="00E47756">
            <w:pPr>
              <w:spacing w:after="0" w:line="240" w:lineRule="auto"/>
              <w:ind w:left="57" w:right="57"/>
            </w:pPr>
            <w:r w:rsidRPr="00E47756">
              <w:rPr>
                <w:sz w:val="20"/>
              </w:rPr>
              <w:t>l)</w:t>
            </w:r>
            <w:r w:rsidRPr="00E47756">
              <w:rPr>
                <w:rFonts w:ascii="Arial" w:hAnsi="Arial" w:cs="Arial"/>
                <w:sz w:val="20"/>
              </w:rPr>
              <w:t xml:space="preserve"> </w:t>
            </w:r>
          </w:p>
        </w:tc>
        <w:tc>
          <w:tcPr>
            <w:tcW w:w="3793" w:type="dxa"/>
            <w:gridSpan w:val="2"/>
            <w:tcBorders>
              <w:top w:val="single" w:sz="4" w:space="0" w:color="auto"/>
              <w:left w:val="nil"/>
              <w:bottom w:val="single" w:sz="4" w:space="0" w:color="auto"/>
              <w:right w:val="single" w:sz="4" w:space="0" w:color="000000"/>
            </w:tcBorders>
          </w:tcPr>
          <w:p w14:paraId="40ED2A47" w14:textId="77777777" w:rsidR="00E47756" w:rsidRPr="00E47756" w:rsidRDefault="00E47756" w:rsidP="00E47756">
            <w:pPr>
              <w:spacing w:after="0" w:line="240" w:lineRule="auto"/>
              <w:ind w:left="57" w:right="57"/>
            </w:pPr>
            <w:r w:rsidRPr="00E47756">
              <w:rPr>
                <w:b/>
                <w:sz w:val="20"/>
              </w:rPr>
              <w:t>revízia tretieho energetického balíka pre zemný plyn (smernica 2009/73/EÚ a nariadenie č. 715/2009/EÚ) s cieľom regulovať konkurenčné trhy s dekarbonizovaným plynom</w:t>
            </w:r>
            <w:r w:rsidRPr="00E47756">
              <w:rPr>
                <w:sz w:val="20"/>
              </w:rPr>
              <w:t xml:space="preserve"> (legislatívna iniciatíva vrátane posúdenia vplyvu, článok 194 ZFEÚ, 4. štvrťrok 2021). </w:t>
            </w:r>
          </w:p>
        </w:tc>
        <w:tc>
          <w:tcPr>
            <w:tcW w:w="1972" w:type="dxa"/>
            <w:tcBorders>
              <w:top w:val="single" w:sz="4" w:space="0" w:color="auto"/>
              <w:left w:val="nil"/>
              <w:bottom w:val="single" w:sz="4" w:space="0" w:color="auto"/>
              <w:right w:val="single" w:sz="4" w:space="0" w:color="000000"/>
            </w:tcBorders>
          </w:tcPr>
          <w:p w14:paraId="657BBC42" w14:textId="77777777" w:rsidR="00E47756" w:rsidRPr="00E47756" w:rsidRDefault="00E47756" w:rsidP="00E47756">
            <w:pPr>
              <w:spacing w:after="0" w:line="240" w:lineRule="auto"/>
              <w:ind w:left="57" w:right="57"/>
              <w:rPr>
                <w:b/>
                <w:sz w:val="20"/>
                <w:szCs w:val="20"/>
              </w:rPr>
            </w:pPr>
            <w:r w:rsidRPr="00E47756">
              <w:rPr>
                <w:b/>
                <w:sz w:val="20"/>
                <w:szCs w:val="20"/>
              </w:rPr>
              <w:t xml:space="preserve">          MH SR</w:t>
            </w:r>
          </w:p>
        </w:tc>
        <w:tc>
          <w:tcPr>
            <w:tcW w:w="5777" w:type="dxa"/>
            <w:tcBorders>
              <w:top w:val="single" w:sz="4" w:space="0" w:color="auto"/>
              <w:left w:val="nil"/>
              <w:bottom w:val="single" w:sz="4" w:space="0" w:color="auto"/>
              <w:right w:val="single" w:sz="4" w:space="0" w:color="000000"/>
            </w:tcBorders>
          </w:tcPr>
          <w:p w14:paraId="56F22158" w14:textId="77777777" w:rsidR="00E47756" w:rsidRDefault="00E47756" w:rsidP="00E47756">
            <w:pPr>
              <w:spacing w:after="0" w:line="240" w:lineRule="auto"/>
              <w:ind w:left="57" w:right="57"/>
              <w:rPr>
                <w:noProof/>
                <w:sz w:val="20"/>
                <w:szCs w:val="20"/>
              </w:rPr>
            </w:pPr>
            <w:r w:rsidRPr="00E47756">
              <w:rPr>
                <w:b/>
                <w:sz w:val="20"/>
                <w:szCs w:val="20"/>
                <w:u w:val="single"/>
              </w:rPr>
              <w:t>Vysoká priorita</w:t>
            </w:r>
            <w:r w:rsidRPr="00E47756">
              <w:rPr>
                <w:b/>
                <w:sz w:val="20"/>
                <w:szCs w:val="20"/>
              </w:rPr>
              <w:t xml:space="preserve"> - </w:t>
            </w:r>
            <w:r w:rsidRPr="00E47756">
              <w:rPr>
                <w:sz w:val="20"/>
                <w:szCs w:val="20"/>
              </w:rPr>
              <w:t>Cieľom revízie je najmä úprava pravidiel v oblasti cenovej regulácie a ochrany spotrebiteľa na trhu so zemným plynom (podobná úprava pravidiel už bola prijatá v revízii smernice 2009/72/EÚ o spoločných pravidlách pre vnútorný trh s elektrinou) a tiež prispôsobenie modelu trhu so zemným plynom a plynárenskej infraštruktúry novým požiadavkám, ktoré vyplynú z Európskej zelenej dohody resp. cieľov EÚ v oblasti klímy a energetiky a prechodu hospodárstva a priemyslu ku klimatickej neutralite do roku 2050.</w:t>
            </w:r>
            <w:r w:rsidRPr="00E47756">
              <w:rPr>
                <w:sz w:val="20"/>
                <w:szCs w:val="20"/>
                <w:u w:val="single"/>
              </w:rPr>
              <w:t xml:space="preserve">  </w:t>
            </w:r>
            <w:r w:rsidRPr="00E47756">
              <w:rPr>
                <w:noProof/>
                <w:sz w:val="20"/>
                <w:szCs w:val="20"/>
              </w:rPr>
              <w:t>Kľúčové bude zachovanie využívania existujúcej plynárenskej infraštruktúry, ktorá bude nevyhnutná pre ďalšiu integráciu vodíka.  Pre zvyšovanie podielov vodíka bude nutná modernizácia plynárenskej siete, ktorá si bude vyžadovať nemalé finančné prostriedky. Financovanie úprav plynárenskej siete s cieľom prepravy zmesi vodíka so zemným plynom resp. čistého vodíka a jeho uskladnenia by malo byť riešené v rámci pripravovanej revízie Nariadenia TEN-E.</w:t>
            </w:r>
          </w:p>
          <w:p w14:paraId="21F5FFFE" w14:textId="77777777" w:rsidR="001A4016" w:rsidRDefault="001A4016" w:rsidP="00E47756">
            <w:pPr>
              <w:spacing w:after="0" w:line="240" w:lineRule="auto"/>
              <w:ind w:left="57" w:right="57"/>
              <w:rPr>
                <w:b/>
                <w:sz w:val="20"/>
                <w:szCs w:val="20"/>
                <w:u w:val="single"/>
              </w:rPr>
            </w:pPr>
          </w:p>
          <w:p w14:paraId="756A70A3" w14:textId="77777777" w:rsidR="001A4016" w:rsidRPr="00E47756" w:rsidRDefault="001A4016" w:rsidP="00E47756">
            <w:pPr>
              <w:spacing w:after="0" w:line="240" w:lineRule="auto"/>
              <w:ind w:left="57" w:right="57"/>
              <w:rPr>
                <w:b/>
                <w:sz w:val="20"/>
                <w:szCs w:val="20"/>
                <w:u w:val="single"/>
              </w:rPr>
            </w:pPr>
          </w:p>
        </w:tc>
      </w:tr>
      <w:tr w:rsidR="00E47756" w:rsidRPr="00E47756" w14:paraId="52DD6369" w14:textId="77777777" w:rsidTr="00A41E9A">
        <w:trPr>
          <w:trHeight w:val="67"/>
        </w:trPr>
        <w:tc>
          <w:tcPr>
            <w:tcW w:w="415" w:type="dxa"/>
            <w:tcBorders>
              <w:top w:val="single" w:sz="4" w:space="0" w:color="auto"/>
              <w:left w:val="single" w:sz="4" w:space="0" w:color="auto"/>
              <w:bottom w:val="single" w:sz="4" w:space="0" w:color="auto"/>
              <w:right w:val="single" w:sz="4" w:space="0" w:color="auto"/>
            </w:tcBorders>
          </w:tcPr>
          <w:p w14:paraId="59C99357" w14:textId="77777777" w:rsidR="00E47756" w:rsidRPr="00E47756" w:rsidRDefault="00E47756" w:rsidP="00E47756">
            <w:pPr>
              <w:spacing w:after="0" w:line="240" w:lineRule="auto"/>
              <w:ind w:left="57" w:right="57"/>
              <w:jc w:val="center"/>
            </w:pPr>
            <w:r w:rsidRPr="00E47756">
              <w:rPr>
                <w:sz w:val="20"/>
              </w:rPr>
              <w:t>2.</w:t>
            </w:r>
          </w:p>
        </w:tc>
        <w:tc>
          <w:tcPr>
            <w:tcW w:w="2396" w:type="dxa"/>
            <w:tcBorders>
              <w:top w:val="single" w:sz="4" w:space="0" w:color="auto"/>
              <w:left w:val="single" w:sz="4" w:space="0" w:color="auto"/>
              <w:bottom w:val="single" w:sz="4" w:space="0" w:color="auto"/>
              <w:right w:val="single" w:sz="4" w:space="0" w:color="auto"/>
            </w:tcBorders>
          </w:tcPr>
          <w:p w14:paraId="252657DC" w14:textId="77777777" w:rsidR="00E47756" w:rsidRPr="00E47756" w:rsidRDefault="00E47756" w:rsidP="00E47756">
            <w:pPr>
              <w:spacing w:after="0" w:line="240" w:lineRule="auto"/>
              <w:ind w:left="57" w:right="57"/>
            </w:pPr>
            <w:r w:rsidRPr="00E47756">
              <w:rPr>
                <w:b/>
                <w:sz w:val="20"/>
              </w:rPr>
              <w:t xml:space="preserve">Balík predpisov o obehovom hospodárstve </w:t>
            </w:r>
          </w:p>
        </w:tc>
        <w:tc>
          <w:tcPr>
            <w:tcW w:w="289" w:type="dxa"/>
            <w:tcBorders>
              <w:top w:val="single" w:sz="4" w:space="0" w:color="auto"/>
              <w:left w:val="single" w:sz="4" w:space="0" w:color="auto"/>
              <w:bottom w:val="single" w:sz="4" w:space="0" w:color="auto"/>
            </w:tcBorders>
          </w:tcPr>
          <w:p w14:paraId="4B0551F0" w14:textId="77777777" w:rsidR="00E47756" w:rsidRPr="00E47756" w:rsidRDefault="00E47756" w:rsidP="00E47756">
            <w:pPr>
              <w:spacing w:after="0" w:line="240" w:lineRule="auto"/>
              <w:ind w:left="57" w:right="57"/>
            </w:pPr>
            <w:r w:rsidRPr="00E47756">
              <w:rPr>
                <w:sz w:val="20"/>
              </w:rPr>
              <w:t>a)</w:t>
            </w:r>
            <w:r w:rsidRPr="00E47756">
              <w:rPr>
                <w:rFonts w:ascii="Arial" w:hAnsi="Arial" w:cs="Arial"/>
                <w:sz w:val="20"/>
              </w:rPr>
              <w:t xml:space="preserve"> </w:t>
            </w:r>
          </w:p>
        </w:tc>
        <w:tc>
          <w:tcPr>
            <w:tcW w:w="3793" w:type="dxa"/>
            <w:gridSpan w:val="2"/>
            <w:tcBorders>
              <w:top w:val="single" w:sz="4" w:space="0" w:color="auto"/>
              <w:bottom w:val="single" w:sz="4" w:space="0" w:color="auto"/>
              <w:right w:val="single" w:sz="4" w:space="0" w:color="auto"/>
            </w:tcBorders>
          </w:tcPr>
          <w:p w14:paraId="1F4A0CCD" w14:textId="3650E5A8" w:rsidR="00A41E9A" w:rsidRPr="002C0BB6" w:rsidRDefault="00E47756" w:rsidP="002C0BB6">
            <w:pPr>
              <w:spacing w:after="0" w:line="240" w:lineRule="auto"/>
              <w:ind w:left="57" w:right="57"/>
              <w:rPr>
                <w:sz w:val="20"/>
              </w:rPr>
            </w:pPr>
            <w:r w:rsidRPr="00E47756">
              <w:rPr>
                <w:b/>
                <w:sz w:val="20"/>
              </w:rPr>
              <w:t xml:space="preserve">iniciatíva v oblasti udržateľnej produktovej politiky vrátane revízie smernice o </w:t>
            </w:r>
            <w:proofErr w:type="spellStart"/>
            <w:r w:rsidRPr="00E47756">
              <w:rPr>
                <w:b/>
                <w:sz w:val="20"/>
              </w:rPr>
              <w:t>ekodizajne</w:t>
            </w:r>
            <w:proofErr w:type="spellEnd"/>
            <w:r w:rsidRPr="00E47756">
              <w:rPr>
                <w:sz w:val="20"/>
              </w:rPr>
              <w:t xml:space="preserve"> (legislatívna iniciatíva vrátane posúdenia vplyvu, článok 114 ZFEÚ, 4. štvrťrok 2021);</w:t>
            </w:r>
          </w:p>
        </w:tc>
        <w:tc>
          <w:tcPr>
            <w:tcW w:w="1972" w:type="dxa"/>
            <w:tcBorders>
              <w:top w:val="single" w:sz="4" w:space="0" w:color="auto"/>
              <w:left w:val="single" w:sz="4" w:space="0" w:color="auto"/>
              <w:bottom w:val="single" w:sz="4" w:space="0" w:color="auto"/>
              <w:right w:val="single" w:sz="4" w:space="0" w:color="000000"/>
            </w:tcBorders>
          </w:tcPr>
          <w:p w14:paraId="4499B7E3" w14:textId="77777777" w:rsidR="008E125F" w:rsidRPr="00E47756" w:rsidRDefault="008E125F" w:rsidP="008E125F">
            <w:pPr>
              <w:spacing w:after="0" w:line="240" w:lineRule="auto"/>
              <w:ind w:right="57"/>
              <w:jc w:val="center"/>
              <w:rPr>
                <w:b/>
                <w:bCs/>
                <w:sz w:val="20"/>
                <w:szCs w:val="20"/>
              </w:rPr>
            </w:pPr>
            <w:r w:rsidRPr="00E47756">
              <w:rPr>
                <w:b/>
                <w:bCs/>
                <w:sz w:val="20"/>
                <w:szCs w:val="20"/>
              </w:rPr>
              <w:t>MH SR</w:t>
            </w:r>
          </w:p>
          <w:p w14:paraId="552E3AB3" w14:textId="77777777" w:rsidR="001378A7" w:rsidRPr="00E47756" w:rsidRDefault="001378A7" w:rsidP="001378A7">
            <w:pPr>
              <w:spacing w:after="0" w:line="240" w:lineRule="auto"/>
              <w:ind w:left="57" w:right="57"/>
              <w:jc w:val="center"/>
              <w:rPr>
                <w:b/>
                <w:bCs/>
                <w:sz w:val="20"/>
                <w:szCs w:val="20"/>
              </w:rPr>
            </w:pPr>
            <w:r w:rsidRPr="00E47756">
              <w:rPr>
                <w:b/>
                <w:bCs/>
                <w:sz w:val="20"/>
                <w:szCs w:val="20"/>
              </w:rPr>
              <w:t>MŽP SR</w:t>
            </w:r>
          </w:p>
          <w:p w14:paraId="1318F0FC" w14:textId="77777777" w:rsidR="00E47756" w:rsidRPr="00E47756" w:rsidRDefault="00E47756" w:rsidP="00E47756">
            <w:pPr>
              <w:spacing w:after="0" w:line="240" w:lineRule="auto"/>
              <w:ind w:left="57" w:right="57"/>
              <w:jc w:val="center"/>
              <w:rPr>
                <w:b/>
                <w:bCs/>
                <w:sz w:val="20"/>
                <w:szCs w:val="20"/>
              </w:rPr>
            </w:pPr>
          </w:p>
          <w:p w14:paraId="3EE1B748" w14:textId="77777777" w:rsidR="00E47756" w:rsidRPr="00E47756" w:rsidRDefault="00E47756" w:rsidP="00E47756">
            <w:pPr>
              <w:spacing w:after="0" w:line="240" w:lineRule="auto"/>
              <w:ind w:left="57" w:right="57"/>
              <w:jc w:val="center"/>
              <w:rPr>
                <w:b/>
                <w:bCs/>
                <w:sz w:val="20"/>
                <w:szCs w:val="20"/>
              </w:rPr>
            </w:pPr>
          </w:p>
          <w:p w14:paraId="744126C9" w14:textId="77777777" w:rsidR="00E47756" w:rsidRPr="00E47756" w:rsidRDefault="00E47756" w:rsidP="00E47756">
            <w:pPr>
              <w:spacing w:after="0" w:line="240" w:lineRule="auto"/>
              <w:ind w:left="57" w:right="57"/>
              <w:jc w:val="center"/>
              <w:rPr>
                <w:b/>
                <w:bCs/>
                <w:sz w:val="20"/>
                <w:szCs w:val="20"/>
              </w:rPr>
            </w:pPr>
          </w:p>
          <w:p w14:paraId="0279E0DD" w14:textId="77777777" w:rsidR="00E47756" w:rsidRPr="00E47756" w:rsidRDefault="00E47756" w:rsidP="00E47756">
            <w:pPr>
              <w:spacing w:after="0" w:line="240" w:lineRule="auto"/>
              <w:ind w:left="57" w:right="57"/>
              <w:jc w:val="center"/>
              <w:rPr>
                <w:b/>
                <w:sz w:val="20"/>
                <w:szCs w:val="20"/>
              </w:rPr>
            </w:pPr>
          </w:p>
        </w:tc>
        <w:tc>
          <w:tcPr>
            <w:tcW w:w="5777" w:type="dxa"/>
            <w:tcBorders>
              <w:top w:val="single" w:sz="4" w:space="0" w:color="auto"/>
              <w:left w:val="nil"/>
              <w:bottom w:val="single" w:sz="4" w:space="0" w:color="auto"/>
              <w:right w:val="single" w:sz="4" w:space="0" w:color="000000"/>
            </w:tcBorders>
          </w:tcPr>
          <w:p w14:paraId="18B42ADF" w14:textId="77777777" w:rsidR="00E47756" w:rsidRPr="00E47756" w:rsidRDefault="00E47756" w:rsidP="001A4016">
            <w:pPr>
              <w:spacing w:after="0" w:line="240" w:lineRule="auto"/>
              <w:ind w:left="57" w:right="57"/>
              <w:rPr>
                <w:b/>
                <w:bCs/>
                <w:sz w:val="20"/>
                <w:szCs w:val="20"/>
                <w:u w:val="single"/>
              </w:rPr>
            </w:pPr>
            <w:r w:rsidRPr="00E47756">
              <w:rPr>
                <w:b/>
                <w:bCs/>
                <w:sz w:val="20"/>
                <w:szCs w:val="20"/>
                <w:u w:val="single"/>
              </w:rPr>
              <w:t>Vysoká priorita</w:t>
            </w:r>
            <w:r w:rsidRPr="00E47756">
              <w:rPr>
                <w:b/>
                <w:sz w:val="20"/>
                <w:szCs w:val="20"/>
              </w:rPr>
              <w:t xml:space="preserve"> - </w:t>
            </w:r>
            <w:r w:rsidRPr="00E47756">
              <w:rPr>
                <w:bCs/>
                <w:sz w:val="20"/>
                <w:szCs w:val="20"/>
              </w:rPr>
              <w:t>Rámec pre udržateľnú produktovú politiku tvorí základnú kostru nového Akčného plánu pre obehové hospodárstvo.</w:t>
            </w:r>
          </w:p>
        </w:tc>
      </w:tr>
      <w:tr w:rsidR="00E47756" w:rsidRPr="00E47756" w14:paraId="28C74440" w14:textId="77777777" w:rsidTr="001A4016">
        <w:trPr>
          <w:trHeight w:val="266"/>
        </w:trPr>
        <w:tc>
          <w:tcPr>
            <w:tcW w:w="415" w:type="dxa"/>
            <w:tcBorders>
              <w:top w:val="single" w:sz="4" w:space="0" w:color="auto"/>
              <w:left w:val="single" w:sz="4" w:space="0" w:color="000000"/>
              <w:bottom w:val="single" w:sz="4" w:space="0" w:color="auto"/>
              <w:right w:val="single" w:sz="4" w:space="0" w:color="000000"/>
            </w:tcBorders>
          </w:tcPr>
          <w:p w14:paraId="123B9F0B" w14:textId="77777777" w:rsidR="00E47756" w:rsidRPr="00E47756" w:rsidRDefault="00E47756" w:rsidP="00E47756">
            <w:pPr>
              <w:spacing w:after="0" w:line="240" w:lineRule="auto"/>
              <w:ind w:left="57" w:right="57"/>
            </w:pPr>
          </w:p>
        </w:tc>
        <w:tc>
          <w:tcPr>
            <w:tcW w:w="2396" w:type="dxa"/>
            <w:tcBorders>
              <w:top w:val="single" w:sz="4" w:space="0" w:color="auto"/>
              <w:left w:val="single" w:sz="4" w:space="0" w:color="000000"/>
              <w:bottom w:val="single" w:sz="4" w:space="0" w:color="auto"/>
              <w:right w:val="single" w:sz="4" w:space="0" w:color="000000"/>
            </w:tcBorders>
          </w:tcPr>
          <w:p w14:paraId="1451320E" w14:textId="77777777" w:rsidR="00E47756" w:rsidRPr="00E47756" w:rsidRDefault="00E47756" w:rsidP="00E47756">
            <w:pPr>
              <w:spacing w:after="0" w:line="240" w:lineRule="auto"/>
              <w:ind w:left="57" w:right="57"/>
            </w:pPr>
          </w:p>
        </w:tc>
        <w:tc>
          <w:tcPr>
            <w:tcW w:w="289" w:type="dxa"/>
            <w:tcBorders>
              <w:top w:val="single" w:sz="4" w:space="0" w:color="auto"/>
              <w:left w:val="single" w:sz="4" w:space="0" w:color="000000"/>
              <w:bottom w:val="single" w:sz="4" w:space="0" w:color="auto"/>
              <w:right w:val="nil"/>
            </w:tcBorders>
          </w:tcPr>
          <w:p w14:paraId="09F9FA63" w14:textId="77777777" w:rsidR="00E47756" w:rsidRPr="00E47756" w:rsidRDefault="00E47756" w:rsidP="00E47756">
            <w:pPr>
              <w:spacing w:after="0" w:line="240" w:lineRule="auto"/>
              <w:ind w:left="57" w:right="57"/>
            </w:pPr>
            <w:r w:rsidRPr="00E47756">
              <w:rPr>
                <w:sz w:val="20"/>
              </w:rPr>
              <w:t>b)</w:t>
            </w:r>
            <w:r w:rsidRPr="00E47756">
              <w:rPr>
                <w:rFonts w:ascii="Arial" w:hAnsi="Arial" w:cs="Arial"/>
                <w:sz w:val="20"/>
              </w:rPr>
              <w:t xml:space="preserve"> </w:t>
            </w:r>
          </w:p>
        </w:tc>
        <w:tc>
          <w:tcPr>
            <w:tcW w:w="3793" w:type="dxa"/>
            <w:gridSpan w:val="2"/>
            <w:tcBorders>
              <w:top w:val="single" w:sz="4" w:space="0" w:color="auto"/>
              <w:left w:val="nil"/>
              <w:bottom w:val="single" w:sz="4" w:space="0" w:color="auto"/>
              <w:right w:val="single" w:sz="4" w:space="0" w:color="000000"/>
            </w:tcBorders>
          </w:tcPr>
          <w:p w14:paraId="56075D63" w14:textId="77777777" w:rsidR="00E47756" w:rsidRPr="00E47756" w:rsidRDefault="00E47756" w:rsidP="00E47756">
            <w:pPr>
              <w:spacing w:after="0" w:line="240" w:lineRule="auto"/>
              <w:ind w:left="57" w:right="57"/>
            </w:pPr>
            <w:r w:rsidRPr="00E47756">
              <w:rPr>
                <w:b/>
                <w:sz w:val="20"/>
              </w:rPr>
              <w:t xml:space="preserve">obehová elektronika </w:t>
            </w:r>
            <w:r w:rsidRPr="00E47756">
              <w:rPr>
                <w:sz w:val="20"/>
              </w:rPr>
              <w:t xml:space="preserve">(nelegislatívna iniciatíva, 4. štvrťrok 2021). </w:t>
            </w:r>
          </w:p>
        </w:tc>
        <w:tc>
          <w:tcPr>
            <w:tcW w:w="1972" w:type="dxa"/>
            <w:tcBorders>
              <w:top w:val="single" w:sz="4" w:space="0" w:color="auto"/>
              <w:left w:val="nil"/>
              <w:bottom w:val="single" w:sz="4" w:space="0" w:color="auto"/>
              <w:right w:val="single" w:sz="4" w:space="0" w:color="000000"/>
            </w:tcBorders>
          </w:tcPr>
          <w:p w14:paraId="7ABDB8E6" w14:textId="77777777" w:rsidR="008E125F" w:rsidRPr="00E47756" w:rsidRDefault="008E125F" w:rsidP="008E125F">
            <w:pPr>
              <w:spacing w:after="0" w:line="240" w:lineRule="auto"/>
              <w:ind w:left="57" w:right="57"/>
              <w:jc w:val="center"/>
              <w:rPr>
                <w:b/>
                <w:bCs/>
                <w:sz w:val="20"/>
                <w:szCs w:val="20"/>
              </w:rPr>
            </w:pPr>
            <w:r w:rsidRPr="00E47756">
              <w:rPr>
                <w:b/>
                <w:bCs/>
                <w:sz w:val="20"/>
                <w:szCs w:val="20"/>
              </w:rPr>
              <w:t>MH SR</w:t>
            </w:r>
          </w:p>
          <w:p w14:paraId="19FDAAFC" w14:textId="77777777" w:rsidR="001378A7" w:rsidRPr="00E47756" w:rsidRDefault="001378A7" w:rsidP="001378A7">
            <w:pPr>
              <w:spacing w:after="0" w:line="240" w:lineRule="auto"/>
              <w:ind w:left="57" w:right="57"/>
              <w:jc w:val="center"/>
              <w:rPr>
                <w:b/>
                <w:bCs/>
                <w:sz w:val="20"/>
                <w:szCs w:val="20"/>
              </w:rPr>
            </w:pPr>
            <w:r w:rsidRPr="00E47756">
              <w:rPr>
                <w:b/>
                <w:bCs/>
                <w:sz w:val="20"/>
                <w:szCs w:val="20"/>
              </w:rPr>
              <w:t>MŽP SR</w:t>
            </w:r>
          </w:p>
          <w:p w14:paraId="43A57227" w14:textId="77777777" w:rsidR="00E47756" w:rsidRPr="00E47756" w:rsidRDefault="00E47756" w:rsidP="008E125F">
            <w:pPr>
              <w:spacing w:after="0" w:line="240" w:lineRule="auto"/>
              <w:ind w:left="57" w:right="57"/>
              <w:jc w:val="center"/>
              <w:rPr>
                <w:b/>
                <w:sz w:val="20"/>
                <w:szCs w:val="20"/>
              </w:rPr>
            </w:pPr>
          </w:p>
        </w:tc>
        <w:tc>
          <w:tcPr>
            <w:tcW w:w="5777" w:type="dxa"/>
            <w:tcBorders>
              <w:top w:val="single" w:sz="4" w:space="0" w:color="auto"/>
              <w:left w:val="nil"/>
              <w:bottom w:val="single" w:sz="4" w:space="0" w:color="auto"/>
              <w:right w:val="single" w:sz="4" w:space="0" w:color="000000"/>
            </w:tcBorders>
          </w:tcPr>
          <w:p w14:paraId="0C3A0465" w14:textId="193D8899" w:rsidR="001A4016" w:rsidRPr="002C0BB6" w:rsidRDefault="00E47756" w:rsidP="002C0BB6">
            <w:pPr>
              <w:spacing w:after="0" w:line="240" w:lineRule="auto"/>
              <w:ind w:left="57" w:right="57"/>
              <w:rPr>
                <w:b/>
                <w:sz w:val="20"/>
                <w:szCs w:val="20"/>
              </w:rPr>
            </w:pPr>
            <w:r w:rsidRPr="00E47756">
              <w:rPr>
                <w:b/>
                <w:sz w:val="20"/>
                <w:szCs w:val="20"/>
                <w:u w:val="single"/>
              </w:rPr>
              <w:t>Stredná priorita</w:t>
            </w:r>
            <w:r w:rsidRPr="00E47756">
              <w:rPr>
                <w:b/>
                <w:sz w:val="20"/>
                <w:szCs w:val="20"/>
              </w:rPr>
              <w:t xml:space="preserve"> - </w:t>
            </w:r>
            <w:r w:rsidRPr="00E47756">
              <w:rPr>
                <w:sz w:val="20"/>
                <w:szCs w:val="20"/>
              </w:rPr>
              <w:t xml:space="preserve">Cieľom iniciatívy je zavádzanie stimulov pre rozvoj udržateľnej produktovej politiky, čo prispieva k zavádzaniu obehového hospodárstva a je základnou víziou Akčného plánu pre obehového hospodárstvo. Súčasťou legislatívnej iniciatívy je revízia pôsobnosti smernice o </w:t>
            </w:r>
            <w:proofErr w:type="spellStart"/>
            <w:r w:rsidRPr="00E47756">
              <w:rPr>
                <w:sz w:val="20"/>
                <w:szCs w:val="20"/>
              </w:rPr>
              <w:t>ekodizajne</w:t>
            </w:r>
            <w:proofErr w:type="spellEnd"/>
            <w:r w:rsidRPr="00E47756">
              <w:rPr>
                <w:sz w:val="20"/>
                <w:szCs w:val="20"/>
              </w:rPr>
              <w:t xml:space="preserve"> a to nad rámec energeticky významných výrobkov. Revízia  by podľa informácií EK mala viesť k úpravám metodológie procesu </w:t>
            </w:r>
            <w:proofErr w:type="spellStart"/>
            <w:r w:rsidRPr="00E47756">
              <w:rPr>
                <w:sz w:val="20"/>
                <w:szCs w:val="20"/>
              </w:rPr>
              <w:t>ekodizajnu</w:t>
            </w:r>
            <w:proofErr w:type="spellEnd"/>
            <w:r w:rsidRPr="00E47756">
              <w:rPr>
                <w:sz w:val="20"/>
                <w:szCs w:val="20"/>
              </w:rPr>
              <w:t xml:space="preserve"> s  dôrazom na predlžovanie životnosti, opätovného využívania výrobkov a obsahu nebezpečných látok vo výrobkoch. Z pohľadu SR je kľúčové, aby revízia smernice a celá iniciatíva bola hodnotená z pohľadu nie len vplyvov na životné prostredie, ale aj z pohľadu dopadov na podnikateľské prostredie a </w:t>
            </w:r>
            <w:r w:rsidRPr="00E47756">
              <w:rPr>
                <w:sz w:val="20"/>
                <w:szCs w:val="20"/>
              </w:rPr>
              <w:lastRenderedPageBreak/>
              <w:t>náklady pre spotrebiteľov. Iniciatívu by malo sprevádzať dôsledné hodnotenie dopadov (</w:t>
            </w:r>
            <w:proofErr w:type="spellStart"/>
            <w:r w:rsidRPr="00E47756">
              <w:rPr>
                <w:sz w:val="20"/>
                <w:szCs w:val="20"/>
              </w:rPr>
              <w:t>Impact</w:t>
            </w:r>
            <w:proofErr w:type="spellEnd"/>
            <w:r w:rsidRPr="00E47756">
              <w:rPr>
                <w:sz w:val="20"/>
                <w:szCs w:val="20"/>
              </w:rPr>
              <w:t xml:space="preserve"> </w:t>
            </w:r>
            <w:proofErr w:type="spellStart"/>
            <w:r w:rsidRPr="00E47756">
              <w:rPr>
                <w:sz w:val="20"/>
                <w:szCs w:val="20"/>
              </w:rPr>
              <w:t>Assessment</w:t>
            </w:r>
            <w:proofErr w:type="spellEnd"/>
            <w:r w:rsidRPr="00E47756">
              <w:rPr>
                <w:sz w:val="20"/>
                <w:szCs w:val="20"/>
              </w:rPr>
              <w:t>), ktoré obsiahne aj uvedené aspekty</w:t>
            </w:r>
            <w:r w:rsidRPr="00E47756">
              <w:rPr>
                <w:b/>
                <w:sz w:val="20"/>
                <w:szCs w:val="20"/>
              </w:rPr>
              <w:t xml:space="preserve">.  </w:t>
            </w:r>
          </w:p>
        </w:tc>
      </w:tr>
      <w:tr w:rsidR="00E47756" w:rsidRPr="00E47756" w14:paraId="38E857B3" w14:textId="77777777" w:rsidTr="001A4016">
        <w:trPr>
          <w:trHeight w:val="266"/>
        </w:trPr>
        <w:tc>
          <w:tcPr>
            <w:tcW w:w="415" w:type="dxa"/>
            <w:tcBorders>
              <w:top w:val="single" w:sz="4" w:space="0" w:color="auto"/>
              <w:left w:val="single" w:sz="4" w:space="0" w:color="auto"/>
              <w:bottom w:val="single" w:sz="4" w:space="0" w:color="auto"/>
              <w:right w:val="single" w:sz="4" w:space="0" w:color="auto"/>
            </w:tcBorders>
          </w:tcPr>
          <w:p w14:paraId="7F920F82" w14:textId="77777777" w:rsidR="00E47756" w:rsidRPr="00E47756" w:rsidRDefault="00E47756" w:rsidP="00E47756">
            <w:pPr>
              <w:spacing w:after="0" w:line="240" w:lineRule="auto"/>
              <w:ind w:left="57" w:right="57"/>
            </w:pPr>
          </w:p>
        </w:tc>
        <w:tc>
          <w:tcPr>
            <w:tcW w:w="2396" w:type="dxa"/>
            <w:tcBorders>
              <w:top w:val="single" w:sz="4" w:space="0" w:color="auto"/>
              <w:left w:val="single" w:sz="4" w:space="0" w:color="auto"/>
              <w:bottom w:val="single" w:sz="4" w:space="0" w:color="auto"/>
              <w:right w:val="single" w:sz="4" w:space="0" w:color="auto"/>
            </w:tcBorders>
          </w:tcPr>
          <w:p w14:paraId="2169DA46" w14:textId="77777777" w:rsidR="00E47756" w:rsidRPr="00E47756" w:rsidRDefault="00E47756" w:rsidP="00E47756">
            <w:pPr>
              <w:spacing w:after="0" w:line="240" w:lineRule="auto"/>
              <w:ind w:left="57" w:right="57"/>
            </w:pPr>
            <w:r w:rsidRPr="00E47756">
              <w:rPr>
                <w:b/>
                <w:bCs/>
                <w:sz w:val="20"/>
                <w:szCs w:val="20"/>
              </w:rPr>
              <w:t xml:space="preserve">Všeobecný </w:t>
            </w:r>
            <w:proofErr w:type="spellStart"/>
            <w:r w:rsidRPr="00E47756">
              <w:rPr>
                <w:b/>
                <w:bCs/>
                <w:sz w:val="20"/>
                <w:szCs w:val="20"/>
              </w:rPr>
              <w:t>únijný</w:t>
            </w:r>
            <w:proofErr w:type="spellEnd"/>
            <w:r w:rsidRPr="00E47756">
              <w:rPr>
                <w:b/>
                <w:bCs/>
                <w:sz w:val="20"/>
                <w:szCs w:val="20"/>
              </w:rPr>
              <w:t xml:space="preserve"> environmentálny program do roku 2030 tzv. 8. EAP</w:t>
            </w:r>
          </w:p>
        </w:tc>
        <w:tc>
          <w:tcPr>
            <w:tcW w:w="4082" w:type="dxa"/>
            <w:gridSpan w:val="3"/>
            <w:tcBorders>
              <w:top w:val="single" w:sz="4" w:space="0" w:color="auto"/>
              <w:left w:val="single" w:sz="4" w:space="0" w:color="auto"/>
              <w:bottom w:val="single" w:sz="4" w:space="0" w:color="auto"/>
              <w:right w:val="single" w:sz="4" w:space="0" w:color="auto"/>
            </w:tcBorders>
          </w:tcPr>
          <w:p w14:paraId="74E78692" w14:textId="77777777" w:rsidR="00E47756" w:rsidRPr="00E47756" w:rsidRDefault="00E47756" w:rsidP="00E47756">
            <w:pPr>
              <w:spacing w:after="0" w:line="240" w:lineRule="auto"/>
              <w:ind w:left="57" w:right="57"/>
              <w:rPr>
                <w:sz w:val="20"/>
              </w:rPr>
            </w:pPr>
            <w:r w:rsidRPr="00E47756">
              <w:rPr>
                <w:sz w:val="20"/>
              </w:rPr>
              <w:t xml:space="preserve">presadzovanie ambícií </w:t>
            </w:r>
            <w:r w:rsidRPr="00E47756">
              <w:rPr>
                <w:bCs/>
                <w:sz w:val="20"/>
              </w:rPr>
              <w:t xml:space="preserve">zameraných </w:t>
            </w:r>
            <w:r w:rsidRPr="00E47756">
              <w:rPr>
                <w:b/>
                <w:bCs/>
                <w:sz w:val="20"/>
              </w:rPr>
              <w:t>na nulové znečistenie (</w:t>
            </w:r>
            <w:proofErr w:type="spellStart"/>
            <w:r w:rsidRPr="00E47756">
              <w:rPr>
                <w:b/>
                <w:bCs/>
                <w:sz w:val="20"/>
              </w:rPr>
              <w:t>zero</w:t>
            </w:r>
            <w:proofErr w:type="spellEnd"/>
            <w:r w:rsidRPr="00E47756">
              <w:rPr>
                <w:b/>
                <w:bCs/>
                <w:sz w:val="20"/>
              </w:rPr>
              <w:t xml:space="preserve"> </w:t>
            </w:r>
            <w:proofErr w:type="spellStart"/>
            <w:r w:rsidRPr="00E47756">
              <w:rPr>
                <w:b/>
                <w:bCs/>
                <w:sz w:val="20"/>
              </w:rPr>
              <w:t>pollution</w:t>
            </w:r>
            <w:proofErr w:type="spellEnd"/>
            <w:r w:rsidRPr="00E47756">
              <w:rPr>
                <w:b/>
                <w:bCs/>
                <w:sz w:val="20"/>
              </w:rPr>
              <w:t xml:space="preserve"> </w:t>
            </w:r>
            <w:proofErr w:type="spellStart"/>
            <w:r w:rsidRPr="00E47756">
              <w:rPr>
                <w:b/>
                <w:bCs/>
                <w:sz w:val="20"/>
              </w:rPr>
              <w:t>ambition</w:t>
            </w:r>
            <w:proofErr w:type="spellEnd"/>
            <w:r w:rsidRPr="00E47756">
              <w:rPr>
                <w:b/>
                <w:bCs/>
                <w:sz w:val="20"/>
              </w:rPr>
              <w:t>)</w:t>
            </w:r>
            <w:r w:rsidRPr="00E47756">
              <w:rPr>
                <w:b/>
                <w:sz w:val="20"/>
              </w:rPr>
              <w:t xml:space="preserve">, a to v prípade </w:t>
            </w:r>
            <w:r w:rsidRPr="00E47756">
              <w:rPr>
                <w:b/>
                <w:bCs/>
                <w:sz w:val="20"/>
              </w:rPr>
              <w:t>ovzdušia</w:t>
            </w:r>
            <w:r w:rsidRPr="00E47756">
              <w:rPr>
                <w:bCs/>
                <w:sz w:val="20"/>
              </w:rPr>
              <w:t>, vody a pôdy, a ochrana zdravia a pohody Európanov</w:t>
            </w:r>
            <w:r w:rsidRPr="00E47756">
              <w:rPr>
                <w:sz w:val="20"/>
              </w:rPr>
              <w:t>;</w:t>
            </w:r>
          </w:p>
          <w:p w14:paraId="71227264" w14:textId="77777777" w:rsidR="00E47756" w:rsidRPr="00E47756" w:rsidRDefault="00E47756" w:rsidP="00E47756">
            <w:pPr>
              <w:spacing w:after="0" w:line="240" w:lineRule="auto"/>
              <w:ind w:left="57" w:right="57"/>
              <w:rPr>
                <w:b/>
                <w:sz w:val="20"/>
              </w:rPr>
            </w:pPr>
            <w:r w:rsidRPr="00E47756">
              <w:rPr>
                <w:sz w:val="20"/>
              </w:rPr>
              <w:t xml:space="preserve"> </w:t>
            </w:r>
          </w:p>
        </w:tc>
        <w:tc>
          <w:tcPr>
            <w:tcW w:w="1972" w:type="dxa"/>
            <w:tcBorders>
              <w:top w:val="single" w:sz="4" w:space="0" w:color="auto"/>
              <w:left w:val="single" w:sz="4" w:space="0" w:color="auto"/>
              <w:bottom w:val="single" w:sz="4" w:space="0" w:color="auto"/>
              <w:right w:val="single" w:sz="4" w:space="0" w:color="auto"/>
            </w:tcBorders>
          </w:tcPr>
          <w:p w14:paraId="518B6123" w14:textId="77777777" w:rsidR="00E47756" w:rsidRPr="00E47756" w:rsidRDefault="00E47756" w:rsidP="00E47756">
            <w:pPr>
              <w:spacing w:after="0" w:line="240" w:lineRule="auto"/>
              <w:ind w:left="57" w:right="57"/>
              <w:jc w:val="center"/>
              <w:rPr>
                <w:b/>
                <w:sz w:val="20"/>
                <w:szCs w:val="20"/>
              </w:rPr>
            </w:pPr>
            <w:r w:rsidRPr="00E47756">
              <w:rPr>
                <w:b/>
                <w:sz w:val="20"/>
                <w:szCs w:val="20"/>
              </w:rPr>
              <w:t>MŽP SR</w:t>
            </w:r>
          </w:p>
          <w:p w14:paraId="6B1A4A76" w14:textId="77777777" w:rsidR="00E47756" w:rsidRPr="00E47756" w:rsidRDefault="00E47756" w:rsidP="00E47756">
            <w:pPr>
              <w:spacing w:after="0" w:line="240" w:lineRule="auto"/>
              <w:ind w:left="57" w:right="57"/>
              <w:jc w:val="center"/>
              <w:rPr>
                <w:b/>
                <w:sz w:val="20"/>
                <w:szCs w:val="20"/>
              </w:rPr>
            </w:pPr>
            <w:r w:rsidRPr="00E47756">
              <w:rPr>
                <w:b/>
                <w:sz w:val="20"/>
                <w:szCs w:val="20"/>
              </w:rPr>
              <w:t>MPRV SR</w:t>
            </w:r>
          </w:p>
        </w:tc>
        <w:tc>
          <w:tcPr>
            <w:tcW w:w="5777" w:type="dxa"/>
            <w:tcBorders>
              <w:top w:val="single" w:sz="4" w:space="0" w:color="auto"/>
              <w:left w:val="single" w:sz="4" w:space="0" w:color="auto"/>
              <w:bottom w:val="single" w:sz="4" w:space="0" w:color="auto"/>
              <w:right w:val="single" w:sz="4" w:space="0" w:color="auto"/>
            </w:tcBorders>
          </w:tcPr>
          <w:p w14:paraId="6AA78D65" w14:textId="77777777" w:rsidR="00E47756" w:rsidRPr="00E47756" w:rsidRDefault="00E47756" w:rsidP="001A4016">
            <w:pPr>
              <w:spacing w:after="0" w:line="240" w:lineRule="auto"/>
              <w:ind w:left="57" w:right="57"/>
              <w:rPr>
                <w:sz w:val="20"/>
                <w:szCs w:val="20"/>
              </w:rPr>
            </w:pPr>
            <w:r w:rsidRPr="00E47756">
              <w:rPr>
                <w:b/>
                <w:sz w:val="20"/>
                <w:szCs w:val="20"/>
                <w:u w:val="single"/>
              </w:rPr>
              <w:t>Vysoká priorita</w:t>
            </w:r>
            <w:r w:rsidRPr="00E47756">
              <w:rPr>
                <w:b/>
                <w:sz w:val="20"/>
                <w:szCs w:val="20"/>
              </w:rPr>
              <w:t xml:space="preserve"> – </w:t>
            </w:r>
            <w:r w:rsidRPr="00E47756">
              <w:rPr>
                <w:sz w:val="20"/>
                <w:szCs w:val="20"/>
              </w:rPr>
              <w:t>Uvedený návrh predstavuje súčasť dlhodobej vízie a stratégie EÚ v oblasti ochrany životného prostredia a zmeny klímy do      roku 2050 a ustanovuje podporný rámec umožňujúci dosiahnutie prioritných cieľov. Bude zabezpečovať pravidelné meranie pokroku pri dosahovaní týchto cieľov, ktorý by mal v konečnom dôsledku informovať tvorcov politík o tom, či sú environmentálne politiky dostatočne ambiciózne na to, aby sa mohol dosiahnuť hlavný dlhodobý cieľ, ktorým je zabezpečenie blahobytu pre všetkých v rámci ekologických limitov planéty.</w:t>
            </w:r>
          </w:p>
        </w:tc>
      </w:tr>
      <w:tr w:rsidR="00E47756" w:rsidRPr="00E47756" w14:paraId="5FEBDAC2" w14:textId="77777777" w:rsidTr="001A4016">
        <w:tblPrEx>
          <w:tblCellMar>
            <w:top w:w="2" w:type="dxa"/>
            <w:right w:w="0" w:type="dxa"/>
          </w:tblCellMar>
        </w:tblPrEx>
        <w:trPr>
          <w:trHeight w:val="276"/>
        </w:trPr>
        <w:tc>
          <w:tcPr>
            <w:tcW w:w="415" w:type="dxa"/>
            <w:tcBorders>
              <w:top w:val="single" w:sz="4" w:space="0" w:color="000000"/>
              <w:left w:val="single" w:sz="4" w:space="0" w:color="000000"/>
              <w:right w:val="single" w:sz="4" w:space="0" w:color="000000"/>
            </w:tcBorders>
          </w:tcPr>
          <w:p w14:paraId="4479391B" w14:textId="77777777" w:rsidR="00E47756" w:rsidRPr="00E47756" w:rsidRDefault="00E47756" w:rsidP="00E47756">
            <w:pPr>
              <w:spacing w:after="0" w:line="240" w:lineRule="auto"/>
              <w:ind w:left="57" w:right="57"/>
              <w:jc w:val="center"/>
            </w:pPr>
            <w:r w:rsidRPr="00E47756">
              <w:rPr>
                <w:sz w:val="20"/>
              </w:rPr>
              <w:t>3.</w:t>
            </w:r>
          </w:p>
        </w:tc>
        <w:tc>
          <w:tcPr>
            <w:tcW w:w="2396" w:type="dxa"/>
            <w:tcBorders>
              <w:top w:val="single" w:sz="4" w:space="0" w:color="000000"/>
              <w:left w:val="single" w:sz="4" w:space="0" w:color="000000"/>
              <w:right w:val="single" w:sz="4" w:space="0" w:color="000000"/>
            </w:tcBorders>
          </w:tcPr>
          <w:p w14:paraId="79909ACB" w14:textId="77777777" w:rsidR="00E47756" w:rsidRPr="00E47756" w:rsidRDefault="00E47756" w:rsidP="00E47756">
            <w:pPr>
              <w:spacing w:after="0" w:line="240" w:lineRule="auto"/>
              <w:ind w:left="57" w:right="57"/>
            </w:pPr>
            <w:r w:rsidRPr="00E47756">
              <w:rPr>
                <w:b/>
                <w:sz w:val="20"/>
              </w:rPr>
              <w:t xml:space="preserve">Balík pre biodiverzitu a netoxické prostredie </w:t>
            </w:r>
          </w:p>
        </w:tc>
        <w:tc>
          <w:tcPr>
            <w:tcW w:w="348" w:type="dxa"/>
            <w:gridSpan w:val="2"/>
            <w:tcBorders>
              <w:top w:val="single" w:sz="4" w:space="0" w:color="000000"/>
              <w:left w:val="single" w:sz="4" w:space="0" w:color="000000"/>
              <w:right w:val="nil"/>
            </w:tcBorders>
          </w:tcPr>
          <w:p w14:paraId="3B8F63B8" w14:textId="77777777" w:rsidR="00E47756" w:rsidRPr="00E47756" w:rsidRDefault="00E47756" w:rsidP="00E47756">
            <w:pPr>
              <w:spacing w:after="0" w:line="240" w:lineRule="auto"/>
              <w:ind w:left="57" w:right="57"/>
              <w:rPr>
                <w:color w:val="auto"/>
              </w:rPr>
            </w:pPr>
            <w:r w:rsidRPr="00E47756">
              <w:rPr>
                <w:color w:val="auto"/>
                <w:sz w:val="20"/>
              </w:rPr>
              <w:t>a)</w:t>
            </w:r>
            <w:r w:rsidRPr="00E47756">
              <w:rPr>
                <w:rFonts w:ascii="Arial" w:hAnsi="Arial" w:cs="Arial"/>
                <w:color w:val="auto"/>
                <w:sz w:val="20"/>
              </w:rPr>
              <w:t xml:space="preserve"> </w:t>
            </w:r>
          </w:p>
        </w:tc>
        <w:tc>
          <w:tcPr>
            <w:tcW w:w="3734" w:type="dxa"/>
            <w:tcBorders>
              <w:top w:val="single" w:sz="4" w:space="0" w:color="000000"/>
              <w:left w:val="nil"/>
              <w:right w:val="single" w:sz="4" w:space="0" w:color="000000"/>
            </w:tcBorders>
          </w:tcPr>
          <w:p w14:paraId="06F15AFF" w14:textId="77777777" w:rsidR="00E47756" w:rsidRPr="00E47756" w:rsidRDefault="00E47756" w:rsidP="00E47756">
            <w:pPr>
              <w:spacing w:after="0" w:line="240" w:lineRule="auto"/>
              <w:ind w:left="57" w:right="57"/>
              <w:rPr>
                <w:b/>
                <w:color w:val="auto"/>
                <w:sz w:val="20"/>
              </w:rPr>
            </w:pPr>
            <w:r w:rsidRPr="00E47756">
              <w:rPr>
                <w:b/>
                <w:color w:val="auto"/>
                <w:sz w:val="20"/>
              </w:rPr>
              <w:t>akčný plán rozvoja ekologickej výroby: na ceste k roku 2030</w:t>
            </w:r>
            <w:r w:rsidRPr="00E47756">
              <w:rPr>
                <w:color w:val="auto"/>
                <w:sz w:val="20"/>
              </w:rPr>
              <w:t xml:space="preserve"> (nelegislatívna iniciatíva, 1. štvrťrok 2021);</w:t>
            </w:r>
            <w:r w:rsidRPr="00E47756">
              <w:rPr>
                <w:b/>
                <w:color w:val="auto"/>
                <w:sz w:val="20"/>
              </w:rPr>
              <w:t xml:space="preserve"> </w:t>
            </w:r>
          </w:p>
          <w:p w14:paraId="743C913F" w14:textId="77777777" w:rsidR="00E47756" w:rsidRPr="00E47756" w:rsidRDefault="00E47756" w:rsidP="00E47756">
            <w:pPr>
              <w:spacing w:after="0" w:line="240" w:lineRule="auto"/>
              <w:ind w:left="57" w:right="57"/>
              <w:rPr>
                <w:color w:val="auto"/>
              </w:rPr>
            </w:pPr>
          </w:p>
        </w:tc>
        <w:tc>
          <w:tcPr>
            <w:tcW w:w="1972" w:type="dxa"/>
            <w:tcBorders>
              <w:top w:val="single" w:sz="4" w:space="0" w:color="000000"/>
              <w:left w:val="nil"/>
              <w:right w:val="single" w:sz="4" w:space="0" w:color="000000"/>
            </w:tcBorders>
          </w:tcPr>
          <w:p w14:paraId="529D08F5" w14:textId="77777777" w:rsidR="00E47756" w:rsidRPr="00E47756" w:rsidRDefault="00E47756" w:rsidP="00E47756">
            <w:pPr>
              <w:spacing w:after="0" w:line="240" w:lineRule="auto"/>
              <w:ind w:left="57" w:right="57"/>
              <w:jc w:val="center"/>
              <w:rPr>
                <w:b/>
                <w:sz w:val="20"/>
              </w:rPr>
            </w:pPr>
            <w:r w:rsidRPr="00E47756">
              <w:rPr>
                <w:b/>
                <w:sz w:val="20"/>
              </w:rPr>
              <w:t>MPRV SR</w:t>
            </w:r>
          </w:p>
        </w:tc>
        <w:tc>
          <w:tcPr>
            <w:tcW w:w="5777" w:type="dxa"/>
            <w:tcBorders>
              <w:top w:val="single" w:sz="4" w:space="0" w:color="000000"/>
              <w:left w:val="nil"/>
              <w:right w:val="single" w:sz="4" w:space="0" w:color="000000"/>
            </w:tcBorders>
          </w:tcPr>
          <w:p w14:paraId="6D6D8E92" w14:textId="77777777" w:rsidR="00E47756" w:rsidRPr="00E47756" w:rsidRDefault="00E47756" w:rsidP="00E47756">
            <w:pPr>
              <w:spacing w:after="0" w:line="240" w:lineRule="auto"/>
              <w:ind w:left="57" w:right="57"/>
              <w:rPr>
                <w:color w:val="auto"/>
                <w:sz w:val="20"/>
                <w:szCs w:val="20"/>
              </w:rPr>
            </w:pPr>
            <w:r w:rsidRPr="00E47756">
              <w:rPr>
                <w:b/>
                <w:sz w:val="20"/>
                <w:u w:val="single"/>
              </w:rPr>
              <w:t>Nižšia priorita</w:t>
            </w:r>
            <w:r w:rsidRPr="00E47756">
              <w:rPr>
                <w:b/>
                <w:sz w:val="20"/>
                <w:szCs w:val="20"/>
              </w:rPr>
              <w:t xml:space="preserve"> - </w:t>
            </w:r>
            <w:r w:rsidRPr="00E47756">
              <w:rPr>
                <w:color w:val="auto"/>
                <w:sz w:val="20"/>
                <w:szCs w:val="20"/>
              </w:rPr>
              <w:t>Zabezpečením ďalšieho nárastu plochy ekologického poľnohospodárstva by SR mohla v budúcnosti prispieť k cieľu Európskej zelenej dohody avšak dosiahnutie plánovaných 25 % pôdy EÚ v rámci ekologického poľnohospodárstva do roku 2030 na Slovenskú republiku je príliš ambiciózny. Pre Slovensku republiku reálnejším cieľom je dosiahnutie aspoň 16%. Z historického hľadiska je Slovenská republika dlhodobo na úrovni 9-10 % plochy v ekologickej poľnohospodárskej výrobe z celkovej poľnohospodárskej plochy. Navýšenie na úroveň 16 % bude vyžadovať nemalé úsilie aj zo strany štátu a tento podiel by sa dal dosiahnuť výraznou podporou ekologického poľnohospodárstva v budúcich programovacích obdobiach.</w:t>
            </w:r>
          </w:p>
          <w:p w14:paraId="1F0362A3" w14:textId="77777777" w:rsidR="00E47756" w:rsidRPr="00E47756" w:rsidRDefault="00E47756" w:rsidP="00E47756">
            <w:pPr>
              <w:spacing w:after="0" w:line="240" w:lineRule="auto"/>
              <w:ind w:left="57" w:right="57"/>
              <w:rPr>
                <w:b/>
                <w:sz w:val="20"/>
              </w:rPr>
            </w:pPr>
          </w:p>
        </w:tc>
      </w:tr>
      <w:tr w:rsidR="00E47756" w:rsidRPr="00E47756" w14:paraId="2D390F62" w14:textId="77777777" w:rsidTr="00AB0B2D">
        <w:tblPrEx>
          <w:tblCellMar>
            <w:top w:w="2" w:type="dxa"/>
            <w:right w:w="0" w:type="dxa"/>
          </w:tblCellMar>
        </w:tblPrEx>
        <w:trPr>
          <w:trHeight w:val="456"/>
        </w:trPr>
        <w:tc>
          <w:tcPr>
            <w:tcW w:w="415" w:type="dxa"/>
            <w:tcBorders>
              <w:top w:val="nil"/>
              <w:left w:val="single" w:sz="4" w:space="0" w:color="000000"/>
              <w:bottom w:val="single" w:sz="4" w:space="0" w:color="auto"/>
              <w:right w:val="single" w:sz="4" w:space="0" w:color="000000"/>
            </w:tcBorders>
          </w:tcPr>
          <w:p w14:paraId="7634329E" w14:textId="77777777" w:rsidR="00E47756" w:rsidRPr="00E47756" w:rsidRDefault="00E47756" w:rsidP="00E47756">
            <w:pPr>
              <w:spacing w:after="0" w:line="240" w:lineRule="auto"/>
              <w:ind w:left="57" w:right="57"/>
            </w:pPr>
          </w:p>
        </w:tc>
        <w:tc>
          <w:tcPr>
            <w:tcW w:w="2396" w:type="dxa"/>
            <w:tcBorders>
              <w:top w:val="nil"/>
              <w:left w:val="single" w:sz="4" w:space="0" w:color="000000"/>
              <w:bottom w:val="single" w:sz="4" w:space="0" w:color="auto"/>
              <w:right w:val="single" w:sz="4" w:space="0" w:color="000000"/>
            </w:tcBorders>
          </w:tcPr>
          <w:p w14:paraId="4B86D80D" w14:textId="77777777" w:rsidR="00E47756" w:rsidRPr="00E47756" w:rsidRDefault="00E47756" w:rsidP="00E47756">
            <w:pPr>
              <w:spacing w:after="0" w:line="240" w:lineRule="auto"/>
              <w:ind w:left="57" w:right="57"/>
            </w:pPr>
          </w:p>
        </w:tc>
        <w:tc>
          <w:tcPr>
            <w:tcW w:w="348" w:type="dxa"/>
            <w:gridSpan w:val="2"/>
            <w:tcBorders>
              <w:top w:val="nil"/>
              <w:left w:val="single" w:sz="4" w:space="0" w:color="000000"/>
              <w:bottom w:val="single" w:sz="4" w:space="0" w:color="auto"/>
              <w:right w:val="nil"/>
            </w:tcBorders>
          </w:tcPr>
          <w:p w14:paraId="0F1B3FEB" w14:textId="77777777" w:rsidR="00E47756" w:rsidRPr="00E47756" w:rsidRDefault="00E47756" w:rsidP="00E47756">
            <w:pPr>
              <w:spacing w:after="0" w:line="240" w:lineRule="auto"/>
              <w:ind w:left="57" w:right="57"/>
            </w:pPr>
            <w:r w:rsidRPr="00E47756">
              <w:rPr>
                <w:sz w:val="20"/>
              </w:rPr>
              <w:t>b)</w:t>
            </w:r>
            <w:r w:rsidRPr="00E47756">
              <w:rPr>
                <w:rFonts w:ascii="Arial" w:hAnsi="Arial" w:cs="Arial"/>
                <w:sz w:val="20"/>
              </w:rPr>
              <w:t xml:space="preserve"> </w:t>
            </w:r>
          </w:p>
        </w:tc>
        <w:tc>
          <w:tcPr>
            <w:tcW w:w="3734" w:type="dxa"/>
            <w:tcBorders>
              <w:top w:val="nil"/>
              <w:left w:val="nil"/>
              <w:bottom w:val="single" w:sz="4" w:space="0" w:color="auto"/>
              <w:right w:val="single" w:sz="4" w:space="0" w:color="000000"/>
            </w:tcBorders>
          </w:tcPr>
          <w:p w14:paraId="236FE201" w14:textId="77777777" w:rsidR="00E47756" w:rsidRPr="00E47756" w:rsidRDefault="00E47756" w:rsidP="00E47756">
            <w:pPr>
              <w:spacing w:after="0" w:line="240" w:lineRule="auto"/>
              <w:ind w:left="57" w:right="57"/>
              <w:rPr>
                <w:b/>
                <w:sz w:val="20"/>
              </w:rPr>
            </w:pPr>
            <w:r w:rsidRPr="00E47756">
              <w:rPr>
                <w:b/>
                <w:sz w:val="20"/>
              </w:rPr>
              <w:t>minimalizácia rizika odlesňovania a ničenia lesov spojeného s výrobkami uvádzanými na trh EÚ</w:t>
            </w:r>
            <w:r w:rsidRPr="00E47756">
              <w:rPr>
                <w:sz w:val="20"/>
              </w:rPr>
              <w:t xml:space="preserve"> (legislatívna iniciatíva vrátane posúdenia vplyvu, 2. štvrťrok 2021);</w:t>
            </w:r>
            <w:r w:rsidRPr="00E47756">
              <w:rPr>
                <w:b/>
                <w:sz w:val="20"/>
              </w:rPr>
              <w:t xml:space="preserve"> </w:t>
            </w:r>
          </w:p>
        </w:tc>
        <w:tc>
          <w:tcPr>
            <w:tcW w:w="1972" w:type="dxa"/>
            <w:tcBorders>
              <w:top w:val="nil"/>
              <w:left w:val="nil"/>
              <w:bottom w:val="single" w:sz="4" w:space="0" w:color="auto"/>
              <w:right w:val="single" w:sz="4" w:space="0" w:color="000000"/>
            </w:tcBorders>
          </w:tcPr>
          <w:p w14:paraId="163E0CB8" w14:textId="77777777" w:rsidR="00E47756" w:rsidRPr="00E47756" w:rsidRDefault="00E47756" w:rsidP="00E47756">
            <w:pPr>
              <w:spacing w:after="0" w:line="240" w:lineRule="auto"/>
              <w:ind w:left="57" w:right="57"/>
              <w:jc w:val="center"/>
              <w:rPr>
                <w:b/>
                <w:sz w:val="20"/>
              </w:rPr>
            </w:pPr>
            <w:r w:rsidRPr="00E47756">
              <w:rPr>
                <w:b/>
                <w:sz w:val="20"/>
              </w:rPr>
              <w:t>MPRV SR</w:t>
            </w:r>
          </w:p>
        </w:tc>
        <w:tc>
          <w:tcPr>
            <w:tcW w:w="5777" w:type="dxa"/>
            <w:tcBorders>
              <w:top w:val="nil"/>
              <w:left w:val="nil"/>
              <w:bottom w:val="single" w:sz="4" w:space="0" w:color="auto"/>
              <w:right w:val="single" w:sz="4" w:space="0" w:color="000000"/>
            </w:tcBorders>
          </w:tcPr>
          <w:p w14:paraId="657AA5D7" w14:textId="77777777" w:rsidR="00E47756" w:rsidRPr="00E47756" w:rsidRDefault="00E47756" w:rsidP="00E47756">
            <w:pPr>
              <w:spacing w:after="0" w:line="240" w:lineRule="auto"/>
              <w:ind w:left="57" w:right="57"/>
              <w:rPr>
                <w:b/>
                <w:sz w:val="20"/>
                <w:u w:val="single"/>
              </w:rPr>
            </w:pPr>
            <w:r w:rsidRPr="00E47756">
              <w:rPr>
                <w:b/>
                <w:sz w:val="20"/>
                <w:u w:val="single"/>
              </w:rPr>
              <w:t>Stredná priorita</w:t>
            </w:r>
            <w:r w:rsidRPr="00E47756">
              <w:rPr>
                <w:b/>
                <w:sz w:val="20"/>
                <w:szCs w:val="20"/>
              </w:rPr>
              <w:t xml:space="preserve"> - </w:t>
            </w:r>
            <w:r w:rsidRPr="00E47756">
              <w:rPr>
                <w:sz w:val="20"/>
              </w:rPr>
              <w:t xml:space="preserve">SR vo všeobecnosti podporuje úsilie a opatrenia EÚ v boji proti odlesňovaniu a degradácii lesov na globálnej úrovni. </w:t>
            </w:r>
          </w:p>
        </w:tc>
      </w:tr>
      <w:tr w:rsidR="00E47756" w:rsidRPr="00E47756" w14:paraId="7AAC7344" w14:textId="77777777" w:rsidTr="00AB0B2D">
        <w:tblPrEx>
          <w:tblCellMar>
            <w:top w:w="2" w:type="dxa"/>
            <w:right w:w="0" w:type="dxa"/>
          </w:tblCellMar>
        </w:tblPrEx>
        <w:trPr>
          <w:trHeight w:val="230"/>
        </w:trPr>
        <w:tc>
          <w:tcPr>
            <w:tcW w:w="415" w:type="dxa"/>
            <w:tcBorders>
              <w:top w:val="single" w:sz="4" w:space="0" w:color="auto"/>
              <w:left w:val="single" w:sz="4" w:space="0" w:color="000000"/>
              <w:bottom w:val="single" w:sz="4" w:space="0" w:color="auto"/>
              <w:right w:val="single" w:sz="4" w:space="0" w:color="000000"/>
            </w:tcBorders>
          </w:tcPr>
          <w:p w14:paraId="010FFA1F" w14:textId="77777777" w:rsidR="00E47756" w:rsidRPr="00E47756" w:rsidRDefault="00E47756" w:rsidP="00E47756">
            <w:pPr>
              <w:spacing w:after="0" w:line="240" w:lineRule="auto"/>
              <w:ind w:left="57" w:right="57"/>
            </w:pPr>
          </w:p>
        </w:tc>
        <w:tc>
          <w:tcPr>
            <w:tcW w:w="2396" w:type="dxa"/>
            <w:tcBorders>
              <w:top w:val="single" w:sz="4" w:space="0" w:color="auto"/>
              <w:left w:val="single" w:sz="4" w:space="0" w:color="000000"/>
              <w:bottom w:val="single" w:sz="4" w:space="0" w:color="auto"/>
              <w:right w:val="single" w:sz="4" w:space="0" w:color="000000"/>
            </w:tcBorders>
          </w:tcPr>
          <w:p w14:paraId="5CFB30BB" w14:textId="77777777" w:rsidR="00E47756" w:rsidRPr="00E47756" w:rsidRDefault="00E47756" w:rsidP="00E47756">
            <w:pPr>
              <w:spacing w:after="0" w:line="240" w:lineRule="auto"/>
              <w:ind w:left="57" w:right="57"/>
            </w:pPr>
          </w:p>
        </w:tc>
        <w:tc>
          <w:tcPr>
            <w:tcW w:w="348" w:type="dxa"/>
            <w:gridSpan w:val="2"/>
            <w:tcBorders>
              <w:top w:val="single" w:sz="4" w:space="0" w:color="auto"/>
              <w:left w:val="single" w:sz="4" w:space="0" w:color="000000"/>
              <w:bottom w:val="single" w:sz="4" w:space="0" w:color="auto"/>
              <w:right w:val="nil"/>
            </w:tcBorders>
          </w:tcPr>
          <w:p w14:paraId="2B895BFD" w14:textId="77777777" w:rsidR="00E47756" w:rsidRPr="00E47756" w:rsidRDefault="00E47756" w:rsidP="00E47756">
            <w:pPr>
              <w:spacing w:after="0" w:line="240" w:lineRule="auto"/>
              <w:ind w:left="57" w:right="57"/>
            </w:pPr>
            <w:r w:rsidRPr="00E47756">
              <w:rPr>
                <w:sz w:val="20"/>
              </w:rPr>
              <w:t>c)</w:t>
            </w:r>
            <w:r w:rsidRPr="00E47756">
              <w:rPr>
                <w:rFonts w:ascii="Arial" w:hAnsi="Arial" w:cs="Arial"/>
                <w:sz w:val="20"/>
              </w:rPr>
              <w:t xml:space="preserve"> </w:t>
            </w:r>
          </w:p>
        </w:tc>
        <w:tc>
          <w:tcPr>
            <w:tcW w:w="3734" w:type="dxa"/>
            <w:tcBorders>
              <w:top w:val="single" w:sz="4" w:space="0" w:color="auto"/>
              <w:left w:val="nil"/>
              <w:bottom w:val="single" w:sz="4" w:space="0" w:color="auto"/>
              <w:right w:val="single" w:sz="4" w:space="0" w:color="000000"/>
            </w:tcBorders>
          </w:tcPr>
          <w:p w14:paraId="4F9AC6FC" w14:textId="77777777" w:rsidR="00E47756" w:rsidRPr="00E47756" w:rsidRDefault="00E47756" w:rsidP="00E47756">
            <w:pPr>
              <w:spacing w:after="0" w:line="240" w:lineRule="auto"/>
              <w:ind w:left="57" w:right="57"/>
              <w:rPr>
                <w:b/>
                <w:sz w:val="20"/>
              </w:rPr>
            </w:pPr>
            <w:r w:rsidRPr="00E47756">
              <w:rPr>
                <w:b/>
                <w:sz w:val="20"/>
              </w:rPr>
              <w:t>akčný plán nulového znečistenia vody, ovzdušia a pôdy</w:t>
            </w:r>
            <w:r w:rsidRPr="00E47756">
              <w:rPr>
                <w:sz w:val="20"/>
              </w:rPr>
              <w:t xml:space="preserve"> (nelegislatívna iniciatíva, 2. štvrťrok 2021);</w:t>
            </w:r>
            <w:r w:rsidRPr="00E47756">
              <w:rPr>
                <w:b/>
                <w:sz w:val="20"/>
              </w:rPr>
              <w:t xml:space="preserve"> </w:t>
            </w:r>
          </w:p>
          <w:p w14:paraId="7FD095B9" w14:textId="77777777" w:rsidR="00E47756" w:rsidRPr="00E47756" w:rsidRDefault="00E47756" w:rsidP="00E47756">
            <w:pPr>
              <w:spacing w:after="0" w:line="240" w:lineRule="auto"/>
              <w:ind w:left="57" w:right="57"/>
            </w:pPr>
          </w:p>
        </w:tc>
        <w:tc>
          <w:tcPr>
            <w:tcW w:w="1972" w:type="dxa"/>
            <w:tcBorders>
              <w:top w:val="single" w:sz="4" w:space="0" w:color="auto"/>
              <w:left w:val="nil"/>
              <w:bottom w:val="single" w:sz="4" w:space="0" w:color="auto"/>
              <w:right w:val="single" w:sz="4" w:space="0" w:color="000000"/>
            </w:tcBorders>
          </w:tcPr>
          <w:p w14:paraId="000CD4CB" w14:textId="77777777" w:rsidR="00E47756" w:rsidRPr="00E47756" w:rsidRDefault="00E47756" w:rsidP="00E47756">
            <w:pPr>
              <w:spacing w:after="0" w:line="240" w:lineRule="auto"/>
              <w:ind w:left="57" w:right="57"/>
              <w:jc w:val="center"/>
              <w:rPr>
                <w:b/>
                <w:bCs/>
                <w:sz w:val="20"/>
                <w:szCs w:val="20"/>
              </w:rPr>
            </w:pPr>
            <w:r w:rsidRPr="00E47756">
              <w:rPr>
                <w:b/>
                <w:bCs/>
                <w:sz w:val="20"/>
                <w:szCs w:val="20"/>
              </w:rPr>
              <w:t>MŽP SR</w:t>
            </w:r>
          </w:p>
          <w:p w14:paraId="074C2985" w14:textId="77777777" w:rsidR="00E47756" w:rsidRPr="00E47756" w:rsidRDefault="00E47756" w:rsidP="00E47756">
            <w:pPr>
              <w:spacing w:after="0" w:line="240" w:lineRule="auto"/>
              <w:ind w:left="57" w:right="57"/>
              <w:jc w:val="center"/>
              <w:rPr>
                <w:b/>
                <w:sz w:val="20"/>
              </w:rPr>
            </w:pPr>
            <w:r w:rsidRPr="00E47756">
              <w:rPr>
                <w:b/>
                <w:bCs/>
                <w:sz w:val="20"/>
                <w:szCs w:val="20"/>
              </w:rPr>
              <w:t>MPRV SR</w:t>
            </w:r>
          </w:p>
        </w:tc>
        <w:tc>
          <w:tcPr>
            <w:tcW w:w="5777" w:type="dxa"/>
            <w:tcBorders>
              <w:top w:val="single" w:sz="4" w:space="0" w:color="auto"/>
              <w:left w:val="nil"/>
              <w:bottom w:val="single" w:sz="4" w:space="0" w:color="auto"/>
              <w:right w:val="single" w:sz="4" w:space="0" w:color="000000"/>
            </w:tcBorders>
          </w:tcPr>
          <w:p w14:paraId="0FE18885" w14:textId="77777777" w:rsidR="00E47756" w:rsidRDefault="00E47756" w:rsidP="00E47756">
            <w:pPr>
              <w:spacing w:after="0" w:line="240" w:lineRule="auto"/>
              <w:ind w:left="57" w:right="57"/>
              <w:rPr>
                <w:bCs/>
                <w:sz w:val="20"/>
                <w:szCs w:val="20"/>
              </w:rPr>
            </w:pPr>
            <w:r w:rsidRPr="00E47756">
              <w:rPr>
                <w:b/>
                <w:bCs/>
                <w:sz w:val="20"/>
                <w:szCs w:val="20"/>
                <w:u w:val="single"/>
              </w:rPr>
              <w:t>Vysoká priorita</w:t>
            </w:r>
            <w:r w:rsidRPr="00E47756">
              <w:rPr>
                <w:b/>
                <w:sz w:val="20"/>
                <w:szCs w:val="20"/>
              </w:rPr>
              <w:t xml:space="preserve"> - </w:t>
            </w:r>
            <w:r w:rsidRPr="00E47756">
              <w:rPr>
                <w:bCs/>
                <w:sz w:val="20"/>
                <w:szCs w:val="20"/>
              </w:rPr>
              <w:t xml:space="preserve">Prierezová problematika s prepojením na </w:t>
            </w:r>
            <w:proofErr w:type="spellStart"/>
            <w:r w:rsidRPr="00E47756">
              <w:rPr>
                <w:bCs/>
                <w:sz w:val="20"/>
                <w:szCs w:val="20"/>
              </w:rPr>
              <w:t>European</w:t>
            </w:r>
            <w:proofErr w:type="spellEnd"/>
            <w:r w:rsidRPr="00E47756">
              <w:rPr>
                <w:bCs/>
                <w:sz w:val="20"/>
                <w:szCs w:val="20"/>
              </w:rPr>
              <w:t xml:space="preserve"> </w:t>
            </w:r>
            <w:proofErr w:type="spellStart"/>
            <w:r w:rsidRPr="00E47756">
              <w:rPr>
                <w:bCs/>
                <w:sz w:val="20"/>
                <w:szCs w:val="20"/>
              </w:rPr>
              <w:t>Green</w:t>
            </w:r>
            <w:proofErr w:type="spellEnd"/>
            <w:r w:rsidRPr="00E47756">
              <w:rPr>
                <w:bCs/>
                <w:sz w:val="20"/>
                <w:szCs w:val="20"/>
              </w:rPr>
              <w:t xml:space="preserve"> </w:t>
            </w:r>
            <w:proofErr w:type="spellStart"/>
            <w:r w:rsidRPr="00E47756">
              <w:rPr>
                <w:bCs/>
                <w:sz w:val="20"/>
                <w:szCs w:val="20"/>
              </w:rPr>
              <w:t>Deal</w:t>
            </w:r>
            <w:proofErr w:type="spellEnd"/>
            <w:r w:rsidRPr="00E47756">
              <w:rPr>
                <w:bCs/>
                <w:sz w:val="20"/>
                <w:szCs w:val="20"/>
              </w:rPr>
              <w:t>.</w:t>
            </w:r>
          </w:p>
          <w:p w14:paraId="5A3F1619" w14:textId="77777777" w:rsidR="001A4016" w:rsidRDefault="001A4016" w:rsidP="00E47756">
            <w:pPr>
              <w:spacing w:after="0" w:line="240" w:lineRule="auto"/>
              <w:ind w:left="57" w:right="57"/>
              <w:rPr>
                <w:b/>
                <w:bCs/>
                <w:sz w:val="20"/>
                <w:szCs w:val="20"/>
                <w:u w:val="single"/>
              </w:rPr>
            </w:pPr>
          </w:p>
          <w:p w14:paraId="413FA52D" w14:textId="77777777" w:rsidR="001A4016" w:rsidRDefault="001A4016" w:rsidP="00E47756">
            <w:pPr>
              <w:spacing w:after="0" w:line="240" w:lineRule="auto"/>
              <w:ind w:left="57" w:right="57"/>
              <w:rPr>
                <w:b/>
                <w:bCs/>
                <w:sz w:val="20"/>
                <w:szCs w:val="20"/>
                <w:u w:val="single"/>
              </w:rPr>
            </w:pPr>
          </w:p>
          <w:p w14:paraId="41B08CC9" w14:textId="77777777" w:rsidR="001A4016" w:rsidRDefault="001A4016" w:rsidP="00E47756">
            <w:pPr>
              <w:spacing w:after="0" w:line="240" w:lineRule="auto"/>
              <w:ind w:left="57" w:right="57"/>
              <w:rPr>
                <w:b/>
                <w:bCs/>
                <w:sz w:val="20"/>
                <w:szCs w:val="20"/>
                <w:u w:val="single"/>
              </w:rPr>
            </w:pPr>
          </w:p>
          <w:p w14:paraId="2D15C1E7" w14:textId="77777777" w:rsidR="001A4016" w:rsidRDefault="001A4016" w:rsidP="00E47756">
            <w:pPr>
              <w:spacing w:after="0" w:line="240" w:lineRule="auto"/>
              <w:ind w:left="57" w:right="57"/>
              <w:rPr>
                <w:b/>
                <w:bCs/>
                <w:sz w:val="20"/>
                <w:szCs w:val="20"/>
                <w:u w:val="single"/>
              </w:rPr>
            </w:pPr>
          </w:p>
          <w:p w14:paraId="36BC8E50" w14:textId="77777777" w:rsidR="001A4016" w:rsidRPr="00E47756" w:rsidRDefault="001A4016" w:rsidP="00E47756">
            <w:pPr>
              <w:spacing w:after="0" w:line="240" w:lineRule="auto"/>
              <w:ind w:left="57" w:right="57"/>
              <w:rPr>
                <w:b/>
                <w:bCs/>
                <w:sz w:val="20"/>
                <w:szCs w:val="20"/>
                <w:u w:val="single"/>
              </w:rPr>
            </w:pPr>
          </w:p>
        </w:tc>
      </w:tr>
      <w:tr w:rsidR="00E47756" w:rsidRPr="00E47756" w14:paraId="795202E2" w14:textId="77777777" w:rsidTr="00AB0B2D">
        <w:tblPrEx>
          <w:tblCellMar>
            <w:top w:w="2" w:type="dxa"/>
            <w:right w:w="0" w:type="dxa"/>
          </w:tblCellMar>
        </w:tblPrEx>
        <w:trPr>
          <w:trHeight w:val="494"/>
        </w:trPr>
        <w:tc>
          <w:tcPr>
            <w:tcW w:w="415" w:type="dxa"/>
            <w:tcBorders>
              <w:top w:val="single" w:sz="4" w:space="0" w:color="auto"/>
              <w:left w:val="single" w:sz="4" w:space="0" w:color="000000"/>
              <w:bottom w:val="single" w:sz="4" w:space="0" w:color="000000"/>
              <w:right w:val="single" w:sz="4" w:space="0" w:color="000000"/>
            </w:tcBorders>
          </w:tcPr>
          <w:p w14:paraId="44CF0099" w14:textId="77777777" w:rsidR="00E47756" w:rsidRPr="00E47756" w:rsidRDefault="00E47756" w:rsidP="00E47756">
            <w:pPr>
              <w:spacing w:after="0" w:line="240" w:lineRule="auto"/>
              <w:ind w:left="57" w:right="57"/>
            </w:pPr>
          </w:p>
        </w:tc>
        <w:tc>
          <w:tcPr>
            <w:tcW w:w="2396" w:type="dxa"/>
            <w:tcBorders>
              <w:top w:val="single" w:sz="4" w:space="0" w:color="auto"/>
              <w:left w:val="single" w:sz="4" w:space="0" w:color="000000"/>
              <w:bottom w:val="single" w:sz="4" w:space="0" w:color="000000"/>
              <w:right w:val="single" w:sz="4" w:space="0" w:color="000000"/>
            </w:tcBorders>
          </w:tcPr>
          <w:p w14:paraId="5456C206" w14:textId="77777777" w:rsidR="00E47756" w:rsidRPr="00E47756" w:rsidRDefault="00E47756" w:rsidP="00E47756">
            <w:pPr>
              <w:spacing w:after="0" w:line="240" w:lineRule="auto"/>
              <w:ind w:left="57" w:right="57"/>
            </w:pPr>
          </w:p>
        </w:tc>
        <w:tc>
          <w:tcPr>
            <w:tcW w:w="348" w:type="dxa"/>
            <w:gridSpan w:val="2"/>
            <w:tcBorders>
              <w:top w:val="single" w:sz="4" w:space="0" w:color="auto"/>
              <w:left w:val="single" w:sz="4" w:space="0" w:color="000000"/>
              <w:bottom w:val="single" w:sz="4" w:space="0" w:color="000000"/>
              <w:right w:val="nil"/>
            </w:tcBorders>
          </w:tcPr>
          <w:p w14:paraId="1F5E5538" w14:textId="77777777" w:rsidR="00E47756" w:rsidRPr="00E47756" w:rsidRDefault="00E47756" w:rsidP="00E47756">
            <w:pPr>
              <w:spacing w:after="0" w:line="240" w:lineRule="auto"/>
              <w:ind w:left="57" w:right="57"/>
            </w:pPr>
            <w:r w:rsidRPr="00E47756">
              <w:rPr>
                <w:sz w:val="20"/>
              </w:rPr>
              <w:t>d)</w:t>
            </w:r>
            <w:r w:rsidRPr="00E47756">
              <w:rPr>
                <w:rFonts w:ascii="Arial" w:hAnsi="Arial" w:cs="Arial"/>
                <w:sz w:val="20"/>
              </w:rPr>
              <w:t xml:space="preserve"> </w:t>
            </w:r>
          </w:p>
        </w:tc>
        <w:tc>
          <w:tcPr>
            <w:tcW w:w="3734" w:type="dxa"/>
            <w:tcBorders>
              <w:top w:val="single" w:sz="4" w:space="0" w:color="auto"/>
              <w:left w:val="nil"/>
              <w:bottom w:val="single" w:sz="4" w:space="0" w:color="000000"/>
              <w:right w:val="single" w:sz="4" w:space="0" w:color="000000"/>
            </w:tcBorders>
          </w:tcPr>
          <w:p w14:paraId="00F8148C" w14:textId="77777777" w:rsidR="00E47756" w:rsidRPr="00E47756" w:rsidRDefault="00E47756" w:rsidP="00E47756">
            <w:pPr>
              <w:spacing w:after="0" w:line="240" w:lineRule="auto"/>
              <w:ind w:left="57" w:right="57"/>
            </w:pPr>
            <w:r w:rsidRPr="00E47756">
              <w:rPr>
                <w:b/>
                <w:sz w:val="20"/>
              </w:rPr>
              <w:t>nový</w:t>
            </w:r>
            <w:r w:rsidRPr="00E47756">
              <w:rPr>
                <w:sz w:val="20"/>
              </w:rPr>
              <w:t xml:space="preserve"> </w:t>
            </w:r>
            <w:r w:rsidRPr="00E47756">
              <w:rPr>
                <w:b/>
                <w:sz w:val="20"/>
              </w:rPr>
              <w:t>právny rámec pre obnovu zdravých ekosystémov</w:t>
            </w:r>
            <w:r w:rsidRPr="00E47756">
              <w:rPr>
                <w:sz w:val="20"/>
              </w:rPr>
              <w:t xml:space="preserve"> (legislatívna iniciatíva vrátane posúdenia vplyvu, článok 192 ZFEÚ, 4. štvrťrok 2021). </w:t>
            </w:r>
          </w:p>
        </w:tc>
        <w:tc>
          <w:tcPr>
            <w:tcW w:w="1972" w:type="dxa"/>
            <w:tcBorders>
              <w:top w:val="single" w:sz="4" w:space="0" w:color="auto"/>
              <w:left w:val="nil"/>
              <w:bottom w:val="single" w:sz="4" w:space="0" w:color="000000"/>
              <w:right w:val="single" w:sz="4" w:space="0" w:color="000000"/>
            </w:tcBorders>
          </w:tcPr>
          <w:p w14:paraId="4838F21C" w14:textId="77777777" w:rsidR="00E47756" w:rsidRPr="00E47756" w:rsidRDefault="00E47756" w:rsidP="00E47756">
            <w:pPr>
              <w:spacing w:after="0" w:line="240" w:lineRule="auto"/>
              <w:ind w:left="57" w:right="57"/>
              <w:jc w:val="center"/>
              <w:rPr>
                <w:b/>
                <w:color w:val="auto"/>
                <w:sz w:val="20"/>
              </w:rPr>
            </w:pPr>
            <w:r w:rsidRPr="00E47756">
              <w:rPr>
                <w:b/>
                <w:color w:val="auto"/>
                <w:sz w:val="20"/>
              </w:rPr>
              <w:t>MŽP SR</w:t>
            </w:r>
          </w:p>
          <w:p w14:paraId="4BACFF4E" w14:textId="77777777" w:rsidR="00E47756" w:rsidRPr="00E47756" w:rsidRDefault="00E47756" w:rsidP="00E47756">
            <w:pPr>
              <w:spacing w:after="0" w:line="240" w:lineRule="auto"/>
              <w:ind w:left="57" w:right="57"/>
              <w:jc w:val="center"/>
              <w:rPr>
                <w:b/>
                <w:sz w:val="20"/>
              </w:rPr>
            </w:pPr>
            <w:r w:rsidRPr="00E47756">
              <w:rPr>
                <w:b/>
                <w:color w:val="auto"/>
                <w:sz w:val="20"/>
              </w:rPr>
              <w:t>MPRV SR</w:t>
            </w:r>
          </w:p>
        </w:tc>
        <w:tc>
          <w:tcPr>
            <w:tcW w:w="5777" w:type="dxa"/>
            <w:tcBorders>
              <w:top w:val="single" w:sz="4" w:space="0" w:color="auto"/>
              <w:left w:val="nil"/>
              <w:bottom w:val="single" w:sz="4" w:space="0" w:color="000000"/>
              <w:right w:val="single" w:sz="4" w:space="0" w:color="000000"/>
            </w:tcBorders>
          </w:tcPr>
          <w:p w14:paraId="46CB1E30" w14:textId="77777777" w:rsidR="00E47756" w:rsidRPr="00E47756" w:rsidRDefault="00E47756" w:rsidP="00E47756">
            <w:pPr>
              <w:spacing w:after="0" w:line="240" w:lineRule="auto"/>
              <w:ind w:left="57" w:right="57"/>
              <w:rPr>
                <w:color w:val="auto"/>
                <w:sz w:val="20"/>
              </w:rPr>
            </w:pPr>
            <w:r w:rsidRPr="00E47756">
              <w:rPr>
                <w:b/>
                <w:color w:val="auto"/>
                <w:sz w:val="20"/>
                <w:u w:val="single"/>
              </w:rPr>
              <w:t>Vysoká priorita</w:t>
            </w:r>
            <w:r w:rsidRPr="00E47756">
              <w:rPr>
                <w:b/>
                <w:sz w:val="20"/>
                <w:szCs w:val="20"/>
              </w:rPr>
              <w:t xml:space="preserve"> - </w:t>
            </w:r>
            <w:r w:rsidRPr="00E47756">
              <w:rPr>
                <w:color w:val="auto"/>
                <w:sz w:val="20"/>
              </w:rPr>
              <w:t>Vychádzajúc z EÚ stratégie pre biodiverzitu do roku 2020, Slovensko priebežne plní svoje záväzky týkajúce sa zmapovania a posúdenia stavu ekosystémov a ich služieb na svojom území, posúdenia hospodárskej hodnoty takýchto služieb a začlenenia týchto hodnôt do účtovných systémov a systémov vykazovania na úrovni EÚ a na vnútroštátnej úrovni. Ako jeden z krokov bolo v roku 2020 na národnej úrovni vypracované komplexné biofyzikálne a monetárne hodnotenie ekosystémov a ich služieb na Slovensku s využitím ekosystémového prístupu, ktorý vychádza zo stavu ekosystémov a miery ich degradácie. Tieto poznatky boli spracované do vedeckej publikácie </w:t>
            </w:r>
            <w:hyperlink r:id="rId9" w:tgtFrame="_blank" w:history="1">
              <w:r w:rsidRPr="00E47756">
                <w:rPr>
                  <w:color w:val="auto"/>
                  <w:sz w:val="20"/>
                </w:rPr>
                <w:t>Hodnota ekosystémov a ich služieb na Slovensku</w:t>
              </w:r>
            </w:hyperlink>
            <w:r w:rsidRPr="00E47756">
              <w:rPr>
                <w:color w:val="auto"/>
                <w:sz w:val="20"/>
              </w:rPr>
              <w:t xml:space="preserve"> vydanej Štátnou ochranou prírody Slovenskej republiky v spolupráci s Ústavom krajinnej ekológie SAV a Univerzitou Konštantína Filozofa v Nitre </w:t>
            </w:r>
            <w:r w:rsidRPr="00E47756">
              <w:rPr>
                <w:color w:val="auto"/>
                <w:sz w:val="20"/>
                <w:szCs w:val="20"/>
              </w:rPr>
              <w:t>(</w:t>
            </w:r>
            <w:hyperlink r:id="rId10" w:history="1">
              <w:r w:rsidRPr="00E47756">
                <w:rPr>
                  <w:color w:val="auto"/>
                  <w:sz w:val="20"/>
                  <w:szCs w:val="20"/>
                  <w:lang w:eastAsia="en-US"/>
                </w:rPr>
                <w:t>http://www.sopsr.sk/files/hodnota-ekosys.pdf</w:t>
              </w:r>
            </w:hyperlink>
            <w:r w:rsidRPr="00E47756">
              <w:rPr>
                <w:color w:val="auto"/>
                <w:sz w:val="20"/>
                <w:szCs w:val="20"/>
                <w:lang w:eastAsia="en-US"/>
              </w:rPr>
              <w:t>)</w:t>
            </w:r>
            <w:r w:rsidRPr="00E47756">
              <w:rPr>
                <w:color w:val="auto"/>
                <w:sz w:val="20"/>
                <w:szCs w:val="20"/>
              </w:rPr>
              <w:t>.</w:t>
            </w:r>
            <w:r w:rsidRPr="00E47756">
              <w:rPr>
                <w:color w:val="auto"/>
                <w:sz w:val="20"/>
              </w:rPr>
              <w:t xml:space="preserve"> Tento výsledok viacročnej kontinuálnej práce prispeje k stanoveniu priorít pre obnovu ekosystémov podľa záväzkov EÚ stratégie pre biodiverzitu do roku 2030 ako aj k priblíženiu sa k dosiahnutiu cieľov stanovených inými medzinárodnými záväzkami pre hodnotenie ekosystémových služieb a revitalizáciu ekosystémov, a zároveň dotvára vedeckú základňu pre ďalší výskum v oblasti ekosystémov na Slovensku, ich služieb, hodnotenia a ocenenia.</w:t>
            </w:r>
          </w:p>
        </w:tc>
      </w:tr>
      <w:tr w:rsidR="00E47756" w:rsidRPr="00E47756" w14:paraId="572842A2" w14:textId="77777777" w:rsidTr="00AB0B2D">
        <w:tblPrEx>
          <w:tblCellMar>
            <w:top w:w="2" w:type="dxa"/>
            <w:right w:w="0" w:type="dxa"/>
          </w:tblCellMar>
        </w:tblPrEx>
        <w:trPr>
          <w:trHeight w:val="492"/>
        </w:trPr>
        <w:tc>
          <w:tcPr>
            <w:tcW w:w="415" w:type="dxa"/>
            <w:tcBorders>
              <w:top w:val="single" w:sz="4" w:space="0" w:color="000000"/>
              <w:left w:val="single" w:sz="4" w:space="0" w:color="000000"/>
              <w:bottom w:val="single" w:sz="4" w:space="0" w:color="auto"/>
              <w:right w:val="single" w:sz="4" w:space="0" w:color="000000"/>
            </w:tcBorders>
          </w:tcPr>
          <w:p w14:paraId="5A458412" w14:textId="77777777" w:rsidR="00E47756" w:rsidRPr="00E47756" w:rsidRDefault="00E47756" w:rsidP="00E47756">
            <w:pPr>
              <w:spacing w:after="0" w:line="240" w:lineRule="auto"/>
              <w:ind w:right="57"/>
              <w:jc w:val="center"/>
            </w:pPr>
            <w:r w:rsidRPr="00E47756">
              <w:rPr>
                <w:sz w:val="20"/>
              </w:rPr>
              <w:t>4.</w:t>
            </w:r>
          </w:p>
        </w:tc>
        <w:tc>
          <w:tcPr>
            <w:tcW w:w="2396" w:type="dxa"/>
            <w:tcBorders>
              <w:top w:val="single" w:sz="4" w:space="0" w:color="000000"/>
              <w:left w:val="single" w:sz="4" w:space="0" w:color="000000"/>
              <w:bottom w:val="single" w:sz="4" w:space="0" w:color="auto"/>
              <w:right w:val="single" w:sz="4" w:space="0" w:color="000000"/>
            </w:tcBorders>
          </w:tcPr>
          <w:p w14:paraId="37E89D00" w14:textId="77777777" w:rsidR="00E47756" w:rsidRPr="00E47756" w:rsidRDefault="00E47756" w:rsidP="00E47756">
            <w:pPr>
              <w:spacing w:after="0" w:line="240" w:lineRule="auto"/>
              <w:ind w:left="57" w:right="57"/>
            </w:pPr>
            <w:r w:rsidRPr="00E47756">
              <w:rPr>
                <w:b/>
                <w:sz w:val="20"/>
              </w:rPr>
              <w:t xml:space="preserve">Udržateľná a inteligentná mobilita </w:t>
            </w:r>
          </w:p>
        </w:tc>
        <w:tc>
          <w:tcPr>
            <w:tcW w:w="348" w:type="dxa"/>
            <w:gridSpan w:val="2"/>
            <w:tcBorders>
              <w:top w:val="single" w:sz="4" w:space="0" w:color="000000"/>
              <w:left w:val="single" w:sz="4" w:space="0" w:color="000000"/>
              <w:bottom w:val="single" w:sz="4" w:space="0" w:color="auto"/>
              <w:right w:val="nil"/>
            </w:tcBorders>
          </w:tcPr>
          <w:p w14:paraId="71DBE981" w14:textId="77777777" w:rsidR="00E47756" w:rsidRPr="00E47756" w:rsidRDefault="00E47756" w:rsidP="00E47756">
            <w:pPr>
              <w:spacing w:after="0" w:line="240" w:lineRule="auto"/>
              <w:ind w:left="57" w:right="57"/>
            </w:pPr>
            <w:r w:rsidRPr="00E47756">
              <w:rPr>
                <w:sz w:val="20"/>
              </w:rPr>
              <w:t>a)</w:t>
            </w:r>
            <w:r w:rsidRPr="00E47756">
              <w:rPr>
                <w:rFonts w:ascii="Arial" w:hAnsi="Arial" w:cs="Arial"/>
                <w:sz w:val="20"/>
              </w:rPr>
              <w:t xml:space="preserve"> </w:t>
            </w:r>
          </w:p>
        </w:tc>
        <w:tc>
          <w:tcPr>
            <w:tcW w:w="3734" w:type="dxa"/>
            <w:tcBorders>
              <w:top w:val="single" w:sz="4" w:space="0" w:color="000000"/>
              <w:left w:val="nil"/>
              <w:bottom w:val="single" w:sz="4" w:space="0" w:color="auto"/>
              <w:right w:val="single" w:sz="4" w:space="0" w:color="000000"/>
            </w:tcBorders>
          </w:tcPr>
          <w:p w14:paraId="1C99F845" w14:textId="77777777" w:rsidR="00E47756" w:rsidRPr="00E47756" w:rsidRDefault="00E47756" w:rsidP="00E47756">
            <w:pPr>
              <w:spacing w:after="0" w:line="240" w:lineRule="auto"/>
              <w:ind w:left="57" w:right="57"/>
              <w:rPr>
                <w:b/>
                <w:sz w:val="20"/>
              </w:rPr>
            </w:pPr>
            <w:r w:rsidRPr="00E47756">
              <w:rPr>
                <w:b/>
                <w:sz w:val="20"/>
              </w:rPr>
              <w:t xml:space="preserve">revízia smernice o inteligentných dopravných systémoch vrátane iniciatívy v oblasti cestovných lístkov pre </w:t>
            </w:r>
            <w:proofErr w:type="spellStart"/>
            <w:r w:rsidRPr="00E47756">
              <w:rPr>
                <w:b/>
                <w:sz w:val="20"/>
              </w:rPr>
              <w:t>multimodálnu</w:t>
            </w:r>
            <w:proofErr w:type="spellEnd"/>
            <w:r w:rsidRPr="00E47756">
              <w:rPr>
                <w:b/>
                <w:sz w:val="20"/>
              </w:rPr>
              <w:t xml:space="preserve"> dopravu</w:t>
            </w:r>
            <w:r w:rsidRPr="00E47756">
              <w:rPr>
                <w:sz w:val="20"/>
              </w:rPr>
              <w:t xml:space="preserve"> (legislatívna iniciatíva vrátane posúdenia vplyvu, článok 91 ZFEÚ, 3. štvrťrok 2021);</w:t>
            </w:r>
            <w:r w:rsidRPr="00E47756">
              <w:rPr>
                <w:b/>
                <w:sz w:val="20"/>
              </w:rPr>
              <w:t xml:space="preserve"> </w:t>
            </w:r>
          </w:p>
          <w:p w14:paraId="59D63306" w14:textId="77777777" w:rsidR="00E47756" w:rsidRPr="00E47756" w:rsidRDefault="00E47756" w:rsidP="00E47756">
            <w:pPr>
              <w:spacing w:after="0" w:line="240" w:lineRule="auto"/>
              <w:ind w:left="57" w:right="57"/>
              <w:rPr>
                <w:b/>
                <w:sz w:val="20"/>
              </w:rPr>
            </w:pPr>
          </w:p>
          <w:p w14:paraId="097063B8" w14:textId="77777777" w:rsidR="00E47756" w:rsidRPr="00E47756" w:rsidRDefault="00E47756" w:rsidP="00E47756">
            <w:pPr>
              <w:spacing w:after="0" w:line="240" w:lineRule="auto"/>
              <w:ind w:left="57" w:right="57"/>
              <w:rPr>
                <w:b/>
                <w:sz w:val="20"/>
              </w:rPr>
            </w:pPr>
          </w:p>
          <w:p w14:paraId="37AE4AF5" w14:textId="77777777" w:rsidR="00E47756" w:rsidRPr="00E47756" w:rsidRDefault="00E47756" w:rsidP="00E47756">
            <w:pPr>
              <w:spacing w:after="0" w:line="240" w:lineRule="auto"/>
              <w:ind w:left="57" w:right="57"/>
              <w:rPr>
                <w:b/>
                <w:sz w:val="20"/>
              </w:rPr>
            </w:pPr>
          </w:p>
          <w:p w14:paraId="347E6CED" w14:textId="77777777" w:rsidR="00E47756" w:rsidRPr="00E47756" w:rsidRDefault="00E47756" w:rsidP="00E47756">
            <w:pPr>
              <w:spacing w:after="0" w:line="240" w:lineRule="auto"/>
              <w:ind w:left="57" w:right="57"/>
            </w:pPr>
          </w:p>
          <w:p w14:paraId="7125845B" w14:textId="77777777" w:rsidR="00E47756" w:rsidRPr="00E47756" w:rsidRDefault="00E47756" w:rsidP="00E47756">
            <w:pPr>
              <w:spacing w:after="0" w:line="240" w:lineRule="auto"/>
              <w:ind w:left="57" w:right="57"/>
            </w:pPr>
          </w:p>
        </w:tc>
        <w:tc>
          <w:tcPr>
            <w:tcW w:w="1972" w:type="dxa"/>
            <w:tcBorders>
              <w:top w:val="single" w:sz="4" w:space="0" w:color="000000"/>
              <w:left w:val="nil"/>
              <w:bottom w:val="single" w:sz="4" w:space="0" w:color="auto"/>
              <w:right w:val="single" w:sz="4" w:space="0" w:color="000000"/>
            </w:tcBorders>
          </w:tcPr>
          <w:p w14:paraId="4753831B" w14:textId="77777777" w:rsidR="00E47756" w:rsidRPr="00E47756" w:rsidRDefault="00E47756" w:rsidP="00E47756">
            <w:pPr>
              <w:spacing w:after="0" w:line="240" w:lineRule="auto"/>
              <w:ind w:left="57" w:right="57"/>
              <w:jc w:val="center"/>
              <w:rPr>
                <w:b/>
                <w:sz w:val="20"/>
              </w:rPr>
            </w:pPr>
            <w:r w:rsidRPr="00E47756">
              <w:rPr>
                <w:b/>
                <w:sz w:val="20"/>
              </w:rPr>
              <w:t>MDV SR</w:t>
            </w:r>
          </w:p>
        </w:tc>
        <w:tc>
          <w:tcPr>
            <w:tcW w:w="5777" w:type="dxa"/>
            <w:tcBorders>
              <w:top w:val="single" w:sz="4" w:space="0" w:color="000000"/>
              <w:left w:val="nil"/>
              <w:bottom w:val="single" w:sz="4" w:space="0" w:color="auto"/>
              <w:right w:val="single" w:sz="4" w:space="0" w:color="000000"/>
            </w:tcBorders>
          </w:tcPr>
          <w:p w14:paraId="69D979F3" w14:textId="77777777" w:rsidR="00E47756" w:rsidRPr="00E47756" w:rsidRDefault="00E47756" w:rsidP="00E47756">
            <w:pPr>
              <w:spacing w:after="0" w:line="240" w:lineRule="auto"/>
              <w:ind w:left="57" w:right="57"/>
              <w:rPr>
                <w:b/>
                <w:sz w:val="20"/>
                <w:u w:val="single"/>
              </w:rPr>
            </w:pPr>
            <w:r w:rsidRPr="00E47756">
              <w:rPr>
                <w:b/>
                <w:sz w:val="20"/>
                <w:u w:val="single"/>
              </w:rPr>
              <w:t>Stredná priorita</w:t>
            </w:r>
            <w:r w:rsidRPr="00E47756">
              <w:rPr>
                <w:b/>
                <w:sz w:val="20"/>
                <w:szCs w:val="20"/>
              </w:rPr>
              <w:t xml:space="preserve"> - </w:t>
            </w:r>
            <w:r w:rsidRPr="00E47756">
              <w:rPr>
                <w:sz w:val="20"/>
              </w:rPr>
              <w:t>Revízia smernice reaguje na technologický vývoj a zmeny trendov v oblasti mobility, vrátane konceptu mobilita ako služba (</w:t>
            </w:r>
            <w:proofErr w:type="spellStart"/>
            <w:r w:rsidRPr="00E47756">
              <w:rPr>
                <w:sz w:val="20"/>
              </w:rPr>
              <w:t>MaaS</w:t>
            </w:r>
            <w:proofErr w:type="spellEnd"/>
            <w:r w:rsidRPr="00E47756">
              <w:rPr>
                <w:sz w:val="20"/>
              </w:rPr>
              <w:t xml:space="preserve"> – Mobility as a Service). Mala by vytvoriť funkčný rámec pre vývoj inteligentných dopravných systémov, prepojených áut a mala by zapojiť aj ďalšie druhy dopravy. Jednou z kľúčových otázok bude riešenie získavania a spracovávania dopravných dát (prepojenie na Spoločný európsky dátový priestor), motivovanie súkromného sektora k väčšej ochote ich zdieľať. Dôležitým momentom bude prístup pre koncových užívateľov. Cieľom smernice bude zvýšenie </w:t>
            </w:r>
            <w:proofErr w:type="spellStart"/>
            <w:r w:rsidRPr="00E47756">
              <w:rPr>
                <w:sz w:val="20"/>
              </w:rPr>
              <w:t>interoperability</w:t>
            </w:r>
            <w:proofErr w:type="spellEnd"/>
            <w:r w:rsidRPr="00E47756">
              <w:rPr>
                <w:sz w:val="20"/>
              </w:rPr>
              <w:t xml:space="preserve"> a cezhraničnej  kontinuity aplikácií inteligentných dopravných systémov, vytvorenie efektívnych koordinačných a monitorovacích mechanizmov medzi zainteresovanými stranami a riešenie problémov spojených s dostupnosťou a zdieľaním dát. Ešte pred koncom roka 2020 možno očakávať spustenie konzultácie, do ktorej sa budú vedieť zapojiť aj ďalšie zainteresované strany</w:t>
            </w:r>
          </w:p>
        </w:tc>
      </w:tr>
      <w:tr w:rsidR="00E47756" w:rsidRPr="00E47756" w14:paraId="03A3E81B" w14:textId="77777777" w:rsidTr="00AB0B2D">
        <w:tblPrEx>
          <w:tblCellMar>
            <w:top w:w="2" w:type="dxa"/>
            <w:right w:w="0" w:type="dxa"/>
          </w:tblCellMar>
        </w:tblPrEx>
        <w:trPr>
          <w:trHeight w:val="463"/>
        </w:trPr>
        <w:tc>
          <w:tcPr>
            <w:tcW w:w="415" w:type="dxa"/>
            <w:tcBorders>
              <w:top w:val="single" w:sz="4" w:space="0" w:color="auto"/>
              <w:left w:val="single" w:sz="4" w:space="0" w:color="000000"/>
              <w:bottom w:val="single" w:sz="4" w:space="0" w:color="auto"/>
              <w:right w:val="single" w:sz="4" w:space="0" w:color="000000"/>
            </w:tcBorders>
          </w:tcPr>
          <w:p w14:paraId="3E911525" w14:textId="77777777" w:rsidR="00E47756" w:rsidRPr="00E47756" w:rsidRDefault="00E47756" w:rsidP="00E47756">
            <w:pPr>
              <w:spacing w:after="0" w:line="240" w:lineRule="auto"/>
              <w:ind w:left="57" w:right="57"/>
            </w:pPr>
          </w:p>
        </w:tc>
        <w:tc>
          <w:tcPr>
            <w:tcW w:w="2396" w:type="dxa"/>
            <w:tcBorders>
              <w:top w:val="single" w:sz="4" w:space="0" w:color="auto"/>
              <w:left w:val="single" w:sz="4" w:space="0" w:color="000000"/>
              <w:bottom w:val="single" w:sz="4" w:space="0" w:color="auto"/>
              <w:right w:val="single" w:sz="4" w:space="0" w:color="000000"/>
            </w:tcBorders>
          </w:tcPr>
          <w:p w14:paraId="5EE5138B" w14:textId="77777777" w:rsidR="00E47756" w:rsidRPr="00E47756" w:rsidRDefault="00E47756" w:rsidP="00E47756">
            <w:pPr>
              <w:spacing w:after="0" w:line="240" w:lineRule="auto"/>
              <w:ind w:left="57" w:right="57"/>
            </w:pPr>
          </w:p>
        </w:tc>
        <w:tc>
          <w:tcPr>
            <w:tcW w:w="348" w:type="dxa"/>
            <w:gridSpan w:val="2"/>
            <w:tcBorders>
              <w:top w:val="single" w:sz="4" w:space="0" w:color="auto"/>
              <w:left w:val="single" w:sz="4" w:space="0" w:color="000000"/>
              <w:bottom w:val="single" w:sz="4" w:space="0" w:color="auto"/>
              <w:right w:val="nil"/>
            </w:tcBorders>
          </w:tcPr>
          <w:p w14:paraId="73AC51EC" w14:textId="77777777" w:rsidR="00F46B8A" w:rsidRDefault="00F46B8A" w:rsidP="00E47756">
            <w:pPr>
              <w:spacing w:after="0" w:line="240" w:lineRule="auto"/>
              <w:ind w:left="57" w:right="57"/>
              <w:rPr>
                <w:sz w:val="20"/>
              </w:rPr>
            </w:pPr>
          </w:p>
          <w:p w14:paraId="152B92F1" w14:textId="0448B09E" w:rsidR="00E47756" w:rsidRPr="00E47756" w:rsidRDefault="00E47756" w:rsidP="00E47756">
            <w:pPr>
              <w:spacing w:after="0" w:line="240" w:lineRule="auto"/>
              <w:ind w:left="57" w:right="57"/>
            </w:pPr>
            <w:r w:rsidRPr="00E47756">
              <w:rPr>
                <w:sz w:val="20"/>
              </w:rPr>
              <w:t>b)</w:t>
            </w:r>
            <w:r w:rsidRPr="00E47756">
              <w:rPr>
                <w:rFonts w:ascii="Arial" w:hAnsi="Arial" w:cs="Arial"/>
                <w:sz w:val="20"/>
              </w:rPr>
              <w:t xml:space="preserve"> </w:t>
            </w:r>
          </w:p>
        </w:tc>
        <w:tc>
          <w:tcPr>
            <w:tcW w:w="3734" w:type="dxa"/>
            <w:tcBorders>
              <w:top w:val="single" w:sz="4" w:space="0" w:color="auto"/>
              <w:left w:val="nil"/>
              <w:bottom w:val="single" w:sz="4" w:space="0" w:color="auto"/>
              <w:right w:val="single" w:sz="4" w:space="0" w:color="000000"/>
            </w:tcBorders>
          </w:tcPr>
          <w:p w14:paraId="1D7C7142" w14:textId="77777777" w:rsidR="00F46B8A" w:rsidRDefault="00F46B8A" w:rsidP="00E47756">
            <w:pPr>
              <w:spacing w:after="0" w:line="240" w:lineRule="auto"/>
              <w:ind w:left="57" w:right="57"/>
              <w:rPr>
                <w:b/>
                <w:sz w:val="20"/>
              </w:rPr>
            </w:pPr>
          </w:p>
          <w:p w14:paraId="43B0DA0D" w14:textId="1C204825" w:rsidR="00E47756" w:rsidRPr="00E47756" w:rsidRDefault="00E47756" w:rsidP="00E47756">
            <w:pPr>
              <w:spacing w:after="0" w:line="240" w:lineRule="auto"/>
              <w:ind w:left="57" w:right="57"/>
            </w:pPr>
            <w:r w:rsidRPr="00E47756">
              <w:rPr>
                <w:b/>
                <w:sz w:val="20"/>
              </w:rPr>
              <w:t xml:space="preserve">revízia nariadenia o </w:t>
            </w:r>
            <w:proofErr w:type="spellStart"/>
            <w:r w:rsidRPr="00E47756">
              <w:rPr>
                <w:b/>
                <w:sz w:val="20"/>
              </w:rPr>
              <w:t>transeurópskej</w:t>
            </w:r>
            <w:proofErr w:type="spellEnd"/>
            <w:r w:rsidRPr="00E47756">
              <w:rPr>
                <w:b/>
                <w:sz w:val="20"/>
              </w:rPr>
              <w:t xml:space="preserve"> dopravnej sieti (TEN-T)</w:t>
            </w:r>
            <w:r w:rsidRPr="00E47756">
              <w:rPr>
                <w:sz w:val="20"/>
              </w:rPr>
              <w:t xml:space="preserve"> (legislatívna iniciatíva vrátane posúdenia vplyvu, článok 172 ZFEÚ, 3. štvrťrok 2021);</w:t>
            </w:r>
            <w:r w:rsidRPr="00E47756">
              <w:rPr>
                <w:b/>
                <w:sz w:val="20"/>
              </w:rPr>
              <w:t xml:space="preserve"> </w:t>
            </w:r>
          </w:p>
        </w:tc>
        <w:tc>
          <w:tcPr>
            <w:tcW w:w="1972" w:type="dxa"/>
            <w:tcBorders>
              <w:top w:val="single" w:sz="4" w:space="0" w:color="auto"/>
              <w:left w:val="nil"/>
              <w:bottom w:val="single" w:sz="4" w:space="0" w:color="auto"/>
              <w:right w:val="single" w:sz="4" w:space="0" w:color="000000"/>
            </w:tcBorders>
          </w:tcPr>
          <w:p w14:paraId="72AA0EE5" w14:textId="77777777" w:rsidR="00E47756" w:rsidRPr="00E47756" w:rsidRDefault="00E47756" w:rsidP="00F46B8A">
            <w:pPr>
              <w:spacing w:before="240" w:after="0" w:line="240" w:lineRule="auto"/>
              <w:ind w:right="57"/>
              <w:jc w:val="center"/>
              <w:rPr>
                <w:b/>
                <w:sz w:val="20"/>
              </w:rPr>
            </w:pPr>
            <w:r w:rsidRPr="00E47756">
              <w:rPr>
                <w:b/>
                <w:sz w:val="20"/>
              </w:rPr>
              <w:t>MDV SR</w:t>
            </w:r>
          </w:p>
        </w:tc>
        <w:tc>
          <w:tcPr>
            <w:tcW w:w="5777" w:type="dxa"/>
            <w:tcBorders>
              <w:top w:val="single" w:sz="4" w:space="0" w:color="auto"/>
              <w:left w:val="nil"/>
              <w:bottom w:val="single" w:sz="4" w:space="0" w:color="auto"/>
              <w:right w:val="single" w:sz="4" w:space="0" w:color="000000"/>
            </w:tcBorders>
          </w:tcPr>
          <w:p w14:paraId="3F1294E5" w14:textId="77777777" w:rsidR="00F46B8A" w:rsidRDefault="00F46B8A" w:rsidP="001A4016">
            <w:pPr>
              <w:spacing w:after="0" w:line="240" w:lineRule="auto"/>
              <w:ind w:left="57" w:right="57"/>
              <w:rPr>
                <w:b/>
                <w:sz w:val="20"/>
                <w:u w:val="single"/>
              </w:rPr>
            </w:pPr>
          </w:p>
          <w:p w14:paraId="010A4FCC" w14:textId="6A1B943B" w:rsidR="00E47756" w:rsidRPr="00E47756" w:rsidRDefault="00E47756" w:rsidP="001A4016">
            <w:pPr>
              <w:spacing w:after="0" w:line="240" w:lineRule="auto"/>
              <w:ind w:left="57" w:right="57"/>
              <w:rPr>
                <w:sz w:val="20"/>
              </w:rPr>
            </w:pPr>
            <w:r w:rsidRPr="00E47756">
              <w:rPr>
                <w:b/>
                <w:sz w:val="20"/>
                <w:u w:val="single"/>
              </w:rPr>
              <w:t>Stredná priorita</w:t>
            </w:r>
            <w:r w:rsidRPr="00E47756">
              <w:rPr>
                <w:b/>
                <w:sz w:val="20"/>
                <w:szCs w:val="20"/>
              </w:rPr>
              <w:t xml:space="preserve"> - </w:t>
            </w:r>
            <w:r w:rsidRPr="00E47756">
              <w:rPr>
                <w:sz w:val="20"/>
              </w:rPr>
              <w:t xml:space="preserve">Revízia TEN-T by mala reagovať aj na predpokladané nesplnenie cieľa, t. j. dobudovanie základnej siete do roku 2030. Rovnako môže dôjsť k zmene termínu dokončenia súhrnnej siete (momentálne 2050). Do revízie sa premietnu aj požiadavky na lepšiu dostupnosť čerpacích a nabíjacích staníc pre alternatívne pohony, ktorých nedostatok je často udávaný ako jeden z dôvodov pomalšieho nástupu čistejších pohonov. SR podporuje iniciatívu Poľska zaradiť do základnej siete koridor </w:t>
            </w:r>
            <w:proofErr w:type="spellStart"/>
            <w:r w:rsidRPr="00E47756">
              <w:rPr>
                <w:sz w:val="20"/>
              </w:rPr>
              <w:t>Via</w:t>
            </w:r>
            <w:proofErr w:type="spellEnd"/>
            <w:r w:rsidRPr="00E47756">
              <w:rPr>
                <w:sz w:val="20"/>
              </w:rPr>
              <w:t xml:space="preserve"> </w:t>
            </w:r>
            <w:proofErr w:type="spellStart"/>
            <w:r w:rsidRPr="00E47756">
              <w:rPr>
                <w:sz w:val="20"/>
              </w:rPr>
              <w:t>Carpatia</w:t>
            </w:r>
            <w:proofErr w:type="spellEnd"/>
            <w:r w:rsidRPr="00E47756">
              <w:rPr>
                <w:sz w:val="20"/>
              </w:rPr>
              <w:t>, rovnako ako aj zaradenie projektu vysokorýchlostnej železničnej trate v rámci štátov V4 do základnej alebo súhrnnej siete. Dá sa očakávať, že do revízie sa premietnu zvýšené klimatické ambície EÚ a podobne ako pri iných iniciatívach bude nástrojom na podporu presunu dopravy na ekologickejšie druhy dopravy.</w:t>
            </w:r>
          </w:p>
        </w:tc>
      </w:tr>
      <w:tr w:rsidR="00E47756" w:rsidRPr="00E47756" w14:paraId="041BEFCC" w14:textId="77777777" w:rsidTr="001A4016">
        <w:tblPrEx>
          <w:tblCellMar>
            <w:top w:w="2" w:type="dxa"/>
            <w:right w:w="0" w:type="dxa"/>
          </w:tblCellMar>
        </w:tblPrEx>
        <w:trPr>
          <w:trHeight w:val="690"/>
        </w:trPr>
        <w:tc>
          <w:tcPr>
            <w:tcW w:w="415" w:type="dxa"/>
            <w:tcBorders>
              <w:top w:val="single" w:sz="4" w:space="0" w:color="auto"/>
              <w:left w:val="single" w:sz="4" w:space="0" w:color="000000"/>
              <w:bottom w:val="nil"/>
              <w:right w:val="single" w:sz="4" w:space="0" w:color="000000"/>
            </w:tcBorders>
          </w:tcPr>
          <w:p w14:paraId="420C009E" w14:textId="77777777" w:rsidR="00E47756" w:rsidRPr="00E47756" w:rsidRDefault="00E47756" w:rsidP="00E47756">
            <w:pPr>
              <w:spacing w:after="0" w:line="240" w:lineRule="auto"/>
              <w:ind w:left="57" w:right="57"/>
            </w:pPr>
          </w:p>
        </w:tc>
        <w:tc>
          <w:tcPr>
            <w:tcW w:w="2396" w:type="dxa"/>
            <w:tcBorders>
              <w:top w:val="single" w:sz="4" w:space="0" w:color="auto"/>
              <w:left w:val="single" w:sz="4" w:space="0" w:color="000000"/>
              <w:bottom w:val="nil"/>
              <w:right w:val="single" w:sz="4" w:space="0" w:color="000000"/>
            </w:tcBorders>
          </w:tcPr>
          <w:p w14:paraId="61808432" w14:textId="77777777" w:rsidR="00E47756" w:rsidRPr="00E47756" w:rsidRDefault="00E47756" w:rsidP="00E47756">
            <w:pPr>
              <w:spacing w:after="0" w:line="240" w:lineRule="auto"/>
              <w:ind w:left="57" w:right="57"/>
            </w:pPr>
          </w:p>
        </w:tc>
        <w:tc>
          <w:tcPr>
            <w:tcW w:w="348" w:type="dxa"/>
            <w:gridSpan w:val="2"/>
            <w:tcBorders>
              <w:top w:val="single" w:sz="4" w:space="0" w:color="auto"/>
              <w:left w:val="single" w:sz="4" w:space="0" w:color="000000"/>
              <w:bottom w:val="nil"/>
              <w:right w:val="nil"/>
            </w:tcBorders>
          </w:tcPr>
          <w:p w14:paraId="1A5C681B" w14:textId="77777777" w:rsidR="00E47756" w:rsidRPr="00E47756" w:rsidRDefault="00E47756" w:rsidP="00E47756">
            <w:pPr>
              <w:spacing w:after="0" w:line="240" w:lineRule="auto"/>
              <w:ind w:left="57" w:right="57"/>
            </w:pPr>
            <w:r w:rsidRPr="00E47756">
              <w:rPr>
                <w:sz w:val="20"/>
              </w:rPr>
              <w:t>c)</w:t>
            </w:r>
            <w:r w:rsidRPr="00E47756">
              <w:rPr>
                <w:rFonts w:ascii="Arial" w:hAnsi="Arial" w:cs="Arial"/>
                <w:sz w:val="20"/>
              </w:rPr>
              <w:t xml:space="preserve"> </w:t>
            </w:r>
          </w:p>
        </w:tc>
        <w:tc>
          <w:tcPr>
            <w:tcW w:w="3734" w:type="dxa"/>
            <w:tcBorders>
              <w:top w:val="single" w:sz="4" w:space="0" w:color="auto"/>
              <w:left w:val="nil"/>
              <w:bottom w:val="nil"/>
              <w:right w:val="single" w:sz="4" w:space="0" w:color="000000"/>
            </w:tcBorders>
          </w:tcPr>
          <w:p w14:paraId="66128389" w14:textId="77777777" w:rsidR="00E47756" w:rsidRPr="00E47756" w:rsidRDefault="00E47756" w:rsidP="00E47756">
            <w:pPr>
              <w:spacing w:after="0" w:line="240" w:lineRule="auto"/>
              <w:ind w:left="57" w:right="57"/>
            </w:pPr>
            <w:r w:rsidRPr="00E47756">
              <w:rPr>
                <w:b/>
                <w:sz w:val="20"/>
              </w:rPr>
              <w:t>iniciatíva v oblasti železničných koridorov EÚ 2021 vrátane revízie nariadenia o koridoroch železničnej nákladnej dopravy a opatrení s cieľom podporiť osobnú železničnú dopravu</w:t>
            </w:r>
            <w:r w:rsidRPr="00E47756">
              <w:rPr>
                <w:sz w:val="20"/>
              </w:rPr>
              <w:t xml:space="preserve"> (nelegislatívna a legislatívna iniciatíva vrátane posúdenia vplyvu, článok 91 ZFEÚ, 3. štvrťrok 2021); </w:t>
            </w:r>
          </w:p>
        </w:tc>
        <w:tc>
          <w:tcPr>
            <w:tcW w:w="1972" w:type="dxa"/>
            <w:tcBorders>
              <w:top w:val="single" w:sz="4" w:space="0" w:color="auto"/>
              <w:left w:val="nil"/>
              <w:bottom w:val="nil"/>
              <w:right w:val="single" w:sz="4" w:space="0" w:color="000000"/>
            </w:tcBorders>
          </w:tcPr>
          <w:p w14:paraId="6F4D13A8" w14:textId="77777777" w:rsidR="00E47756" w:rsidRPr="00E47756" w:rsidRDefault="00E47756" w:rsidP="00E47756">
            <w:pPr>
              <w:spacing w:after="0" w:line="240" w:lineRule="auto"/>
              <w:ind w:left="57" w:right="57"/>
              <w:jc w:val="center"/>
              <w:rPr>
                <w:b/>
                <w:sz w:val="20"/>
              </w:rPr>
            </w:pPr>
            <w:r w:rsidRPr="00E47756">
              <w:rPr>
                <w:b/>
                <w:sz w:val="20"/>
              </w:rPr>
              <w:t>MDV SR</w:t>
            </w:r>
          </w:p>
        </w:tc>
        <w:tc>
          <w:tcPr>
            <w:tcW w:w="5777" w:type="dxa"/>
            <w:tcBorders>
              <w:top w:val="single" w:sz="4" w:space="0" w:color="auto"/>
              <w:left w:val="nil"/>
              <w:bottom w:val="nil"/>
              <w:right w:val="single" w:sz="4" w:space="0" w:color="000000"/>
            </w:tcBorders>
          </w:tcPr>
          <w:p w14:paraId="7AF7FBA7" w14:textId="77777777" w:rsidR="00E47756" w:rsidRDefault="00E47756" w:rsidP="001A4016">
            <w:pPr>
              <w:spacing w:after="0" w:line="240" w:lineRule="auto"/>
              <w:ind w:left="57" w:right="57"/>
              <w:rPr>
                <w:sz w:val="20"/>
              </w:rPr>
            </w:pPr>
            <w:r w:rsidRPr="00E47756">
              <w:rPr>
                <w:b/>
                <w:sz w:val="20"/>
                <w:u w:val="single"/>
              </w:rPr>
              <w:t>Stredná priorita</w:t>
            </w:r>
            <w:r w:rsidRPr="00E47756">
              <w:rPr>
                <w:b/>
                <w:sz w:val="20"/>
                <w:szCs w:val="20"/>
              </w:rPr>
              <w:t xml:space="preserve"> - </w:t>
            </w:r>
            <w:r w:rsidRPr="00E47756">
              <w:rPr>
                <w:sz w:val="20"/>
              </w:rPr>
              <w:t>Iniciatívu je potrebné vnímať vo svetle dekarbonizácie a presunu prepravných výkonov na ekologickejšie druhy dopravy. V návrhu o európskych železničných nákladných koridoroch možno očakávať ďalší tlak na zvýšenie otvorenosti trhu železničnej dopravy, zlepšenie efektívnosti a spoľahlivosti železničnej dopravy. Revízia súvisí aj s plánovanou revíziou nariadenia o TEN-T, obe tieto iniciatívy by sa mali dopĺňať. V preprave cestujúcich sa dá očakávať snaha o motivovanie presunu cestujúcich na vzdialenosti do 600 resp. 800 km z leteckej na železničnú prepravu. Rok 2021 je na základe rozhodnutia EP a Rady vyhlásený za európsky rok železníc.</w:t>
            </w:r>
          </w:p>
          <w:p w14:paraId="167E3DF7" w14:textId="77777777" w:rsidR="001A4016" w:rsidRPr="00E47756" w:rsidRDefault="001A4016" w:rsidP="001A4016">
            <w:pPr>
              <w:spacing w:after="0" w:line="240" w:lineRule="auto"/>
              <w:ind w:left="57" w:right="57"/>
              <w:rPr>
                <w:sz w:val="20"/>
              </w:rPr>
            </w:pPr>
          </w:p>
        </w:tc>
      </w:tr>
      <w:tr w:rsidR="00E47756" w:rsidRPr="00E47756" w14:paraId="31A733B5" w14:textId="77777777" w:rsidTr="001A4016">
        <w:tblPrEx>
          <w:tblCellMar>
            <w:top w:w="2" w:type="dxa"/>
            <w:right w:w="0" w:type="dxa"/>
          </w:tblCellMar>
        </w:tblPrEx>
        <w:trPr>
          <w:trHeight w:val="504"/>
        </w:trPr>
        <w:tc>
          <w:tcPr>
            <w:tcW w:w="415" w:type="dxa"/>
            <w:tcBorders>
              <w:top w:val="nil"/>
              <w:left w:val="single" w:sz="4" w:space="0" w:color="000000"/>
              <w:bottom w:val="single" w:sz="4" w:space="0" w:color="auto"/>
              <w:right w:val="single" w:sz="4" w:space="0" w:color="000000"/>
            </w:tcBorders>
          </w:tcPr>
          <w:p w14:paraId="3ECB0807" w14:textId="77777777" w:rsidR="00E47756" w:rsidRPr="00E47756" w:rsidRDefault="00E47756" w:rsidP="00E47756">
            <w:pPr>
              <w:spacing w:after="0" w:line="240" w:lineRule="auto"/>
              <w:ind w:left="57" w:right="57"/>
            </w:pPr>
          </w:p>
        </w:tc>
        <w:tc>
          <w:tcPr>
            <w:tcW w:w="2396" w:type="dxa"/>
            <w:tcBorders>
              <w:top w:val="nil"/>
              <w:left w:val="single" w:sz="4" w:space="0" w:color="000000"/>
              <w:bottom w:val="single" w:sz="4" w:space="0" w:color="auto"/>
              <w:right w:val="single" w:sz="4" w:space="0" w:color="000000"/>
            </w:tcBorders>
          </w:tcPr>
          <w:p w14:paraId="0DFFC0C0" w14:textId="77777777" w:rsidR="00E47756" w:rsidRPr="00E47756" w:rsidRDefault="00E47756" w:rsidP="00E47756">
            <w:pPr>
              <w:spacing w:after="0" w:line="240" w:lineRule="auto"/>
              <w:ind w:left="57" w:right="57"/>
            </w:pPr>
          </w:p>
        </w:tc>
        <w:tc>
          <w:tcPr>
            <w:tcW w:w="348" w:type="dxa"/>
            <w:gridSpan w:val="2"/>
            <w:tcBorders>
              <w:top w:val="nil"/>
              <w:left w:val="single" w:sz="4" w:space="0" w:color="000000"/>
              <w:bottom w:val="single" w:sz="4" w:space="0" w:color="auto"/>
              <w:right w:val="nil"/>
            </w:tcBorders>
          </w:tcPr>
          <w:p w14:paraId="27922ED0" w14:textId="77777777" w:rsidR="00E47756" w:rsidRPr="00E47756" w:rsidRDefault="00E47756" w:rsidP="00E47756">
            <w:pPr>
              <w:spacing w:after="0" w:line="240" w:lineRule="auto"/>
              <w:ind w:left="57" w:right="57"/>
            </w:pPr>
            <w:r w:rsidRPr="00E47756">
              <w:rPr>
                <w:sz w:val="20"/>
              </w:rPr>
              <w:t>d)</w:t>
            </w:r>
            <w:r w:rsidRPr="00E47756">
              <w:rPr>
                <w:rFonts w:ascii="Arial" w:hAnsi="Arial" w:cs="Arial"/>
                <w:sz w:val="20"/>
              </w:rPr>
              <w:t xml:space="preserve"> </w:t>
            </w:r>
          </w:p>
        </w:tc>
        <w:tc>
          <w:tcPr>
            <w:tcW w:w="3734" w:type="dxa"/>
            <w:tcBorders>
              <w:top w:val="nil"/>
              <w:left w:val="nil"/>
              <w:bottom w:val="single" w:sz="4" w:space="0" w:color="auto"/>
              <w:right w:val="single" w:sz="4" w:space="0" w:color="000000"/>
            </w:tcBorders>
          </w:tcPr>
          <w:p w14:paraId="2E1AA9B8" w14:textId="77777777" w:rsidR="00E47756" w:rsidRPr="00E47756" w:rsidRDefault="00E47756" w:rsidP="00E47756">
            <w:pPr>
              <w:spacing w:after="0" w:line="240" w:lineRule="auto"/>
              <w:ind w:left="57" w:right="57"/>
              <w:rPr>
                <w:sz w:val="20"/>
              </w:rPr>
            </w:pPr>
            <w:r w:rsidRPr="00E47756">
              <w:rPr>
                <w:b/>
                <w:sz w:val="20"/>
              </w:rPr>
              <w:t>vývoj emisných noriem nadväzujúcich na normu Euro 6/VI pre osobné vozidlá, dodávky, nákladné autá a autobusy</w:t>
            </w:r>
            <w:r w:rsidRPr="00E47756">
              <w:rPr>
                <w:sz w:val="20"/>
              </w:rPr>
              <w:t xml:space="preserve"> (legislatívna iniciatíva vrátane posúdenia vplyvu, článok 114 ZFEÚ, 4. štvrťrok 2021). </w:t>
            </w:r>
          </w:p>
          <w:p w14:paraId="4FEDCE9C" w14:textId="77777777" w:rsidR="00E47756" w:rsidRPr="00E47756" w:rsidRDefault="00E47756" w:rsidP="00E47756">
            <w:pPr>
              <w:spacing w:after="0" w:line="240" w:lineRule="auto"/>
              <w:ind w:left="57" w:right="57"/>
            </w:pPr>
          </w:p>
        </w:tc>
        <w:tc>
          <w:tcPr>
            <w:tcW w:w="1972" w:type="dxa"/>
            <w:tcBorders>
              <w:top w:val="nil"/>
              <w:left w:val="nil"/>
              <w:bottom w:val="single" w:sz="4" w:space="0" w:color="auto"/>
              <w:right w:val="single" w:sz="4" w:space="0" w:color="000000"/>
            </w:tcBorders>
          </w:tcPr>
          <w:p w14:paraId="711C1D8C" w14:textId="77777777" w:rsidR="00E47756" w:rsidRPr="00E47756" w:rsidRDefault="00E47756" w:rsidP="00E47756">
            <w:pPr>
              <w:spacing w:after="0" w:line="240" w:lineRule="auto"/>
              <w:ind w:left="57" w:right="57"/>
              <w:jc w:val="center"/>
              <w:rPr>
                <w:b/>
                <w:sz w:val="20"/>
              </w:rPr>
            </w:pPr>
            <w:r w:rsidRPr="00E47756">
              <w:rPr>
                <w:b/>
                <w:sz w:val="20"/>
              </w:rPr>
              <w:t>MDV SR</w:t>
            </w:r>
          </w:p>
        </w:tc>
        <w:tc>
          <w:tcPr>
            <w:tcW w:w="5777" w:type="dxa"/>
            <w:tcBorders>
              <w:top w:val="nil"/>
              <w:left w:val="nil"/>
              <w:bottom w:val="single" w:sz="4" w:space="0" w:color="auto"/>
              <w:right w:val="single" w:sz="4" w:space="0" w:color="000000"/>
            </w:tcBorders>
          </w:tcPr>
          <w:p w14:paraId="5EA66CC2" w14:textId="77777777" w:rsidR="001A4016" w:rsidRPr="00E47756" w:rsidRDefault="00E47756" w:rsidP="001A4016">
            <w:pPr>
              <w:spacing w:after="0" w:line="240" w:lineRule="auto"/>
              <w:ind w:left="57" w:right="57"/>
              <w:rPr>
                <w:sz w:val="20"/>
              </w:rPr>
            </w:pPr>
            <w:r w:rsidRPr="00E47756">
              <w:rPr>
                <w:b/>
                <w:sz w:val="20"/>
                <w:u w:val="single"/>
              </w:rPr>
              <w:t>Vysoká priorita</w:t>
            </w:r>
            <w:r w:rsidRPr="00E47756">
              <w:rPr>
                <w:b/>
                <w:sz w:val="20"/>
                <w:szCs w:val="20"/>
              </w:rPr>
              <w:t xml:space="preserve"> - </w:t>
            </w:r>
            <w:r w:rsidRPr="00E47756">
              <w:rPr>
                <w:sz w:val="20"/>
              </w:rPr>
              <w:t>Iniciatíva so sebou prinesie ďalšie sprísňovanie emisných limitov, keďže emisie z cestnej dopravy vytrvalo rastú, majú negatívny vplyv na klímu a na zdravie najmä v mestách. Návrh by mal zjednodušiť systém (rôzne testy, rôzne termíny, rôzne štandardy pre rôzne technológie a palivá), reagovať na technologický vývoj ale aj požiadavky (pribudlo sledovanie ďalších znečisťujúcich látok), ktoré sa objavili za posledných 10 rokov a zohľadňovať emisie v reálnej prevádzke ako aj počas celej doby životnosti vozidla. Návrh bude výrobcami automobilov vnímaný veľmi citlivo, zintenzívni sa ich tlak na dobudovanie infraštruktúry pre alternatívne pohony ako aj na nástroje motivujúce k obnove vozového parku.</w:t>
            </w:r>
          </w:p>
        </w:tc>
      </w:tr>
      <w:tr w:rsidR="00E47756" w:rsidRPr="00E47756" w14:paraId="79C3E7A9" w14:textId="77777777" w:rsidTr="001A4016">
        <w:tblPrEx>
          <w:tblCellMar>
            <w:top w:w="2" w:type="dxa"/>
            <w:right w:w="0" w:type="dxa"/>
          </w:tblCellMar>
        </w:tblPrEx>
        <w:trPr>
          <w:trHeight w:val="394"/>
        </w:trPr>
        <w:tc>
          <w:tcPr>
            <w:tcW w:w="3159" w:type="dxa"/>
            <w:gridSpan w:val="4"/>
            <w:tcBorders>
              <w:top w:val="single" w:sz="4" w:space="0" w:color="auto"/>
              <w:left w:val="single" w:sz="4" w:space="0" w:color="000000"/>
              <w:bottom w:val="single" w:sz="4" w:space="0" w:color="000000"/>
              <w:right w:val="nil"/>
            </w:tcBorders>
            <w:shd w:val="clear" w:color="auto" w:fill="18BAA8"/>
          </w:tcPr>
          <w:p w14:paraId="76776970" w14:textId="77777777" w:rsidR="00E47756" w:rsidRPr="00E47756" w:rsidRDefault="00E47756" w:rsidP="00E47756">
            <w:pPr>
              <w:spacing w:after="0"/>
              <w:ind w:left="26"/>
            </w:pPr>
            <w:r w:rsidRPr="00E47756">
              <w:rPr>
                <w:b/>
                <w:color w:val="FFFFFF"/>
                <w:sz w:val="20"/>
              </w:rPr>
              <w:lastRenderedPageBreak/>
              <w:t>Európa pripravená na digitálny vek</w:t>
            </w:r>
            <w:r w:rsidRPr="00E47756">
              <w:rPr>
                <w:b/>
                <w:sz w:val="20"/>
              </w:rPr>
              <w:t xml:space="preserve"> </w:t>
            </w:r>
          </w:p>
        </w:tc>
        <w:tc>
          <w:tcPr>
            <w:tcW w:w="3734" w:type="dxa"/>
            <w:tcBorders>
              <w:top w:val="single" w:sz="4" w:space="0" w:color="auto"/>
              <w:left w:val="nil"/>
              <w:bottom w:val="single" w:sz="4" w:space="0" w:color="000000"/>
              <w:right w:val="single" w:sz="4" w:space="0" w:color="000000"/>
            </w:tcBorders>
            <w:shd w:val="clear" w:color="auto" w:fill="18BAA8"/>
          </w:tcPr>
          <w:p w14:paraId="5E14E0DA" w14:textId="77777777" w:rsidR="00E47756" w:rsidRPr="00E47756" w:rsidRDefault="00E47756" w:rsidP="00E47756">
            <w:pPr>
              <w:spacing w:after="0"/>
            </w:pPr>
          </w:p>
        </w:tc>
        <w:tc>
          <w:tcPr>
            <w:tcW w:w="1972" w:type="dxa"/>
            <w:tcBorders>
              <w:top w:val="single" w:sz="4" w:space="0" w:color="auto"/>
              <w:left w:val="nil"/>
              <w:bottom w:val="single" w:sz="4" w:space="0" w:color="000000"/>
              <w:right w:val="single" w:sz="4" w:space="0" w:color="000000"/>
            </w:tcBorders>
            <w:shd w:val="clear" w:color="auto" w:fill="18BAA8"/>
          </w:tcPr>
          <w:p w14:paraId="6202EC13" w14:textId="77777777" w:rsidR="00E47756" w:rsidRPr="00E47756" w:rsidRDefault="00E47756" w:rsidP="00E47756">
            <w:pPr>
              <w:spacing w:after="0"/>
            </w:pPr>
          </w:p>
        </w:tc>
        <w:tc>
          <w:tcPr>
            <w:tcW w:w="5777" w:type="dxa"/>
            <w:tcBorders>
              <w:top w:val="single" w:sz="4" w:space="0" w:color="auto"/>
              <w:left w:val="nil"/>
              <w:bottom w:val="single" w:sz="4" w:space="0" w:color="000000"/>
              <w:right w:val="single" w:sz="4" w:space="0" w:color="000000"/>
            </w:tcBorders>
            <w:shd w:val="clear" w:color="auto" w:fill="18BAA8"/>
          </w:tcPr>
          <w:p w14:paraId="25278FC9" w14:textId="77777777" w:rsidR="00E47756" w:rsidRPr="00E47756" w:rsidRDefault="00E47756" w:rsidP="00E47756">
            <w:pPr>
              <w:spacing w:after="0"/>
            </w:pPr>
          </w:p>
        </w:tc>
      </w:tr>
      <w:tr w:rsidR="00E47756" w:rsidRPr="00E47756" w14:paraId="3CE7C706" w14:textId="77777777" w:rsidTr="001A4016">
        <w:tblPrEx>
          <w:tblCellMar>
            <w:top w:w="2" w:type="dxa"/>
            <w:right w:w="0" w:type="dxa"/>
          </w:tblCellMar>
        </w:tblPrEx>
        <w:trPr>
          <w:trHeight w:val="307"/>
        </w:trPr>
        <w:tc>
          <w:tcPr>
            <w:tcW w:w="415" w:type="dxa"/>
            <w:tcBorders>
              <w:top w:val="single" w:sz="4" w:space="0" w:color="000000"/>
              <w:left w:val="single" w:sz="4" w:space="0" w:color="000000"/>
              <w:bottom w:val="single" w:sz="4" w:space="0" w:color="000000"/>
              <w:right w:val="single" w:sz="4" w:space="0" w:color="000000"/>
            </w:tcBorders>
          </w:tcPr>
          <w:p w14:paraId="6B9B2FD5" w14:textId="77777777" w:rsidR="00E47756" w:rsidRPr="00E47756" w:rsidRDefault="00E47756" w:rsidP="00E47756">
            <w:pPr>
              <w:spacing w:after="0" w:line="240" w:lineRule="auto"/>
              <w:ind w:left="57" w:right="57"/>
              <w:jc w:val="center"/>
            </w:pPr>
            <w:r w:rsidRPr="00E47756">
              <w:rPr>
                <w:sz w:val="20"/>
              </w:rPr>
              <w:t>5.</w:t>
            </w:r>
            <w:r w:rsidRPr="00E47756">
              <w:rPr>
                <w:rFonts w:ascii="Arial" w:hAnsi="Arial" w:cs="Arial"/>
                <w:sz w:val="20"/>
              </w:rPr>
              <w:t xml:space="preserve"> </w:t>
            </w:r>
            <w:r w:rsidRPr="00E47756">
              <w:rPr>
                <w:color w:val="FFFFFF"/>
                <w:sz w:val="20"/>
              </w:rPr>
              <w:t>.</w:t>
            </w:r>
          </w:p>
        </w:tc>
        <w:tc>
          <w:tcPr>
            <w:tcW w:w="2396" w:type="dxa"/>
            <w:tcBorders>
              <w:top w:val="single" w:sz="4" w:space="0" w:color="000000"/>
              <w:left w:val="single" w:sz="4" w:space="0" w:color="000000"/>
              <w:bottom w:val="single" w:sz="4" w:space="0" w:color="000000"/>
              <w:right w:val="single" w:sz="4" w:space="0" w:color="000000"/>
            </w:tcBorders>
          </w:tcPr>
          <w:p w14:paraId="3B86FEE2" w14:textId="77777777" w:rsidR="00E47756" w:rsidRPr="00E47756" w:rsidRDefault="00E47756" w:rsidP="00E47756">
            <w:pPr>
              <w:spacing w:after="0" w:line="240" w:lineRule="auto"/>
              <w:ind w:left="57" w:right="57"/>
            </w:pPr>
            <w:r w:rsidRPr="00E47756">
              <w:rPr>
                <w:sz w:val="20"/>
              </w:rPr>
              <w:t xml:space="preserve"> </w:t>
            </w:r>
            <w:r w:rsidRPr="00E47756">
              <w:rPr>
                <w:b/>
                <w:sz w:val="20"/>
              </w:rPr>
              <w:t xml:space="preserve">Európska digitálna dekáda </w:t>
            </w:r>
          </w:p>
        </w:tc>
        <w:tc>
          <w:tcPr>
            <w:tcW w:w="4082" w:type="dxa"/>
            <w:gridSpan w:val="3"/>
            <w:tcBorders>
              <w:top w:val="single" w:sz="4" w:space="0" w:color="000000"/>
              <w:left w:val="single" w:sz="4" w:space="0" w:color="000000"/>
              <w:bottom w:val="single" w:sz="4" w:space="0" w:color="000000"/>
              <w:right w:val="single" w:sz="4" w:space="0" w:color="000000"/>
            </w:tcBorders>
          </w:tcPr>
          <w:p w14:paraId="44ECEB5C" w14:textId="77777777" w:rsidR="00E47756" w:rsidRPr="00E47756" w:rsidRDefault="00E47756" w:rsidP="00E47756">
            <w:pPr>
              <w:spacing w:after="0" w:line="240" w:lineRule="auto"/>
              <w:ind w:left="57" w:right="57"/>
            </w:pPr>
            <w:r w:rsidRPr="00E47756">
              <w:rPr>
                <w:b/>
                <w:sz w:val="20"/>
              </w:rPr>
              <w:t>Európska digitálna dekáda: digitálne ciele do roku 2030</w:t>
            </w:r>
            <w:r w:rsidRPr="00E47756">
              <w:rPr>
                <w:sz w:val="20"/>
              </w:rPr>
              <w:t xml:space="preserve"> (nelegislatívna iniciatíva, 1. štvrťrok 2021) </w:t>
            </w:r>
          </w:p>
        </w:tc>
        <w:tc>
          <w:tcPr>
            <w:tcW w:w="1972" w:type="dxa"/>
            <w:tcBorders>
              <w:top w:val="single" w:sz="4" w:space="0" w:color="000000"/>
              <w:left w:val="single" w:sz="4" w:space="0" w:color="000000"/>
              <w:bottom w:val="single" w:sz="4" w:space="0" w:color="000000"/>
              <w:right w:val="single" w:sz="4" w:space="0" w:color="000000"/>
            </w:tcBorders>
          </w:tcPr>
          <w:p w14:paraId="500DF84B" w14:textId="77777777" w:rsidR="00E47756" w:rsidRPr="00E47756" w:rsidRDefault="00E47756" w:rsidP="00E47756">
            <w:pPr>
              <w:spacing w:after="0" w:line="240" w:lineRule="auto"/>
              <w:ind w:left="57" w:right="57"/>
              <w:jc w:val="center"/>
              <w:rPr>
                <w:b/>
                <w:color w:val="auto"/>
                <w:sz w:val="20"/>
              </w:rPr>
            </w:pPr>
            <w:r w:rsidRPr="00E47756">
              <w:rPr>
                <w:b/>
                <w:color w:val="auto"/>
                <w:sz w:val="20"/>
              </w:rPr>
              <w:t>MIRRI SR</w:t>
            </w:r>
          </w:p>
        </w:tc>
        <w:tc>
          <w:tcPr>
            <w:tcW w:w="5777" w:type="dxa"/>
            <w:tcBorders>
              <w:top w:val="single" w:sz="4" w:space="0" w:color="000000"/>
              <w:left w:val="single" w:sz="4" w:space="0" w:color="000000"/>
              <w:bottom w:val="single" w:sz="4" w:space="0" w:color="000000"/>
              <w:right w:val="single" w:sz="4" w:space="0" w:color="000000"/>
            </w:tcBorders>
          </w:tcPr>
          <w:p w14:paraId="42FB4736" w14:textId="77777777" w:rsidR="00E47756" w:rsidRPr="00E47756" w:rsidRDefault="00E47756" w:rsidP="001A4016">
            <w:pPr>
              <w:spacing w:after="0" w:line="240" w:lineRule="auto"/>
              <w:ind w:left="57" w:right="57"/>
              <w:rPr>
                <w:sz w:val="20"/>
                <w:szCs w:val="20"/>
              </w:rPr>
            </w:pPr>
            <w:r w:rsidRPr="00E47756">
              <w:rPr>
                <w:b/>
                <w:sz w:val="20"/>
                <w:u w:val="single"/>
              </w:rPr>
              <w:t>Stredná priorita</w:t>
            </w:r>
            <w:r w:rsidRPr="00E47756">
              <w:rPr>
                <w:b/>
                <w:sz w:val="20"/>
                <w:szCs w:val="20"/>
              </w:rPr>
              <w:t xml:space="preserve"> – </w:t>
            </w:r>
            <w:r w:rsidRPr="00E47756">
              <w:rPr>
                <w:sz w:val="20"/>
                <w:szCs w:val="20"/>
              </w:rPr>
              <w:t xml:space="preserve">SR víta túto  iniciatívu Komisie, ktorej ústrednou  témou je koncept digitálnej suverenity. Oznámenie bude reflektovať na požiadavku Európskej Rady pripraviť tzv. digitálny kompas, ktorý stanoví konkrétne digitálne ambície EÚ do roku 2030, vytvorí monitorovací systém pre sledovanie nastavených cieľov a načrtne prostriedky a kľúčové míľniky na dosiahnutie týchto ambícií. </w:t>
            </w:r>
          </w:p>
        </w:tc>
      </w:tr>
      <w:tr w:rsidR="00E47756" w:rsidRPr="00E47756" w14:paraId="34AABD71" w14:textId="77777777" w:rsidTr="00F46B8A">
        <w:tblPrEx>
          <w:tblCellMar>
            <w:top w:w="2" w:type="dxa"/>
            <w:right w:w="0" w:type="dxa"/>
          </w:tblCellMar>
        </w:tblPrEx>
        <w:trPr>
          <w:trHeight w:val="4294"/>
        </w:trPr>
        <w:tc>
          <w:tcPr>
            <w:tcW w:w="415" w:type="dxa"/>
            <w:tcBorders>
              <w:top w:val="single" w:sz="4" w:space="0" w:color="000000"/>
              <w:left w:val="single" w:sz="4" w:space="0" w:color="000000"/>
              <w:bottom w:val="single" w:sz="4" w:space="0" w:color="000000"/>
              <w:right w:val="single" w:sz="4" w:space="0" w:color="000000"/>
            </w:tcBorders>
          </w:tcPr>
          <w:p w14:paraId="22CAF3F1" w14:textId="77777777" w:rsidR="00E47756" w:rsidRPr="00E47756" w:rsidRDefault="00E47756" w:rsidP="00E47756">
            <w:pPr>
              <w:spacing w:after="0" w:line="240" w:lineRule="auto"/>
              <w:ind w:left="57" w:right="57"/>
              <w:jc w:val="center"/>
              <w:rPr>
                <w:sz w:val="20"/>
              </w:rPr>
            </w:pPr>
            <w:r w:rsidRPr="00E47756">
              <w:rPr>
                <w:sz w:val="20"/>
              </w:rPr>
              <w:t>6.</w:t>
            </w:r>
          </w:p>
          <w:p w14:paraId="5EFD3852" w14:textId="77777777" w:rsidR="00E47756" w:rsidRPr="00E47756" w:rsidRDefault="00E47756" w:rsidP="00E47756">
            <w:pPr>
              <w:ind w:left="57" w:right="57"/>
            </w:pPr>
          </w:p>
          <w:p w14:paraId="33667E7A" w14:textId="77777777" w:rsidR="00E47756" w:rsidRPr="00E47756" w:rsidRDefault="00E47756" w:rsidP="00E47756">
            <w:pPr>
              <w:ind w:left="57" w:right="57"/>
            </w:pPr>
          </w:p>
          <w:p w14:paraId="7E0EDC3E" w14:textId="77777777" w:rsidR="00E47756" w:rsidRPr="00E47756" w:rsidRDefault="00E47756" w:rsidP="00E47756">
            <w:pPr>
              <w:ind w:left="57" w:right="57"/>
            </w:pPr>
          </w:p>
          <w:p w14:paraId="1B243322" w14:textId="77777777" w:rsidR="00E47756" w:rsidRPr="00E47756" w:rsidRDefault="00E47756" w:rsidP="00E47756">
            <w:pPr>
              <w:ind w:left="57" w:right="57"/>
            </w:pPr>
          </w:p>
          <w:p w14:paraId="56CA5586" w14:textId="77777777" w:rsidR="00E47756" w:rsidRPr="00E47756" w:rsidRDefault="00E47756" w:rsidP="00E47756">
            <w:pPr>
              <w:ind w:left="57" w:right="57"/>
            </w:pPr>
          </w:p>
          <w:p w14:paraId="2B3FDC09" w14:textId="77777777" w:rsidR="00E47756" w:rsidRPr="00E47756" w:rsidRDefault="00E47756" w:rsidP="00E47756">
            <w:pPr>
              <w:ind w:left="57" w:right="57"/>
            </w:pPr>
          </w:p>
          <w:p w14:paraId="4BE8FD64" w14:textId="77777777" w:rsidR="00E47756" w:rsidRPr="00E47756" w:rsidRDefault="00E47756" w:rsidP="00E47756">
            <w:pPr>
              <w:ind w:left="57" w:right="57"/>
            </w:pPr>
          </w:p>
          <w:p w14:paraId="444DC10A" w14:textId="77777777" w:rsidR="00E47756" w:rsidRPr="00E47756" w:rsidRDefault="00E47756" w:rsidP="00E47756">
            <w:pPr>
              <w:ind w:left="57" w:right="57"/>
            </w:pPr>
          </w:p>
          <w:p w14:paraId="75F3830F" w14:textId="77777777" w:rsidR="00E47756" w:rsidRPr="00E47756" w:rsidRDefault="00E47756" w:rsidP="00E47756">
            <w:pPr>
              <w:ind w:left="57" w:right="57"/>
            </w:pPr>
          </w:p>
          <w:p w14:paraId="19F7BBE8" w14:textId="77777777" w:rsidR="00E47756" w:rsidRPr="00E47756" w:rsidRDefault="00E47756" w:rsidP="00E47756">
            <w:pPr>
              <w:ind w:left="57" w:right="57"/>
            </w:pPr>
          </w:p>
        </w:tc>
        <w:tc>
          <w:tcPr>
            <w:tcW w:w="2396" w:type="dxa"/>
            <w:tcBorders>
              <w:top w:val="single" w:sz="4" w:space="0" w:color="000000"/>
              <w:left w:val="single" w:sz="4" w:space="0" w:color="000000"/>
              <w:bottom w:val="single" w:sz="4" w:space="0" w:color="000000"/>
              <w:right w:val="single" w:sz="4" w:space="0" w:color="000000"/>
            </w:tcBorders>
          </w:tcPr>
          <w:p w14:paraId="4FF064A9" w14:textId="77777777" w:rsidR="00E47756" w:rsidRPr="00E47756" w:rsidRDefault="00E47756" w:rsidP="00E47756">
            <w:pPr>
              <w:spacing w:after="0" w:line="240" w:lineRule="auto"/>
              <w:ind w:left="57" w:right="57"/>
            </w:pPr>
            <w:r w:rsidRPr="00E47756">
              <w:rPr>
                <w:b/>
                <w:sz w:val="20"/>
              </w:rPr>
              <w:t xml:space="preserve">Balík opatrení v oblasti údajov </w:t>
            </w:r>
          </w:p>
          <w:p w14:paraId="545275C5" w14:textId="77777777" w:rsidR="00E47756" w:rsidRPr="00E47756" w:rsidRDefault="00E47756" w:rsidP="00E47756">
            <w:pPr>
              <w:spacing w:after="0" w:line="240" w:lineRule="auto"/>
              <w:ind w:left="57" w:right="57"/>
            </w:pPr>
          </w:p>
          <w:p w14:paraId="7A7CE041" w14:textId="77777777" w:rsidR="00E47756" w:rsidRPr="00E47756" w:rsidRDefault="00E47756" w:rsidP="00E47756">
            <w:pPr>
              <w:spacing w:after="0" w:line="240" w:lineRule="auto"/>
              <w:ind w:left="57" w:right="57"/>
            </w:pPr>
          </w:p>
          <w:p w14:paraId="23B407B7" w14:textId="77777777" w:rsidR="00E47756" w:rsidRPr="00E47756" w:rsidRDefault="00E47756" w:rsidP="00E47756">
            <w:pPr>
              <w:spacing w:after="0" w:line="240" w:lineRule="auto"/>
              <w:ind w:left="57" w:right="57"/>
            </w:pPr>
          </w:p>
          <w:p w14:paraId="4C98B2C0" w14:textId="77777777" w:rsidR="00E47756" w:rsidRPr="00E47756" w:rsidRDefault="00E47756" w:rsidP="00E47756">
            <w:pPr>
              <w:spacing w:after="0" w:line="240" w:lineRule="auto"/>
              <w:ind w:left="57" w:right="57"/>
            </w:pPr>
          </w:p>
          <w:p w14:paraId="190E3D3B" w14:textId="77777777" w:rsidR="00E47756" w:rsidRPr="00E47756" w:rsidRDefault="00E47756" w:rsidP="00E47756">
            <w:pPr>
              <w:spacing w:after="0" w:line="240" w:lineRule="auto"/>
              <w:ind w:left="57" w:right="57"/>
            </w:pPr>
          </w:p>
          <w:p w14:paraId="524FACDE" w14:textId="77777777" w:rsidR="00E47756" w:rsidRPr="00E47756" w:rsidRDefault="00E47756" w:rsidP="00E47756">
            <w:pPr>
              <w:spacing w:after="0" w:line="240" w:lineRule="auto"/>
              <w:ind w:left="57" w:right="57"/>
            </w:pPr>
          </w:p>
          <w:p w14:paraId="55A78F79" w14:textId="77777777" w:rsidR="00E47756" w:rsidRPr="00E47756" w:rsidRDefault="00E47756" w:rsidP="00E47756">
            <w:pPr>
              <w:spacing w:after="0" w:line="240" w:lineRule="auto"/>
              <w:ind w:left="57" w:right="57"/>
            </w:pPr>
          </w:p>
          <w:p w14:paraId="1837F218" w14:textId="77777777" w:rsidR="00E47756" w:rsidRPr="00E47756" w:rsidRDefault="00E47756" w:rsidP="00E47756">
            <w:pPr>
              <w:spacing w:after="0" w:line="240" w:lineRule="auto"/>
              <w:ind w:left="57" w:right="57"/>
            </w:pPr>
          </w:p>
          <w:p w14:paraId="354F5418" w14:textId="77777777" w:rsidR="00E47756" w:rsidRPr="00E47756" w:rsidRDefault="00E47756" w:rsidP="00E47756">
            <w:pPr>
              <w:spacing w:after="0" w:line="240" w:lineRule="auto"/>
              <w:ind w:left="57" w:right="57"/>
            </w:pPr>
          </w:p>
          <w:p w14:paraId="3F59DA3C" w14:textId="77777777" w:rsidR="00E47756" w:rsidRPr="00E47756" w:rsidRDefault="00E47756" w:rsidP="00E47756">
            <w:pPr>
              <w:spacing w:after="0" w:line="240" w:lineRule="auto"/>
              <w:ind w:left="57" w:right="57"/>
            </w:pPr>
          </w:p>
          <w:p w14:paraId="75160E81" w14:textId="77777777" w:rsidR="00E47756" w:rsidRPr="00E47756" w:rsidRDefault="00E47756" w:rsidP="00E47756">
            <w:pPr>
              <w:spacing w:after="0" w:line="240" w:lineRule="auto"/>
              <w:ind w:left="57" w:right="57"/>
            </w:pPr>
          </w:p>
          <w:p w14:paraId="6A375B7A" w14:textId="77777777" w:rsidR="00E47756" w:rsidRPr="00E47756" w:rsidRDefault="00E47756" w:rsidP="00E47756">
            <w:pPr>
              <w:spacing w:after="0" w:line="240" w:lineRule="auto"/>
              <w:ind w:right="57"/>
            </w:pPr>
          </w:p>
        </w:tc>
        <w:tc>
          <w:tcPr>
            <w:tcW w:w="4082" w:type="dxa"/>
            <w:gridSpan w:val="3"/>
            <w:tcBorders>
              <w:top w:val="single" w:sz="4" w:space="0" w:color="000000"/>
              <w:left w:val="single" w:sz="4" w:space="0" w:color="000000"/>
              <w:bottom w:val="single" w:sz="4" w:space="0" w:color="000000"/>
              <w:right w:val="single" w:sz="4" w:space="0" w:color="000000"/>
            </w:tcBorders>
          </w:tcPr>
          <w:p w14:paraId="68BD57D2" w14:textId="77777777" w:rsidR="00E47756" w:rsidRPr="00E47756" w:rsidRDefault="00E47756" w:rsidP="003826CE">
            <w:pPr>
              <w:numPr>
                <w:ilvl w:val="0"/>
                <w:numId w:val="9"/>
              </w:numPr>
              <w:spacing w:after="0" w:line="240" w:lineRule="auto"/>
              <w:ind w:left="57" w:right="57" w:hanging="334"/>
              <w:jc w:val="left"/>
            </w:pPr>
            <w:r w:rsidRPr="00E47756">
              <w:rPr>
                <w:b/>
                <w:sz w:val="20"/>
              </w:rPr>
              <w:t>akt o údajoch</w:t>
            </w:r>
            <w:r w:rsidRPr="00E47756">
              <w:rPr>
                <w:sz w:val="20"/>
              </w:rPr>
              <w:t xml:space="preserve"> (legislatívna iniciatíva vrátane posúdenia vplyvu, článok 114 ZFEÚ, 3. štvrťrok 2021);</w:t>
            </w:r>
            <w:r w:rsidRPr="00E47756">
              <w:rPr>
                <w:b/>
                <w:sz w:val="20"/>
              </w:rPr>
              <w:t xml:space="preserve"> </w:t>
            </w:r>
          </w:p>
          <w:p w14:paraId="42DF00D6" w14:textId="77777777" w:rsidR="00E47756" w:rsidRPr="00E47756" w:rsidRDefault="00E47756" w:rsidP="00E47756">
            <w:pPr>
              <w:spacing w:after="0" w:line="240" w:lineRule="auto"/>
              <w:ind w:left="57" w:right="57"/>
            </w:pPr>
          </w:p>
          <w:p w14:paraId="002FDAA7" w14:textId="77777777" w:rsidR="00E47756" w:rsidRPr="00E47756" w:rsidRDefault="00E47756" w:rsidP="00E47756">
            <w:pPr>
              <w:spacing w:after="0" w:line="240" w:lineRule="auto"/>
              <w:ind w:left="57" w:right="57"/>
            </w:pPr>
          </w:p>
          <w:p w14:paraId="46E3E207" w14:textId="77777777" w:rsidR="00E47756" w:rsidRPr="00E47756" w:rsidRDefault="00E47756" w:rsidP="00E47756">
            <w:pPr>
              <w:spacing w:after="0" w:line="240" w:lineRule="auto"/>
              <w:ind w:left="57" w:right="57"/>
            </w:pPr>
          </w:p>
          <w:p w14:paraId="2F630A93" w14:textId="77777777" w:rsidR="00E47756" w:rsidRPr="00E47756" w:rsidRDefault="00E47756" w:rsidP="00E47756">
            <w:pPr>
              <w:spacing w:after="0" w:line="240" w:lineRule="auto"/>
              <w:ind w:left="57" w:right="57"/>
            </w:pPr>
          </w:p>
          <w:p w14:paraId="05997E13" w14:textId="77777777" w:rsidR="00E47756" w:rsidRPr="00E47756" w:rsidRDefault="00E47756" w:rsidP="00E47756">
            <w:pPr>
              <w:spacing w:after="0" w:line="240" w:lineRule="auto"/>
              <w:ind w:left="57" w:right="57"/>
            </w:pPr>
          </w:p>
          <w:p w14:paraId="6C865C1E" w14:textId="77777777" w:rsidR="00E47756" w:rsidRPr="00E47756" w:rsidRDefault="00E47756" w:rsidP="00E47756">
            <w:pPr>
              <w:spacing w:after="0" w:line="240" w:lineRule="auto"/>
              <w:ind w:left="57" w:right="57"/>
            </w:pPr>
          </w:p>
          <w:p w14:paraId="7988D418" w14:textId="77777777" w:rsidR="00E47756" w:rsidRPr="00E47756" w:rsidRDefault="00E47756" w:rsidP="003826CE">
            <w:pPr>
              <w:numPr>
                <w:ilvl w:val="0"/>
                <w:numId w:val="9"/>
              </w:numPr>
              <w:spacing w:after="0" w:line="240" w:lineRule="auto"/>
              <w:ind w:left="57" w:right="57" w:hanging="334"/>
              <w:jc w:val="left"/>
            </w:pPr>
            <w:r w:rsidRPr="00E47756">
              <w:rPr>
                <w:b/>
                <w:sz w:val="20"/>
              </w:rPr>
              <w:t>revízia smernice databázach</w:t>
            </w:r>
            <w:r w:rsidRPr="00E47756">
              <w:rPr>
                <w:sz w:val="20"/>
              </w:rPr>
              <w:t xml:space="preserve"> (legislatívna iniciatíva vrátane posúdenia vplyvu, článok 114 ZFEÚ, 3. štvrťrok 2021). </w:t>
            </w:r>
          </w:p>
        </w:tc>
        <w:tc>
          <w:tcPr>
            <w:tcW w:w="1972" w:type="dxa"/>
            <w:tcBorders>
              <w:top w:val="single" w:sz="4" w:space="0" w:color="000000"/>
              <w:left w:val="single" w:sz="4" w:space="0" w:color="000000"/>
              <w:bottom w:val="single" w:sz="4" w:space="0" w:color="000000"/>
              <w:right w:val="single" w:sz="4" w:space="0" w:color="000000"/>
            </w:tcBorders>
          </w:tcPr>
          <w:p w14:paraId="113D9DD3" w14:textId="77777777" w:rsidR="00E47756" w:rsidRPr="00E47756" w:rsidRDefault="00E47756" w:rsidP="00E47756">
            <w:pPr>
              <w:spacing w:after="0" w:line="240" w:lineRule="auto"/>
              <w:ind w:left="57" w:right="57"/>
              <w:jc w:val="center"/>
              <w:rPr>
                <w:b/>
                <w:color w:val="auto"/>
                <w:sz w:val="20"/>
              </w:rPr>
            </w:pPr>
            <w:r w:rsidRPr="00E47756">
              <w:rPr>
                <w:b/>
                <w:color w:val="auto"/>
                <w:sz w:val="20"/>
              </w:rPr>
              <w:t>MIRRI SR</w:t>
            </w:r>
          </w:p>
          <w:p w14:paraId="03DC59EF" w14:textId="77777777" w:rsidR="00E47756" w:rsidRPr="00E47756" w:rsidRDefault="00E47756" w:rsidP="00E47756">
            <w:pPr>
              <w:spacing w:after="0" w:line="240" w:lineRule="auto"/>
              <w:ind w:left="57" w:right="57"/>
              <w:jc w:val="center"/>
              <w:rPr>
                <w:b/>
                <w:color w:val="auto"/>
                <w:sz w:val="20"/>
              </w:rPr>
            </w:pPr>
          </w:p>
          <w:p w14:paraId="3772D4BB" w14:textId="77777777" w:rsidR="00E47756" w:rsidRPr="00E47756" w:rsidRDefault="00E47756" w:rsidP="00E47756">
            <w:pPr>
              <w:spacing w:after="0" w:line="240" w:lineRule="auto"/>
              <w:ind w:left="57" w:right="57"/>
              <w:jc w:val="center"/>
              <w:rPr>
                <w:b/>
                <w:color w:val="auto"/>
                <w:sz w:val="20"/>
              </w:rPr>
            </w:pPr>
          </w:p>
          <w:p w14:paraId="4B57D888" w14:textId="77777777" w:rsidR="00E47756" w:rsidRPr="00E47756" w:rsidRDefault="00E47756" w:rsidP="00E47756">
            <w:pPr>
              <w:spacing w:after="0" w:line="240" w:lineRule="auto"/>
              <w:ind w:left="57" w:right="57"/>
              <w:jc w:val="center"/>
              <w:rPr>
                <w:b/>
                <w:color w:val="auto"/>
                <w:sz w:val="20"/>
              </w:rPr>
            </w:pPr>
          </w:p>
          <w:p w14:paraId="041AC801" w14:textId="77777777" w:rsidR="00E47756" w:rsidRPr="00E47756" w:rsidRDefault="00E47756" w:rsidP="00E47756">
            <w:pPr>
              <w:spacing w:after="0" w:line="240" w:lineRule="auto"/>
              <w:ind w:left="57" w:right="57"/>
              <w:jc w:val="center"/>
              <w:rPr>
                <w:b/>
                <w:color w:val="auto"/>
                <w:sz w:val="20"/>
              </w:rPr>
            </w:pPr>
          </w:p>
          <w:p w14:paraId="127785BD" w14:textId="77777777" w:rsidR="00E47756" w:rsidRPr="00E47756" w:rsidRDefault="00E47756" w:rsidP="00E47756">
            <w:pPr>
              <w:spacing w:after="0" w:line="240" w:lineRule="auto"/>
              <w:ind w:left="57" w:right="57"/>
              <w:rPr>
                <w:b/>
                <w:color w:val="auto"/>
                <w:sz w:val="20"/>
              </w:rPr>
            </w:pPr>
          </w:p>
          <w:p w14:paraId="0E52600E" w14:textId="77777777" w:rsidR="00E47756" w:rsidRPr="00E47756" w:rsidRDefault="00E47756" w:rsidP="00E47756">
            <w:pPr>
              <w:spacing w:after="0" w:line="240" w:lineRule="auto"/>
              <w:ind w:left="57" w:right="57"/>
              <w:jc w:val="center"/>
              <w:rPr>
                <w:b/>
                <w:color w:val="auto"/>
                <w:sz w:val="20"/>
              </w:rPr>
            </w:pPr>
          </w:p>
          <w:p w14:paraId="093BBC00" w14:textId="77777777" w:rsidR="00E47756" w:rsidRPr="00E47756" w:rsidRDefault="00E47756" w:rsidP="00E47756">
            <w:pPr>
              <w:spacing w:after="0" w:line="240" w:lineRule="auto"/>
              <w:ind w:left="57" w:right="57"/>
              <w:jc w:val="center"/>
              <w:rPr>
                <w:b/>
                <w:color w:val="auto"/>
                <w:sz w:val="20"/>
              </w:rPr>
            </w:pPr>
          </w:p>
          <w:p w14:paraId="53A80758" w14:textId="77777777" w:rsidR="00E47756" w:rsidRPr="00E47756" w:rsidRDefault="00E47756" w:rsidP="00E47756">
            <w:pPr>
              <w:spacing w:after="0" w:line="240" w:lineRule="auto"/>
              <w:ind w:left="57" w:right="57"/>
              <w:jc w:val="center"/>
              <w:rPr>
                <w:b/>
                <w:color w:val="auto"/>
                <w:sz w:val="20"/>
              </w:rPr>
            </w:pPr>
          </w:p>
          <w:p w14:paraId="702E8F69" w14:textId="77777777" w:rsidR="00E47756" w:rsidRPr="00E47756" w:rsidRDefault="00E47756" w:rsidP="00E47756">
            <w:pPr>
              <w:spacing w:after="0" w:line="240" w:lineRule="auto"/>
              <w:ind w:left="57" w:right="57"/>
              <w:jc w:val="center"/>
              <w:rPr>
                <w:b/>
                <w:color w:val="auto"/>
                <w:sz w:val="20"/>
              </w:rPr>
            </w:pPr>
          </w:p>
          <w:p w14:paraId="4540A42F" w14:textId="77777777" w:rsidR="00E47756" w:rsidRPr="00E47756" w:rsidRDefault="00E47756" w:rsidP="00E47756">
            <w:pPr>
              <w:spacing w:after="0" w:line="240" w:lineRule="auto"/>
              <w:ind w:left="57" w:right="57"/>
              <w:jc w:val="center"/>
              <w:rPr>
                <w:b/>
                <w:color w:val="auto"/>
                <w:sz w:val="20"/>
              </w:rPr>
            </w:pPr>
            <w:r w:rsidRPr="00E47756">
              <w:rPr>
                <w:b/>
                <w:color w:val="auto"/>
                <w:sz w:val="20"/>
              </w:rPr>
              <w:t>MK SR</w:t>
            </w:r>
          </w:p>
          <w:p w14:paraId="5BE76E6C" w14:textId="77777777" w:rsidR="00E47756" w:rsidRPr="00E47756" w:rsidRDefault="00E47756" w:rsidP="00E47756">
            <w:pPr>
              <w:spacing w:after="0" w:line="240" w:lineRule="auto"/>
              <w:ind w:left="57" w:right="57"/>
              <w:jc w:val="center"/>
              <w:rPr>
                <w:b/>
                <w:color w:val="auto"/>
                <w:sz w:val="20"/>
              </w:rPr>
            </w:pPr>
            <w:r w:rsidRPr="00E47756">
              <w:rPr>
                <w:b/>
                <w:color w:val="auto"/>
                <w:sz w:val="20"/>
              </w:rPr>
              <w:t xml:space="preserve">ŠÚ SR </w:t>
            </w:r>
          </w:p>
          <w:p w14:paraId="58840CC9" w14:textId="77777777" w:rsidR="00E47756" w:rsidRPr="00E47756" w:rsidRDefault="00E47756" w:rsidP="00E47756">
            <w:pPr>
              <w:spacing w:after="0" w:line="240" w:lineRule="auto"/>
              <w:ind w:left="57" w:right="57"/>
              <w:rPr>
                <w:b/>
                <w:color w:val="auto"/>
                <w:sz w:val="20"/>
              </w:rPr>
            </w:pPr>
          </w:p>
        </w:tc>
        <w:tc>
          <w:tcPr>
            <w:tcW w:w="5777" w:type="dxa"/>
            <w:tcBorders>
              <w:top w:val="single" w:sz="4" w:space="0" w:color="000000"/>
              <w:left w:val="single" w:sz="4" w:space="0" w:color="000000"/>
              <w:bottom w:val="single" w:sz="4" w:space="0" w:color="000000"/>
              <w:right w:val="single" w:sz="4" w:space="0" w:color="000000"/>
            </w:tcBorders>
          </w:tcPr>
          <w:p w14:paraId="5CEB55E8" w14:textId="77777777" w:rsidR="00E47756" w:rsidRPr="00E47756" w:rsidRDefault="00E47756" w:rsidP="00E47756">
            <w:pPr>
              <w:spacing w:after="0" w:line="240" w:lineRule="auto"/>
              <w:ind w:left="57" w:right="57"/>
              <w:rPr>
                <w:b/>
                <w:sz w:val="20"/>
                <w:u w:val="single"/>
              </w:rPr>
            </w:pPr>
            <w:r w:rsidRPr="00E47756">
              <w:rPr>
                <w:b/>
                <w:sz w:val="20"/>
                <w:u w:val="single"/>
              </w:rPr>
              <w:t xml:space="preserve">Stredná priorita </w:t>
            </w:r>
            <w:r w:rsidRPr="00E47756">
              <w:rPr>
                <w:b/>
                <w:sz w:val="20"/>
                <w:szCs w:val="20"/>
              </w:rPr>
              <w:t xml:space="preserve"> - </w:t>
            </w:r>
            <w:r w:rsidRPr="00E47756">
              <w:rPr>
                <w:sz w:val="20"/>
                <w:szCs w:val="20"/>
              </w:rPr>
              <w:t>SR víta túto iniciatívu Komisie, ktorá prispieva k dosiahnutiu väčšej digitálnej suverenity EÚ.</w:t>
            </w:r>
            <w:r w:rsidRPr="00E47756">
              <w:rPr>
                <w:b/>
                <w:bCs/>
                <w:sz w:val="20"/>
                <w:szCs w:val="20"/>
              </w:rPr>
              <w:t xml:space="preserve"> </w:t>
            </w:r>
            <w:r w:rsidRPr="00E47756">
              <w:rPr>
                <w:bCs/>
                <w:sz w:val="20"/>
                <w:szCs w:val="20"/>
              </w:rPr>
              <w:t>Cieľom nariadenia je vytvoriť lepšie podmienky a mechanizmy pre zdieľanie a pristupovanie k údajom</w:t>
            </w:r>
            <w:r w:rsidRPr="00E47756">
              <w:rPr>
                <w:sz w:val="20"/>
                <w:szCs w:val="20"/>
              </w:rPr>
              <w:t xml:space="preserve">, nakoľko napriek veľkému množstvu a vysokej kvalite údajov generovaných v EÚ je ich zdieľanie stále nedostatočné. Z tohto dôvodu nie je možné naplno využiť ich potenciál a hodnotu pre európske údajové hospodárstvo a spoločnosť. Výzvou je najmä </w:t>
            </w:r>
            <w:r w:rsidRPr="00E47756">
              <w:rPr>
                <w:bCs/>
                <w:sz w:val="20"/>
                <w:szCs w:val="20"/>
              </w:rPr>
              <w:t>prekonanie bariér v zdieľaní údajov medzi rôznymi sektormi spoločnosti a hospodárstva</w:t>
            </w:r>
            <w:r w:rsidRPr="00E47756">
              <w:rPr>
                <w:sz w:val="20"/>
                <w:szCs w:val="20"/>
              </w:rPr>
              <w:t>.</w:t>
            </w:r>
          </w:p>
          <w:p w14:paraId="4B4B8BC8" w14:textId="77777777" w:rsidR="00E47756" w:rsidRPr="00E47756" w:rsidRDefault="00E47756" w:rsidP="00E47756">
            <w:pPr>
              <w:shd w:val="clear" w:color="auto" w:fill="FFFFFF"/>
              <w:spacing w:after="0" w:line="240" w:lineRule="auto"/>
              <w:ind w:left="57" w:right="57"/>
              <w:rPr>
                <w:sz w:val="20"/>
                <w:szCs w:val="20"/>
              </w:rPr>
            </w:pPr>
          </w:p>
          <w:p w14:paraId="31E4E179" w14:textId="1D9D411F" w:rsidR="00F46B8A" w:rsidRPr="00E47756" w:rsidRDefault="00E47756" w:rsidP="00F46B8A">
            <w:pPr>
              <w:spacing w:after="0" w:line="240" w:lineRule="auto"/>
              <w:ind w:left="57" w:right="57"/>
              <w:rPr>
                <w:color w:val="auto"/>
                <w:sz w:val="20"/>
                <w:szCs w:val="20"/>
              </w:rPr>
            </w:pPr>
            <w:r w:rsidRPr="00E47756">
              <w:rPr>
                <w:b/>
                <w:color w:val="auto"/>
                <w:sz w:val="20"/>
                <w:u w:val="single"/>
              </w:rPr>
              <w:t xml:space="preserve">Stredná priorita </w:t>
            </w:r>
            <w:r w:rsidRPr="00E47756">
              <w:rPr>
                <w:b/>
                <w:sz w:val="20"/>
                <w:szCs w:val="20"/>
              </w:rPr>
              <w:t xml:space="preserve"> - </w:t>
            </w:r>
            <w:r w:rsidRPr="00E47756">
              <w:rPr>
                <w:color w:val="auto"/>
                <w:sz w:val="20"/>
              </w:rPr>
              <w:t xml:space="preserve">Smernica Európskeho parlamentu a Rady 9/96/ES z 11. marca 1996 o právnej ochrane databáz sa dnes v mnohých ohľadoch javí ako zastaraná (napr. v otázke MGD – </w:t>
            </w:r>
            <w:proofErr w:type="spellStart"/>
            <w:r w:rsidRPr="00E47756">
              <w:rPr>
                <w:color w:val="auto"/>
                <w:sz w:val="20"/>
              </w:rPr>
              <w:t>machine</w:t>
            </w:r>
            <w:proofErr w:type="spellEnd"/>
            <w:r w:rsidRPr="00E47756">
              <w:rPr>
                <w:color w:val="auto"/>
                <w:sz w:val="20"/>
              </w:rPr>
              <w:t xml:space="preserve"> </w:t>
            </w:r>
            <w:proofErr w:type="spellStart"/>
            <w:r w:rsidRPr="00E47756">
              <w:rPr>
                <w:color w:val="auto"/>
                <w:sz w:val="20"/>
              </w:rPr>
              <w:t>generated</w:t>
            </w:r>
            <w:proofErr w:type="spellEnd"/>
            <w:r w:rsidRPr="00E47756">
              <w:rPr>
                <w:color w:val="auto"/>
                <w:sz w:val="20"/>
              </w:rPr>
              <w:t xml:space="preserve"> </w:t>
            </w:r>
            <w:proofErr w:type="spellStart"/>
            <w:r w:rsidRPr="00E47756">
              <w:rPr>
                <w:color w:val="auto"/>
                <w:sz w:val="20"/>
              </w:rPr>
              <w:t>data</w:t>
            </w:r>
            <w:proofErr w:type="spellEnd"/>
            <w:r w:rsidRPr="00E47756">
              <w:rPr>
                <w:color w:val="auto"/>
                <w:sz w:val="20"/>
              </w:rPr>
              <w:t xml:space="preserve">). Poskytuje síce unikátny koncept ochrany práva </w:t>
            </w:r>
            <w:proofErr w:type="spellStart"/>
            <w:r w:rsidRPr="00E47756">
              <w:rPr>
                <w:color w:val="auto"/>
                <w:sz w:val="20"/>
              </w:rPr>
              <w:t>sui</w:t>
            </w:r>
            <w:proofErr w:type="spellEnd"/>
            <w:r w:rsidRPr="00E47756">
              <w:rPr>
                <w:color w:val="auto"/>
                <w:sz w:val="20"/>
              </w:rPr>
              <w:t xml:space="preserve"> </w:t>
            </w:r>
            <w:proofErr w:type="spellStart"/>
            <w:r w:rsidRPr="00E47756">
              <w:rPr>
                <w:color w:val="auto"/>
                <w:sz w:val="20"/>
              </w:rPr>
              <w:t>generis</w:t>
            </w:r>
            <w:proofErr w:type="spellEnd"/>
            <w:r w:rsidRPr="00E47756">
              <w:rPr>
                <w:color w:val="auto"/>
                <w:sz w:val="20"/>
              </w:rPr>
              <w:t xml:space="preserve"> zhotoviteľovi databázy, avšak v posledných rokoch došlo k niektorým závažným modifikáciám tohto práva prostredníctvom rozhodovacej činnosti SDEÚ. Aj z tohto hľadiska vítame otvorenie tejto problematiky. </w:t>
            </w:r>
            <w:r w:rsidRPr="00E47756">
              <w:rPr>
                <w:color w:val="auto"/>
                <w:sz w:val="20"/>
                <w:szCs w:val="20"/>
              </w:rPr>
              <w:t>Zabezpečenie ochrany dôverných štatistických údajov a údajov evidovaných v registroch spravovaných v rezorte ŠÚ SR</w:t>
            </w:r>
            <w:r w:rsidR="001A4016">
              <w:rPr>
                <w:color w:val="auto"/>
                <w:sz w:val="20"/>
                <w:szCs w:val="20"/>
              </w:rPr>
              <w:t>.</w:t>
            </w:r>
          </w:p>
        </w:tc>
      </w:tr>
      <w:tr w:rsidR="00E47756" w:rsidRPr="00E47756" w14:paraId="67A75DBE" w14:textId="77777777" w:rsidTr="001A4016">
        <w:tblPrEx>
          <w:tblCellMar>
            <w:top w:w="2" w:type="dxa"/>
            <w:right w:w="0" w:type="dxa"/>
          </w:tblCellMar>
        </w:tblPrEx>
        <w:trPr>
          <w:trHeight w:val="295"/>
        </w:trPr>
        <w:tc>
          <w:tcPr>
            <w:tcW w:w="415" w:type="dxa"/>
            <w:tcBorders>
              <w:top w:val="single" w:sz="4" w:space="0" w:color="000000"/>
              <w:left w:val="single" w:sz="4" w:space="0" w:color="000000"/>
              <w:bottom w:val="single" w:sz="4" w:space="0" w:color="auto"/>
              <w:right w:val="single" w:sz="4" w:space="0" w:color="000000"/>
            </w:tcBorders>
          </w:tcPr>
          <w:p w14:paraId="153273C4" w14:textId="77777777" w:rsidR="00E47756" w:rsidRPr="00E47756" w:rsidRDefault="00E47756" w:rsidP="00E47756">
            <w:pPr>
              <w:spacing w:after="0" w:line="240" w:lineRule="auto"/>
              <w:ind w:right="57"/>
              <w:jc w:val="center"/>
            </w:pPr>
            <w:r w:rsidRPr="00E47756">
              <w:rPr>
                <w:sz w:val="20"/>
              </w:rPr>
              <w:t>7.</w:t>
            </w:r>
          </w:p>
        </w:tc>
        <w:tc>
          <w:tcPr>
            <w:tcW w:w="2396" w:type="dxa"/>
            <w:tcBorders>
              <w:top w:val="single" w:sz="4" w:space="0" w:color="000000"/>
              <w:left w:val="single" w:sz="4" w:space="0" w:color="000000"/>
              <w:bottom w:val="single" w:sz="4" w:space="0" w:color="auto"/>
              <w:right w:val="single" w:sz="4" w:space="0" w:color="000000"/>
            </w:tcBorders>
          </w:tcPr>
          <w:p w14:paraId="4B8FE644" w14:textId="77777777" w:rsidR="00E47756" w:rsidRPr="00E47756" w:rsidRDefault="00E47756" w:rsidP="00E47756">
            <w:pPr>
              <w:spacing w:after="0" w:line="240" w:lineRule="auto"/>
              <w:ind w:left="57" w:right="57"/>
            </w:pPr>
            <w:r w:rsidRPr="00E47756">
              <w:rPr>
                <w:b/>
                <w:sz w:val="20"/>
              </w:rPr>
              <w:t xml:space="preserve">Digitálna daň  </w:t>
            </w:r>
          </w:p>
        </w:tc>
        <w:tc>
          <w:tcPr>
            <w:tcW w:w="4082" w:type="dxa"/>
            <w:gridSpan w:val="3"/>
            <w:tcBorders>
              <w:top w:val="single" w:sz="4" w:space="0" w:color="000000"/>
              <w:left w:val="single" w:sz="4" w:space="0" w:color="000000"/>
              <w:bottom w:val="single" w:sz="4" w:space="0" w:color="auto"/>
              <w:right w:val="single" w:sz="4" w:space="0" w:color="000000"/>
            </w:tcBorders>
          </w:tcPr>
          <w:p w14:paraId="6A81A427" w14:textId="77777777" w:rsidR="00E47756" w:rsidRPr="00E47756" w:rsidRDefault="00E47756" w:rsidP="00E47756">
            <w:pPr>
              <w:spacing w:after="0" w:line="240" w:lineRule="auto"/>
              <w:ind w:left="57" w:right="57"/>
            </w:pPr>
            <w:r w:rsidRPr="00E47756">
              <w:rPr>
                <w:b/>
                <w:sz w:val="20"/>
              </w:rPr>
              <w:t>digitálna daň a návrh digitálnej dane ako vlastného zdroja</w:t>
            </w:r>
            <w:r w:rsidRPr="00E47756">
              <w:rPr>
                <w:sz w:val="20"/>
              </w:rPr>
              <w:t xml:space="preserve"> (legislatívna iniciatíva vrátane posúdenia vplyvu, 2. štvrťrok 2021) </w:t>
            </w:r>
          </w:p>
        </w:tc>
        <w:tc>
          <w:tcPr>
            <w:tcW w:w="1972" w:type="dxa"/>
            <w:tcBorders>
              <w:top w:val="single" w:sz="4" w:space="0" w:color="000000"/>
              <w:left w:val="single" w:sz="4" w:space="0" w:color="000000"/>
              <w:bottom w:val="single" w:sz="4" w:space="0" w:color="auto"/>
              <w:right w:val="single" w:sz="4" w:space="0" w:color="000000"/>
            </w:tcBorders>
          </w:tcPr>
          <w:p w14:paraId="0A836A20" w14:textId="77777777" w:rsidR="00E47756" w:rsidRPr="00E47756" w:rsidRDefault="00E47756" w:rsidP="00E47756">
            <w:pPr>
              <w:spacing w:after="0" w:line="240" w:lineRule="auto"/>
              <w:ind w:left="57" w:right="57"/>
              <w:jc w:val="center"/>
              <w:rPr>
                <w:b/>
                <w:sz w:val="20"/>
              </w:rPr>
            </w:pPr>
            <w:r w:rsidRPr="00E47756">
              <w:rPr>
                <w:b/>
                <w:color w:val="auto"/>
                <w:sz w:val="20"/>
              </w:rPr>
              <w:t>MF SR</w:t>
            </w:r>
          </w:p>
        </w:tc>
        <w:tc>
          <w:tcPr>
            <w:tcW w:w="5777" w:type="dxa"/>
            <w:tcBorders>
              <w:top w:val="single" w:sz="4" w:space="0" w:color="000000"/>
              <w:left w:val="single" w:sz="4" w:space="0" w:color="000000"/>
              <w:bottom w:val="single" w:sz="4" w:space="0" w:color="auto"/>
              <w:right w:val="single" w:sz="4" w:space="0" w:color="000000"/>
            </w:tcBorders>
          </w:tcPr>
          <w:p w14:paraId="6E8B0E10" w14:textId="77777777" w:rsidR="00E47756" w:rsidRPr="00E47756" w:rsidRDefault="00E47756" w:rsidP="00E47756">
            <w:pPr>
              <w:spacing w:after="0" w:line="240" w:lineRule="auto"/>
              <w:ind w:left="57" w:right="57"/>
              <w:rPr>
                <w:b/>
                <w:sz w:val="20"/>
                <w:u w:val="single"/>
              </w:rPr>
            </w:pPr>
            <w:r w:rsidRPr="00E47756">
              <w:rPr>
                <w:b/>
                <w:sz w:val="20"/>
                <w:u w:val="single"/>
              </w:rPr>
              <w:t>Stredná priorita</w:t>
            </w:r>
            <w:r w:rsidRPr="00E47756">
              <w:rPr>
                <w:b/>
                <w:sz w:val="20"/>
                <w:szCs w:val="20"/>
              </w:rPr>
              <w:t xml:space="preserve"> -</w:t>
            </w:r>
            <w:r w:rsidRPr="00E47756">
              <w:rPr>
                <w:sz w:val="20"/>
              </w:rPr>
              <w:t xml:space="preserve">V tomto štádiu nie sú známe žiadne bližšie informácie ani dizajnové podrobnosti ohľadom digitálnej „dane“ (levy), predbežne neurčujeme úroveň priority ani pozíciu k danej iniciatíve. Ide o návrh, ktorý má presah na daňové otázky, dôležité bude  reflektovať na dopady návrhu vo viacerých oblastiach. Prepojenie na rozpočet EÚ bude reálne, ak bude možné k návrhu dosiahnuť jednomyseľnosť členských štátov, ktorá sa vyžaduje pokiaľ ide o daňové iniciatívy. Z hľadiska rozpočtu EÚ by sa jednalo o tzv. „nové príjmy“ teda príjmy, ktoré by „znížili“ príspevok členských štátov </w:t>
            </w:r>
            <w:r w:rsidRPr="00E47756">
              <w:rPr>
                <w:sz w:val="20"/>
              </w:rPr>
              <w:lastRenderedPageBreak/>
              <w:t xml:space="preserve">založený na HND. SR by teoreticky mohla zo zavedenia takéhoto príspevku profitovať.  </w:t>
            </w:r>
          </w:p>
        </w:tc>
      </w:tr>
      <w:tr w:rsidR="00E47756" w:rsidRPr="00E47756" w14:paraId="77E1DE67" w14:textId="77777777" w:rsidTr="001A4016">
        <w:tblPrEx>
          <w:tblCellMar>
            <w:top w:w="2" w:type="dxa"/>
            <w:right w:w="0" w:type="dxa"/>
          </w:tblCellMar>
        </w:tblPrEx>
        <w:trPr>
          <w:trHeight w:val="2257"/>
        </w:trPr>
        <w:tc>
          <w:tcPr>
            <w:tcW w:w="415" w:type="dxa"/>
            <w:tcBorders>
              <w:top w:val="single" w:sz="4" w:space="0" w:color="auto"/>
              <w:left w:val="single" w:sz="4" w:space="0" w:color="auto"/>
              <w:bottom w:val="single" w:sz="4" w:space="0" w:color="auto"/>
              <w:right w:val="single" w:sz="4" w:space="0" w:color="auto"/>
            </w:tcBorders>
          </w:tcPr>
          <w:p w14:paraId="1AC42B73" w14:textId="77777777" w:rsidR="00E47756" w:rsidRPr="00E47756" w:rsidRDefault="00E47756" w:rsidP="00E47756">
            <w:pPr>
              <w:spacing w:after="0" w:line="240" w:lineRule="auto"/>
              <w:ind w:left="57" w:right="57"/>
              <w:jc w:val="center"/>
            </w:pPr>
            <w:r w:rsidRPr="00E47756">
              <w:rPr>
                <w:sz w:val="20"/>
              </w:rPr>
              <w:lastRenderedPageBreak/>
              <w:t>8.</w:t>
            </w:r>
          </w:p>
        </w:tc>
        <w:tc>
          <w:tcPr>
            <w:tcW w:w="2396" w:type="dxa"/>
            <w:tcBorders>
              <w:top w:val="single" w:sz="4" w:space="0" w:color="auto"/>
              <w:left w:val="single" w:sz="4" w:space="0" w:color="auto"/>
              <w:bottom w:val="single" w:sz="4" w:space="0" w:color="auto"/>
              <w:right w:val="single" w:sz="4" w:space="0" w:color="auto"/>
            </w:tcBorders>
          </w:tcPr>
          <w:p w14:paraId="72C3A40E" w14:textId="77777777" w:rsidR="00E47756" w:rsidRPr="00E47756" w:rsidRDefault="00E47756" w:rsidP="00E47756">
            <w:pPr>
              <w:spacing w:after="0" w:line="240" w:lineRule="auto"/>
              <w:ind w:left="57" w:right="57"/>
            </w:pPr>
            <w:r w:rsidRPr="00E47756">
              <w:rPr>
                <w:b/>
                <w:sz w:val="20"/>
              </w:rPr>
              <w:t xml:space="preserve">Dôveryhodná a bezpečná európska elektronická identifikácia </w:t>
            </w:r>
          </w:p>
        </w:tc>
        <w:tc>
          <w:tcPr>
            <w:tcW w:w="4082" w:type="dxa"/>
            <w:gridSpan w:val="3"/>
            <w:tcBorders>
              <w:top w:val="single" w:sz="4" w:space="0" w:color="auto"/>
              <w:left w:val="single" w:sz="4" w:space="0" w:color="auto"/>
              <w:bottom w:val="single" w:sz="4" w:space="0" w:color="auto"/>
              <w:right w:val="single" w:sz="4" w:space="0" w:color="auto"/>
            </w:tcBorders>
          </w:tcPr>
          <w:p w14:paraId="56799FA6" w14:textId="77777777" w:rsidR="00E47756" w:rsidRPr="00E47756" w:rsidRDefault="00E47756" w:rsidP="00E47756">
            <w:pPr>
              <w:spacing w:after="0" w:line="240" w:lineRule="auto"/>
              <w:ind w:left="57" w:right="57"/>
            </w:pPr>
            <w:r w:rsidRPr="00E47756">
              <w:rPr>
                <w:b/>
                <w:sz w:val="20"/>
              </w:rPr>
              <w:t>dôveryhodná a bezpečná európska elektronická identifikácia</w:t>
            </w:r>
            <w:r w:rsidRPr="00E47756">
              <w:rPr>
                <w:sz w:val="20"/>
              </w:rPr>
              <w:t xml:space="preserve"> (legislatívna iniciatíva vrátane posúdenia vplyvu, článok</w:t>
            </w:r>
          </w:p>
          <w:p w14:paraId="12EE992C" w14:textId="77777777" w:rsidR="00E47756" w:rsidRPr="00E47756" w:rsidRDefault="00E47756" w:rsidP="00E47756">
            <w:pPr>
              <w:spacing w:after="0" w:line="240" w:lineRule="auto"/>
              <w:ind w:left="57" w:right="57"/>
            </w:pPr>
            <w:r w:rsidRPr="00E47756">
              <w:rPr>
                <w:sz w:val="20"/>
              </w:rPr>
              <w:t>114 ZFEÚ, 1. štvrťrok 2021)</w:t>
            </w:r>
            <w:r w:rsidRPr="00E47756">
              <w:rPr>
                <w:b/>
                <w:sz w:val="20"/>
              </w:rPr>
              <w:t xml:space="preserve"> </w:t>
            </w:r>
          </w:p>
        </w:tc>
        <w:tc>
          <w:tcPr>
            <w:tcW w:w="1972" w:type="dxa"/>
            <w:tcBorders>
              <w:top w:val="single" w:sz="4" w:space="0" w:color="auto"/>
              <w:left w:val="single" w:sz="4" w:space="0" w:color="auto"/>
              <w:bottom w:val="single" w:sz="4" w:space="0" w:color="auto"/>
              <w:right w:val="single" w:sz="4" w:space="0" w:color="auto"/>
            </w:tcBorders>
          </w:tcPr>
          <w:p w14:paraId="6676D5BE" w14:textId="3F3882D0" w:rsidR="00E47756" w:rsidRPr="00E47756" w:rsidRDefault="00E47756" w:rsidP="00E47756">
            <w:pPr>
              <w:spacing w:after="0" w:line="240" w:lineRule="auto"/>
              <w:ind w:left="57" w:right="57"/>
              <w:jc w:val="center"/>
              <w:rPr>
                <w:b/>
                <w:color w:val="auto"/>
                <w:sz w:val="20"/>
              </w:rPr>
            </w:pPr>
            <w:r w:rsidRPr="00E47756">
              <w:rPr>
                <w:b/>
                <w:color w:val="auto"/>
                <w:sz w:val="20"/>
              </w:rPr>
              <w:t>NBÚ</w:t>
            </w:r>
            <w:r w:rsidR="00382996">
              <w:rPr>
                <w:b/>
                <w:color w:val="auto"/>
                <w:sz w:val="20"/>
              </w:rPr>
              <w:t xml:space="preserve"> </w:t>
            </w:r>
          </w:p>
          <w:p w14:paraId="3996C128" w14:textId="77777777" w:rsidR="00E47756" w:rsidRPr="00E47756" w:rsidRDefault="00E47756" w:rsidP="004C00CB">
            <w:pPr>
              <w:spacing w:after="0" w:line="240" w:lineRule="auto"/>
              <w:ind w:left="57" w:right="57"/>
              <w:jc w:val="center"/>
              <w:rPr>
                <w:b/>
                <w:color w:val="auto"/>
                <w:sz w:val="20"/>
              </w:rPr>
            </w:pPr>
          </w:p>
        </w:tc>
        <w:tc>
          <w:tcPr>
            <w:tcW w:w="5777" w:type="dxa"/>
            <w:tcBorders>
              <w:top w:val="single" w:sz="4" w:space="0" w:color="auto"/>
              <w:left w:val="single" w:sz="4" w:space="0" w:color="auto"/>
              <w:bottom w:val="single" w:sz="4" w:space="0" w:color="auto"/>
              <w:right w:val="single" w:sz="4" w:space="0" w:color="auto"/>
            </w:tcBorders>
          </w:tcPr>
          <w:p w14:paraId="677D010F" w14:textId="77777777" w:rsidR="00E47756" w:rsidRPr="00E47756" w:rsidRDefault="00E47756" w:rsidP="00E47756">
            <w:pPr>
              <w:spacing w:after="0" w:line="240" w:lineRule="auto"/>
              <w:ind w:left="57" w:right="57"/>
              <w:rPr>
                <w:b/>
                <w:sz w:val="20"/>
                <w:u w:val="single"/>
              </w:rPr>
            </w:pPr>
            <w:r w:rsidRPr="00E47756">
              <w:rPr>
                <w:b/>
                <w:sz w:val="20"/>
                <w:u w:val="single"/>
              </w:rPr>
              <w:t>Stredná priorita</w:t>
            </w:r>
            <w:r w:rsidRPr="00E47756">
              <w:rPr>
                <w:b/>
                <w:sz w:val="20"/>
                <w:szCs w:val="20"/>
              </w:rPr>
              <w:t xml:space="preserve"> - </w:t>
            </w:r>
            <w:r w:rsidRPr="00E47756">
              <w:rPr>
                <w:sz w:val="20"/>
                <w:szCs w:val="20"/>
              </w:rPr>
              <w:t xml:space="preserve">SR víta túto iniciatívu Komisie, ktorou sa reviduje nariadenie </w:t>
            </w:r>
            <w:proofErr w:type="spellStart"/>
            <w:r w:rsidRPr="00E47756">
              <w:rPr>
                <w:sz w:val="20"/>
                <w:szCs w:val="20"/>
              </w:rPr>
              <w:t>eIDAS</w:t>
            </w:r>
            <w:proofErr w:type="spellEnd"/>
            <w:r w:rsidRPr="00E47756">
              <w:rPr>
                <w:sz w:val="20"/>
                <w:szCs w:val="20"/>
              </w:rPr>
              <w:t xml:space="preserve"> z roku 2014 vykoná revízia o elektronických transakciách s cieľom rozšíriť jeho pôsobnosť aj na súkromný sektor a podporiť tak využívanie dôveryhodných identít pre všetkých občanov.</w:t>
            </w:r>
          </w:p>
          <w:p w14:paraId="419E7B02" w14:textId="77777777" w:rsidR="00E47756" w:rsidRPr="00E47756" w:rsidRDefault="00E47756" w:rsidP="00E47756">
            <w:pPr>
              <w:spacing w:after="0" w:line="240" w:lineRule="auto"/>
              <w:ind w:left="57" w:right="57"/>
              <w:rPr>
                <w:sz w:val="20"/>
                <w:szCs w:val="20"/>
              </w:rPr>
            </w:pPr>
            <w:r w:rsidRPr="00E47756">
              <w:rPr>
                <w:sz w:val="20"/>
                <w:szCs w:val="20"/>
              </w:rPr>
              <w:t>Cieľom revízie je zjednodušiť a zvýšiť bezpečnosť elektronických služieb v Európe (napr. zápis na zahraničnú univerzitu, otvorenie bankového účtu, prístup k verejným službám), ako aj poskytnúť občanom väčšiu mieru kontroly nad osobnými údajmi a súkromím pri súčasnom rešpektovaní anonymity používateľa.</w:t>
            </w:r>
          </w:p>
        </w:tc>
      </w:tr>
      <w:tr w:rsidR="00E47756" w:rsidRPr="00E47756" w14:paraId="69616FFC" w14:textId="77777777" w:rsidTr="001A4016">
        <w:tblPrEx>
          <w:tblCellMar>
            <w:top w:w="2" w:type="dxa"/>
            <w:right w:w="0" w:type="dxa"/>
          </w:tblCellMar>
        </w:tblPrEx>
        <w:trPr>
          <w:trHeight w:val="514"/>
        </w:trPr>
        <w:tc>
          <w:tcPr>
            <w:tcW w:w="415" w:type="dxa"/>
            <w:tcBorders>
              <w:top w:val="single" w:sz="4" w:space="0" w:color="auto"/>
              <w:left w:val="single" w:sz="4" w:space="0" w:color="000000"/>
              <w:bottom w:val="single" w:sz="4" w:space="0" w:color="000000"/>
              <w:right w:val="single" w:sz="4" w:space="0" w:color="000000"/>
            </w:tcBorders>
          </w:tcPr>
          <w:p w14:paraId="2F1E1E17" w14:textId="77777777" w:rsidR="00E47756" w:rsidRPr="00E47756" w:rsidRDefault="00E47756" w:rsidP="00E47756">
            <w:pPr>
              <w:spacing w:after="0" w:line="240" w:lineRule="auto"/>
              <w:ind w:left="57" w:right="57"/>
              <w:jc w:val="center"/>
            </w:pPr>
            <w:r w:rsidRPr="00E47756">
              <w:rPr>
                <w:sz w:val="20"/>
              </w:rPr>
              <w:t>9.</w:t>
            </w:r>
          </w:p>
        </w:tc>
        <w:tc>
          <w:tcPr>
            <w:tcW w:w="2396" w:type="dxa"/>
            <w:tcBorders>
              <w:top w:val="single" w:sz="4" w:space="0" w:color="auto"/>
              <w:left w:val="single" w:sz="4" w:space="0" w:color="000000"/>
              <w:bottom w:val="single" w:sz="4" w:space="0" w:color="000000"/>
              <w:right w:val="single" w:sz="4" w:space="0" w:color="000000"/>
            </w:tcBorders>
          </w:tcPr>
          <w:p w14:paraId="317517D2" w14:textId="77777777" w:rsidR="00E47756" w:rsidRPr="00E47756" w:rsidRDefault="00E47756" w:rsidP="00E47756">
            <w:pPr>
              <w:spacing w:after="0" w:line="240" w:lineRule="auto"/>
              <w:ind w:left="57" w:right="57"/>
            </w:pPr>
            <w:r w:rsidRPr="00E47756">
              <w:rPr>
                <w:b/>
                <w:sz w:val="20"/>
              </w:rPr>
              <w:t xml:space="preserve">Pracovníci platformy </w:t>
            </w:r>
          </w:p>
        </w:tc>
        <w:tc>
          <w:tcPr>
            <w:tcW w:w="4082" w:type="dxa"/>
            <w:gridSpan w:val="3"/>
            <w:tcBorders>
              <w:top w:val="single" w:sz="4" w:space="0" w:color="auto"/>
              <w:left w:val="single" w:sz="4" w:space="0" w:color="000000"/>
              <w:bottom w:val="single" w:sz="4" w:space="0" w:color="000000"/>
              <w:right w:val="single" w:sz="4" w:space="0" w:color="000000"/>
            </w:tcBorders>
          </w:tcPr>
          <w:p w14:paraId="741FA75B" w14:textId="77777777" w:rsidR="00E47756" w:rsidRPr="00E47756" w:rsidRDefault="00E47756" w:rsidP="00E47756">
            <w:pPr>
              <w:spacing w:after="0" w:line="240" w:lineRule="auto"/>
              <w:ind w:left="57" w:right="57"/>
            </w:pPr>
            <w:r w:rsidRPr="00E47756">
              <w:rPr>
                <w:b/>
                <w:sz w:val="20"/>
              </w:rPr>
              <w:t>zlepšovanie pracovných podmienok pracovníkov platformy</w:t>
            </w:r>
            <w:r w:rsidRPr="00E47756">
              <w:rPr>
                <w:sz w:val="20"/>
              </w:rPr>
              <w:t xml:space="preserve"> (legislatívna iniciatíva vrátane posúdenia vplyvu, článok 153</w:t>
            </w:r>
          </w:p>
          <w:p w14:paraId="7D64469D" w14:textId="77777777" w:rsidR="00E47756" w:rsidRPr="00E47756" w:rsidRDefault="00E47756" w:rsidP="00E47756">
            <w:pPr>
              <w:spacing w:after="0" w:line="240" w:lineRule="auto"/>
              <w:ind w:left="57" w:right="57"/>
            </w:pPr>
            <w:r w:rsidRPr="00E47756">
              <w:rPr>
                <w:sz w:val="20"/>
              </w:rPr>
              <w:t xml:space="preserve">ZFEÚ, 1./4. štvrťrok 2021) </w:t>
            </w:r>
          </w:p>
        </w:tc>
        <w:tc>
          <w:tcPr>
            <w:tcW w:w="1972" w:type="dxa"/>
            <w:tcBorders>
              <w:top w:val="single" w:sz="4" w:space="0" w:color="auto"/>
              <w:left w:val="single" w:sz="4" w:space="0" w:color="000000"/>
              <w:bottom w:val="single" w:sz="4" w:space="0" w:color="000000"/>
              <w:right w:val="single" w:sz="4" w:space="0" w:color="000000"/>
            </w:tcBorders>
          </w:tcPr>
          <w:p w14:paraId="0AF5FF48" w14:textId="77777777" w:rsidR="00E47756" w:rsidRPr="00E47756" w:rsidRDefault="00E47756" w:rsidP="00E47756">
            <w:pPr>
              <w:spacing w:after="0" w:line="240" w:lineRule="auto"/>
              <w:ind w:left="57" w:right="57"/>
              <w:jc w:val="center"/>
              <w:rPr>
                <w:b/>
                <w:sz w:val="20"/>
                <w:szCs w:val="20"/>
              </w:rPr>
            </w:pPr>
            <w:r w:rsidRPr="00E47756">
              <w:rPr>
                <w:b/>
                <w:sz w:val="20"/>
                <w:szCs w:val="20"/>
              </w:rPr>
              <w:t>MPSVR SR</w:t>
            </w:r>
          </w:p>
        </w:tc>
        <w:tc>
          <w:tcPr>
            <w:tcW w:w="5777" w:type="dxa"/>
            <w:tcBorders>
              <w:top w:val="single" w:sz="4" w:space="0" w:color="auto"/>
              <w:left w:val="single" w:sz="4" w:space="0" w:color="000000"/>
              <w:bottom w:val="single" w:sz="4" w:space="0" w:color="000000"/>
              <w:right w:val="single" w:sz="4" w:space="0" w:color="000000"/>
            </w:tcBorders>
          </w:tcPr>
          <w:p w14:paraId="1A4F2594" w14:textId="7532B077" w:rsidR="00E47756" w:rsidRPr="00E47756" w:rsidRDefault="00E47756" w:rsidP="00E47756">
            <w:pPr>
              <w:spacing w:after="0" w:line="240" w:lineRule="auto"/>
              <w:ind w:left="57" w:right="57"/>
              <w:rPr>
                <w:bCs/>
                <w:sz w:val="20"/>
                <w:szCs w:val="20"/>
              </w:rPr>
            </w:pPr>
            <w:r w:rsidRPr="00E47756">
              <w:rPr>
                <w:b/>
                <w:bCs/>
                <w:sz w:val="20"/>
                <w:szCs w:val="20"/>
                <w:u w:val="single"/>
              </w:rPr>
              <w:t>Stredná priorita</w:t>
            </w:r>
            <w:r w:rsidRPr="00E47756">
              <w:rPr>
                <w:b/>
                <w:sz w:val="20"/>
                <w:szCs w:val="20"/>
              </w:rPr>
              <w:t xml:space="preserve"> - </w:t>
            </w:r>
            <w:r w:rsidRPr="00E47756">
              <w:rPr>
                <w:bCs/>
                <w:sz w:val="20"/>
                <w:szCs w:val="20"/>
              </w:rPr>
              <w:t>návrh legislatívnej iniciatívy na zabezpečenie spravodlivých pracovných podmienok a sociálnej ochrany pracovníkov platforiem/tzv. platformová ekonomika(napr. Uber). Nový európsky rámec by mal definovať aj ich právne postavenie. Na začiatku roku 2021 bude otvorená verejná konzultácia s európskymi sociálnymi partnermi k cieľom a obsahu iniciatívy EK.</w:t>
            </w:r>
            <w:r w:rsidR="00382996">
              <w:rPr>
                <w:bCs/>
                <w:sz w:val="20"/>
                <w:szCs w:val="20"/>
              </w:rPr>
              <w:t xml:space="preserve"> </w:t>
            </w:r>
            <w:r w:rsidRPr="00E47756">
              <w:rPr>
                <w:sz w:val="20"/>
                <w:szCs w:val="20"/>
              </w:rPr>
              <w:t xml:space="preserve">SR víta prípravu legislatívneho návrhu a  podporuje potrebu jednotných pravidiel pre platformové hospodárstvo. </w:t>
            </w:r>
            <w:r w:rsidRPr="00E47756">
              <w:rPr>
                <w:bCs/>
                <w:sz w:val="20"/>
                <w:szCs w:val="20"/>
              </w:rPr>
              <w:t>Technologický rozvoj a digitálna transformácia našich spoločností by však mala ísť ruka v ruke s garantovaním primeranej úrovne sociálnej ochrany pre pracovníkov platforiem,</w:t>
            </w:r>
            <w:r w:rsidRPr="00E47756">
              <w:rPr>
                <w:sz w:val="20"/>
                <w:szCs w:val="20"/>
              </w:rPr>
              <w:t xml:space="preserve"> najmä, ak prevažnú väčšinu tvoria mladí ľudia, ktorí síce preferujú flexibilitu práce, avšak z dlhodobého hľadiska nemajú zaručené rovnaké pracovné podmienky či nároky zo sociálneho systému. </w:t>
            </w:r>
            <w:r w:rsidRPr="00E47756">
              <w:rPr>
                <w:bCs/>
                <w:sz w:val="20"/>
                <w:szCs w:val="20"/>
              </w:rPr>
              <w:t>Legislatívna iniciatíva EK v oblasti pracovníkov platforiem je jednou z najočakávanejších návrhov EK 2019 – 2024. Z pohľadu SR bude dôležité, aby sa správne uchopil tento vývojový trend v rámci nových foriem práce. PT PRES pripraví k téme budúcnosť práce aj závery Rady.</w:t>
            </w:r>
          </w:p>
        </w:tc>
      </w:tr>
      <w:tr w:rsidR="00E47756" w:rsidRPr="00E47756" w14:paraId="3A0D3566" w14:textId="77777777" w:rsidTr="001A4016">
        <w:tblPrEx>
          <w:tblCellMar>
            <w:top w:w="2" w:type="dxa"/>
            <w:right w:w="0" w:type="dxa"/>
          </w:tblCellMar>
        </w:tblPrEx>
        <w:trPr>
          <w:trHeight w:val="307"/>
        </w:trPr>
        <w:tc>
          <w:tcPr>
            <w:tcW w:w="415" w:type="dxa"/>
            <w:tcBorders>
              <w:top w:val="single" w:sz="4" w:space="0" w:color="000000"/>
              <w:left w:val="single" w:sz="4" w:space="0" w:color="000000"/>
              <w:bottom w:val="single" w:sz="4" w:space="0" w:color="auto"/>
              <w:right w:val="single" w:sz="4" w:space="0" w:color="000000"/>
            </w:tcBorders>
          </w:tcPr>
          <w:p w14:paraId="5A1212DA" w14:textId="77777777" w:rsidR="00E47756" w:rsidRPr="00E47756" w:rsidRDefault="00E47756" w:rsidP="00E47756">
            <w:pPr>
              <w:spacing w:after="0" w:line="240" w:lineRule="auto"/>
              <w:ind w:left="57" w:right="57"/>
            </w:pPr>
            <w:r w:rsidRPr="00E47756">
              <w:rPr>
                <w:sz w:val="20"/>
              </w:rPr>
              <w:t>10.</w:t>
            </w:r>
            <w:r w:rsidRPr="00E47756">
              <w:rPr>
                <w:rFonts w:ascii="Arial" w:hAnsi="Arial" w:cs="Arial"/>
                <w:sz w:val="20"/>
              </w:rPr>
              <w:t xml:space="preserve"> </w:t>
            </w:r>
            <w:r w:rsidRPr="00E47756">
              <w:rPr>
                <w:color w:val="FFFFFF"/>
                <w:sz w:val="20"/>
              </w:rPr>
              <w:t>.</w:t>
            </w:r>
          </w:p>
        </w:tc>
        <w:tc>
          <w:tcPr>
            <w:tcW w:w="2396" w:type="dxa"/>
            <w:tcBorders>
              <w:top w:val="single" w:sz="4" w:space="0" w:color="000000"/>
              <w:left w:val="single" w:sz="4" w:space="0" w:color="000000"/>
              <w:bottom w:val="single" w:sz="4" w:space="0" w:color="auto"/>
              <w:right w:val="single" w:sz="4" w:space="0" w:color="000000"/>
            </w:tcBorders>
          </w:tcPr>
          <w:p w14:paraId="026A1C27" w14:textId="77777777" w:rsidR="00E47756" w:rsidRPr="00E47756" w:rsidRDefault="00E47756" w:rsidP="00E47756">
            <w:pPr>
              <w:spacing w:after="0" w:line="240" w:lineRule="auto"/>
              <w:ind w:left="57" w:right="57"/>
            </w:pPr>
            <w:r w:rsidRPr="00E47756">
              <w:rPr>
                <w:sz w:val="20"/>
              </w:rPr>
              <w:t xml:space="preserve"> </w:t>
            </w:r>
            <w:r w:rsidRPr="00E47756">
              <w:rPr>
                <w:b/>
                <w:sz w:val="20"/>
              </w:rPr>
              <w:t xml:space="preserve">Priemyselná stratégia pre Európu  </w:t>
            </w:r>
          </w:p>
        </w:tc>
        <w:tc>
          <w:tcPr>
            <w:tcW w:w="4082" w:type="dxa"/>
            <w:gridSpan w:val="3"/>
            <w:tcBorders>
              <w:top w:val="single" w:sz="4" w:space="0" w:color="000000"/>
              <w:left w:val="single" w:sz="4" w:space="0" w:color="000000"/>
              <w:bottom w:val="single" w:sz="4" w:space="0" w:color="auto"/>
              <w:right w:val="single" w:sz="4" w:space="0" w:color="000000"/>
            </w:tcBorders>
          </w:tcPr>
          <w:p w14:paraId="3BC6A74F" w14:textId="77777777" w:rsidR="00E47756" w:rsidRPr="00E47756" w:rsidRDefault="00E47756" w:rsidP="00E47756">
            <w:pPr>
              <w:spacing w:after="0" w:line="240" w:lineRule="auto"/>
              <w:ind w:left="57" w:right="57"/>
            </w:pPr>
            <w:r w:rsidRPr="00E47756">
              <w:rPr>
                <w:b/>
                <w:sz w:val="20"/>
              </w:rPr>
              <w:t>aktualizácia novej priemyselnej stratégie pre Európu</w:t>
            </w:r>
            <w:r w:rsidRPr="00E47756">
              <w:rPr>
                <w:sz w:val="20"/>
              </w:rPr>
              <w:t xml:space="preserve"> (nelegislatívna iniciatíva, 2. štvrťrok 2021) </w:t>
            </w:r>
          </w:p>
        </w:tc>
        <w:tc>
          <w:tcPr>
            <w:tcW w:w="1972" w:type="dxa"/>
            <w:tcBorders>
              <w:top w:val="single" w:sz="4" w:space="0" w:color="000000"/>
              <w:left w:val="single" w:sz="4" w:space="0" w:color="000000"/>
              <w:bottom w:val="single" w:sz="4" w:space="0" w:color="auto"/>
              <w:right w:val="single" w:sz="4" w:space="0" w:color="000000"/>
            </w:tcBorders>
          </w:tcPr>
          <w:p w14:paraId="4F0D62CF" w14:textId="77777777" w:rsidR="00E47756" w:rsidRPr="00E47756" w:rsidRDefault="00E47756" w:rsidP="00E47756">
            <w:pPr>
              <w:spacing w:after="0" w:line="240" w:lineRule="auto"/>
              <w:ind w:left="57" w:right="57"/>
              <w:jc w:val="center"/>
              <w:rPr>
                <w:b/>
                <w:sz w:val="20"/>
              </w:rPr>
            </w:pPr>
            <w:r w:rsidRPr="00E47756">
              <w:rPr>
                <w:b/>
                <w:sz w:val="20"/>
              </w:rPr>
              <w:t>MH SR</w:t>
            </w:r>
          </w:p>
          <w:p w14:paraId="4F947943" w14:textId="77777777" w:rsidR="00E47756" w:rsidRPr="00E47756" w:rsidRDefault="00E47756" w:rsidP="00E47756">
            <w:pPr>
              <w:spacing w:after="0" w:line="240" w:lineRule="auto"/>
              <w:ind w:left="57" w:right="57"/>
              <w:rPr>
                <w:b/>
                <w:sz w:val="20"/>
                <w:highlight w:val="yellow"/>
              </w:rPr>
            </w:pPr>
          </w:p>
        </w:tc>
        <w:tc>
          <w:tcPr>
            <w:tcW w:w="5777" w:type="dxa"/>
            <w:tcBorders>
              <w:top w:val="single" w:sz="4" w:space="0" w:color="000000"/>
              <w:left w:val="single" w:sz="4" w:space="0" w:color="000000"/>
              <w:bottom w:val="single" w:sz="4" w:space="0" w:color="auto"/>
              <w:right w:val="single" w:sz="4" w:space="0" w:color="000000"/>
            </w:tcBorders>
          </w:tcPr>
          <w:p w14:paraId="0DFCE5EC" w14:textId="77777777" w:rsidR="00E47756" w:rsidRPr="00E47756" w:rsidRDefault="00E47756" w:rsidP="00E47756">
            <w:pPr>
              <w:spacing w:after="0" w:line="240" w:lineRule="auto"/>
              <w:ind w:left="57" w:right="57"/>
              <w:rPr>
                <w:sz w:val="20"/>
              </w:rPr>
            </w:pPr>
            <w:r w:rsidRPr="00E47756">
              <w:rPr>
                <w:b/>
                <w:sz w:val="20"/>
                <w:u w:val="single"/>
              </w:rPr>
              <w:t>Stredná priorita</w:t>
            </w:r>
            <w:r w:rsidRPr="00E47756">
              <w:rPr>
                <w:b/>
                <w:sz w:val="20"/>
                <w:szCs w:val="20"/>
              </w:rPr>
              <w:t xml:space="preserve"> - </w:t>
            </w:r>
            <w:r w:rsidRPr="00E47756">
              <w:rPr>
                <w:sz w:val="20"/>
              </w:rPr>
              <w:t>Priemyselná politika je pre Slovenskú republiku (SR), ako jednu z najviac industrializovaných krajín EÚ s energeticky náročným priemyslom, dôležitou témou. Je preto nevyhnutné, včas zadefinovať základné východiskové pozície SR, aktívne sa zapájať do formovania európskej politiky v tejto oblasti a presadzovať naše pozície pri príprave dokumentov, ktoré budú prijímané v súlade s novou Európskou priemyselnou stratégiou.</w:t>
            </w:r>
          </w:p>
        </w:tc>
      </w:tr>
      <w:tr w:rsidR="00E47756" w:rsidRPr="00E47756" w14:paraId="6674E62A" w14:textId="77777777" w:rsidTr="001A4016">
        <w:tblPrEx>
          <w:tblCellMar>
            <w:top w:w="2" w:type="dxa"/>
            <w:right w:w="0" w:type="dxa"/>
          </w:tblCellMar>
        </w:tblPrEx>
        <w:trPr>
          <w:trHeight w:val="975"/>
        </w:trPr>
        <w:tc>
          <w:tcPr>
            <w:tcW w:w="415" w:type="dxa"/>
            <w:tcBorders>
              <w:top w:val="single" w:sz="4" w:space="0" w:color="auto"/>
              <w:left w:val="single" w:sz="4" w:space="0" w:color="auto"/>
              <w:bottom w:val="single" w:sz="4" w:space="0" w:color="auto"/>
              <w:right w:val="single" w:sz="4" w:space="0" w:color="auto"/>
            </w:tcBorders>
          </w:tcPr>
          <w:p w14:paraId="27C65968" w14:textId="77777777" w:rsidR="00E47756" w:rsidRPr="00E47756" w:rsidRDefault="00E47756" w:rsidP="00E47756">
            <w:pPr>
              <w:spacing w:after="0" w:line="240" w:lineRule="auto"/>
              <w:ind w:left="57" w:right="57"/>
            </w:pPr>
            <w:r w:rsidRPr="00E47756">
              <w:rPr>
                <w:sz w:val="20"/>
              </w:rPr>
              <w:lastRenderedPageBreak/>
              <w:t>11.</w:t>
            </w:r>
            <w:r w:rsidRPr="00E47756">
              <w:rPr>
                <w:rFonts w:ascii="Arial" w:hAnsi="Arial" w:cs="Arial"/>
                <w:sz w:val="20"/>
              </w:rPr>
              <w:t xml:space="preserve"> </w:t>
            </w:r>
            <w:r w:rsidRPr="00E47756">
              <w:rPr>
                <w:sz w:val="20"/>
              </w:rPr>
              <w:t xml:space="preserve"> </w:t>
            </w:r>
          </w:p>
        </w:tc>
        <w:tc>
          <w:tcPr>
            <w:tcW w:w="2396" w:type="dxa"/>
            <w:tcBorders>
              <w:top w:val="single" w:sz="4" w:space="0" w:color="auto"/>
              <w:left w:val="single" w:sz="4" w:space="0" w:color="auto"/>
              <w:bottom w:val="single" w:sz="4" w:space="0" w:color="auto"/>
              <w:right w:val="single" w:sz="4" w:space="0" w:color="auto"/>
            </w:tcBorders>
          </w:tcPr>
          <w:p w14:paraId="7F60ABF7" w14:textId="77777777" w:rsidR="00E47756" w:rsidRPr="00E47756" w:rsidRDefault="00E47756" w:rsidP="00E47756">
            <w:pPr>
              <w:spacing w:after="0" w:line="240" w:lineRule="auto"/>
              <w:ind w:left="57" w:right="57"/>
            </w:pPr>
            <w:r w:rsidRPr="00E47756">
              <w:rPr>
                <w:b/>
                <w:sz w:val="20"/>
              </w:rPr>
              <w:t xml:space="preserve">Zahraničné subvencie </w:t>
            </w:r>
          </w:p>
        </w:tc>
        <w:tc>
          <w:tcPr>
            <w:tcW w:w="4082" w:type="dxa"/>
            <w:gridSpan w:val="3"/>
            <w:tcBorders>
              <w:top w:val="single" w:sz="4" w:space="0" w:color="auto"/>
              <w:left w:val="single" w:sz="4" w:space="0" w:color="auto"/>
              <w:bottom w:val="single" w:sz="4" w:space="0" w:color="auto"/>
              <w:right w:val="single" w:sz="4" w:space="0" w:color="auto"/>
            </w:tcBorders>
          </w:tcPr>
          <w:p w14:paraId="3AB223FC" w14:textId="77777777" w:rsidR="00E47756" w:rsidRPr="00E47756" w:rsidRDefault="00E47756" w:rsidP="00E47756">
            <w:pPr>
              <w:spacing w:after="0" w:line="240" w:lineRule="auto"/>
              <w:ind w:left="57" w:right="57"/>
            </w:pPr>
            <w:r w:rsidRPr="00E47756">
              <w:rPr>
                <w:b/>
                <w:sz w:val="20"/>
              </w:rPr>
              <w:t xml:space="preserve">nadviazanie na Bielu knihu o zahraničných subvenciách: </w:t>
            </w:r>
          </w:p>
          <w:p w14:paraId="5F1B3AC2" w14:textId="77777777" w:rsidR="00E47756" w:rsidRPr="00E47756" w:rsidRDefault="00E47756" w:rsidP="003826CE">
            <w:pPr>
              <w:numPr>
                <w:ilvl w:val="0"/>
                <w:numId w:val="10"/>
              </w:numPr>
              <w:spacing w:after="0" w:line="240" w:lineRule="auto"/>
              <w:ind w:left="57" w:right="57" w:hanging="334"/>
              <w:jc w:val="left"/>
            </w:pPr>
            <w:r w:rsidRPr="00E47756">
              <w:rPr>
                <w:b/>
                <w:sz w:val="20"/>
              </w:rPr>
              <w:t>vytvorenie rovnakých podmienok</w:t>
            </w:r>
            <w:r w:rsidRPr="00E47756">
              <w:rPr>
                <w:sz w:val="20"/>
              </w:rPr>
              <w:t xml:space="preserve"> (legislatívna iniciatíva vrátane posúdenia vplyvu, článok 207 ZFEÚ, 2. štvrťrok </w:t>
            </w:r>
          </w:p>
          <w:p w14:paraId="32AA17DE" w14:textId="77777777" w:rsidR="00E47756" w:rsidRPr="00E47756" w:rsidRDefault="00E47756" w:rsidP="00E47756">
            <w:pPr>
              <w:spacing w:after="0" w:line="240" w:lineRule="auto"/>
              <w:ind w:left="57" w:right="57"/>
            </w:pPr>
            <w:r w:rsidRPr="00E47756">
              <w:rPr>
                <w:sz w:val="20"/>
              </w:rPr>
              <w:t xml:space="preserve">2021); </w:t>
            </w:r>
          </w:p>
          <w:p w14:paraId="42626EFF" w14:textId="77777777" w:rsidR="00E47756" w:rsidRPr="00E47756" w:rsidRDefault="00E47756" w:rsidP="003826CE">
            <w:pPr>
              <w:numPr>
                <w:ilvl w:val="0"/>
                <w:numId w:val="10"/>
              </w:numPr>
              <w:spacing w:after="0" w:line="240" w:lineRule="auto"/>
              <w:ind w:left="57" w:right="57" w:hanging="334"/>
              <w:jc w:val="left"/>
            </w:pPr>
            <w:r w:rsidRPr="00E47756">
              <w:rPr>
                <w:b/>
                <w:sz w:val="20"/>
              </w:rPr>
              <w:t>verejné obstarávanie</w:t>
            </w:r>
            <w:r w:rsidRPr="00E47756">
              <w:rPr>
                <w:sz w:val="20"/>
              </w:rPr>
              <w:t xml:space="preserve"> (legislatívna iniciatíva vrátane posúdenia vplyvu, článok 207 ZFEÚ, 2. štvrťrok 2021). </w:t>
            </w:r>
          </w:p>
        </w:tc>
        <w:tc>
          <w:tcPr>
            <w:tcW w:w="1972" w:type="dxa"/>
            <w:tcBorders>
              <w:top w:val="single" w:sz="4" w:space="0" w:color="auto"/>
              <w:left w:val="single" w:sz="4" w:space="0" w:color="auto"/>
              <w:bottom w:val="single" w:sz="4" w:space="0" w:color="auto"/>
              <w:right w:val="single" w:sz="4" w:space="0" w:color="auto"/>
            </w:tcBorders>
          </w:tcPr>
          <w:p w14:paraId="55491430" w14:textId="683D3840" w:rsidR="00E47756" w:rsidRPr="00E47756" w:rsidRDefault="00E47756" w:rsidP="00E47756">
            <w:pPr>
              <w:spacing w:after="0" w:line="240" w:lineRule="auto"/>
              <w:ind w:left="57" w:right="57"/>
              <w:jc w:val="center"/>
              <w:rPr>
                <w:b/>
                <w:color w:val="auto"/>
                <w:sz w:val="20"/>
              </w:rPr>
            </w:pPr>
            <w:r w:rsidRPr="00E47756">
              <w:rPr>
                <w:b/>
                <w:color w:val="auto"/>
                <w:sz w:val="20"/>
              </w:rPr>
              <w:t>PMÚ</w:t>
            </w:r>
            <w:r w:rsidR="00382996">
              <w:rPr>
                <w:b/>
                <w:color w:val="auto"/>
                <w:sz w:val="20"/>
              </w:rPr>
              <w:t xml:space="preserve"> SR</w:t>
            </w:r>
          </w:p>
          <w:p w14:paraId="6F985053" w14:textId="77777777" w:rsidR="00E47756" w:rsidRPr="00E47756" w:rsidRDefault="00E47756" w:rsidP="00E47756">
            <w:pPr>
              <w:spacing w:after="0" w:line="240" w:lineRule="auto"/>
              <w:ind w:left="57" w:right="57"/>
              <w:jc w:val="center"/>
              <w:rPr>
                <w:b/>
                <w:color w:val="auto"/>
                <w:sz w:val="20"/>
              </w:rPr>
            </w:pPr>
            <w:r w:rsidRPr="00E47756">
              <w:rPr>
                <w:b/>
                <w:color w:val="auto"/>
                <w:sz w:val="20"/>
              </w:rPr>
              <w:t>ÚVO</w:t>
            </w:r>
          </w:p>
          <w:p w14:paraId="414E66A8" w14:textId="77777777" w:rsidR="00E47756" w:rsidRPr="00E47756" w:rsidRDefault="00E47756" w:rsidP="00E47756">
            <w:pPr>
              <w:spacing w:after="0" w:line="240" w:lineRule="auto"/>
              <w:ind w:left="57" w:right="57"/>
              <w:jc w:val="center"/>
              <w:rPr>
                <w:b/>
                <w:bCs/>
                <w:color w:val="auto"/>
                <w:sz w:val="20"/>
                <w:szCs w:val="20"/>
              </w:rPr>
            </w:pPr>
            <w:r w:rsidRPr="00E47756">
              <w:rPr>
                <w:b/>
                <w:bCs/>
                <w:color w:val="auto"/>
                <w:sz w:val="20"/>
                <w:szCs w:val="20"/>
              </w:rPr>
              <w:t>MH SR</w:t>
            </w:r>
          </w:p>
          <w:p w14:paraId="77C50116" w14:textId="77777777" w:rsidR="00E47756" w:rsidRPr="00E47756" w:rsidRDefault="00E47756" w:rsidP="00E47756">
            <w:pPr>
              <w:spacing w:after="0" w:line="240" w:lineRule="auto"/>
              <w:ind w:left="57" w:right="57"/>
              <w:jc w:val="center"/>
              <w:rPr>
                <w:b/>
                <w:sz w:val="20"/>
              </w:rPr>
            </w:pPr>
            <w:r w:rsidRPr="00E47756">
              <w:rPr>
                <w:b/>
                <w:bCs/>
                <w:color w:val="auto"/>
                <w:sz w:val="20"/>
                <w:szCs w:val="20"/>
              </w:rPr>
              <w:t>MF SR</w:t>
            </w:r>
          </w:p>
        </w:tc>
        <w:tc>
          <w:tcPr>
            <w:tcW w:w="5777" w:type="dxa"/>
            <w:tcBorders>
              <w:top w:val="single" w:sz="4" w:space="0" w:color="auto"/>
              <w:left w:val="single" w:sz="4" w:space="0" w:color="auto"/>
              <w:bottom w:val="single" w:sz="4" w:space="0" w:color="auto"/>
              <w:right w:val="single" w:sz="4" w:space="0" w:color="auto"/>
            </w:tcBorders>
          </w:tcPr>
          <w:p w14:paraId="5BC7A2D3" w14:textId="77777777" w:rsidR="001A4016" w:rsidRDefault="00E47756" w:rsidP="001A4016">
            <w:pPr>
              <w:spacing w:after="0" w:line="240" w:lineRule="auto"/>
              <w:ind w:left="57" w:right="57"/>
              <w:rPr>
                <w:sz w:val="20"/>
              </w:rPr>
            </w:pPr>
            <w:r w:rsidRPr="00E47756">
              <w:rPr>
                <w:b/>
                <w:sz w:val="20"/>
                <w:u w:val="single"/>
              </w:rPr>
              <w:t>Stredná priorita</w:t>
            </w:r>
            <w:r w:rsidRPr="00E47756">
              <w:rPr>
                <w:b/>
                <w:sz w:val="20"/>
                <w:szCs w:val="20"/>
              </w:rPr>
              <w:t xml:space="preserve"> - </w:t>
            </w:r>
            <w:r w:rsidRPr="00E47756">
              <w:rPr>
                <w:sz w:val="20"/>
              </w:rPr>
              <w:t>SR víta iniciatívu EK v otázkach riešenia regulačnej medzery v oblasti zahraničných subvencií. Komisia vydala v júni Bielu knihu o vytvorení rovnakých podmienok v oblasti zahraničných subvencií, ktorej cieľom je v prvom rade, po načrtnutí konkrétnej problematiky, podnietiť širokú diskusiu s členskými štátmi, inými európskymi inštitúciami, všetkými zainteresovanými stranami vrátane priemyslu, sociálnych partnerov, organizácií občianskej spoločnosti, výskumných pracovníkov a širokej verejnosti. EK v predmetnom návrhu uvádza potrebu zaoberať sa problematikou zahraničných subvencií, nakoľko tieto môžu ohroziť rovnaké podmienky na vnútornom trhu EÚ, ktorých udržanie je cieľom viacerých, už zavedených vnútro komunitárnych nástrojov. Biela kniha identifikuje medzery v právnej úprave EÚ a predstavuje tri nové nástroje, ktorými sa stanovujú vecné a procesné usmernenia na získanie väčšej kontroly v súvislosti so zahraničnými subvenciami narúšajúcimi vnútorný trh, pokiaľ ide o všeobecné fungovanie subjektov pôsobiacich na trhu EÚ, akvizíciu podnikov z EÚ a v neposlednom rade o postupy verejného obstarávania. Vzhľadom na to, že ide o nelegislatívny materiál, bez presného popisu fungovania jednotlivých inštitútov, nie je možné v tejto fáze definovať podrobnú pozíciu k jednotlivým modulom.</w:t>
            </w:r>
          </w:p>
          <w:p w14:paraId="14BE5FFB" w14:textId="77777777" w:rsidR="001A4016" w:rsidRPr="00E47756" w:rsidRDefault="001A4016" w:rsidP="001A4016">
            <w:pPr>
              <w:spacing w:after="0" w:line="240" w:lineRule="auto"/>
              <w:ind w:left="57" w:right="57"/>
              <w:rPr>
                <w:sz w:val="20"/>
              </w:rPr>
            </w:pPr>
          </w:p>
        </w:tc>
      </w:tr>
      <w:tr w:rsidR="00E47756" w:rsidRPr="00E47756" w14:paraId="23EE2F7F" w14:textId="77777777" w:rsidTr="001A4016">
        <w:tblPrEx>
          <w:tblCellMar>
            <w:top w:w="2" w:type="dxa"/>
            <w:right w:w="0" w:type="dxa"/>
          </w:tblCellMar>
        </w:tblPrEx>
        <w:trPr>
          <w:trHeight w:val="295"/>
        </w:trPr>
        <w:tc>
          <w:tcPr>
            <w:tcW w:w="415" w:type="dxa"/>
            <w:tcBorders>
              <w:top w:val="single" w:sz="4" w:space="0" w:color="auto"/>
              <w:left w:val="single" w:sz="4" w:space="0" w:color="000000"/>
              <w:bottom w:val="single" w:sz="4" w:space="0" w:color="000000"/>
              <w:right w:val="single" w:sz="4" w:space="0" w:color="000000"/>
            </w:tcBorders>
          </w:tcPr>
          <w:p w14:paraId="2DAECC20" w14:textId="77777777" w:rsidR="00E47756" w:rsidRPr="00E47756" w:rsidRDefault="00E47756" w:rsidP="00E47756">
            <w:pPr>
              <w:spacing w:after="0" w:line="240" w:lineRule="auto"/>
              <w:ind w:left="57" w:right="57"/>
            </w:pPr>
            <w:r w:rsidRPr="00E47756">
              <w:rPr>
                <w:sz w:val="20"/>
              </w:rPr>
              <w:t>12.</w:t>
            </w:r>
            <w:r w:rsidRPr="00E47756">
              <w:rPr>
                <w:rFonts w:ascii="Arial" w:hAnsi="Arial" w:cs="Arial"/>
                <w:sz w:val="20"/>
              </w:rPr>
              <w:t xml:space="preserve"> </w:t>
            </w:r>
            <w:r w:rsidRPr="00E47756">
              <w:rPr>
                <w:sz w:val="20"/>
              </w:rPr>
              <w:t xml:space="preserve"> </w:t>
            </w:r>
          </w:p>
        </w:tc>
        <w:tc>
          <w:tcPr>
            <w:tcW w:w="2396" w:type="dxa"/>
            <w:tcBorders>
              <w:top w:val="single" w:sz="4" w:space="0" w:color="auto"/>
              <w:left w:val="single" w:sz="4" w:space="0" w:color="000000"/>
              <w:bottom w:val="single" w:sz="4" w:space="0" w:color="000000"/>
              <w:right w:val="single" w:sz="4" w:space="0" w:color="000000"/>
            </w:tcBorders>
          </w:tcPr>
          <w:p w14:paraId="25D9AC90" w14:textId="77777777" w:rsidR="00E47756" w:rsidRPr="00E47756" w:rsidRDefault="00E47756" w:rsidP="00E47756">
            <w:pPr>
              <w:spacing w:after="0" w:line="240" w:lineRule="auto"/>
              <w:ind w:left="57" w:right="57"/>
            </w:pPr>
            <w:r w:rsidRPr="00E47756">
              <w:rPr>
                <w:b/>
                <w:sz w:val="20"/>
              </w:rPr>
              <w:t xml:space="preserve">Civilný, obranný a vesmírny priemysel </w:t>
            </w:r>
          </w:p>
        </w:tc>
        <w:tc>
          <w:tcPr>
            <w:tcW w:w="4082" w:type="dxa"/>
            <w:gridSpan w:val="3"/>
            <w:tcBorders>
              <w:top w:val="single" w:sz="4" w:space="0" w:color="auto"/>
              <w:left w:val="single" w:sz="4" w:space="0" w:color="000000"/>
              <w:bottom w:val="single" w:sz="4" w:space="0" w:color="000000"/>
              <w:right w:val="single" w:sz="4" w:space="0" w:color="000000"/>
            </w:tcBorders>
          </w:tcPr>
          <w:p w14:paraId="2ABDC7FC" w14:textId="77777777" w:rsidR="00E47756" w:rsidRPr="00E47756" w:rsidRDefault="00E47756" w:rsidP="00E47756">
            <w:pPr>
              <w:spacing w:after="0" w:line="240" w:lineRule="auto"/>
              <w:ind w:left="57" w:right="57"/>
            </w:pPr>
            <w:r w:rsidRPr="00E47756">
              <w:rPr>
                <w:b/>
                <w:sz w:val="20"/>
              </w:rPr>
              <w:t>akčný plán pre synergie medzi civilným, obranným a vesmírnym priemyslom</w:t>
            </w:r>
            <w:r w:rsidRPr="00E47756">
              <w:rPr>
                <w:sz w:val="20"/>
              </w:rPr>
              <w:t xml:space="preserve"> (nelegislatívna iniciatíva, 1. štvrťrok 2021) </w:t>
            </w:r>
          </w:p>
        </w:tc>
        <w:tc>
          <w:tcPr>
            <w:tcW w:w="1972" w:type="dxa"/>
            <w:tcBorders>
              <w:top w:val="single" w:sz="4" w:space="0" w:color="auto"/>
              <w:left w:val="single" w:sz="4" w:space="0" w:color="000000"/>
              <w:bottom w:val="single" w:sz="4" w:space="0" w:color="000000"/>
              <w:right w:val="single" w:sz="4" w:space="0" w:color="000000"/>
            </w:tcBorders>
          </w:tcPr>
          <w:p w14:paraId="322F56D9" w14:textId="7D3D188D" w:rsidR="00C9245B" w:rsidRPr="001F1053" w:rsidRDefault="00C9245B" w:rsidP="00C9245B">
            <w:pPr>
              <w:spacing w:after="0" w:line="240" w:lineRule="auto"/>
              <w:ind w:left="57" w:right="57"/>
              <w:jc w:val="center"/>
              <w:rPr>
                <w:b/>
                <w:bCs/>
                <w:color w:val="auto"/>
                <w:sz w:val="20"/>
                <w:szCs w:val="20"/>
              </w:rPr>
            </w:pPr>
            <w:r w:rsidRPr="001F1053">
              <w:rPr>
                <w:b/>
                <w:bCs/>
                <w:color w:val="auto"/>
                <w:sz w:val="20"/>
                <w:szCs w:val="20"/>
              </w:rPr>
              <w:t>MH SR</w:t>
            </w:r>
          </w:p>
          <w:p w14:paraId="4DADE6D0" w14:textId="0420DDBA" w:rsidR="00D03A5B" w:rsidRPr="001F1053" w:rsidRDefault="00D03A5B" w:rsidP="00AC4D3E">
            <w:pPr>
              <w:spacing w:after="0" w:line="240" w:lineRule="auto"/>
              <w:ind w:left="57" w:right="57"/>
              <w:jc w:val="center"/>
              <w:rPr>
                <w:b/>
                <w:bCs/>
                <w:color w:val="auto"/>
                <w:sz w:val="20"/>
                <w:szCs w:val="20"/>
              </w:rPr>
            </w:pPr>
            <w:r w:rsidRPr="001F1053">
              <w:rPr>
                <w:b/>
                <w:bCs/>
                <w:color w:val="auto"/>
                <w:sz w:val="20"/>
                <w:szCs w:val="20"/>
              </w:rPr>
              <w:t>MO SR</w:t>
            </w:r>
          </w:p>
          <w:p w14:paraId="0BB16DBB" w14:textId="62D1034B" w:rsidR="00FE4957" w:rsidRPr="001F1053" w:rsidRDefault="00FE4957" w:rsidP="00AC4D3E">
            <w:pPr>
              <w:spacing w:after="0" w:line="240" w:lineRule="auto"/>
              <w:ind w:left="57" w:right="57"/>
              <w:jc w:val="center"/>
              <w:rPr>
                <w:b/>
                <w:bCs/>
                <w:color w:val="auto"/>
                <w:sz w:val="20"/>
                <w:szCs w:val="20"/>
              </w:rPr>
            </w:pPr>
            <w:r w:rsidRPr="001F1053">
              <w:rPr>
                <w:b/>
                <w:bCs/>
                <w:color w:val="auto"/>
                <w:sz w:val="20"/>
                <w:szCs w:val="20"/>
              </w:rPr>
              <w:t>MV SR</w:t>
            </w:r>
          </w:p>
          <w:p w14:paraId="20768947" w14:textId="77777777" w:rsidR="00E47756" w:rsidRPr="00FE4957" w:rsidRDefault="00E47756" w:rsidP="00C9245B">
            <w:pPr>
              <w:spacing w:after="0" w:line="240" w:lineRule="auto"/>
              <w:ind w:left="57" w:right="57"/>
              <w:jc w:val="center"/>
              <w:rPr>
                <w:b/>
                <w:sz w:val="20"/>
                <w:highlight w:val="yellow"/>
              </w:rPr>
            </w:pPr>
          </w:p>
        </w:tc>
        <w:tc>
          <w:tcPr>
            <w:tcW w:w="5777" w:type="dxa"/>
            <w:tcBorders>
              <w:top w:val="single" w:sz="4" w:space="0" w:color="auto"/>
              <w:left w:val="single" w:sz="4" w:space="0" w:color="000000"/>
              <w:bottom w:val="single" w:sz="4" w:space="0" w:color="000000"/>
              <w:right w:val="single" w:sz="4" w:space="0" w:color="000000"/>
            </w:tcBorders>
          </w:tcPr>
          <w:p w14:paraId="7E7D31D8" w14:textId="2F01D9F6" w:rsidR="00E47756" w:rsidRPr="00967774" w:rsidRDefault="00967774" w:rsidP="00967774">
            <w:pPr>
              <w:spacing w:after="0" w:line="240" w:lineRule="auto"/>
              <w:ind w:left="57" w:right="57"/>
            </w:pPr>
            <w:r w:rsidRPr="00FE4957">
              <w:rPr>
                <w:b/>
                <w:sz w:val="20"/>
                <w:u w:val="single"/>
              </w:rPr>
              <w:t>Stredná priorita</w:t>
            </w:r>
            <w:r>
              <w:rPr>
                <w:sz w:val="20"/>
              </w:rPr>
              <w:t xml:space="preserve"> - </w:t>
            </w:r>
            <w:r w:rsidRPr="004E4D77">
              <w:rPr>
                <w:sz w:val="20"/>
              </w:rPr>
              <w:t>Obranný a vesmírny priemysel čelí v meniacom sa geopolitickom kontexte bezprecedentnej celosvetovej konkurencii a v súvislosti s novými rýchlo sa rozvíjajúcimi technológiami a príchodom nových hráčov sa stretáva s novými príležitosťami. EK preto plánuje predstaviť Akčný plán, ktorý bude vo svojich opatreniach hľadať synergie medzi civilným, vesmírnym a obranným priemyslom, ktoré jej umožnia účinnejšie využívať zdroje a technológie a vytvárať úspory z rozsahu.</w:t>
            </w:r>
          </w:p>
        </w:tc>
      </w:tr>
      <w:tr w:rsidR="00E47756" w:rsidRPr="00E47756" w14:paraId="6F1A7D21" w14:textId="77777777" w:rsidTr="001A4016">
        <w:tblPrEx>
          <w:tblCellMar>
            <w:top w:w="2" w:type="dxa"/>
            <w:right w:w="0" w:type="dxa"/>
          </w:tblCellMar>
        </w:tblPrEx>
        <w:trPr>
          <w:trHeight w:val="526"/>
        </w:trPr>
        <w:tc>
          <w:tcPr>
            <w:tcW w:w="415" w:type="dxa"/>
            <w:tcBorders>
              <w:top w:val="single" w:sz="4" w:space="0" w:color="000000"/>
              <w:left w:val="single" w:sz="4" w:space="0" w:color="000000"/>
              <w:bottom w:val="single" w:sz="4" w:space="0" w:color="000000"/>
              <w:right w:val="single" w:sz="4" w:space="0" w:color="000000"/>
            </w:tcBorders>
          </w:tcPr>
          <w:p w14:paraId="03A0D0B7" w14:textId="77777777" w:rsidR="00E47756" w:rsidRPr="00E47756" w:rsidRDefault="00E47756" w:rsidP="00E47756">
            <w:pPr>
              <w:spacing w:after="0" w:line="240" w:lineRule="auto"/>
              <w:ind w:left="57" w:right="57"/>
            </w:pPr>
            <w:r w:rsidRPr="00E47756">
              <w:rPr>
                <w:sz w:val="20"/>
              </w:rPr>
              <w:t>13.</w:t>
            </w:r>
            <w:r w:rsidRPr="00E47756">
              <w:rPr>
                <w:rFonts w:ascii="Arial" w:hAnsi="Arial" w:cs="Arial"/>
                <w:sz w:val="20"/>
              </w:rPr>
              <w:t xml:space="preserve"> </w:t>
            </w:r>
            <w:r w:rsidRPr="00E47756">
              <w:rPr>
                <w:sz w:val="20"/>
              </w:rP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4B73AB16" w14:textId="77777777" w:rsidR="00E47756" w:rsidRPr="00E47756" w:rsidRDefault="00E47756" w:rsidP="00E47756">
            <w:pPr>
              <w:spacing w:after="0" w:line="240" w:lineRule="auto"/>
              <w:ind w:left="57" w:right="57"/>
            </w:pPr>
            <w:r w:rsidRPr="00E47756">
              <w:rPr>
                <w:b/>
                <w:sz w:val="20"/>
              </w:rPr>
              <w:t xml:space="preserve">Požiadavky na dizajn a práva spotrebiteľov </w:t>
            </w:r>
          </w:p>
          <w:p w14:paraId="2F774415" w14:textId="77777777" w:rsidR="00E47756" w:rsidRPr="00E47756" w:rsidRDefault="00E47756" w:rsidP="00E47756">
            <w:pPr>
              <w:spacing w:after="0" w:line="240" w:lineRule="auto"/>
              <w:ind w:left="57" w:right="57"/>
            </w:pPr>
            <w:r w:rsidRPr="00E47756">
              <w:rPr>
                <w:b/>
                <w:sz w:val="20"/>
              </w:rPr>
              <w:t xml:space="preserve">v oblasti elektroniky </w:t>
            </w:r>
          </w:p>
        </w:tc>
        <w:tc>
          <w:tcPr>
            <w:tcW w:w="4082" w:type="dxa"/>
            <w:gridSpan w:val="3"/>
            <w:tcBorders>
              <w:top w:val="single" w:sz="4" w:space="0" w:color="000000"/>
              <w:left w:val="single" w:sz="4" w:space="0" w:color="000000"/>
              <w:bottom w:val="single" w:sz="4" w:space="0" w:color="000000"/>
              <w:right w:val="single" w:sz="4" w:space="0" w:color="000000"/>
            </w:tcBorders>
          </w:tcPr>
          <w:p w14:paraId="0D7BB259" w14:textId="77777777" w:rsidR="00E47756" w:rsidRPr="00E47756" w:rsidRDefault="00E47756" w:rsidP="00E47756">
            <w:pPr>
              <w:spacing w:after="0" w:line="240" w:lineRule="auto"/>
              <w:ind w:left="57" w:right="57"/>
            </w:pPr>
            <w:r w:rsidRPr="00E47756">
              <w:rPr>
                <w:b/>
                <w:sz w:val="20"/>
              </w:rPr>
              <w:t>nové požiadavky na dizajn a práva spotrebiteľov v oblasti elektroniky</w:t>
            </w:r>
            <w:r w:rsidRPr="00E47756">
              <w:rPr>
                <w:sz w:val="20"/>
              </w:rPr>
              <w:t xml:space="preserve"> (legislatívna iniciatíva vrátane posúdenia vplyvu, článok 114 ZFEÚ, 4. štvrťrok 2021) </w:t>
            </w:r>
          </w:p>
        </w:tc>
        <w:tc>
          <w:tcPr>
            <w:tcW w:w="1972" w:type="dxa"/>
            <w:tcBorders>
              <w:top w:val="single" w:sz="4" w:space="0" w:color="000000"/>
              <w:left w:val="single" w:sz="4" w:space="0" w:color="000000"/>
              <w:bottom w:val="single" w:sz="4" w:space="0" w:color="000000"/>
              <w:right w:val="single" w:sz="4" w:space="0" w:color="000000"/>
            </w:tcBorders>
          </w:tcPr>
          <w:p w14:paraId="5D75B634" w14:textId="77777777" w:rsidR="00E47756" w:rsidRPr="00E47756" w:rsidRDefault="00E47756" w:rsidP="00E47756">
            <w:pPr>
              <w:spacing w:after="0" w:line="240" w:lineRule="auto"/>
              <w:ind w:left="57" w:right="57"/>
              <w:jc w:val="center"/>
              <w:rPr>
                <w:b/>
                <w:bCs/>
                <w:color w:val="auto"/>
                <w:sz w:val="20"/>
                <w:szCs w:val="20"/>
              </w:rPr>
            </w:pPr>
            <w:r w:rsidRPr="00E47756">
              <w:rPr>
                <w:b/>
                <w:bCs/>
                <w:color w:val="auto"/>
                <w:sz w:val="20"/>
                <w:szCs w:val="20"/>
              </w:rPr>
              <w:t>MH SR</w:t>
            </w:r>
          </w:p>
          <w:p w14:paraId="07DBD9BD" w14:textId="77777777" w:rsidR="00E47756" w:rsidRPr="00E47756" w:rsidRDefault="00E47756" w:rsidP="00F26D47">
            <w:pPr>
              <w:spacing w:after="0" w:line="240" w:lineRule="auto"/>
              <w:ind w:left="57" w:right="57"/>
              <w:jc w:val="center"/>
              <w:rPr>
                <w:b/>
                <w:sz w:val="20"/>
                <w:highlight w:val="yellow"/>
              </w:rPr>
            </w:pPr>
          </w:p>
        </w:tc>
        <w:tc>
          <w:tcPr>
            <w:tcW w:w="5777" w:type="dxa"/>
            <w:tcBorders>
              <w:top w:val="single" w:sz="4" w:space="0" w:color="000000"/>
              <w:left w:val="single" w:sz="4" w:space="0" w:color="000000"/>
              <w:bottom w:val="single" w:sz="4" w:space="0" w:color="000000"/>
              <w:right w:val="single" w:sz="4" w:space="0" w:color="000000"/>
            </w:tcBorders>
          </w:tcPr>
          <w:p w14:paraId="183CC9E8" w14:textId="6097DD9D" w:rsidR="00E47756" w:rsidRPr="00F22A7E" w:rsidRDefault="00E10A49" w:rsidP="00A01D71">
            <w:pPr>
              <w:spacing w:after="0" w:line="240" w:lineRule="auto"/>
              <w:ind w:left="57" w:right="57"/>
            </w:pPr>
            <w:r w:rsidRPr="00E47756">
              <w:rPr>
                <w:b/>
                <w:sz w:val="20"/>
                <w:u w:val="single"/>
              </w:rPr>
              <w:t>Stredná priorita</w:t>
            </w:r>
            <w:r w:rsidRPr="00E47756">
              <w:rPr>
                <w:b/>
                <w:sz w:val="20"/>
                <w:szCs w:val="20"/>
              </w:rPr>
              <w:t xml:space="preserve"> - </w:t>
            </w:r>
            <w:r w:rsidR="00F22A7E" w:rsidRPr="00B93830">
              <w:rPr>
                <w:color w:val="auto"/>
                <w:sz w:val="20"/>
                <w:szCs w:val="20"/>
              </w:rPr>
              <w:t>Akčný plán pre obehové hospodárstvo avizuje, že EK sa plánuje zamerať v prvom kroku aj na elektroniku a - posilniť postavenie spotrebiteľa, posilniť podporu opraviteľnosti výrobkov, a to napr. zabezpečením dostupnosti náhradných dielov, prístupného a cenovo dostupného servisu ďalej bojovať proti predčasnému zastarávaniu, a upraviť požiadavky na zariadenia z hľadiska udržateľnosti – ale pretože ešte nie sú zverejnené ciele, </w:t>
            </w:r>
            <w:r w:rsidR="00A01D71">
              <w:rPr>
                <w:color w:val="auto"/>
                <w:sz w:val="20"/>
                <w:szCs w:val="20"/>
              </w:rPr>
              <w:t>nie je možné</w:t>
            </w:r>
            <w:r w:rsidR="00F22A7E" w:rsidRPr="00B93830">
              <w:rPr>
                <w:color w:val="auto"/>
                <w:sz w:val="20"/>
                <w:szCs w:val="20"/>
              </w:rPr>
              <w:t xml:space="preserve"> presne</w:t>
            </w:r>
            <w:r w:rsidR="00A01D71">
              <w:rPr>
                <w:color w:val="auto"/>
                <w:sz w:val="20"/>
                <w:szCs w:val="20"/>
              </w:rPr>
              <w:t xml:space="preserve"> určiť</w:t>
            </w:r>
            <w:r w:rsidR="00F22A7E" w:rsidRPr="00B93830">
              <w:rPr>
                <w:color w:val="auto"/>
                <w:sz w:val="20"/>
                <w:szCs w:val="20"/>
              </w:rPr>
              <w:t>, či ide práve o túto iniciatívu.</w:t>
            </w:r>
          </w:p>
        </w:tc>
      </w:tr>
    </w:tbl>
    <w:p w14:paraId="663F4F80" w14:textId="77777777" w:rsidR="00E47756" w:rsidRDefault="00E47756" w:rsidP="001A4016">
      <w:pPr>
        <w:spacing w:after="0" w:line="240" w:lineRule="auto"/>
        <w:ind w:right="24"/>
      </w:pPr>
    </w:p>
    <w:p w14:paraId="25D9CCB9" w14:textId="77777777" w:rsidR="00BC46AE" w:rsidRDefault="00BC46AE" w:rsidP="001A4016">
      <w:pPr>
        <w:spacing w:after="0" w:line="240" w:lineRule="auto"/>
        <w:ind w:right="24"/>
      </w:pPr>
    </w:p>
    <w:p w14:paraId="2F8FAC46" w14:textId="77777777" w:rsidR="00BC46AE" w:rsidRPr="00E47756" w:rsidRDefault="00BC46AE" w:rsidP="001A4016">
      <w:pPr>
        <w:spacing w:after="0" w:line="240" w:lineRule="auto"/>
        <w:ind w:right="24"/>
      </w:pPr>
    </w:p>
    <w:tbl>
      <w:tblPr>
        <w:tblStyle w:val="TableGrid1"/>
        <w:tblW w:w="14622" w:type="dxa"/>
        <w:tblInd w:w="-26" w:type="dxa"/>
        <w:tblCellMar>
          <w:top w:w="24" w:type="dxa"/>
          <w:left w:w="26" w:type="dxa"/>
        </w:tblCellMar>
        <w:tblLook w:val="04A0" w:firstRow="1" w:lastRow="0" w:firstColumn="1" w:lastColumn="0" w:noHBand="0" w:noVBand="1"/>
      </w:tblPr>
      <w:tblGrid>
        <w:gridCol w:w="407"/>
        <w:gridCol w:w="2780"/>
        <w:gridCol w:w="3638"/>
        <w:gridCol w:w="1985"/>
        <w:gridCol w:w="5812"/>
      </w:tblGrid>
      <w:tr w:rsidR="00E47756" w:rsidRPr="00E47756" w14:paraId="46511AB4" w14:textId="77777777" w:rsidTr="001A4016">
        <w:trPr>
          <w:trHeight w:val="404"/>
          <w:tblHeader/>
        </w:trPr>
        <w:tc>
          <w:tcPr>
            <w:tcW w:w="407" w:type="dxa"/>
            <w:tcBorders>
              <w:top w:val="single" w:sz="4" w:space="0" w:color="000000"/>
              <w:left w:val="single" w:sz="4" w:space="0" w:color="000000"/>
              <w:bottom w:val="single" w:sz="4" w:space="0" w:color="auto"/>
              <w:right w:val="single" w:sz="4" w:space="0" w:color="000000"/>
            </w:tcBorders>
            <w:shd w:val="clear" w:color="auto" w:fill="99CCFF"/>
          </w:tcPr>
          <w:p w14:paraId="35D0D5D1" w14:textId="77777777" w:rsidR="00E47756" w:rsidRPr="00E47756" w:rsidRDefault="00E47756" w:rsidP="00E47756">
            <w:pPr>
              <w:spacing w:after="0"/>
              <w:jc w:val="center"/>
            </w:pPr>
            <w:r w:rsidRPr="00E47756">
              <w:rPr>
                <w:b/>
                <w:sz w:val="20"/>
              </w:rPr>
              <w:t>Č.</w:t>
            </w:r>
          </w:p>
        </w:tc>
        <w:tc>
          <w:tcPr>
            <w:tcW w:w="2780" w:type="dxa"/>
            <w:tcBorders>
              <w:top w:val="single" w:sz="4" w:space="0" w:color="000000"/>
              <w:left w:val="single" w:sz="4" w:space="0" w:color="000000"/>
              <w:bottom w:val="single" w:sz="4" w:space="0" w:color="auto"/>
              <w:right w:val="single" w:sz="4" w:space="0" w:color="000000"/>
            </w:tcBorders>
            <w:shd w:val="clear" w:color="auto" w:fill="99CCFF"/>
          </w:tcPr>
          <w:p w14:paraId="27A78B58" w14:textId="77777777" w:rsidR="00E47756" w:rsidRPr="00E47756" w:rsidRDefault="00E47756" w:rsidP="00E47756">
            <w:pPr>
              <w:spacing w:after="0"/>
              <w:ind w:right="33"/>
              <w:jc w:val="center"/>
            </w:pPr>
            <w:r w:rsidRPr="00E47756">
              <w:rPr>
                <w:b/>
                <w:sz w:val="20"/>
              </w:rPr>
              <w:t xml:space="preserve">Cieľ politiky </w:t>
            </w:r>
          </w:p>
        </w:tc>
        <w:tc>
          <w:tcPr>
            <w:tcW w:w="3638" w:type="dxa"/>
            <w:tcBorders>
              <w:top w:val="single" w:sz="4" w:space="0" w:color="000000"/>
              <w:left w:val="single" w:sz="4" w:space="0" w:color="000000"/>
              <w:bottom w:val="single" w:sz="4" w:space="0" w:color="auto"/>
              <w:right w:val="single" w:sz="4" w:space="0" w:color="000000"/>
            </w:tcBorders>
            <w:shd w:val="clear" w:color="auto" w:fill="99CCFF"/>
          </w:tcPr>
          <w:p w14:paraId="61996F55" w14:textId="77777777" w:rsidR="00E47756" w:rsidRPr="00E47756" w:rsidRDefault="00E47756" w:rsidP="00E47756">
            <w:pPr>
              <w:spacing w:after="0"/>
              <w:ind w:right="26"/>
              <w:jc w:val="center"/>
            </w:pPr>
            <w:r w:rsidRPr="00E47756">
              <w:rPr>
                <w:b/>
                <w:sz w:val="20"/>
              </w:rPr>
              <w:t xml:space="preserve">Iniciatívy </w:t>
            </w:r>
          </w:p>
        </w:tc>
        <w:tc>
          <w:tcPr>
            <w:tcW w:w="1985" w:type="dxa"/>
            <w:tcBorders>
              <w:top w:val="single" w:sz="4" w:space="0" w:color="000000"/>
              <w:left w:val="single" w:sz="4" w:space="0" w:color="000000"/>
              <w:bottom w:val="single" w:sz="4" w:space="0" w:color="auto"/>
              <w:right w:val="single" w:sz="4" w:space="0" w:color="000000"/>
            </w:tcBorders>
            <w:shd w:val="clear" w:color="auto" w:fill="99CCFF"/>
          </w:tcPr>
          <w:p w14:paraId="5650EAD7" w14:textId="77777777" w:rsidR="00E47756" w:rsidRPr="00E47756" w:rsidRDefault="00E47756" w:rsidP="00E47756">
            <w:pPr>
              <w:spacing w:after="0"/>
              <w:ind w:right="355"/>
              <w:jc w:val="center"/>
              <w:rPr>
                <w:b/>
                <w:sz w:val="20"/>
              </w:rPr>
            </w:pPr>
            <w:r w:rsidRPr="00E47756">
              <w:rPr>
                <w:b/>
                <w:sz w:val="20"/>
              </w:rPr>
              <w:t>Gestor</w:t>
            </w:r>
          </w:p>
        </w:tc>
        <w:tc>
          <w:tcPr>
            <w:tcW w:w="5812" w:type="dxa"/>
            <w:tcBorders>
              <w:top w:val="single" w:sz="4" w:space="0" w:color="000000"/>
              <w:left w:val="single" w:sz="4" w:space="0" w:color="000000"/>
              <w:bottom w:val="single" w:sz="4" w:space="0" w:color="auto"/>
              <w:right w:val="single" w:sz="4" w:space="0" w:color="000000"/>
            </w:tcBorders>
            <w:shd w:val="clear" w:color="auto" w:fill="99CCFF"/>
          </w:tcPr>
          <w:p w14:paraId="794E2793" w14:textId="77777777" w:rsidR="00E47756" w:rsidRPr="00E47756" w:rsidRDefault="00E47756" w:rsidP="00E47756">
            <w:pPr>
              <w:spacing w:after="0"/>
              <w:jc w:val="center"/>
              <w:rPr>
                <w:b/>
                <w:sz w:val="20"/>
              </w:rPr>
            </w:pPr>
            <w:r w:rsidRPr="00E47756">
              <w:rPr>
                <w:b/>
                <w:sz w:val="20"/>
              </w:rPr>
              <w:t>Stupeň priority a pozíciu SR</w:t>
            </w:r>
          </w:p>
        </w:tc>
      </w:tr>
      <w:tr w:rsidR="00E47756" w:rsidRPr="00E47756" w14:paraId="1A6E9D89" w14:textId="77777777" w:rsidTr="001A4016">
        <w:trPr>
          <w:trHeight w:val="403"/>
        </w:trPr>
        <w:tc>
          <w:tcPr>
            <w:tcW w:w="6825" w:type="dxa"/>
            <w:gridSpan w:val="3"/>
            <w:tcBorders>
              <w:top w:val="single" w:sz="4" w:space="0" w:color="auto"/>
              <w:left w:val="single" w:sz="4" w:space="0" w:color="000000"/>
              <w:bottom w:val="single" w:sz="4" w:space="0" w:color="000000"/>
              <w:right w:val="single" w:sz="4" w:space="0" w:color="000000"/>
            </w:tcBorders>
            <w:shd w:val="clear" w:color="auto" w:fill="F68A42"/>
          </w:tcPr>
          <w:p w14:paraId="307A3F3D" w14:textId="77777777" w:rsidR="00E47756" w:rsidRPr="00E47756" w:rsidRDefault="00E47756" w:rsidP="00E47756">
            <w:pPr>
              <w:spacing w:after="0"/>
            </w:pPr>
            <w:r w:rsidRPr="00E47756">
              <w:rPr>
                <w:b/>
                <w:color w:val="FFFFFF"/>
                <w:sz w:val="20"/>
              </w:rPr>
              <w:t>Hospodárstvo, ktoré pracuje v prospech ľudí</w:t>
            </w:r>
            <w:r w:rsidRPr="00E47756">
              <w:rPr>
                <w:b/>
                <w:sz w:val="20"/>
              </w:rPr>
              <w:t xml:space="preserve"> </w:t>
            </w:r>
          </w:p>
        </w:tc>
        <w:tc>
          <w:tcPr>
            <w:tcW w:w="1985" w:type="dxa"/>
            <w:tcBorders>
              <w:top w:val="single" w:sz="4" w:space="0" w:color="auto"/>
              <w:left w:val="single" w:sz="4" w:space="0" w:color="000000"/>
              <w:bottom w:val="single" w:sz="4" w:space="0" w:color="000000"/>
              <w:right w:val="single" w:sz="4" w:space="0" w:color="000000"/>
            </w:tcBorders>
            <w:shd w:val="clear" w:color="auto" w:fill="F68A42"/>
          </w:tcPr>
          <w:p w14:paraId="5CD8C473" w14:textId="77777777" w:rsidR="00E47756" w:rsidRPr="00E47756" w:rsidRDefault="00E47756" w:rsidP="00E47756">
            <w:pPr>
              <w:spacing w:after="0"/>
              <w:rPr>
                <w:b/>
                <w:color w:val="FFFFFF"/>
                <w:sz w:val="20"/>
              </w:rPr>
            </w:pPr>
          </w:p>
        </w:tc>
        <w:tc>
          <w:tcPr>
            <w:tcW w:w="5812" w:type="dxa"/>
            <w:tcBorders>
              <w:top w:val="single" w:sz="4" w:space="0" w:color="auto"/>
              <w:left w:val="single" w:sz="4" w:space="0" w:color="000000"/>
              <w:bottom w:val="single" w:sz="4" w:space="0" w:color="000000"/>
              <w:right w:val="single" w:sz="4" w:space="0" w:color="000000"/>
            </w:tcBorders>
            <w:shd w:val="clear" w:color="auto" w:fill="F68A42"/>
          </w:tcPr>
          <w:p w14:paraId="02F55FF3" w14:textId="77777777" w:rsidR="00E47756" w:rsidRPr="00E47756" w:rsidRDefault="00E47756" w:rsidP="00E47756">
            <w:pPr>
              <w:spacing w:after="0"/>
              <w:rPr>
                <w:b/>
                <w:color w:val="FFFFFF"/>
                <w:sz w:val="20"/>
              </w:rPr>
            </w:pPr>
          </w:p>
        </w:tc>
      </w:tr>
      <w:tr w:rsidR="00E47756" w:rsidRPr="00E47756" w14:paraId="249F242F" w14:textId="77777777" w:rsidTr="001A4016">
        <w:trPr>
          <w:trHeight w:val="1471"/>
        </w:trPr>
        <w:tc>
          <w:tcPr>
            <w:tcW w:w="407" w:type="dxa"/>
            <w:tcBorders>
              <w:top w:val="single" w:sz="4" w:space="0" w:color="000000"/>
              <w:left w:val="single" w:sz="4" w:space="0" w:color="000000"/>
              <w:bottom w:val="single" w:sz="4" w:space="0" w:color="000000"/>
              <w:right w:val="single" w:sz="4" w:space="0" w:color="000000"/>
            </w:tcBorders>
          </w:tcPr>
          <w:p w14:paraId="209E435A" w14:textId="77777777" w:rsidR="00E47756" w:rsidRPr="00E47756" w:rsidRDefault="00E47756" w:rsidP="00E47756">
            <w:pPr>
              <w:spacing w:after="0" w:line="240" w:lineRule="auto"/>
              <w:ind w:left="57" w:right="57"/>
            </w:pPr>
            <w:r w:rsidRPr="00E47756">
              <w:rPr>
                <w:sz w:val="20"/>
              </w:rPr>
              <w:t>14.</w:t>
            </w:r>
            <w:r w:rsidRPr="00E47756">
              <w:rPr>
                <w:rFonts w:ascii="Arial" w:hAnsi="Arial" w:cs="Arial"/>
                <w:sz w:val="20"/>
              </w:rPr>
              <w:t xml:space="preserve"> </w:t>
            </w:r>
            <w:r w:rsidRPr="00E47756">
              <w:rPr>
                <w:color w:val="FFFFFF"/>
                <w:sz w:val="20"/>
              </w:rPr>
              <w:t xml:space="preserve"> </w:t>
            </w:r>
          </w:p>
        </w:tc>
        <w:tc>
          <w:tcPr>
            <w:tcW w:w="2780" w:type="dxa"/>
            <w:tcBorders>
              <w:top w:val="single" w:sz="4" w:space="0" w:color="000000"/>
              <w:left w:val="single" w:sz="4" w:space="0" w:color="000000"/>
              <w:bottom w:val="single" w:sz="4" w:space="0" w:color="000000"/>
              <w:right w:val="single" w:sz="4" w:space="0" w:color="auto"/>
            </w:tcBorders>
          </w:tcPr>
          <w:p w14:paraId="728A8F1C" w14:textId="77777777" w:rsidR="00E47756" w:rsidRPr="00E47756" w:rsidRDefault="00E47756" w:rsidP="00E47756">
            <w:pPr>
              <w:spacing w:after="0" w:line="240" w:lineRule="auto"/>
              <w:ind w:left="57" w:right="57"/>
            </w:pPr>
            <w:r w:rsidRPr="00E47756">
              <w:rPr>
                <w:b/>
                <w:sz w:val="20"/>
              </w:rPr>
              <w:t xml:space="preserve">Prehĺbenie Únie kapitálových trhov </w:t>
            </w:r>
          </w:p>
        </w:tc>
        <w:tc>
          <w:tcPr>
            <w:tcW w:w="3638" w:type="dxa"/>
            <w:tcBorders>
              <w:top w:val="single" w:sz="4" w:space="0" w:color="auto"/>
              <w:left w:val="single" w:sz="4" w:space="0" w:color="auto"/>
              <w:bottom w:val="single" w:sz="4" w:space="0" w:color="auto"/>
              <w:right w:val="single" w:sz="4" w:space="0" w:color="auto"/>
            </w:tcBorders>
          </w:tcPr>
          <w:p w14:paraId="48A126F3" w14:textId="77777777" w:rsidR="00E47756" w:rsidRPr="00E47756" w:rsidRDefault="00E47756" w:rsidP="003826CE">
            <w:pPr>
              <w:numPr>
                <w:ilvl w:val="0"/>
                <w:numId w:val="11"/>
              </w:numPr>
              <w:spacing w:after="0" w:line="240" w:lineRule="auto"/>
              <w:ind w:left="57" w:right="57" w:hanging="334"/>
              <w:jc w:val="left"/>
            </w:pPr>
            <w:r w:rsidRPr="00E47756">
              <w:rPr>
                <w:b/>
                <w:sz w:val="20"/>
              </w:rPr>
              <w:t>rámec pre ochranu a uľahčenie investícií</w:t>
            </w:r>
            <w:r w:rsidRPr="00E47756">
              <w:rPr>
                <w:sz w:val="20"/>
              </w:rPr>
              <w:t xml:space="preserve"> (legislatívna iniciatíva vrátane posúdenia vplyvu, článok 114 ZFEÚ, </w:t>
            </w:r>
          </w:p>
          <w:p w14:paraId="696002D4" w14:textId="77777777" w:rsidR="00E47756" w:rsidRPr="00E47756" w:rsidRDefault="00E47756" w:rsidP="00E47756">
            <w:pPr>
              <w:spacing w:after="0" w:line="240" w:lineRule="auto"/>
              <w:ind w:left="57" w:right="57"/>
              <w:rPr>
                <w:b/>
                <w:sz w:val="20"/>
              </w:rPr>
            </w:pPr>
            <w:r w:rsidRPr="00E47756">
              <w:rPr>
                <w:sz w:val="20"/>
              </w:rPr>
              <w:t>2. štvrťrok 2021);</w:t>
            </w:r>
            <w:r w:rsidRPr="00E47756">
              <w:rPr>
                <w:b/>
                <w:sz w:val="20"/>
              </w:rPr>
              <w:t xml:space="preserve"> </w:t>
            </w:r>
          </w:p>
          <w:p w14:paraId="235974F4" w14:textId="77777777" w:rsidR="00E47756" w:rsidRPr="00E47756" w:rsidRDefault="00E47756" w:rsidP="00E47756">
            <w:pPr>
              <w:spacing w:after="0" w:line="240" w:lineRule="auto"/>
              <w:ind w:left="57" w:right="57"/>
            </w:pPr>
          </w:p>
          <w:p w14:paraId="39E88ABC" w14:textId="77777777" w:rsidR="00E47756" w:rsidRPr="00E47756" w:rsidRDefault="00E47756" w:rsidP="003826CE">
            <w:pPr>
              <w:numPr>
                <w:ilvl w:val="0"/>
                <w:numId w:val="11"/>
              </w:numPr>
              <w:spacing w:after="0" w:line="240" w:lineRule="auto"/>
              <w:ind w:left="57" w:right="57" w:hanging="334"/>
              <w:jc w:val="left"/>
            </w:pPr>
            <w:r w:rsidRPr="00E47756">
              <w:rPr>
                <w:b/>
                <w:sz w:val="20"/>
              </w:rPr>
              <w:t xml:space="preserve">revízia </w:t>
            </w:r>
            <w:proofErr w:type="spellStart"/>
            <w:r w:rsidRPr="00E47756">
              <w:rPr>
                <w:b/>
                <w:sz w:val="20"/>
              </w:rPr>
              <w:t>prudenciálnych</w:t>
            </w:r>
            <w:proofErr w:type="spellEnd"/>
            <w:r w:rsidRPr="00E47756">
              <w:rPr>
                <w:b/>
                <w:sz w:val="20"/>
              </w:rPr>
              <w:t xml:space="preserve"> pravidiel pre poisťovne a zaisťovne (Solventnosť II)</w:t>
            </w:r>
            <w:r w:rsidRPr="00E47756">
              <w:rPr>
                <w:sz w:val="20"/>
              </w:rPr>
              <w:t xml:space="preserve"> (legislatívna iniciatíva vrátane posúdenia vplyvu, článok 53 ods. 1, články 62 a 114 ZFEÚ, 3. štvrťrok 2021);</w:t>
            </w:r>
          </w:p>
          <w:p w14:paraId="291F1CD3" w14:textId="77777777" w:rsidR="00E47756" w:rsidRPr="00E47756" w:rsidRDefault="00E47756" w:rsidP="00E47756">
            <w:pPr>
              <w:spacing w:after="0" w:line="240" w:lineRule="auto"/>
              <w:ind w:left="57" w:right="57"/>
              <w:jc w:val="left"/>
            </w:pPr>
          </w:p>
          <w:p w14:paraId="29A18BEB" w14:textId="77777777" w:rsidR="00E47756" w:rsidRPr="00E47756" w:rsidRDefault="00E47756" w:rsidP="003826CE">
            <w:pPr>
              <w:numPr>
                <w:ilvl w:val="0"/>
                <w:numId w:val="11"/>
              </w:numPr>
              <w:spacing w:after="0" w:line="240" w:lineRule="auto"/>
              <w:ind w:left="57" w:right="57" w:hanging="334"/>
              <w:jc w:val="left"/>
            </w:pPr>
            <w:r w:rsidRPr="00E47756">
              <w:rPr>
                <w:b/>
                <w:sz w:val="20"/>
              </w:rPr>
              <w:t>revízia smernice a nariadenia o trhoch s finančnými nástrojmi</w:t>
            </w:r>
            <w:r w:rsidRPr="00E47756">
              <w:rPr>
                <w:sz w:val="20"/>
              </w:rPr>
              <w:t xml:space="preserve"> (legislatívna iniciatíva vrátane posúdenia vplyvu, článok 114 ZFEÚ, 4. štvrťrok 2021).</w:t>
            </w:r>
            <w:r w:rsidRPr="00E47756">
              <w:rPr>
                <w:b/>
                <w:sz w:val="20"/>
              </w:rPr>
              <w:t xml:space="preserve"> </w:t>
            </w:r>
          </w:p>
        </w:tc>
        <w:tc>
          <w:tcPr>
            <w:tcW w:w="1985" w:type="dxa"/>
            <w:tcBorders>
              <w:top w:val="single" w:sz="4" w:space="0" w:color="auto"/>
              <w:left w:val="single" w:sz="4" w:space="0" w:color="auto"/>
              <w:bottom w:val="single" w:sz="4" w:space="0" w:color="auto"/>
              <w:right w:val="single" w:sz="4" w:space="0" w:color="auto"/>
            </w:tcBorders>
          </w:tcPr>
          <w:p w14:paraId="358171DD" w14:textId="77777777" w:rsidR="00E47756" w:rsidRPr="00E47756" w:rsidRDefault="00E47756" w:rsidP="00E47756">
            <w:pPr>
              <w:spacing w:after="0" w:line="240" w:lineRule="auto"/>
              <w:ind w:left="57" w:right="57"/>
              <w:jc w:val="center"/>
              <w:rPr>
                <w:b/>
                <w:sz w:val="20"/>
              </w:rPr>
            </w:pPr>
            <w:r w:rsidRPr="00E47756">
              <w:rPr>
                <w:b/>
                <w:sz w:val="20"/>
              </w:rPr>
              <w:t>MF SR</w:t>
            </w:r>
          </w:p>
          <w:p w14:paraId="41FA0DAB" w14:textId="77777777" w:rsidR="00E47756" w:rsidRPr="00E47756" w:rsidRDefault="00E47756" w:rsidP="00E47756">
            <w:pPr>
              <w:spacing w:after="0" w:line="240" w:lineRule="auto"/>
              <w:ind w:left="57" w:right="57"/>
              <w:jc w:val="center"/>
              <w:rPr>
                <w:b/>
                <w:sz w:val="20"/>
              </w:rPr>
            </w:pPr>
          </w:p>
          <w:p w14:paraId="30EB1F8E" w14:textId="77777777" w:rsidR="00E47756" w:rsidRPr="00E47756" w:rsidRDefault="00E47756" w:rsidP="00E47756">
            <w:pPr>
              <w:spacing w:after="0" w:line="240" w:lineRule="auto"/>
              <w:ind w:left="57" w:right="57"/>
              <w:rPr>
                <w:b/>
                <w:sz w:val="20"/>
              </w:rPr>
            </w:pPr>
          </w:p>
          <w:p w14:paraId="47265A89" w14:textId="77777777" w:rsidR="00E47756" w:rsidRPr="00E47756" w:rsidRDefault="00E47756" w:rsidP="00E47756">
            <w:pPr>
              <w:spacing w:after="0" w:line="240" w:lineRule="auto"/>
              <w:ind w:left="57" w:right="57"/>
              <w:jc w:val="center"/>
              <w:rPr>
                <w:b/>
                <w:sz w:val="20"/>
              </w:rPr>
            </w:pPr>
          </w:p>
          <w:p w14:paraId="256C0C58" w14:textId="77777777" w:rsidR="00E47756" w:rsidRPr="00E47756" w:rsidRDefault="00E47756" w:rsidP="00E47756">
            <w:pPr>
              <w:spacing w:after="0" w:line="240" w:lineRule="auto"/>
              <w:ind w:left="57" w:right="57"/>
              <w:rPr>
                <w:b/>
                <w:sz w:val="20"/>
              </w:rPr>
            </w:pPr>
          </w:p>
          <w:p w14:paraId="3D2245E4" w14:textId="77777777" w:rsidR="00E47756" w:rsidRPr="00E47756" w:rsidRDefault="00E47756" w:rsidP="00E47756">
            <w:pPr>
              <w:spacing w:after="0" w:line="240" w:lineRule="auto"/>
              <w:ind w:left="57" w:right="57"/>
              <w:jc w:val="center"/>
              <w:rPr>
                <w:b/>
                <w:sz w:val="20"/>
              </w:rPr>
            </w:pPr>
            <w:r w:rsidRPr="00E47756">
              <w:rPr>
                <w:b/>
                <w:sz w:val="20"/>
              </w:rPr>
              <w:t>MF SR</w:t>
            </w:r>
          </w:p>
          <w:p w14:paraId="66DFFEF6" w14:textId="77777777" w:rsidR="00E47756" w:rsidRPr="00E47756" w:rsidRDefault="00E47756" w:rsidP="00E47756">
            <w:pPr>
              <w:spacing w:after="0" w:line="240" w:lineRule="auto"/>
              <w:ind w:left="57" w:right="57"/>
              <w:jc w:val="center"/>
              <w:rPr>
                <w:b/>
                <w:sz w:val="20"/>
              </w:rPr>
            </w:pPr>
          </w:p>
          <w:p w14:paraId="3A4519FB" w14:textId="77777777" w:rsidR="00E47756" w:rsidRPr="00E47756" w:rsidRDefault="00E47756" w:rsidP="00E47756">
            <w:pPr>
              <w:spacing w:after="0" w:line="240" w:lineRule="auto"/>
              <w:ind w:left="57" w:right="57"/>
              <w:jc w:val="center"/>
              <w:rPr>
                <w:b/>
                <w:sz w:val="20"/>
              </w:rPr>
            </w:pPr>
          </w:p>
          <w:p w14:paraId="08027A45" w14:textId="77777777" w:rsidR="00E47756" w:rsidRPr="00E47756" w:rsidRDefault="00E47756" w:rsidP="00E47756">
            <w:pPr>
              <w:spacing w:after="0" w:line="240" w:lineRule="auto"/>
              <w:ind w:left="57" w:right="57"/>
              <w:jc w:val="center"/>
              <w:rPr>
                <w:b/>
                <w:sz w:val="20"/>
              </w:rPr>
            </w:pPr>
          </w:p>
          <w:p w14:paraId="62195280" w14:textId="77777777" w:rsidR="00E47756" w:rsidRPr="00E47756" w:rsidRDefault="00E47756" w:rsidP="00E47756">
            <w:pPr>
              <w:spacing w:after="0" w:line="240" w:lineRule="auto"/>
              <w:ind w:left="57" w:right="57"/>
              <w:rPr>
                <w:b/>
                <w:sz w:val="20"/>
              </w:rPr>
            </w:pPr>
          </w:p>
          <w:p w14:paraId="007EE380" w14:textId="77777777" w:rsidR="00E47756" w:rsidRPr="00E47756" w:rsidRDefault="00E47756" w:rsidP="00E47756">
            <w:pPr>
              <w:spacing w:after="0" w:line="240" w:lineRule="auto"/>
              <w:ind w:left="57" w:right="57"/>
              <w:rPr>
                <w:b/>
                <w:sz w:val="20"/>
              </w:rPr>
            </w:pPr>
          </w:p>
          <w:p w14:paraId="1EEA67AA" w14:textId="77777777" w:rsidR="00E47756" w:rsidRPr="00E47756" w:rsidRDefault="00E47756" w:rsidP="00E47756">
            <w:pPr>
              <w:spacing w:after="0" w:line="240" w:lineRule="auto"/>
              <w:ind w:left="57" w:right="57"/>
              <w:jc w:val="center"/>
              <w:rPr>
                <w:b/>
                <w:sz w:val="20"/>
              </w:rPr>
            </w:pPr>
          </w:p>
          <w:p w14:paraId="2197A726" w14:textId="77777777" w:rsidR="00E47756" w:rsidRPr="00E47756" w:rsidRDefault="00E47756" w:rsidP="00E47756">
            <w:pPr>
              <w:spacing w:after="0" w:line="240" w:lineRule="auto"/>
              <w:ind w:left="57" w:right="57"/>
              <w:jc w:val="center"/>
              <w:rPr>
                <w:b/>
                <w:sz w:val="20"/>
              </w:rPr>
            </w:pPr>
            <w:r w:rsidRPr="00E47756">
              <w:rPr>
                <w:b/>
                <w:sz w:val="20"/>
              </w:rPr>
              <w:t>MF SR</w:t>
            </w:r>
          </w:p>
        </w:tc>
        <w:tc>
          <w:tcPr>
            <w:tcW w:w="5812" w:type="dxa"/>
            <w:tcBorders>
              <w:top w:val="single" w:sz="4" w:space="0" w:color="auto"/>
              <w:left w:val="single" w:sz="4" w:space="0" w:color="auto"/>
              <w:bottom w:val="single" w:sz="4" w:space="0" w:color="auto"/>
              <w:right w:val="single" w:sz="4" w:space="0" w:color="auto"/>
            </w:tcBorders>
          </w:tcPr>
          <w:p w14:paraId="51F4193C" w14:textId="77777777" w:rsidR="00E47756" w:rsidRPr="00E47756" w:rsidRDefault="00E47756" w:rsidP="00E47756">
            <w:pPr>
              <w:spacing w:after="0" w:line="240" w:lineRule="auto"/>
              <w:ind w:left="57" w:right="57"/>
              <w:rPr>
                <w:b/>
                <w:sz w:val="20"/>
              </w:rPr>
            </w:pPr>
            <w:r w:rsidRPr="00E47756">
              <w:rPr>
                <w:b/>
                <w:sz w:val="20"/>
                <w:u w:val="single"/>
              </w:rPr>
              <w:t>Stredná priorita</w:t>
            </w:r>
            <w:r w:rsidRPr="00E47756">
              <w:rPr>
                <w:b/>
                <w:sz w:val="20"/>
                <w:szCs w:val="20"/>
              </w:rPr>
              <w:t xml:space="preserve"> - </w:t>
            </w:r>
            <w:r w:rsidRPr="00E47756">
              <w:rPr>
                <w:sz w:val="20"/>
              </w:rPr>
              <w:t>SR vo všeobecnosti podporuje prehĺbenie Únie kapitálových trhov aj v oblasti ochrany a uľahčenia investícií.</w:t>
            </w:r>
          </w:p>
          <w:p w14:paraId="1C78EC60" w14:textId="77777777" w:rsidR="00E47756" w:rsidRPr="00E47756" w:rsidRDefault="00E47756" w:rsidP="00E47756">
            <w:pPr>
              <w:spacing w:after="0" w:line="240" w:lineRule="auto"/>
              <w:ind w:left="57" w:right="57"/>
              <w:rPr>
                <w:b/>
                <w:sz w:val="20"/>
              </w:rPr>
            </w:pPr>
          </w:p>
          <w:p w14:paraId="6610EB4D" w14:textId="77777777" w:rsidR="00E47756" w:rsidRPr="00E47756" w:rsidRDefault="00E47756" w:rsidP="00E47756">
            <w:pPr>
              <w:spacing w:after="0" w:line="240" w:lineRule="auto"/>
              <w:ind w:left="57" w:right="57"/>
              <w:rPr>
                <w:b/>
                <w:sz w:val="20"/>
              </w:rPr>
            </w:pPr>
          </w:p>
          <w:p w14:paraId="321FCD4E" w14:textId="77777777" w:rsidR="00E47756" w:rsidRPr="00E47756" w:rsidRDefault="00E47756" w:rsidP="00E47756">
            <w:pPr>
              <w:spacing w:after="0" w:line="240" w:lineRule="auto"/>
              <w:ind w:left="57" w:right="57"/>
              <w:rPr>
                <w:b/>
                <w:sz w:val="20"/>
                <w:u w:val="single"/>
              </w:rPr>
            </w:pPr>
          </w:p>
          <w:p w14:paraId="0913E522" w14:textId="77777777" w:rsidR="00E47756" w:rsidRPr="00E47756" w:rsidRDefault="00E47756" w:rsidP="00E47756">
            <w:pPr>
              <w:spacing w:after="0" w:line="240" w:lineRule="auto"/>
              <w:ind w:left="57" w:right="57"/>
              <w:rPr>
                <w:b/>
                <w:sz w:val="20"/>
              </w:rPr>
            </w:pPr>
            <w:r w:rsidRPr="00E47756">
              <w:rPr>
                <w:b/>
                <w:sz w:val="20"/>
                <w:u w:val="single"/>
              </w:rPr>
              <w:t>Stredná priorita</w:t>
            </w:r>
            <w:r w:rsidRPr="00E47756">
              <w:rPr>
                <w:b/>
                <w:sz w:val="20"/>
                <w:szCs w:val="20"/>
              </w:rPr>
              <w:t xml:space="preserve"> - </w:t>
            </w:r>
            <w:r w:rsidRPr="00E47756">
              <w:rPr>
                <w:sz w:val="20"/>
              </w:rPr>
              <w:t xml:space="preserve">Revízia </w:t>
            </w:r>
            <w:proofErr w:type="spellStart"/>
            <w:r w:rsidRPr="00E47756">
              <w:rPr>
                <w:sz w:val="20"/>
              </w:rPr>
              <w:t>prudenciálnych</w:t>
            </w:r>
            <w:proofErr w:type="spellEnd"/>
            <w:r w:rsidRPr="00E47756">
              <w:rPr>
                <w:sz w:val="20"/>
              </w:rPr>
              <w:t xml:space="preserve"> pravidiel pre poisťovne a zaisťovne (Solventnosť II) prinesie zlepšenie existujúcich nástrojov a zlepšenie riadneho fungovania vnútorného trhu. Revízia zároveň zareaguje aj na </w:t>
            </w:r>
            <w:proofErr w:type="spellStart"/>
            <w:r w:rsidRPr="00E47756">
              <w:rPr>
                <w:sz w:val="20"/>
              </w:rPr>
              <w:t>pandemickú</w:t>
            </w:r>
            <w:proofErr w:type="spellEnd"/>
            <w:r w:rsidRPr="00E47756">
              <w:rPr>
                <w:sz w:val="20"/>
              </w:rPr>
              <w:t xml:space="preserve"> situáciu a jej dopady.</w:t>
            </w:r>
          </w:p>
          <w:p w14:paraId="5B49FAE1" w14:textId="77777777" w:rsidR="00E47756" w:rsidRPr="00E47756" w:rsidRDefault="00E47756" w:rsidP="00E47756">
            <w:pPr>
              <w:spacing w:after="0" w:line="240" w:lineRule="auto"/>
              <w:ind w:left="57" w:right="57"/>
              <w:rPr>
                <w:b/>
                <w:sz w:val="20"/>
              </w:rPr>
            </w:pPr>
          </w:p>
          <w:p w14:paraId="402A660D" w14:textId="77777777" w:rsidR="00E47756" w:rsidRPr="00E47756" w:rsidRDefault="00E47756" w:rsidP="00E47756">
            <w:pPr>
              <w:spacing w:after="0" w:line="240" w:lineRule="auto"/>
              <w:ind w:left="57" w:right="57"/>
              <w:rPr>
                <w:b/>
                <w:sz w:val="20"/>
              </w:rPr>
            </w:pPr>
          </w:p>
          <w:p w14:paraId="3599D22C" w14:textId="77777777" w:rsidR="00E47756" w:rsidRPr="00E47756" w:rsidRDefault="00E47756" w:rsidP="00E47756">
            <w:pPr>
              <w:spacing w:after="0" w:line="240" w:lineRule="auto"/>
              <w:ind w:left="57" w:right="57"/>
              <w:rPr>
                <w:b/>
                <w:sz w:val="20"/>
              </w:rPr>
            </w:pPr>
          </w:p>
          <w:p w14:paraId="6920A677" w14:textId="77777777" w:rsidR="00E47756" w:rsidRPr="00E47756" w:rsidRDefault="00E47756" w:rsidP="00E47756">
            <w:pPr>
              <w:spacing w:after="0" w:line="240" w:lineRule="auto"/>
              <w:ind w:left="57" w:right="57"/>
              <w:rPr>
                <w:b/>
                <w:sz w:val="20"/>
              </w:rPr>
            </w:pPr>
            <w:r w:rsidRPr="00E47756">
              <w:rPr>
                <w:b/>
                <w:sz w:val="20"/>
                <w:u w:val="single"/>
              </w:rPr>
              <w:t>Stredná priorita</w:t>
            </w:r>
            <w:r w:rsidRPr="00E47756">
              <w:rPr>
                <w:b/>
                <w:sz w:val="20"/>
                <w:szCs w:val="20"/>
              </w:rPr>
              <w:t xml:space="preserve"> - </w:t>
            </w:r>
            <w:r w:rsidRPr="00E47756">
              <w:rPr>
                <w:sz w:val="20"/>
              </w:rPr>
              <w:t xml:space="preserve">MF SR bude podporovať  zmeny balíka </w:t>
            </w:r>
            <w:proofErr w:type="spellStart"/>
            <w:r w:rsidRPr="00E47756">
              <w:rPr>
                <w:sz w:val="20"/>
              </w:rPr>
              <w:t>MiFID</w:t>
            </w:r>
            <w:proofErr w:type="spellEnd"/>
            <w:r w:rsidRPr="00E47756">
              <w:rPr>
                <w:sz w:val="20"/>
              </w:rPr>
              <w:t xml:space="preserve"> II (smernica 2014/65/EÚ a nariadenie (EÚ) 600/2014) v rozsahu, ktorý povedie k zjednodušeniu administratívy a </w:t>
            </w:r>
            <w:proofErr w:type="spellStart"/>
            <w:r w:rsidRPr="00E47756">
              <w:rPr>
                <w:sz w:val="20"/>
              </w:rPr>
              <w:t>reportingu</w:t>
            </w:r>
            <w:proofErr w:type="spellEnd"/>
            <w:r w:rsidRPr="00E47756">
              <w:rPr>
                <w:sz w:val="20"/>
              </w:rPr>
              <w:t xml:space="preserve"> investičných spoločností, pri zachovaní dosiahnutej úrovne ochrany investorov. Dôraz budeme klásť na potenciálny prínos navrhovaných opatrení smerom k posilneniu európskych kapitálových trhov a tým aj európskeho hospodárstva.</w:t>
            </w:r>
          </w:p>
        </w:tc>
      </w:tr>
      <w:tr w:rsidR="00E47756" w:rsidRPr="00E47756" w14:paraId="1C58EF25" w14:textId="77777777" w:rsidTr="001A4016">
        <w:trPr>
          <w:trHeight w:val="526"/>
        </w:trPr>
        <w:tc>
          <w:tcPr>
            <w:tcW w:w="407" w:type="dxa"/>
            <w:tcBorders>
              <w:top w:val="single" w:sz="4" w:space="0" w:color="000000"/>
              <w:left w:val="single" w:sz="4" w:space="0" w:color="000000"/>
              <w:bottom w:val="single" w:sz="4" w:space="0" w:color="000000"/>
              <w:right w:val="single" w:sz="4" w:space="0" w:color="000000"/>
            </w:tcBorders>
          </w:tcPr>
          <w:p w14:paraId="083BE9B5" w14:textId="77777777" w:rsidR="00E47756" w:rsidRPr="00E47756" w:rsidRDefault="00E47756" w:rsidP="00E47756">
            <w:pPr>
              <w:spacing w:after="0" w:line="240" w:lineRule="auto"/>
              <w:ind w:left="57" w:right="57"/>
            </w:pPr>
            <w:r w:rsidRPr="00E47756">
              <w:rPr>
                <w:sz w:val="20"/>
              </w:rPr>
              <w:t>15.</w:t>
            </w:r>
            <w:r w:rsidRPr="00E47756">
              <w:rPr>
                <w:rFonts w:ascii="Arial" w:hAnsi="Arial" w:cs="Arial"/>
                <w:sz w:val="20"/>
              </w:rPr>
              <w:t xml:space="preserve"> </w:t>
            </w:r>
            <w:r w:rsidRPr="00E47756">
              <w:rPr>
                <w:sz w:val="20"/>
              </w:rPr>
              <w:t xml:space="preserve"> </w:t>
            </w:r>
          </w:p>
        </w:tc>
        <w:tc>
          <w:tcPr>
            <w:tcW w:w="2780" w:type="dxa"/>
            <w:tcBorders>
              <w:top w:val="single" w:sz="4" w:space="0" w:color="000000"/>
              <w:left w:val="single" w:sz="4" w:space="0" w:color="000000"/>
              <w:bottom w:val="single" w:sz="4" w:space="0" w:color="000000"/>
              <w:right w:val="single" w:sz="4" w:space="0" w:color="000000"/>
            </w:tcBorders>
          </w:tcPr>
          <w:p w14:paraId="7D8174EE" w14:textId="77777777" w:rsidR="00E47756" w:rsidRPr="00E47756" w:rsidRDefault="00E47756" w:rsidP="00E47756">
            <w:pPr>
              <w:spacing w:after="0" w:line="240" w:lineRule="auto"/>
              <w:ind w:left="57" w:right="57"/>
            </w:pPr>
            <w:r w:rsidRPr="00E47756">
              <w:rPr>
                <w:b/>
                <w:sz w:val="20"/>
              </w:rPr>
              <w:t xml:space="preserve">Udržateľná správa a riadenie spoločností </w:t>
            </w:r>
          </w:p>
        </w:tc>
        <w:tc>
          <w:tcPr>
            <w:tcW w:w="3638" w:type="dxa"/>
            <w:tcBorders>
              <w:top w:val="single" w:sz="4" w:space="0" w:color="000000"/>
              <w:left w:val="single" w:sz="4" w:space="0" w:color="000000"/>
              <w:bottom w:val="single" w:sz="4" w:space="0" w:color="000000"/>
              <w:right w:val="single" w:sz="4" w:space="0" w:color="000000"/>
            </w:tcBorders>
          </w:tcPr>
          <w:p w14:paraId="6A6FC6CB" w14:textId="77777777" w:rsidR="00E47756" w:rsidRPr="00E47756" w:rsidRDefault="00E47756" w:rsidP="00E47756">
            <w:pPr>
              <w:spacing w:after="0" w:line="240" w:lineRule="auto"/>
              <w:ind w:left="57" w:right="57"/>
            </w:pPr>
            <w:r w:rsidRPr="00E47756">
              <w:rPr>
                <w:b/>
                <w:sz w:val="20"/>
              </w:rPr>
              <w:t>udržateľná správa a riadenie spoločností</w:t>
            </w:r>
            <w:r w:rsidRPr="00E47756">
              <w:rPr>
                <w:sz w:val="20"/>
              </w:rPr>
              <w:t xml:space="preserve"> (legislatívna iniciatíva vrátane posúdenia vplyvu, články 50 a prípadne 114</w:t>
            </w:r>
          </w:p>
          <w:p w14:paraId="5D2A4F28" w14:textId="77777777" w:rsidR="00E47756" w:rsidRPr="00E47756" w:rsidRDefault="00E47756" w:rsidP="00E47756">
            <w:pPr>
              <w:spacing w:after="0" w:line="240" w:lineRule="auto"/>
              <w:ind w:left="57" w:right="57"/>
            </w:pPr>
            <w:r w:rsidRPr="00E47756">
              <w:rPr>
                <w:sz w:val="20"/>
              </w:rPr>
              <w:t>ZFEÚ, 2. štvrťrok 2021)</w:t>
            </w:r>
            <w:r w:rsidRPr="00E47756">
              <w:rPr>
                <w:b/>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B2BA393" w14:textId="77777777" w:rsidR="00E47756" w:rsidRPr="00E47756" w:rsidRDefault="00E47756" w:rsidP="00E47756">
            <w:pPr>
              <w:spacing w:after="0" w:line="240" w:lineRule="auto"/>
              <w:ind w:left="57" w:right="57"/>
              <w:jc w:val="center"/>
              <w:rPr>
                <w:b/>
                <w:color w:val="auto"/>
                <w:sz w:val="20"/>
              </w:rPr>
            </w:pPr>
            <w:r w:rsidRPr="00E47756">
              <w:rPr>
                <w:b/>
                <w:color w:val="auto"/>
                <w:sz w:val="20"/>
              </w:rPr>
              <w:t>MS SR</w:t>
            </w:r>
          </w:p>
          <w:p w14:paraId="142F036A" w14:textId="77777777" w:rsidR="00E47756" w:rsidRPr="00E47756" w:rsidRDefault="00E47756" w:rsidP="00E47756">
            <w:pPr>
              <w:spacing w:after="0" w:line="240" w:lineRule="auto"/>
              <w:ind w:left="57" w:right="57"/>
              <w:jc w:val="center"/>
              <w:rPr>
                <w:b/>
                <w:color w:val="auto"/>
                <w:sz w:val="20"/>
              </w:rPr>
            </w:pPr>
            <w:r w:rsidRPr="00E47756">
              <w:rPr>
                <w:b/>
                <w:color w:val="auto"/>
                <w:sz w:val="20"/>
              </w:rPr>
              <w:t>MF SR</w:t>
            </w:r>
          </w:p>
          <w:p w14:paraId="6AA2B825" w14:textId="77777777" w:rsidR="00E47756" w:rsidRPr="00E47756" w:rsidRDefault="00E47756" w:rsidP="00E47756">
            <w:pPr>
              <w:spacing w:after="0" w:line="240" w:lineRule="auto"/>
              <w:ind w:left="57" w:right="57"/>
              <w:jc w:val="center"/>
              <w:rPr>
                <w:b/>
                <w:color w:val="auto"/>
                <w:sz w:val="20"/>
              </w:rPr>
            </w:pPr>
            <w:r w:rsidRPr="00E47756">
              <w:rPr>
                <w:b/>
                <w:color w:val="auto"/>
                <w:sz w:val="20"/>
              </w:rPr>
              <w:t>MH SR</w:t>
            </w:r>
          </w:p>
          <w:p w14:paraId="7F7F5DF2" w14:textId="77777777" w:rsidR="00E47756" w:rsidRPr="00E47756" w:rsidRDefault="00E47756" w:rsidP="00E47756">
            <w:pPr>
              <w:spacing w:after="0" w:line="240" w:lineRule="auto"/>
              <w:ind w:left="57" w:right="57"/>
              <w:rPr>
                <w:color w:val="auto"/>
                <w:sz w:val="20"/>
              </w:rPr>
            </w:pPr>
          </w:p>
          <w:p w14:paraId="54440C71" w14:textId="77777777" w:rsidR="00E47756" w:rsidRPr="00E47756" w:rsidRDefault="00E47756" w:rsidP="00E47756">
            <w:pPr>
              <w:spacing w:after="0" w:line="240" w:lineRule="auto"/>
              <w:ind w:left="57" w:right="57"/>
              <w:rPr>
                <w:b/>
                <w:color w:val="FF0000"/>
                <w:sz w:val="20"/>
                <w:highlight w:val="yellow"/>
              </w:rPr>
            </w:pPr>
          </w:p>
        </w:tc>
        <w:tc>
          <w:tcPr>
            <w:tcW w:w="5812" w:type="dxa"/>
            <w:tcBorders>
              <w:top w:val="single" w:sz="4" w:space="0" w:color="000000"/>
              <w:left w:val="single" w:sz="4" w:space="0" w:color="000000"/>
              <w:bottom w:val="single" w:sz="4" w:space="0" w:color="000000"/>
              <w:right w:val="single" w:sz="4" w:space="0" w:color="000000"/>
            </w:tcBorders>
          </w:tcPr>
          <w:p w14:paraId="0309A93B" w14:textId="77777777" w:rsidR="00A03061" w:rsidRDefault="00E47756" w:rsidP="00A03061">
            <w:pPr>
              <w:spacing w:after="0" w:line="240" w:lineRule="auto"/>
              <w:ind w:left="57" w:right="57"/>
              <w:rPr>
                <w:color w:val="auto"/>
                <w:sz w:val="20"/>
                <w:szCs w:val="20"/>
              </w:rPr>
            </w:pPr>
            <w:r w:rsidRPr="00E47756">
              <w:rPr>
                <w:b/>
                <w:sz w:val="20"/>
                <w:u w:val="single"/>
              </w:rPr>
              <w:t>Stredná priorita</w:t>
            </w:r>
            <w:r w:rsidRPr="00E47756">
              <w:rPr>
                <w:b/>
                <w:sz w:val="20"/>
                <w:szCs w:val="20"/>
              </w:rPr>
              <w:t xml:space="preserve"> - </w:t>
            </w:r>
            <w:r w:rsidRPr="00E47756">
              <w:rPr>
                <w:color w:val="auto"/>
                <w:sz w:val="20"/>
                <w:szCs w:val="20"/>
              </w:rPr>
              <w:t xml:space="preserve">Je vysoký predpoklad, že iniciatíva bude upravovať povinnosti iba vo verejných akciových spoločnostiach, ktorých je </w:t>
            </w:r>
            <w:r w:rsidR="00A03061">
              <w:rPr>
                <w:color w:val="auto"/>
                <w:sz w:val="20"/>
                <w:szCs w:val="20"/>
              </w:rPr>
              <w:t>v </w:t>
            </w:r>
            <w:r w:rsidRPr="00E47756">
              <w:rPr>
                <w:color w:val="auto"/>
                <w:sz w:val="20"/>
                <w:szCs w:val="20"/>
              </w:rPr>
              <w:t>S</w:t>
            </w:r>
            <w:r w:rsidR="00A03061">
              <w:rPr>
                <w:color w:val="auto"/>
                <w:sz w:val="20"/>
                <w:szCs w:val="20"/>
              </w:rPr>
              <w:t xml:space="preserve">R </w:t>
            </w:r>
            <w:r w:rsidRPr="00E47756">
              <w:rPr>
                <w:color w:val="auto"/>
                <w:sz w:val="20"/>
                <w:szCs w:val="20"/>
              </w:rPr>
              <w:t xml:space="preserve">iba veľmi málo. Na druhej strane, ak sa uložia povinnosti štatutárnym orgánom takýchto spoločností sledovať ekologické či sociálne aspekty správania sa v ich dodávateľskom reťazci, ovplyvní to nepriamo i slovenské spoločnosti (napríklad dodávatelia v automobilovom priemysle). SR preferuje úpravu iba na princípe dobrovoľnosti a odporúčaní na báze dodržuj alebo vysvetli (ako princípy OECD, ktoré tvoria celosvetový štandard v oblasti </w:t>
            </w:r>
            <w:proofErr w:type="spellStart"/>
            <w:r w:rsidRPr="00E47756">
              <w:rPr>
                <w:color w:val="auto"/>
                <w:sz w:val="20"/>
                <w:szCs w:val="20"/>
              </w:rPr>
              <w:t>corporate</w:t>
            </w:r>
            <w:proofErr w:type="spellEnd"/>
            <w:r w:rsidRPr="00E47756">
              <w:rPr>
                <w:color w:val="auto"/>
                <w:sz w:val="20"/>
                <w:szCs w:val="20"/>
              </w:rPr>
              <w:t xml:space="preserve"> </w:t>
            </w:r>
            <w:proofErr w:type="spellStart"/>
            <w:r w:rsidRPr="00E47756">
              <w:rPr>
                <w:color w:val="auto"/>
                <w:sz w:val="20"/>
                <w:szCs w:val="20"/>
              </w:rPr>
              <w:t>governance</w:t>
            </w:r>
            <w:proofErr w:type="spellEnd"/>
            <w:r w:rsidRPr="00E47756">
              <w:rPr>
                <w:color w:val="auto"/>
                <w:sz w:val="20"/>
                <w:szCs w:val="20"/>
              </w:rPr>
              <w:t>). </w:t>
            </w:r>
          </w:p>
          <w:p w14:paraId="13A4AEDB" w14:textId="2A4D3BA0" w:rsidR="00A03061" w:rsidRPr="00E47756" w:rsidRDefault="00A03061" w:rsidP="00A03061">
            <w:pPr>
              <w:spacing w:after="0" w:line="240" w:lineRule="auto"/>
              <w:ind w:left="57" w:right="57"/>
              <w:rPr>
                <w:color w:val="auto"/>
                <w:sz w:val="20"/>
                <w:szCs w:val="20"/>
              </w:rPr>
            </w:pPr>
            <w:r>
              <w:rPr>
                <w:color w:val="auto"/>
                <w:sz w:val="20"/>
                <w:szCs w:val="20"/>
              </w:rPr>
              <w:t>(</w:t>
            </w:r>
            <w:proofErr w:type="spellStart"/>
            <w:r>
              <w:rPr>
                <w:color w:val="auto"/>
                <w:sz w:val="20"/>
                <w:szCs w:val="20"/>
              </w:rPr>
              <w:t>Gest</w:t>
            </w:r>
            <w:r w:rsidR="00A705AC">
              <w:rPr>
                <w:color w:val="auto"/>
                <w:sz w:val="20"/>
                <w:szCs w:val="20"/>
              </w:rPr>
              <w:t>orstvo</w:t>
            </w:r>
            <w:proofErr w:type="spellEnd"/>
            <w:r w:rsidR="00A705AC">
              <w:rPr>
                <w:color w:val="auto"/>
                <w:sz w:val="20"/>
                <w:szCs w:val="20"/>
              </w:rPr>
              <w:t xml:space="preserve"> predmetnej iniciatívy sa určí v závislosti od obsahu budúceho aktu)</w:t>
            </w:r>
          </w:p>
          <w:p w14:paraId="3BE00628" w14:textId="77777777" w:rsidR="00E47756" w:rsidRPr="00E47756" w:rsidRDefault="00E47756" w:rsidP="00E47756">
            <w:pPr>
              <w:spacing w:after="0" w:line="240" w:lineRule="auto"/>
              <w:ind w:left="57" w:right="57"/>
              <w:rPr>
                <w:b/>
                <w:sz w:val="20"/>
              </w:rPr>
            </w:pPr>
          </w:p>
        </w:tc>
      </w:tr>
      <w:tr w:rsidR="00E47756" w:rsidRPr="00E47756" w14:paraId="3DEC27A4" w14:textId="77777777" w:rsidTr="001A4016">
        <w:trPr>
          <w:trHeight w:val="283"/>
        </w:trPr>
        <w:tc>
          <w:tcPr>
            <w:tcW w:w="407" w:type="dxa"/>
            <w:tcBorders>
              <w:top w:val="single" w:sz="4" w:space="0" w:color="000000"/>
              <w:left w:val="single" w:sz="4" w:space="0" w:color="000000"/>
              <w:bottom w:val="single" w:sz="4" w:space="0" w:color="000000"/>
              <w:right w:val="single" w:sz="4" w:space="0" w:color="000000"/>
            </w:tcBorders>
          </w:tcPr>
          <w:p w14:paraId="1ADB2447" w14:textId="77777777" w:rsidR="00E47756" w:rsidRPr="00E47756" w:rsidRDefault="00E47756" w:rsidP="00E47756">
            <w:pPr>
              <w:spacing w:after="0" w:line="240" w:lineRule="auto"/>
              <w:ind w:left="57" w:right="57"/>
            </w:pPr>
            <w:r w:rsidRPr="00E47756">
              <w:rPr>
                <w:sz w:val="20"/>
              </w:rPr>
              <w:lastRenderedPageBreak/>
              <w:t>16.</w:t>
            </w:r>
            <w:r w:rsidRPr="00E47756">
              <w:rPr>
                <w:rFonts w:ascii="Arial" w:hAnsi="Arial" w:cs="Arial"/>
                <w:sz w:val="20"/>
              </w:rPr>
              <w:t xml:space="preserve"> </w:t>
            </w:r>
            <w:r w:rsidRPr="00E47756">
              <w:rPr>
                <w:sz w:val="20"/>
              </w:rPr>
              <w:t xml:space="preserve"> </w:t>
            </w:r>
          </w:p>
        </w:tc>
        <w:tc>
          <w:tcPr>
            <w:tcW w:w="2780" w:type="dxa"/>
            <w:tcBorders>
              <w:top w:val="single" w:sz="4" w:space="0" w:color="000000"/>
              <w:left w:val="single" w:sz="4" w:space="0" w:color="000000"/>
              <w:bottom w:val="single" w:sz="4" w:space="0" w:color="000000"/>
              <w:right w:val="single" w:sz="4" w:space="0" w:color="000000"/>
            </w:tcBorders>
          </w:tcPr>
          <w:p w14:paraId="640B765B" w14:textId="77777777" w:rsidR="00E47756" w:rsidRPr="00E47756" w:rsidRDefault="00E47756" w:rsidP="00E47756">
            <w:pPr>
              <w:spacing w:after="0" w:line="240" w:lineRule="auto"/>
              <w:ind w:left="57" w:right="57"/>
            </w:pPr>
            <w:r w:rsidRPr="00E47756">
              <w:rPr>
                <w:b/>
                <w:sz w:val="20"/>
              </w:rPr>
              <w:t xml:space="preserve">Norma EÚ pre zelené dlhopisy </w:t>
            </w:r>
          </w:p>
        </w:tc>
        <w:tc>
          <w:tcPr>
            <w:tcW w:w="3638" w:type="dxa"/>
            <w:tcBorders>
              <w:top w:val="single" w:sz="4" w:space="0" w:color="000000"/>
              <w:left w:val="single" w:sz="4" w:space="0" w:color="000000"/>
              <w:bottom w:val="single" w:sz="4" w:space="0" w:color="000000"/>
              <w:right w:val="single" w:sz="4" w:space="0" w:color="000000"/>
            </w:tcBorders>
          </w:tcPr>
          <w:p w14:paraId="26C8749A" w14:textId="77777777" w:rsidR="00E47756" w:rsidRPr="00E47756" w:rsidRDefault="00E47756" w:rsidP="00E47756">
            <w:pPr>
              <w:spacing w:after="0" w:line="240" w:lineRule="auto"/>
              <w:ind w:left="57" w:right="57"/>
            </w:pPr>
            <w:r w:rsidRPr="00E47756">
              <w:rPr>
                <w:b/>
                <w:sz w:val="20"/>
              </w:rPr>
              <w:t xml:space="preserve">zavedenie normy EÚ pre zelené dlhopisy </w:t>
            </w:r>
            <w:r w:rsidRPr="00E47756">
              <w:rPr>
                <w:sz w:val="20"/>
              </w:rPr>
              <w:t xml:space="preserve">(legislatívna iniciatíva vrátane posúdenia vplyvu, článok 114 ZFEÚ, 2. štvrťrok 2021) </w:t>
            </w:r>
          </w:p>
        </w:tc>
        <w:tc>
          <w:tcPr>
            <w:tcW w:w="1985" w:type="dxa"/>
            <w:tcBorders>
              <w:top w:val="single" w:sz="4" w:space="0" w:color="000000"/>
              <w:left w:val="single" w:sz="4" w:space="0" w:color="000000"/>
              <w:bottom w:val="single" w:sz="4" w:space="0" w:color="000000"/>
              <w:right w:val="single" w:sz="4" w:space="0" w:color="000000"/>
            </w:tcBorders>
          </w:tcPr>
          <w:p w14:paraId="732DEEDD" w14:textId="77777777" w:rsidR="00E47756" w:rsidRPr="00E47756" w:rsidRDefault="00E47756" w:rsidP="00E47756">
            <w:pPr>
              <w:spacing w:after="0" w:line="240" w:lineRule="auto"/>
              <w:ind w:left="57" w:right="57"/>
              <w:jc w:val="center"/>
              <w:rPr>
                <w:b/>
                <w:sz w:val="20"/>
              </w:rPr>
            </w:pPr>
            <w:r w:rsidRPr="00E47756">
              <w:rPr>
                <w:b/>
                <w:sz w:val="20"/>
              </w:rPr>
              <w:t>MF SR</w:t>
            </w:r>
          </w:p>
        </w:tc>
        <w:tc>
          <w:tcPr>
            <w:tcW w:w="5812" w:type="dxa"/>
            <w:tcBorders>
              <w:top w:val="single" w:sz="4" w:space="0" w:color="000000"/>
              <w:left w:val="single" w:sz="4" w:space="0" w:color="000000"/>
              <w:bottom w:val="single" w:sz="4" w:space="0" w:color="000000"/>
              <w:right w:val="single" w:sz="4" w:space="0" w:color="000000"/>
            </w:tcBorders>
          </w:tcPr>
          <w:p w14:paraId="443199F5" w14:textId="77777777" w:rsidR="00E47756" w:rsidRPr="00E47756" w:rsidRDefault="00E47756" w:rsidP="00E47756">
            <w:pPr>
              <w:spacing w:after="0" w:line="240" w:lineRule="auto"/>
              <w:ind w:left="57" w:right="57"/>
              <w:rPr>
                <w:b/>
                <w:sz w:val="20"/>
              </w:rPr>
            </w:pPr>
            <w:r w:rsidRPr="00E47756">
              <w:rPr>
                <w:b/>
                <w:sz w:val="20"/>
                <w:u w:val="single"/>
              </w:rPr>
              <w:t>Stredná priorita</w:t>
            </w:r>
            <w:r w:rsidRPr="00E47756">
              <w:rPr>
                <w:b/>
                <w:sz w:val="20"/>
                <w:szCs w:val="20"/>
              </w:rPr>
              <w:t xml:space="preserve"> - </w:t>
            </w:r>
            <w:r w:rsidRPr="00E47756">
              <w:rPr>
                <w:sz w:val="20"/>
              </w:rPr>
              <w:t>Európska únia zintenzívňuje svoje aktivity s cieľom nasmerovania finančných a kapitálových tokov do zelených investícií. Slovenská republika vo všeobecnosti podporuje ambície Európskej komisie predložiť  obnovenú stratégiu trvalo udržateľného financovania so zameraním na množstvo opatrení vrátane uľahčenia identifikácie udržateľných investícií pre investorov a zabezpečenia ich dôveryhodnosti, ktorých súčasťou by mala byť aj úprava, resp. vydanie štandardov pre vydávanie zelených dlhopisov.</w:t>
            </w:r>
          </w:p>
        </w:tc>
      </w:tr>
      <w:tr w:rsidR="00E47756" w:rsidRPr="00E47756" w14:paraId="53FA2900" w14:textId="77777777" w:rsidTr="001A4016">
        <w:trPr>
          <w:trHeight w:val="538"/>
        </w:trPr>
        <w:tc>
          <w:tcPr>
            <w:tcW w:w="407" w:type="dxa"/>
            <w:tcBorders>
              <w:top w:val="single" w:sz="4" w:space="0" w:color="000000"/>
              <w:left w:val="single" w:sz="4" w:space="0" w:color="000000"/>
              <w:bottom w:val="single" w:sz="4" w:space="0" w:color="auto"/>
              <w:right w:val="single" w:sz="4" w:space="0" w:color="000000"/>
            </w:tcBorders>
          </w:tcPr>
          <w:p w14:paraId="27B99E0A" w14:textId="77777777" w:rsidR="00E47756" w:rsidRPr="00E47756" w:rsidRDefault="00E47756" w:rsidP="00E47756">
            <w:pPr>
              <w:spacing w:after="0" w:line="240" w:lineRule="auto"/>
              <w:ind w:left="57" w:right="57"/>
            </w:pPr>
            <w:r w:rsidRPr="00E47756">
              <w:rPr>
                <w:sz w:val="20"/>
              </w:rPr>
              <w:t>17.</w:t>
            </w:r>
            <w:r w:rsidRPr="00E47756">
              <w:rPr>
                <w:rFonts w:ascii="Arial" w:hAnsi="Arial" w:cs="Arial"/>
                <w:sz w:val="20"/>
              </w:rPr>
              <w:t xml:space="preserve"> </w:t>
            </w:r>
            <w:r w:rsidRPr="00E47756">
              <w:rPr>
                <w:sz w:val="20"/>
              </w:rPr>
              <w:t xml:space="preserve"> </w:t>
            </w:r>
          </w:p>
        </w:tc>
        <w:tc>
          <w:tcPr>
            <w:tcW w:w="2780" w:type="dxa"/>
            <w:tcBorders>
              <w:top w:val="single" w:sz="4" w:space="0" w:color="000000"/>
              <w:left w:val="single" w:sz="4" w:space="0" w:color="000000"/>
              <w:bottom w:val="single" w:sz="4" w:space="0" w:color="auto"/>
              <w:right w:val="single" w:sz="4" w:space="0" w:color="000000"/>
            </w:tcBorders>
          </w:tcPr>
          <w:p w14:paraId="16F0A8D9" w14:textId="77777777" w:rsidR="00E47756" w:rsidRPr="00E47756" w:rsidRDefault="00E47756" w:rsidP="00E47756">
            <w:pPr>
              <w:spacing w:after="0" w:line="240" w:lineRule="auto"/>
              <w:ind w:left="57" w:right="57"/>
            </w:pPr>
            <w:r w:rsidRPr="00E47756">
              <w:rPr>
                <w:b/>
                <w:sz w:val="20"/>
              </w:rPr>
              <w:t xml:space="preserve">Balík opatrení proti praniu špinavých peňazí </w:t>
            </w:r>
          </w:p>
        </w:tc>
        <w:tc>
          <w:tcPr>
            <w:tcW w:w="3638" w:type="dxa"/>
            <w:tcBorders>
              <w:top w:val="single" w:sz="4" w:space="0" w:color="000000"/>
              <w:left w:val="single" w:sz="4" w:space="0" w:color="000000"/>
              <w:bottom w:val="single" w:sz="4" w:space="0" w:color="auto"/>
              <w:right w:val="single" w:sz="4" w:space="0" w:color="000000"/>
            </w:tcBorders>
          </w:tcPr>
          <w:p w14:paraId="298A3DB0" w14:textId="77777777" w:rsidR="00E47756" w:rsidRPr="00E47756" w:rsidRDefault="00E47756" w:rsidP="00E47756">
            <w:pPr>
              <w:spacing w:after="0" w:line="240" w:lineRule="auto"/>
              <w:ind w:left="57" w:right="57"/>
            </w:pPr>
            <w:r w:rsidRPr="00E47756">
              <w:rPr>
                <w:b/>
                <w:sz w:val="20"/>
              </w:rPr>
              <w:t>balík právnych predpisov proti praniu špinavých peňazí</w:t>
            </w:r>
            <w:r w:rsidRPr="00E47756">
              <w:rPr>
                <w:sz w:val="20"/>
              </w:rPr>
              <w:t xml:space="preserve"> (legislatívna iniciatíva vrátane posúdenia vplyvu, článok 114 </w:t>
            </w:r>
          </w:p>
          <w:p w14:paraId="376D4CE6" w14:textId="77777777" w:rsidR="00E47756" w:rsidRPr="00E47756" w:rsidRDefault="00E47756" w:rsidP="00E47756">
            <w:pPr>
              <w:spacing w:after="0" w:line="240" w:lineRule="auto"/>
              <w:ind w:left="57" w:right="57"/>
            </w:pPr>
            <w:r w:rsidRPr="00E47756">
              <w:rPr>
                <w:sz w:val="20"/>
              </w:rPr>
              <w:t xml:space="preserve">ZFEÚ, 1. štvrťrok 2021) </w:t>
            </w:r>
          </w:p>
        </w:tc>
        <w:tc>
          <w:tcPr>
            <w:tcW w:w="1985" w:type="dxa"/>
            <w:tcBorders>
              <w:top w:val="single" w:sz="4" w:space="0" w:color="000000"/>
              <w:left w:val="single" w:sz="4" w:space="0" w:color="000000"/>
              <w:bottom w:val="single" w:sz="4" w:space="0" w:color="auto"/>
              <w:right w:val="single" w:sz="4" w:space="0" w:color="000000"/>
            </w:tcBorders>
          </w:tcPr>
          <w:p w14:paraId="772BE3BA" w14:textId="77777777" w:rsidR="00E47756" w:rsidRPr="00E47756" w:rsidRDefault="00E47756" w:rsidP="00E47756">
            <w:pPr>
              <w:spacing w:after="0" w:line="240" w:lineRule="auto"/>
              <w:ind w:left="57" w:right="57"/>
              <w:jc w:val="center"/>
              <w:rPr>
                <w:b/>
                <w:sz w:val="20"/>
              </w:rPr>
            </w:pPr>
            <w:r w:rsidRPr="00E47756">
              <w:rPr>
                <w:b/>
                <w:sz w:val="20"/>
              </w:rPr>
              <w:t>MF SR</w:t>
            </w:r>
          </w:p>
          <w:p w14:paraId="69CC3E0B" w14:textId="77777777" w:rsidR="00E47756" w:rsidRPr="00E47756" w:rsidRDefault="00E47756" w:rsidP="00E47756">
            <w:pPr>
              <w:spacing w:after="0" w:line="240" w:lineRule="auto"/>
              <w:ind w:left="57" w:right="57"/>
              <w:jc w:val="center"/>
              <w:rPr>
                <w:sz w:val="20"/>
              </w:rPr>
            </w:pPr>
            <w:r w:rsidRPr="00E47756">
              <w:rPr>
                <w:b/>
                <w:sz w:val="20"/>
              </w:rPr>
              <w:t>ŠÚ SR</w:t>
            </w:r>
          </w:p>
          <w:p w14:paraId="5B75265A" w14:textId="77777777" w:rsidR="00E47756" w:rsidRPr="00E47756" w:rsidRDefault="00E47756" w:rsidP="00E47756">
            <w:pPr>
              <w:spacing w:after="0" w:line="240" w:lineRule="auto"/>
              <w:ind w:left="57" w:right="57"/>
              <w:rPr>
                <w:sz w:val="20"/>
              </w:rPr>
            </w:pPr>
          </w:p>
          <w:p w14:paraId="384D3C4A" w14:textId="77777777" w:rsidR="00E47756" w:rsidRPr="00E47756" w:rsidRDefault="00E47756" w:rsidP="00E47756">
            <w:pPr>
              <w:spacing w:after="0" w:line="240" w:lineRule="auto"/>
              <w:ind w:left="57" w:right="57"/>
              <w:rPr>
                <w:sz w:val="20"/>
              </w:rPr>
            </w:pPr>
          </w:p>
          <w:p w14:paraId="060EA473" w14:textId="77777777" w:rsidR="00E47756" w:rsidRPr="00E47756" w:rsidRDefault="00E47756" w:rsidP="00E47756">
            <w:pPr>
              <w:spacing w:after="0" w:line="240" w:lineRule="auto"/>
              <w:ind w:left="57" w:right="57"/>
              <w:rPr>
                <w:sz w:val="20"/>
              </w:rPr>
            </w:pPr>
          </w:p>
          <w:p w14:paraId="7AC780C7" w14:textId="77777777" w:rsidR="00E47756" w:rsidRPr="00E47756" w:rsidRDefault="00E47756" w:rsidP="00E47756">
            <w:pPr>
              <w:spacing w:after="0" w:line="240" w:lineRule="auto"/>
              <w:ind w:left="57" w:right="57"/>
              <w:rPr>
                <w:sz w:val="20"/>
              </w:rPr>
            </w:pPr>
          </w:p>
          <w:p w14:paraId="52A44A8D" w14:textId="77777777" w:rsidR="00E47756" w:rsidRPr="00E47756" w:rsidRDefault="00E47756" w:rsidP="00E47756">
            <w:pPr>
              <w:spacing w:after="0" w:line="240" w:lineRule="auto"/>
              <w:ind w:left="57" w:right="57"/>
              <w:jc w:val="center"/>
              <w:rPr>
                <w:b/>
                <w:color w:val="FF0000"/>
                <w:sz w:val="20"/>
              </w:rPr>
            </w:pPr>
          </w:p>
          <w:p w14:paraId="03CCF199" w14:textId="77777777" w:rsidR="00E47756" w:rsidRPr="00E47756" w:rsidRDefault="00E47756" w:rsidP="00E47756">
            <w:pPr>
              <w:spacing w:after="0" w:line="240" w:lineRule="auto"/>
              <w:ind w:left="57" w:right="57"/>
              <w:jc w:val="center"/>
              <w:rPr>
                <w:b/>
                <w:color w:val="FF0000"/>
                <w:sz w:val="20"/>
              </w:rPr>
            </w:pPr>
          </w:p>
          <w:p w14:paraId="685D1D0C" w14:textId="77777777" w:rsidR="00E47756" w:rsidRPr="00E47756" w:rsidRDefault="00E47756" w:rsidP="00E47756">
            <w:pPr>
              <w:spacing w:after="0" w:line="240" w:lineRule="auto"/>
              <w:ind w:left="57" w:right="57"/>
              <w:jc w:val="center"/>
              <w:rPr>
                <w:b/>
                <w:color w:val="FF0000"/>
                <w:sz w:val="20"/>
              </w:rPr>
            </w:pPr>
          </w:p>
          <w:p w14:paraId="5730447A" w14:textId="77777777" w:rsidR="00E47756" w:rsidRPr="00E47756" w:rsidRDefault="00E47756" w:rsidP="00E47756">
            <w:pPr>
              <w:spacing w:after="0" w:line="240" w:lineRule="auto"/>
              <w:ind w:left="57" w:right="57"/>
              <w:jc w:val="center"/>
              <w:rPr>
                <w:b/>
                <w:color w:val="FF0000"/>
                <w:sz w:val="20"/>
              </w:rPr>
            </w:pPr>
          </w:p>
          <w:p w14:paraId="71BFE478" w14:textId="77777777" w:rsidR="00E47756" w:rsidRPr="00E47756" w:rsidRDefault="00E47756" w:rsidP="00E47756">
            <w:pPr>
              <w:spacing w:after="0" w:line="240" w:lineRule="auto"/>
              <w:ind w:left="57" w:right="57"/>
              <w:jc w:val="center"/>
              <w:rPr>
                <w:b/>
                <w:color w:val="FF0000"/>
                <w:sz w:val="20"/>
              </w:rPr>
            </w:pPr>
          </w:p>
          <w:p w14:paraId="69ACBBDD" w14:textId="77777777" w:rsidR="00E47756" w:rsidRPr="00E47756" w:rsidRDefault="00E47756" w:rsidP="00E47756">
            <w:pPr>
              <w:spacing w:after="0" w:line="240" w:lineRule="auto"/>
              <w:ind w:left="57" w:right="57"/>
              <w:rPr>
                <w:sz w:val="20"/>
              </w:rPr>
            </w:pPr>
          </w:p>
        </w:tc>
        <w:tc>
          <w:tcPr>
            <w:tcW w:w="5812" w:type="dxa"/>
            <w:tcBorders>
              <w:top w:val="single" w:sz="4" w:space="0" w:color="000000"/>
              <w:left w:val="single" w:sz="4" w:space="0" w:color="000000"/>
              <w:bottom w:val="single" w:sz="4" w:space="0" w:color="auto"/>
              <w:right w:val="single" w:sz="4" w:space="0" w:color="000000"/>
            </w:tcBorders>
          </w:tcPr>
          <w:p w14:paraId="22AFF942" w14:textId="77777777" w:rsidR="00E47756" w:rsidRPr="00E47756" w:rsidRDefault="00E47756" w:rsidP="00E47756">
            <w:pPr>
              <w:spacing w:after="0" w:line="240" w:lineRule="auto"/>
              <w:ind w:left="57" w:right="57"/>
              <w:rPr>
                <w:b/>
                <w:sz w:val="20"/>
              </w:rPr>
            </w:pPr>
            <w:r w:rsidRPr="00E47756">
              <w:rPr>
                <w:b/>
                <w:sz w:val="20"/>
                <w:u w:val="single"/>
              </w:rPr>
              <w:t>Vysoká priorita</w:t>
            </w:r>
            <w:r w:rsidRPr="00E47756">
              <w:rPr>
                <w:b/>
                <w:sz w:val="20"/>
                <w:szCs w:val="20"/>
              </w:rPr>
              <w:t xml:space="preserve"> - </w:t>
            </w:r>
            <w:r w:rsidRPr="00E47756">
              <w:rPr>
                <w:sz w:val="20"/>
              </w:rPr>
              <w:t>V kontexte zhoršujúcej sa bezpečnostnej situácie v EÚ v súvislosti s teroristickými útokmi a hrozbami, ako aj dôkazmi o praní špinavých peňazí a financovaní terorizmu vítame a podporujeme posilnenie koordinácie dohľadu nad vykonávaním ustanovení harmonizovaného rámca pre ochranu pred praním špinavých peňazí a financovaním terorizmu. Je nevyhnutné legislatívne vyriešiť identifikované medzery vo vykonávaní dohľadu pri uplatňovaní opatrení zameraných na boj proti praniu špinavých peňazí a financovaniu terorizmu. Podporujeme posilnenie rámca a zvýšenie spolupráce, vrátane výmeny informácií medzi národnými orgánmi dohľadu a orgánmi zodpovednými za vykonávanie opatrení na boj proti praniu špinavých peňazí a boja proti financovaniu terorizmu.</w:t>
            </w:r>
          </w:p>
        </w:tc>
      </w:tr>
      <w:tr w:rsidR="00E47756" w:rsidRPr="00E47756" w14:paraId="549CCCC7" w14:textId="77777777" w:rsidTr="001A4016">
        <w:trPr>
          <w:trHeight w:val="803"/>
        </w:trPr>
        <w:tc>
          <w:tcPr>
            <w:tcW w:w="407" w:type="dxa"/>
            <w:tcBorders>
              <w:top w:val="single" w:sz="4" w:space="0" w:color="auto"/>
              <w:left w:val="single" w:sz="4" w:space="0" w:color="auto"/>
              <w:bottom w:val="single" w:sz="4" w:space="0" w:color="auto"/>
              <w:right w:val="single" w:sz="4" w:space="0" w:color="auto"/>
            </w:tcBorders>
          </w:tcPr>
          <w:p w14:paraId="3F03BE8A" w14:textId="77777777" w:rsidR="00E47756" w:rsidRPr="00E47756" w:rsidRDefault="00E47756" w:rsidP="00E47756">
            <w:pPr>
              <w:spacing w:after="0" w:line="240" w:lineRule="auto"/>
              <w:ind w:left="57" w:right="57"/>
            </w:pPr>
            <w:r w:rsidRPr="00E47756">
              <w:rPr>
                <w:sz w:val="20"/>
              </w:rPr>
              <w:t>18.</w:t>
            </w:r>
            <w:r w:rsidRPr="00E47756">
              <w:rPr>
                <w:rFonts w:ascii="Arial" w:hAnsi="Arial" w:cs="Arial"/>
                <w:sz w:val="20"/>
              </w:rPr>
              <w:t xml:space="preserve"> </w:t>
            </w:r>
            <w:r w:rsidRPr="00E47756">
              <w:rPr>
                <w:sz w:val="20"/>
              </w:rPr>
              <w:t xml:space="preserve"> </w:t>
            </w:r>
          </w:p>
        </w:tc>
        <w:tc>
          <w:tcPr>
            <w:tcW w:w="2780" w:type="dxa"/>
            <w:tcBorders>
              <w:top w:val="single" w:sz="4" w:space="0" w:color="auto"/>
              <w:left w:val="single" w:sz="4" w:space="0" w:color="auto"/>
              <w:bottom w:val="single" w:sz="4" w:space="0" w:color="auto"/>
              <w:right w:val="single" w:sz="4" w:space="0" w:color="auto"/>
            </w:tcBorders>
          </w:tcPr>
          <w:p w14:paraId="0DB1904C" w14:textId="77777777" w:rsidR="00E47756" w:rsidRPr="00E47756" w:rsidRDefault="00E47756" w:rsidP="00E47756">
            <w:pPr>
              <w:spacing w:after="0" w:line="240" w:lineRule="auto"/>
              <w:ind w:left="57" w:right="57"/>
            </w:pPr>
            <w:r w:rsidRPr="00E47756">
              <w:rPr>
                <w:b/>
                <w:sz w:val="20"/>
              </w:rPr>
              <w:t xml:space="preserve">Balík </w:t>
            </w:r>
            <w:r w:rsidRPr="00E47756">
              <w:rPr>
                <w:b/>
                <w:sz w:val="20"/>
              </w:rPr>
              <w:tab/>
              <w:t xml:space="preserve">opatrení v oblasti spravodlivého hospodárstva </w:t>
            </w:r>
          </w:p>
        </w:tc>
        <w:tc>
          <w:tcPr>
            <w:tcW w:w="3638" w:type="dxa"/>
            <w:tcBorders>
              <w:top w:val="single" w:sz="4" w:space="0" w:color="auto"/>
              <w:left w:val="single" w:sz="4" w:space="0" w:color="auto"/>
              <w:bottom w:val="single" w:sz="4" w:space="0" w:color="auto"/>
              <w:right w:val="single" w:sz="4" w:space="0" w:color="auto"/>
            </w:tcBorders>
          </w:tcPr>
          <w:p w14:paraId="411CFE99" w14:textId="77777777" w:rsidR="0032116D" w:rsidRDefault="00E47756" w:rsidP="0032116D">
            <w:pPr>
              <w:numPr>
                <w:ilvl w:val="0"/>
                <w:numId w:val="12"/>
              </w:numPr>
              <w:spacing w:after="0" w:line="240" w:lineRule="auto"/>
              <w:ind w:left="57" w:right="57" w:hanging="334"/>
              <w:jc w:val="left"/>
            </w:pPr>
            <w:r w:rsidRPr="00E47756">
              <w:rPr>
                <w:b/>
                <w:sz w:val="20"/>
              </w:rPr>
              <w:t>akčný plán pre Európsky pilier sociálnych práv</w:t>
            </w:r>
            <w:r w:rsidRPr="00E47756">
              <w:rPr>
                <w:sz w:val="20"/>
              </w:rPr>
              <w:t xml:space="preserve"> (nelegislatívna iniciatíva, 1. štvrťrok 2021);</w:t>
            </w:r>
            <w:r w:rsidRPr="00E47756">
              <w:rPr>
                <w:b/>
                <w:sz w:val="20"/>
              </w:rPr>
              <w:t xml:space="preserve"> </w:t>
            </w:r>
          </w:p>
          <w:p w14:paraId="076C926F" w14:textId="77777777" w:rsidR="0032116D" w:rsidRPr="0032116D" w:rsidRDefault="0032116D" w:rsidP="0032116D">
            <w:pPr>
              <w:numPr>
                <w:ilvl w:val="0"/>
                <w:numId w:val="12"/>
              </w:numPr>
              <w:spacing w:after="0" w:line="240" w:lineRule="auto"/>
              <w:ind w:left="57" w:right="57" w:hanging="334"/>
              <w:jc w:val="left"/>
            </w:pPr>
          </w:p>
          <w:p w14:paraId="5ADA54C5" w14:textId="77777777" w:rsidR="0032116D" w:rsidRPr="0032116D" w:rsidRDefault="0032116D" w:rsidP="0032116D">
            <w:pPr>
              <w:numPr>
                <w:ilvl w:val="0"/>
                <w:numId w:val="12"/>
              </w:numPr>
              <w:spacing w:after="0" w:line="240" w:lineRule="auto"/>
              <w:ind w:left="57" w:right="57" w:hanging="334"/>
              <w:jc w:val="left"/>
            </w:pPr>
          </w:p>
          <w:p w14:paraId="1F2D584A" w14:textId="77777777" w:rsidR="0032116D" w:rsidRPr="0032116D" w:rsidRDefault="0032116D" w:rsidP="0032116D">
            <w:pPr>
              <w:numPr>
                <w:ilvl w:val="0"/>
                <w:numId w:val="12"/>
              </w:numPr>
              <w:spacing w:after="0" w:line="240" w:lineRule="auto"/>
              <w:ind w:left="57" w:right="57" w:hanging="334"/>
              <w:jc w:val="left"/>
            </w:pPr>
          </w:p>
          <w:p w14:paraId="6231F4C8" w14:textId="77777777" w:rsidR="0032116D" w:rsidRPr="0032116D" w:rsidRDefault="0032116D" w:rsidP="0032116D">
            <w:pPr>
              <w:numPr>
                <w:ilvl w:val="0"/>
                <w:numId w:val="12"/>
              </w:numPr>
              <w:spacing w:after="0" w:line="240" w:lineRule="auto"/>
              <w:ind w:left="57" w:right="57" w:hanging="334"/>
              <w:jc w:val="left"/>
            </w:pPr>
          </w:p>
          <w:p w14:paraId="0725F457" w14:textId="77777777" w:rsidR="0032116D" w:rsidRPr="0032116D" w:rsidRDefault="0032116D" w:rsidP="0032116D">
            <w:pPr>
              <w:numPr>
                <w:ilvl w:val="0"/>
                <w:numId w:val="12"/>
              </w:numPr>
              <w:spacing w:after="0" w:line="240" w:lineRule="auto"/>
              <w:ind w:left="57" w:right="57" w:hanging="334"/>
              <w:jc w:val="left"/>
            </w:pPr>
          </w:p>
          <w:p w14:paraId="7CB6BD51" w14:textId="77777777" w:rsidR="0032116D" w:rsidRPr="0032116D" w:rsidRDefault="0032116D" w:rsidP="0032116D">
            <w:pPr>
              <w:numPr>
                <w:ilvl w:val="0"/>
                <w:numId w:val="12"/>
              </w:numPr>
              <w:spacing w:after="0" w:line="240" w:lineRule="auto"/>
              <w:ind w:left="57" w:right="57" w:hanging="334"/>
              <w:jc w:val="left"/>
            </w:pPr>
          </w:p>
          <w:p w14:paraId="5DE31CA6" w14:textId="77777777" w:rsidR="0032116D" w:rsidRPr="0032116D" w:rsidRDefault="0032116D" w:rsidP="0032116D">
            <w:pPr>
              <w:numPr>
                <w:ilvl w:val="0"/>
                <w:numId w:val="12"/>
              </w:numPr>
              <w:spacing w:after="0" w:line="240" w:lineRule="auto"/>
              <w:ind w:left="57" w:right="57" w:hanging="334"/>
              <w:jc w:val="left"/>
            </w:pPr>
          </w:p>
          <w:p w14:paraId="723C6ECF" w14:textId="77777777" w:rsidR="0032116D" w:rsidRPr="0032116D" w:rsidRDefault="0032116D" w:rsidP="0032116D">
            <w:pPr>
              <w:numPr>
                <w:ilvl w:val="0"/>
                <w:numId w:val="12"/>
              </w:numPr>
              <w:spacing w:after="0" w:line="240" w:lineRule="auto"/>
              <w:ind w:left="57" w:right="57" w:hanging="334"/>
              <w:jc w:val="left"/>
            </w:pPr>
          </w:p>
          <w:p w14:paraId="7D0D1125" w14:textId="77777777" w:rsidR="0032116D" w:rsidRPr="0032116D" w:rsidRDefault="0032116D" w:rsidP="0032116D">
            <w:pPr>
              <w:numPr>
                <w:ilvl w:val="0"/>
                <w:numId w:val="12"/>
              </w:numPr>
              <w:spacing w:after="0" w:line="240" w:lineRule="auto"/>
              <w:ind w:left="57" w:right="57" w:hanging="334"/>
              <w:jc w:val="left"/>
            </w:pPr>
          </w:p>
          <w:p w14:paraId="7688B095" w14:textId="1B9D4FDA" w:rsidR="00E47756" w:rsidRPr="0032116D" w:rsidRDefault="00E47756" w:rsidP="0032116D">
            <w:pPr>
              <w:numPr>
                <w:ilvl w:val="0"/>
                <w:numId w:val="12"/>
              </w:numPr>
              <w:spacing w:after="0" w:line="240" w:lineRule="auto"/>
              <w:ind w:left="57" w:right="57" w:hanging="334"/>
              <w:jc w:val="left"/>
            </w:pPr>
            <w:r w:rsidRPr="0032116D">
              <w:rPr>
                <w:b/>
                <w:sz w:val="20"/>
              </w:rPr>
              <w:t>odporúčanie týkajúce sa európskej záruky pre deti</w:t>
            </w:r>
            <w:r w:rsidRPr="0032116D">
              <w:rPr>
                <w:sz w:val="20"/>
              </w:rPr>
              <w:t xml:space="preserve"> (nelegislatívna iniciatíva, 1. štvrťrok 2021);</w:t>
            </w:r>
            <w:r w:rsidRPr="0032116D">
              <w:rPr>
                <w:b/>
                <w:sz w:val="20"/>
              </w:rPr>
              <w:t xml:space="preserve"> </w:t>
            </w:r>
          </w:p>
          <w:p w14:paraId="74EB4A19" w14:textId="77777777" w:rsidR="00E47756" w:rsidRPr="00E47756" w:rsidRDefault="00E47756" w:rsidP="00E47756">
            <w:pPr>
              <w:spacing w:after="0" w:line="240" w:lineRule="auto"/>
              <w:ind w:left="57" w:right="57"/>
            </w:pPr>
          </w:p>
          <w:p w14:paraId="01869899" w14:textId="77777777" w:rsidR="00E47756" w:rsidRPr="00E47756" w:rsidRDefault="00E47756" w:rsidP="00E47756">
            <w:pPr>
              <w:spacing w:after="0" w:line="240" w:lineRule="auto"/>
              <w:ind w:left="57" w:right="57"/>
            </w:pPr>
          </w:p>
          <w:p w14:paraId="2398CE45" w14:textId="77777777" w:rsidR="00E47756" w:rsidRPr="00E47756" w:rsidRDefault="00E47756" w:rsidP="00E47756">
            <w:pPr>
              <w:spacing w:after="0" w:line="240" w:lineRule="auto"/>
              <w:ind w:left="57" w:right="57"/>
            </w:pPr>
          </w:p>
          <w:p w14:paraId="382DF8BF" w14:textId="77777777" w:rsidR="00E47756" w:rsidRPr="00E47756" w:rsidRDefault="00E47756" w:rsidP="00E47756">
            <w:pPr>
              <w:spacing w:after="0" w:line="240" w:lineRule="auto"/>
              <w:ind w:left="57" w:right="57"/>
            </w:pPr>
          </w:p>
          <w:p w14:paraId="56AC87E5" w14:textId="77777777" w:rsidR="00E47756" w:rsidRPr="00E47756" w:rsidRDefault="00E47756" w:rsidP="00E47756">
            <w:pPr>
              <w:spacing w:after="0" w:line="240" w:lineRule="auto"/>
              <w:ind w:left="57" w:right="57"/>
            </w:pPr>
          </w:p>
          <w:p w14:paraId="33E64FE2" w14:textId="77777777" w:rsidR="00E47756" w:rsidRPr="00E47756" w:rsidRDefault="00E47756" w:rsidP="00E47756">
            <w:pPr>
              <w:spacing w:after="0" w:line="240" w:lineRule="auto"/>
              <w:ind w:left="57" w:right="57"/>
            </w:pPr>
          </w:p>
          <w:p w14:paraId="259355F6" w14:textId="77777777" w:rsidR="00E47756" w:rsidRPr="00E47756" w:rsidRDefault="00E47756" w:rsidP="00E47756">
            <w:pPr>
              <w:spacing w:after="0" w:line="240" w:lineRule="auto"/>
              <w:ind w:left="57" w:right="57"/>
            </w:pPr>
          </w:p>
          <w:p w14:paraId="20559570" w14:textId="77777777" w:rsidR="00E47756" w:rsidRPr="00E47756" w:rsidRDefault="00E47756" w:rsidP="00E47756">
            <w:pPr>
              <w:spacing w:after="0" w:line="240" w:lineRule="auto"/>
              <w:ind w:left="57" w:right="57"/>
            </w:pPr>
          </w:p>
          <w:p w14:paraId="0E529FB7" w14:textId="77777777" w:rsidR="00E47756" w:rsidRDefault="00E47756" w:rsidP="00E47756">
            <w:pPr>
              <w:spacing w:after="0" w:line="240" w:lineRule="auto"/>
              <w:ind w:left="57" w:right="57"/>
            </w:pPr>
          </w:p>
          <w:p w14:paraId="12C5E189" w14:textId="77777777" w:rsidR="00BC46AE" w:rsidRPr="00E47756" w:rsidRDefault="00BC46AE" w:rsidP="00E47756">
            <w:pPr>
              <w:spacing w:after="0" w:line="240" w:lineRule="auto"/>
              <w:ind w:left="57" w:right="57"/>
            </w:pPr>
          </w:p>
          <w:p w14:paraId="4C6A0522" w14:textId="77777777" w:rsidR="00E47756" w:rsidRPr="00E47756" w:rsidRDefault="00E47756" w:rsidP="00E47756">
            <w:pPr>
              <w:spacing w:after="0" w:line="240" w:lineRule="auto"/>
              <w:ind w:left="57" w:right="57"/>
            </w:pPr>
          </w:p>
          <w:p w14:paraId="1A53C451" w14:textId="77777777" w:rsidR="00BC46AE" w:rsidRPr="00BC46AE" w:rsidRDefault="00BC46AE" w:rsidP="00BC46AE">
            <w:pPr>
              <w:spacing w:after="0" w:line="360" w:lineRule="auto"/>
              <w:ind w:right="57"/>
              <w:jc w:val="left"/>
              <w:rPr>
                <w:sz w:val="20"/>
                <w:szCs w:val="20"/>
              </w:rPr>
            </w:pPr>
          </w:p>
          <w:p w14:paraId="5F4EA781" w14:textId="77777777" w:rsidR="0032116D" w:rsidRPr="0032116D" w:rsidRDefault="0032116D" w:rsidP="003826CE">
            <w:pPr>
              <w:numPr>
                <w:ilvl w:val="0"/>
                <w:numId w:val="12"/>
              </w:numPr>
              <w:spacing w:after="0" w:line="240" w:lineRule="auto"/>
              <w:ind w:left="57" w:right="57" w:hanging="334"/>
              <w:jc w:val="left"/>
              <w:rPr>
                <w:sz w:val="20"/>
                <w:szCs w:val="20"/>
              </w:rPr>
            </w:pPr>
          </w:p>
          <w:p w14:paraId="1A9F1E89" w14:textId="39FAA311" w:rsidR="00E47756" w:rsidRPr="00BC46AE" w:rsidRDefault="00E47756" w:rsidP="003826CE">
            <w:pPr>
              <w:numPr>
                <w:ilvl w:val="0"/>
                <w:numId w:val="12"/>
              </w:numPr>
              <w:spacing w:after="0" w:line="240" w:lineRule="auto"/>
              <w:ind w:left="57" w:right="57" w:hanging="334"/>
              <w:jc w:val="left"/>
              <w:rPr>
                <w:sz w:val="20"/>
                <w:szCs w:val="20"/>
              </w:rPr>
            </w:pPr>
            <w:r w:rsidRPr="00BC46AE">
              <w:rPr>
                <w:b/>
                <w:sz w:val="20"/>
                <w:szCs w:val="20"/>
              </w:rPr>
              <w:t>oznámenie o novom rámci pre stratégiu v oblasti bezpečnosti a ochrany zdravia pri práci</w:t>
            </w:r>
            <w:r w:rsidRPr="00BC46AE">
              <w:rPr>
                <w:sz w:val="20"/>
                <w:szCs w:val="20"/>
              </w:rPr>
              <w:t xml:space="preserve"> (nelegislatívna iniciatíva, </w:t>
            </w:r>
          </w:p>
          <w:p w14:paraId="65632FB4" w14:textId="77777777" w:rsidR="00E47756" w:rsidRPr="00BC46AE" w:rsidRDefault="00E47756" w:rsidP="00E47756">
            <w:pPr>
              <w:spacing w:after="0" w:line="240" w:lineRule="auto"/>
              <w:ind w:left="57" w:right="57"/>
              <w:rPr>
                <w:b/>
                <w:sz w:val="20"/>
                <w:szCs w:val="20"/>
              </w:rPr>
            </w:pPr>
            <w:r w:rsidRPr="00BC46AE">
              <w:rPr>
                <w:sz w:val="20"/>
                <w:szCs w:val="20"/>
              </w:rPr>
              <w:t>2. štvrťrok 2021);</w:t>
            </w:r>
            <w:r w:rsidRPr="00BC46AE">
              <w:rPr>
                <w:b/>
                <w:sz w:val="20"/>
                <w:szCs w:val="20"/>
              </w:rPr>
              <w:t xml:space="preserve"> </w:t>
            </w:r>
          </w:p>
          <w:p w14:paraId="292A069A" w14:textId="77777777" w:rsidR="00E47756" w:rsidRPr="00BC46AE" w:rsidRDefault="00E47756" w:rsidP="00E47756">
            <w:pPr>
              <w:spacing w:after="0" w:line="240" w:lineRule="auto"/>
              <w:ind w:left="57" w:right="57"/>
              <w:rPr>
                <w:b/>
                <w:sz w:val="20"/>
                <w:szCs w:val="20"/>
              </w:rPr>
            </w:pPr>
          </w:p>
          <w:p w14:paraId="4C4BFF3C" w14:textId="77777777" w:rsidR="00E47756" w:rsidRPr="00BC46AE" w:rsidRDefault="00E47756" w:rsidP="00E47756">
            <w:pPr>
              <w:spacing w:after="0" w:line="240" w:lineRule="auto"/>
              <w:ind w:left="57" w:right="57"/>
              <w:rPr>
                <w:b/>
                <w:sz w:val="20"/>
                <w:szCs w:val="20"/>
              </w:rPr>
            </w:pPr>
          </w:p>
          <w:p w14:paraId="1A8B90F8" w14:textId="77777777" w:rsidR="00E47756" w:rsidRPr="00BC46AE" w:rsidRDefault="00E47756" w:rsidP="00E47756">
            <w:pPr>
              <w:spacing w:after="0" w:line="240" w:lineRule="auto"/>
              <w:ind w:left="57" w:right="57"/>
              <w:rPr>
                <w:b/>
                <w:sz w:val="20"/>
                <w:szCs w:val="20"/>
              </w:rPr>
            </w:pPr>
          </w:p>
          <w:p w14:paraId="77452A58" w14:textId="77777777" w:rsidR="00E47756" w:rsidRPr="00BC46AE" w:rsidRDefault="00E47756" w:rsidP="00E47756">
            <w:pPr>
              <w:spacing w:after="0" w:line="240" w:lineRule="auto"/>
              <w:ind w:left="57" w:right="57"/>
              <w:rPr>
                <w:b/>
                <w:sz w:val="20"/>
                <w:szCs w:val="20"/>
              </w:rPr>
            </w:pPr>
          </w:p>
          <w:p w14:paraId="33767146" w14:textId="77777777" w:rsidR="00E47756" w:rsidRPr="00BC46AE" w:rsidRDefault="00E47756" w:rsidP="00E47756">
            <w:pPr>
              <w:spacing w:after="0" w:line="240" w:lineRule="auto"/>
              <w:ind w:left="57" w:right="57"/>
              <w:rPr>
                <w:b/>
                <w:sz w:val="20"/>
                <w:szCs w:val="20"/>
              </w:rPr>
            </w:pPr>
          </w:p>
          <w:p w14:paraId="61E45548" w14:textId="77777777" w:rsidR="00E47756" w:rsidRPr="00BC46AE" w:rsidRDefault="00E47756" w:rsidP="00E47756">
            <w:pPr>
              <w:spacing w:after="0" w:line="240" w:lineRule="auto"/>
              <w:ind w:left="57" w:right="57"/>
              <w:rPr>
                <w:b/>
                <w:sz w:val="20"/>
                <w:szCs w:val="20"/>
              </w:rPr>
            </w:pPr>
          </w:p>
          <w:p w14:paraId="0FA8969B" w14:textId="77777777" w:rsidR="00E47756" w:rsidRPr="00BC46AE" w:rsidRDefault="00E47756" w:rsidP="00E47756">
            <w:pPr>
              <w:spacing w:after="0" w:line="240" w:lineRule="auto"/>
              <w:ind w:left="57" w:right="57"/>
              <w:rPr>
                <w:b/>
                <w:sz w:val="20"/>
                <w:szCs w:val="20"/>
              </w:rPr>
            </w:pPr>
          </w:p>
          <w:p w14:paraId="51A67DEB" w14:textId="77777777" w:rsidR="00E47756" w:rsidRDefault="00E47756" w:rsidP="00E47756">
            <w:pPr>
              <w:spacing w:after="0" w:line="240" w:lineRule="auto"/>
              <w:ind w:left="57" w:right="57"/>
              <w:rPr>
                <w:b/>
                <w:sz w:val="20"/>
                <w:szCs w:val="20"/>
              </w:rPr>
            </w:pPr>
          </w:p>
          <w:p w14:paraId="7B397064" w14:textId="77777777" w:rsidR="00BC46AE" w:rsidRPr="00BC46AE" w:rsidRDefault="00BC46AE" w:rsidP="00E47756">
            <w:pPr>
              <w:spacing w:after="0" w:line="240" w:lineRule="auto"/>
              <w:ind w:left="57" w:right="57"/>
              <w:rPr>
                <w:b/>
                <w:sz w:val="20"/>
                <w:szCs w:val="20"/>
              </w:rPr>
            </w:pPr>
          </w:p>
          <w:p w14:paraId="6599AC3B" w14:textId="77777777" w:rsidR="000A3081" w:rsidRPr="00BC46AE" w:rsidRDefault="000A3081" w:rsidP="00E47756">
            <w:pPr>
              <w:spacing w:after="0" w:line="240" w:lineRule="auto"/>
              <w:ind w:right="57"/>
              <w:rPr>
                <w:sz w:val="20"/>
                <w:szCs w:val="20"/>
              </w:rPr>
            </w:pPr>
          </w:p>
          <w:p w14:paraId="53712FAB" w14:textId="77777777" w:rsidR="00E47756" w:rsidRPr="00E47756" w:rsidRDefault="00E47756" w:rsidP="003826CE">
            <w:pPr>
              <w:numPr>
                <w:ilvl w:val="0"/>
                <w:numId w:val="12"/>
              </w:numPr>
              <w:spacing w:after="0" w:line="240" w:lineRule="auto"/>
              <w:ind w:left="57" w:right="57" w:hanging="334"/>
              <w:jc w:val="left"/>
            </w:pPr>
            <w:r w:rsidRPr="00E47756">
              <w:rPr>
                <w:b/>
                <w:sz w:val="20"/>
              </w:rPr>
              <w:t>akčný</w:t>
            </w:r>
            <w:r w:rsidRPr="00E47756">
              <w:rPr>
                <w:sz w:val="20"/>
              </w:rPr>
              <w:t xml:space="preserve"> </w:t>
            </w:r>
            <w:r w:rsidRPr="00E47756">
              <w:rPr>
                <w:b/>
                <w:sz w:val="20"/>
              </w:rPr>
              <w:t>plán pre sociálne hospodárstvo</w:t>
            </w:r>
            <w:r w:rsidRPr="00E47756">
              <w:rPr>
                <w:sz w:val="20"/>
              </w:rPr>
              <w:t xml:space="preserve"> (nelegislatívna iniciatíva, 4. štvrťrok 2021). </w:t>
            </w:r>
          </w:p>
        </w:tc>
        <w:tc>
          <w:tcPr>
            <w:tcW w:w="1985" w:type="dxa"/>
            <w:tcBorders>
              <w:top w:val="single" w:sz="4" w:space="0" w:color="auto"/>
              <w:left w:val="single" w:sz="4" w:space="0" w:color="auto"/>
              <w:bottom w:val="single" w:sz="4" w:space="0" w:color="auto"/>
              <w:right w:val="single" w:sz="4" w:space="0" w:color="auto"/>
            </w:tcBorders>
          </w:tcPr>
          <w:p w14:paraId="383EA3F7" w14:textId="77777777" w:rsidR="00E47756" w:rsidRPr="00E47756" w:rsidRDefault="00E47756" w:rsidP="00E47756">
            <w:pPr>
              <w:spacing w:after="0" w:line="240" w:lineRule="auto"/>
              <w:ind w:left="57" w:right="57"/>
              <w:jc w:val="center"/>
              <w:rPr>
                <w:b/>
                <w:bCs/>
                <w:sz w:val="20"/>
                <w:szCs w:val="20"/>
              </w:rPr>
            </w:pPr>
            <w:r w:rsidRPr="00E47756">
              <w:rPr>
                <w:b/>
                <w:bCs/>
                <w:sz w:val="20"/>
                <w:szCs w:val="20"/>
              </w:rPr>
              <w:lastRenderedPageBreak/>
              <w:t>MPSVR SR</w:t>
            </w:r>
          </w:p>
          <w:p w14:paraId="56250356" w14:textId="77777777" w:rsidR="00E47756" w:rsidRPr="00E47756" w:rsidRDefault="00E47756" w:rsidP="00E47756">
            <w:pPr>
              <w:spacing w:after="0" w:line="240" w:lineRule="auto"/>
              <w:ind w:left="57" w:right="57"/>
              <w:jc w:val="center"/>
              <w:rPr>
                <w:b/>
                <w:sz w:val="20"/>
                <w:szCs w:val="20"/>
              </w:rPr>
            </w:pPr>
          </w:p>
          <w:p w14:paraId="64FDD474" w14:textId="77777777" w:rsidR="00E47756" w:rsidRPr="00E47756" w:rsidRDefault="00E47756" w:rsidP="00E47756">
            <w:pPr>
              <w:spacing w:after="0" w:line="240" w:lineRule="auto"/>
              <w:ind w:left="57" w:right="57"/>
              <w:jc w:val="center"/>
              <w:rPr>
                <w:b/>
                <w:sz w:val="20"/>
                <w:szCs w:val="20"/>
              </w:rPr>
            </w:pPr>
          </w:p>
          <w:p w14:paraId="78CC5AA7" w14:textId="77777777" w:rsidR="00E47756" w:rsidRPr="00E47756" w:rsidRDefault="00E47756" w:rsidP="00E47756">
            <w:pPr>
              <w:spacing w:after="0" w:line="240" w:lineRule="auto"/>
              <w:ind w:left="57" w:right="57"/>
              <w:jc w:val="center"/>
              <w:rPr>
                <w:b/>
                <w:sz w:val="20"/>
                <w:szCs w:val="20"/>
              </w:rPr>
            </w:pPr>
          </w:p>
          <w:p w14:paraId="52BEA3D1" w14:textId="77777777" w:rsidR="00E47756" w:rsidRPr="00E47756" w:rsidRDefault="00E47756" w:rsidP="00E47756">
            <w:pPr>
              <w:spacing w:after="0" w:line="240" w:lineRule="auto"/>
              <w:ind w:left="57" w:right="57"/>
              <w:jc w:val="center"/>
              <w:rPr>
                <w:b/>
                <w:sz w:val="20"/>
                <w:szCs w:val="20"/>
              </w:rPr>
            </w:pPr>
          </w:p>
          <w:p w14:paraId="769F592C" w14:textId="77777777" w:rsidR="00E47756" w:rsidRPr="00E47756" w:rsidRDefault="00E47756" w:rsidP="00E47756">
            <w:pPr>
              <w:spacing w:after="0" w:line="240" w:lineRule="auto"/>
              <w:ind w:left="57" w:right="57"/>
              <w:jc w:val="center"/>
              <w:rPr>
                <w:b/>
                <w:sz w:val="20"/>
                <w:szCs w:val="20"/>
              </w:rPr>
            </w:pPr>
          </w:p>
          <w:p w14:paraId="5A2CDB6D" w14:textId="77777777" w:rsidR="00E47756" w:rsidRPr="00E47756" w:rsidRDefault="00E47756" w:rsidP="00E47756">
            <w:pPr>
              <w:spacing w:after="0" w:line="240" w:lineRule="auto"/>
              <w:ind w:left="57" w:right="57"/>
              <w:jc w:val="center"/>
              <w:rPr>
                <w:b/>
                <w:sz w:val="20"/>
                <w:szCs w:val="20"/>
              </w:rPr>
            </w:pPr>
          </w:p>
          <w:p w14:paraId="05EADAEA" w14:textId="77777777" w:rsidR="00E47756" w:rsidRPr="00E47756" w:rsidRDefault="00E47756" w:rsidP="00E47756">
            <w:pPr>
              <w:spacing w:after="0" w:line="240" w:lineRule="auto"/>
              <w:ind w:left="57" w:right="57"/>
              <w:jc w:val="center"/>
              <w:rPr>
                <w:b/>
                <w:sz w:val="20"/>
                <w:szCs w:val="20"/>
              </w:rPr>
            </w:pPr>
          </w:p>
          <w:p w14:paraId="1DDCEF38" w14:textId="77777777" w:rsidR="00E47756" w:rsidRPr="00E47756" w:rsidRDefault="00E47756" w:rsidP="00E47756">
            <w:pPr>
              <w:spacing w:after="0" w:line="240" w:lineRule="auto"/>
              <w:ind w:left="57" w:right="57"/>
              <w:jc w:val="center"/>
              <w:rPr>
                <w:b/>
                <w:sz w:val="20"/>
                <w:szCs w:val="20"/>
              </w:rPr>
            </w:pPr>
          </w:p>
          <w:p w14:paraId="3FD1F143" w14:textId="77777777" w:rsidR="00E47756" w:rsidRPr="00E47756" w:rsidRDefault="00E47756" w:rsidP="00E47756">
            <w:pPr>
              <w:spacing w:after="0" w:line="240" w:lineRule="auto"/>
              <w:ind w:left="57" w:right="57"/>
              <w:jc w:val="center"/>
              <w:rPr>
                <w:b/>
                <w:sz w:val="20"/>
                <w:szCs w:val="20"/>
              </w:rPr>
            </w:pPr>
          </w:p>
          <w:p w14:paraId="742180D6" w14:textId="77777777" w:rsidR="00E47756" w:rsidRPr="00E47756" w:rsidRDefault="00E47756" w:rsidP="00E47756">
            <w:pPr>
              <w:spacing w:after="0" w:line="240" w:lineRule="auto"/>
              <w:ind w:left="57" w:right="57"/>
              <w:jc w:val="center"/>
              <w:rPr>
                <w:b/>
                <w:sz w:val="20"/>
                <w:szCs w:val="20"/>
              </w:rPr>
            </w:pPr>
          </w:p>
          <w:p w14:paraId="4458885B" w14:textId="77777777" w:rsidR="00E47756" w:rsidRPr="00E47756" w:rsidRDefault="00E47756" w:rsidP="00E47756">
            <w:pPr>
              <w:spacing w:after="0" w:line="240" w:lineRule="auto"/>
              <w:ind w:left="57" w:right="57"/>
              <w:jc w:val="center"/>
              <w:rPr>
                <w:b/>
                <w:sz w:val="20"/>
                <w:szCs w:val="20"/>
              </w:rPr>
            </w:pPr>
          </w:p>
          <w:p w14:paraId="1373D338" w14:textId="77777777" w:rsidR="00E47756" w:rsidRPr="00E47756" w:rsidRDefault="00E47756" w:rsidP="00E47756">
            <w:pPr>
              <w:spacing w:after="0" w:line="240" w:lineRule="auto"/>
              <w:ind w:left="57" w:right="57"/>
              <w:rPr>
                <w:b/>
                <w:sz w:val="20"/>
                <w:szCs w:val="20"/>
              </w:rPr>
            </w:pPr>
          </w:p>
          <w:p w14:paraId="5D7ABBBF" w14:textId="77777777" w:rsidR="00E47756" w:rsidRPr="00E47756" w:rsidRDefault="00E47756" w:rsidP="00E47756">
            <w:pPr>
              <w:spacing w:after="0" w:line="240" w:lineRule="auto"/>
              <w:ind w:left="57" w:right="57"/>
              <w:jc w:val="center"/>
              <w:rPr>
                <w:b/>
                <w:bCs/>
                <w:sz w:val="20"/>
                <w:szCs w:val="20"/>
              </w:rPr>
            </w:pPr>
          </w:p>
          <w:p w14:paraId="48817543" w14:textId="77777777" w:rsidR="00E47756" w:rsidRPr="00E47756" w:rsidRDefault="00E47756" w:rsidP="00E47756">
            <w:pPr>
              <w:spacing w:after="0" w:line="240" w:lineRule="auto"/>
              <w:ind w:left="57" w:right="57"/>
              <w:jc w:val="center"/>
              <w:rPr>
                <w:b/>
                <w:bCs/>
                <w:sz w:val="20"/>
                <w:szCs w:val="20"/>
              </w:rPr>
            </w:pPr>
            <w:r w:rsidRPr="00E47756">
              <w:rPr>
                <w:b/>
                <w:bCs/>
                <w:sz w:val="20"/>
                <w:szCs w:val="20"/>
              </w:rPr>
              <w:t>MPSVR SR</w:t>
            </w:r>
          </w:p>
          <w:p w14:paraId="297C743E" w14:textId="77777777" w:rsidR="00E47756" w:rsidRPr="00E47756" w:rsidRDefault="00E47756" w:rsidP="00E47756">
            <w:pPr>
              <w:spacing w:after="0" w:line="240" w:lineRule="auto"/>
              <w:ind w:left="57" w:right="57"/>
              <w:jc w:val="center"/>
              <w:rPr>
                <w:b/>
                <w:sz w:val="20"/>
                <w:szCs w:val="20"/>
              </w:rPr>
            </w:pPr>
          </w:p>
          <w:p w14:paraId="26842D64" w14:textId="77777777" w:rsidR="00E47756" w:rsidRPr="00E47756" w:rsidRDefault="00E47756" w:rsidP="00E47756">
            <w:pPr>
              <w:spacing w:after="0" w:line="240" w:lineRule="auto"/>
              <w:ind w:left="57" w:right="57"/>
              <w:jc w:val="center"/>
              <w:rPr>
                <w:b/>
                <w:sz w:val="20"/>
                <w:szCs w:val="20"/>
              </w:rPr>
            </w:pPr>
          </w:p>
          <w:p w14:paraId="37CE1804" w14:textId="77777777" w:rsidR="00E47756" w:rsidRPr="00E47756" w:rsidRDefault="00E47756" w:rsidP="00E47756">
            <w:pPr>
              <w:spacing w:after="0" w:line="240" w:lineRule="auto"/>
              <w:ind w:left="57" w:right="57"/>
              <w:jc w:val="center"/>
              <w:rPr>
                <w:b/>
                <w:sz w:val="20"/>
                <w:szCs w:val="20"/>
              </w:rPr>
            </w:pPr>
          </w:p>
          <w:p w14:paraId="787C1E40" w14:textId="77777777" w:rsidR="00E47756" w:rsidRPr="00E47756" w:rsidRDefault="00E47756" w:rsidP="00E47756">
            <w:pPr>
              <w:spacing w:after="0" w:line="240" w:lineRule="auto"/>
              <w:ind w:left="57" w:right="57"/>
              <w:jc w:val="center"/>
              <w:rPr>
                <w:b/>
                <w:bCs/>
                <w:sz w:val="20"/>
                <w:szCs w:val="20"/>
              </w:rPr>
            </w:pPr>
          </w:p>
          <w:p w14:paraId="4CA1846C" w14:textId="77777777" w:rsidR="00E47756" w:rsidRPr="00E47756" w:rsidRDefault="00E47756" w:rsidP="00E47756">
            <w:pPr>
              <w:spacing w:after="0" w:line="240" w:lineRule="auto"/>
              <w:ind w:left="57" w:right="57"/>
              <w:jc w:val="center"/>
              <w:rPr>
                <w:b/>
                <w:bCs/>
                <w:sz w:val="20"/>
                <w:szCs w:val="20"/>
              </w:rPr>
            </w:pPr>
          </w:p>
          <w:p w14:paraId="6B61F0C8" w14:textId="77777777" w:rsidR="00E47756" w:rsidRPr="00E47756" w:rsidRDefault="00E47756" w:rsidP="00E47756">
            <w:pPr>
              <w:spacing w:after="0" w:line="240" w:lineRule="auto"/>
              <w:ind w:left="57" w:right="57"/>
              <w:jc w:val="center"/>
              <w:rPr>
                <w:b/>
                <w:bCs/>
                <w:sz w:val="20"/>
                <w:szCs w:val="20"/>
              </w:rPr>
            </w:pPr>
          </w:p>
          <w:p w14:paraId="275F28C9" w14:textId="77777777" w:rsidR="00E47756" w:rsidRPr="00E47756" w:rsidRDefault="00E47756" w:rsidP="00E47756">
            <w:pPr>
              <w:spacing w:after="0" w:line="240" w:lineRule="auto"/>
              <w:ind w:left="57" w:right="57"/>
              <w:jc w:val="center"/>
              <w:rPr>
                <w:b/>
                <w:bCs/>
                <w:sz w:val="20"/>
                <w:szCs w:val="20"/>
              </w:rPr>
            </w:pPr>
          </w:p>
          <w:p w14:paraId="08AC71E0" w14:textId="77777777" w:rsidR="00E47756" w:rsidRPr="00E47756" w:rsidRDefault="00E47756" w:rsidP="00E47756">
            <w:pPr>
              <w:spacing w:after="0" w:line="240" w:lineRule="auto"/>
              <w:ind w:left="57" w:right="57"/>
              <w:jc w:val="center"/>
              <w:rPr>
                <w:b/>
                <w:bCs/>
                <w:sz w:val="20"/>
                <w:szCs w:val="20"/>
              </w:rPr>
            </w:pPr>
          </w:p>
          <w:p w14:paraId="5A996375" w14:textId="77777777" w:rsidR="00E47756" w:rsidRPr="00E47756" w:rsidRDefault="00E47756" w:rsidP="00E47756">
            <w:pPr>
              <w:spacing w:after="0" w:line="240" w:lineRule="auto"/>
              <w:ind w:left="57" w:right="57"/>
              <w:jc w:val="center"/>
              <w:rPr>
                <w:b/>
                <w:bCs/>
                <w:sz w:val="20"/>
                <w:szCs w:val="20"/>
              </w:rPr>
            </w:pPr>
          </w:p>
          <w:p w14:paraId="49896B7A" w14:textId="77777777" w:rsidR="00E47756" w:rsidRPr="00E47756" w:rsidRDefault="00E47756" w:rsidP="00E47756">
            <w:pPr>
              <w:spacing w:after="0" w:line="240" w:lineRule="auto"/>
              <w:ind w:left="57" w:right="57"/>
              <w:jc w:val="center"/>
              <w:rPr>
                <w:b/>
                <w:bCs/>
                <w:sz w:val="20"/>
                <w:szCs w:val="20"/>
              </w:rPr>
            </w:pPr>
          </w:p>
          <w:p w14:paraId="37ECF758" w14:textId="77777777" w:rsidR="00E47756" w:rsidRPr="00E47756" w:rsidRDefault="00E47756" w:rsidP="00E47756">
            <w:pPr>
              <w:spacing w:after="0" w:line="240" w:lineRule="auto"/>
              <w:ind w:left="57" w:right="57"/>
              <w:jc w:val="center"/>
              <w:rPr>
                <w:b/>
                <w:bCs/>
                <w:sz w:val="20"/>
                <w:szCs w:val="20"/>
              </w:rPr>
            </w:pPr>
          </w:p>
          <w:p w14:paraId="18D9C483" w14:textId="77777777" w:rsidR="00E47756" w:rsidRPr="00E47756" w:rsidRDefault="00E47756" w:rsidP="00E47756">
            <w:pPr>
              <w:spacing w:after="0" w:line="240" w:lineRule="auto"/>
              <w:ind w:left="57" w:right="57"/>
              <w:jc w:val="center"/>
              <w:rPr>
                <w:b/>
                <w:bCs/>
                <w:sz w:val="20"/>
                <w:szCs w:val="20"/>
              </w:rPr>
            </w:pPr>
          </w:p>
          <w:p w14:paraId="75548B63" w14:textId="77777777" w:rsidR="00E47756" w:rsidRPr="00E47756" w:rsidRDefault="00E47756" w:rsidP="00E47756">
            <w:pPr>
              <w:spacing w:after="0" w:line="240" w:lineRule="auto"/>
              <w:ind w:left="57" w:right="57"/>
              <w:jc w:val="center"/>
              <w:rPr>
                <w:b/>
                <w:bCs/>
                <w:sz w:val="20"/>
                <w:szCs w:val="20"/>
              </w:rPr>
            </w:pPr>
          </w:p>
          <w:p w14:paraId="47743ED7" w14:textId="77777777" w:rsidR="00E47756" w:rsidRPr="00E47756" w:rsidRDefault="00E47756" w:rsidP="00E47756">
            <w:pPr>
              <w:spacing w:after="0" w:line="240" w:lineRule="auto"/>
              <w:ind w:left="57" w:right="57"/>
              <w:jc w:val="center"/>
              <w:rPr>
                <w:b/>
                <w:bCs/>
                <w:sz w:val="20"/>
                <w:szCs w:val="20"/>
              </w:rPr>
            </w:pPr>
          </w:p>
          <w:p w14:paraId="519B8AE8" w14:textId="77777777" w:rsidR="00E47756" w:rsidRPr="00E47756" w:rsidRDefault="00E47756" w:rsidP="00E47756">
            <w:pPr>
              <w:spacing w:after="0" w:line="240" w:lineRule="auto"/>
              <w:ind w:left="57" w:right="57"/>
              <w:jc w:val="center"/>
              <w:rPr>
                <w:b/>
                <w:bCs/>
                <w:sz w:val="20"/>
                <w:szCs w:val="20"/>
              </w:rPr>
            </w:pPr>
          </w:p>
          <w:p w14:paraId="572CC716" w14:textId="77777777" w:rsidR="00E47756" w:rsidRPr="00E47756" w:rsidRDefault="00E47756" w:rsidP="00E47756">
            <w:pPr>
              <w:spacing w:after="0" w:line="240" w:lineRule="auto"/>
              <w:ind w:left="57" w:right="57"/>
              <w:rPr>
                <w:b/>
                <w:bCs/>
                <w:sz w:val="20"/>
                <w:szCs w:val="20"/>
              </w:rPr>
            </w:pPr>
          </w:p>
          <w:p w14:paraId="6BDE8AE7" w14:textId="77777777" w:rsidR="00E47756" w:rsidRDefault="00E47756" w:rsidP="00E47756">
            <w:pPr>
              <w:spacing w:after="0" w:line="240" w:lineRule="auto"/>
              <w:ind w:left="57" w:right="57"/>
              <w:jc w:val="center"/>
              <w:rPr>
                <w:b/>
                <w:bCs/>
                <w:sz w:val="20"/>
                <w:szCs w:val="20"/>
              </w:rPr>
            </w:pPr>
          </w:p>
          <w:p w14:paraId="5383C00B" w14:textId="77777777" w:rsidR="001A4016" w:rsidRPr="00E47756" w:rsidRDefault="001A4016" w:rsidP="00E47756">
            <w:pPr>
              <w:spacing w:after="0" w:line="240" w:lineRule="auto"/>
              <w:ind w:left="57" w:right="57"/>
              <w:jc w:val="center"/>
              <w:rPr>
                <w:b/>
                <w:bCs/>
                <w:sz w:val="20"/>
                <w:szCs w:val="20"/>
              </w:rPr>
            </w:pPr>
          </w:p>
          <w:p w14:paraId="006B5738" w14:textId="77777777" w:rsidR="00E47756" w:rsidRPr="00E47756" w:rsidRDefault="00E47756" w:rsidP="00E47756">
            <w:pPr>
              <w:spacing w:after="0" w:line="240" w:lineRule="auto"/>
              <w:ind w:left="57" w:right="57"/>
              <w:jc w:val="center"/>
              <w:rPr>
                <w:b/>
                <w:bCs/>
                <w:sz w:val="20"/>
                <w:szCs w:val="20"/>
              </w:rPr>
            </w:pPr>
            <w:r w:rsidRPr="00E47756">
              <w:rPr>
                <w:b/>
                <w:bCs/>
                <w:sz w:val="20"/>
                <w:szCs w:val="20"/>
              </w:rPr>
              <w:t>MPSVR SR</w:t>
            </w:r>
          </w:p>
          <w:p w14:paraId="30FD9E11" w14:textId="77777777" w:rsidR="00E47756" w:rsidRPr="00E47756" w:rsidRDefault="00E47756" w:rsidP="00E47756">
            <w:pPr>
              <w:spacing w:after="0" w:line="240" w:lineRule="auto"/>
              <w:ind w:left="57" w:right="57"/>
              <w:jc w:val="center"/>
              <w:rPr>
                <w:b/>
                <w:sz w:val="20"/>
                <w:szCs w:val="20"/>
              </w:rPr>
            </w:pPr>
          </w:p>
          <w:p w14:paraId="0CA5B7CA" w14:textId="77777777" w:rsidR="00E47756" w:rsidRPr="00E47756" w:rsidRDefault="00E47756" w:rsidP="00E47756">
            <w:pPr>
              <w:spacing w:after="0" w:line="240" w:lineRule="auto"/>
              <w:ind w:left="57" w:right="57"/>
              <w:jc w:val="center"/>
              <w:rPr>
                <w:b/>
                <w:sz w:val="20"/>
                <w:szCs w:val="20"/>
              </w:rPr>
            </w:pPr>
          </w:p>
          <w:p w14:paraId="4C88758B" w14:textId="77777777" w:rsidR="00E47756" w:rsidRPr="00E47756" w:rsidRDefault="00E47756" w:rsidP="00E47756">
            <w:pPr>
              <w:spacing w:after="0" w:line="240" w:lineRule="auto"/>
              <w:ind w:left="57" w:right="57"/>
              <w:jc w:val="center"/>
              <w:rPr>
                <w:b/>
                <w:sz w:val="20"/>
                <w:szCs w:val="20"/>
              </w:rPr>
            </w:pPr>
          </w:p>
          <w:p w14:paraId="2A123DB0" w14:textId="77777777" w:rsidR="00E47756" w:rsidRPr="00E47756" w:rsidRDefault="00E47756" w:rsidP="00E47756">
            <w:pPr>
              <w:spacing w:after="0" w:line="240" w:lineRule="auto"/>
              <w:ind w:left="57" w:right="57"/>
              <w:jc w:val="center"/>
              <w:rPr>
                <w:b/>
                <w:sz w:val="20"/>
                <w:szCs w:val="20"/>
              </w:rPr>
            </w:pPr>
          </w:p>
          <w:p w14:paraId="18D53F30" w14:textId="77777777" w:rsidR="00E47756" w:rsidRPr="00E47756" w:rsidRDefault="00E47756" w:rsidP="00E47756">
            <w:pPr>
              <w:spacing w:after="0" w:line="240" w:lineRule="auto"/>
              <w:ind w:left="57" w:right="57"/>
              <w:jc w:val="center"/>
              <w:rPr>
                <w:b/>
                <w:sz w:val="20"/>
                <w:szCs w:val="20"/>
              </w:rPr>
            </w:pPr>
          </w:p>
          <w:p w14:paraId="47E5DB65" w14:textId="77777777" w:rsidR="00E47756" w:rsidRPr="00E47756" w:rsidRDefault="00E47756" w:rsidP="00E47756">
            <w:pPr>
              <w:spacing w:after="0" w:line="240" w:lineRule="auto"/>
              <w:ind w:left="57" w:right="57"/>
              <w:jc w:val="center"/>
              <w:rPr>
                <w:b/>
                <w:sz w:val="20"/>
                <w:szCs w:val="20"/>
              </w:rPr>
            </w:pPr>
          </w:p>
          <w:p w14:paraId="581E8C0E" w14:textId="77777777" w:rsidR="00E47756" w:rsidRPr="00E47756" w:rsidRDefault="00E47756" w:rsidP="00E47756">
            <w:pPr>
              <w:spacing w:after="0" w:line="240" w:lineRule="auto"/>
              <w:ind w:left="57" w:right="57"/>
              <w:jc w:val="center"/>
              <w:rPr>
                <w:b/>
                <w:sz w:val="20"/>
                <w:szCs w:val="20"/>
              </w:rPr>
            </w:pPr>
          </w:p>
          <w:p w14:paraId="26EFD12D" w14:textId="77777777" w:rsidR="00E47756" w:rsidRPr="00E47756" w:rsidRDefault="00E47756" w:rsidP="00E47756">
            <w:pPr>
              <w:spacing w:after="0" w:line="240" w:lineRule="auto"/>
              <w:ind w:left="57" w:right="57"/>
              <w:jc w:val="center"/>
              <w:rPr>
                <w:b/>
                <w:sz w:val="20"/>
                <w:szCs w:val="20"/>
              </w:rPr>
            </w:pPr>
          </w:p>
          <w:p w14:paraId="593867E3" w14:textId="77777777" w:rsidR="00E47756" w:rsidRPr="00E47756" w:rsidRDefault="00E47756" w:rsidP="00E47756">
            <w:pPr>
              <w:spacing w:after="0" w:line="240" w:lineRule="auto"/>
              <w:ind w:left="57" w:right="57"/>
              <w:jc w:val="center"/>
              <w:rPr>
                <w:b/>
                <w:sz w:val="20"/>
                <w:szCs w:val="20"/>
              </w:rPr>
            </w:pPr>
          </w:p>
          <w:p w14:paraId="63F666AD" w14:textId="77777777" w:rsidR="00E47756" w:rsidRPr="00E47756" w:rsidRDefault="00E47756" w:rsidP="00E47756">
            <w:pPr>
              <w:spacing w:after="0" w:line="240" w:lineRule="auto"/>
              <w:ind w:left="57" w:right="57"/>
              <w:jc w:val="center"/>
              <w:rPr>
                <w:b/>
                <w:sz w:val="20"/>
                <w:szCs w:val="20"/>
              </w:rPr>
            </w:pPr>
          </w:p>
          <w:p w14:paraId="7ECDD44F" w14:textId="77777777" w:rsidR="00E47756" w:rsidRPr="00E47756" w:rsidRDefault="00E47756" w:rsidP="00E47756">
            <w:pPr>
              <w:spacing w:after="0" w:line="240" w:lineRule="auto"/>
              <w:ind w:left="57" w:right="57"/>
              <w:rPr>
                <w:b/>
                <w:sz w:val="20"/>
                <w:szCs w:val="20"/>
              </w:rPr>
            </w:pPr>
          </w:p>
          <w:p w14:paraId="3956D642" w14:textId="77777777" w:rsidR="00E47756" w:rsidRPr="00E47756" w:rsidRDefault="00E47756" w:rsidP="00E47756">
            <w:pPr>
              <w:spacing w:after="0" w:line="240" w:lineRule="auto"/>
              <w:ind w:left="57" w:right="57"/>
              <w:rPr>
                <w:b/>
                <w:sz w:val="20"/>
                <w:szCs w:val="20"/>
              </w:rPr>
            </w:pPr>
          </w:p>
          <w:p w14:paraId="536669AF" w14:textId="77777777" w:rsidR="000A3081" w:rsidRDefault="000A3081" w:rsidP="00BC46AE">
            <w:pPr>
              <w:spacing w:after="0" w:line="240" w:lineRule="auto"/>
              <w:ind w:right="57"/>
              <w:rPr>
                <w:b/>
                <w:bCs/>
                <w:sz w:val="20"/>
                <w:szCs w:val="20"/>
              </w:rPr>
            </w:pPr>
          </w:p>
          <w:p w14:paraId="1AF131E6" w14:textId="77777777" w:rsidR="00E47756" w:rsidRPr="00E47756" w:rsidRDefault="00E47756" w:rsidP="00E47756">
            <w:pPr>
              <w:spacing w:after="0" w:line="240" w:lineRule="auto"/>
              <w:ind w:right="57"/>
              <w:jc w:val="center"/>
              <w:rPr>
                <w:b/>
                <w:bCs/>
                <w:sz w:val="20"/>
                <w:szCs w:val="20"/>
              </w:rPr>
            </w:pPr>
            <w:r w:rsidRPr="00E47756">
              <w:rPr>
                <w:b/>
                <w:bCs/>
                <w:sz w:val="20"/>
                <w:szCs w:val="20"/>
              </w:rPr>
              <w:t>MPSVR SR</w:t>
            </w:r>
          </w:p>
          <w:p w14:paraId="3213F76F" w14:textId="77777777" w:rsidR="00E47756" w:rsidRPr="00E47756" w:rsidRDefault="00E47756" w:rsidP="00E47756">
            <w:pPr>
              <w:spacing w:after="0" w:line="240" w:lineRule="auto"/>
              <w:ind w:left="57" w:right="57"/>
              <w:jc w:val="center"/>
              <w:rPr>
                <w:b/>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3081D9D" w14:textId="77777777" w:rsidR="00E47756" w:rsidRPr="00E47756" w:rsidRDefault="00E47756" w:rsidP="00E47756">
            <w:pPr>
              <w:spacing w:after="0" w:line="240" w:lineRule="auto"/>
              <w:ind w:left="57" w:right="57"/>
              <w:rPr>
                <w:sz w:val="20"/>
                <w:szCs w:val="20"/>
              </w:rPr>
            </w:pPr>
            <w:r w:rsidRPr="00E47756">
              <w:rPr>
                <w:b/>
                <w:bCs/>
                <w:sz w:val="20"/>
                <w:szCs w:val="20"/>
                <w:u w:val="single"/>
              </w:rPr>
              <w:lastRenderedPageBreak/>
              <w:t>Vysoká priorita</w:t>
            </w:r>
            <w:r w:rsidRPr="00E47756">
              <w:rPr>
                <w:b/>
                <w:sz w:val="20"/>
                <w:szCs w:val="20"/>
              </w:rPr>
              <w:t xml:space="preserve"> - </w:t>
            </w:r>
            <w:r w:rsidRPr="00E47756">
              <w:rPr>
                <w:bCs/>
                <w:sz w:val="20"/>
                <w:szCs w:val="20"/>
              </w:rPr>
              <w:t xml:space="preserve">Akčný plán by mal pomôcť implementovať 20 zásad Európskeho piliera sociálnych práv vyhláseného ako politický záväzok EP, EK a Rady EÚ v roku 2017. Spoločné vyhlásenie lídrov k Akčnému plánu na implementáciu EPSP by malo byť prijaté na Sociálnom samite na najvyššej politickej úrovni v máji 2021 počas PT PRES. </w:t>
            </w:r>
            <w:r w:rsidRPr="00E47756">
              <w:rPr>
                <w:sz w:val="20"/>
                <w:szCs w:val="20"/>
              </w:rPr>
              <w:t xml:space="preserve">Slovenská republika podporuje prijatie akčného plánu. EK otvorila verejné konzultácie k obsahovej príprave Akčného plánu začiatkom tohto roku, do ktorých mali ČŠ a jednotliví aktéri možnosť prispieť svojimi vstupmi a formovať tak jeho podobu. Komisár pre pracovné miesta s sociálne práva N. </w:t>
            </w:r>
            <w:proofErr w:type="spellStart"/>
            <w:r w:rsidRPr="00E47756">
              <w:rPr>
                <w:sz w:val="20"/>
                <w:szCs w:val="20"/>
              </w:rPr>
              <w:t>Schmit</w:t>
            </w:r>
            <w:proofErr w:type="spellEnd"/>
            <w:r w:rsidRPr="00E47756">
              <w:rPr>
                <w:sz w:val="20"/>
                <w:szCs w:val="20"/>
              </w:rPr>
              <w:t xml:space="preserve"> však nad rámec toho absolvoval koncom roka 2020 aj VTC so všetkými ČŠ za účelom nadviazania dialógu a výmeny názorov s aktérmi na národnej úrovni. V SR sa tzv. </w:t>
            </w:r>
            <w:proofErr w:type="spellStart"/>
            <w:r w:rsidRPr="00E47756">
              <w:rPr>
                <w:sz w:val="20"/>
                <w:szCs w:val="20"/>
              </w:rPr>
              <w:t>webinár</w:t>
            </w:r>
            <w:proofErr w:type="spellEnd"/>
            <w:r w:rsidRPr="00E47756">
              <w:rPr>
                <w:sz w:val="20"/>
                <w:szCs w:val="20"/>
              </w:rPr>
              <w:t xml:space="preserve"> uskutočnil v nov. 2020.</w:t>
            </w:r>
          </w:p>
          <w:p w14:paraId="2964E408" w14:textId="77777777" w:rsidR="00E47756" w:rsidRPr="00E47756" w:rsidRDefault="00E47756" w:rsidP="00E47756">
            <w:pPr>
              <w:spacing w:after="0" w:line="240" w:lineRule="auto"/>
              <w:ind w:left="57" w:right="57"/>
              <w:rPr>
                <w:bCs/>
                <w:sz w:val="20"/>
                <w:szCs w:val="20"/>
              </w:rPr>
            </w:pPr>
          </w:p>
          <w:p w14:paraId="1E8CD223" w14:textId="77777777" w:rsidR="00E47756" w:rsidRDefault="00E47756" w:rsidP="00E47756">
            <w:pPr>
              <w:spacing w:after="0" w:line="240" w:lineRule="auto"/>
              <w:ind w:left="57" w:right="57"/>
              <w:rPr>
                <w:sz w:val="20"/>
                <w:szCs w:val="20"/>
              </w:rPr>
            </w:pPr>
            <w:r w:rsidRPr="00E47756">
              <w:rPr>
                <w:b/>
                <w:bCs/>
                <w:sz w:val="20"/>
                <w:szCs w:val="20"/>
                <w:u w:val="single"/>
              </w:rPr>
              <w:t>Stredná priorita</w:t>
            </w:r>
            <w:r w:rsidRPr="00E47756">
              <w:rPr>
                <w:b/>
                <w:sz w:val="20"/>
                <w:szCs w:val="20"/>
              </w:rPr>
              <w:t xml:space="preserve"> - </w:t>
            </w:r>
            <w:r w:rsidRPr="00E47756">
              <w:rPr>
                <w:bCs/>
                <w:sz w:val="20"/>
                <w:szCs w:val="20"/>
              </w:rPr>
              <w:t xml:space="preserve">Malo by ísť o nekontroverznú iniciatívu, pozitívne vnímanú aj z pohľadu SR. </w:t>
            </w:r>
            <w:r w:rsidRPr="00E47756">
              <w:rPr>
                <w:sz w:val="20"/>
                <w:szCs w:val="20"/>
              </w:rPr>
              <w:t xml:space="preserve">Vzhľadom na súčasnú situáciu je riešenie problému chudoby detí dôležitejšie ako kedykoľvek predtým. EK </w:t>
            </w:r>
            <w:r w:rsidRPr="00E47756">
              <w:rPr>
                <w:sz w:val="20"/>
                <w:szCs w:val="20"/>
              </w:rPr>
              <w:lastRenderedPageBreak/>
              <w:t xml:space="preserve">predloží Rade odporúčanie o Európskej záruke pre deti. Záruka pre deti by mala byť založená predovšetkým na zásadách a integrovanom prístupe odporúčaní Komisie z roku 2013 o Investovaní do detí a Európskom pilieri sociálnych práv. Prístup k bezplatnej zdravotnej starostlivosti, bezplatnému vzdelaniu, dostupnému vzdelávaniu a starostlivosti v ranom detstve, dôstojnému bývaniu a primeranej výžive je pre deti ohrozené chudobou alebo sociálnym vylúčením nevyhnutný. Odporúčaním Rady je zohľadniť vplyv pandémie </w:t>
            </w:r>
            <w:r w:rsidR="00C00726">
              <w:rPr>
                <w:sz w:val="20"/>
                <w:szCs w:val="20"/>
              </w:rPr>
              <w:t>COVID</w:t>
            </w:r>
            <w:r w:rsidRPr="00E47756">
              <w:rPr>
                <w:sz w:val="20"/>
                <w:szCs w:val="20"/>
              </w:rPr>
              <w:t>-19 na deti ohrozené chudobou alebo sociálnym vylúčením a podporiť súvisiace strategické investície a politický vývoj v členských štátoch. Je nevyhnutné, aby Európska záruka pre deti zdôraznila úzke prepojenie medzi rodičmi aktívnymi na trhu práce - v mnohých prípadoch osamelými rodičmi - a ekonomickou stabilitou rodín. Ochranu proti rodinnej chudobe najlepšie zaručujú rodičia, ktorí sú zamestnaní.</w:t>
            </w:r>
          </w:p>
          <w:p w14:paraId="1B664A48" w14:textId="77777777" w:rsidR="001A4016" w:rsidRPr="00E47756" w:rsidRDefault="001A4016" w:rsidP="00E47756">
            <w:pPr>
              <w:spacing w:after="0" w:line="240" w:lineRule="auto"/>
              <w:ind w:left="57" w:right="57"/>
              <w:rPr>
                <w:bCs/>
                <w:sz w:val="20"/>
                <w:szCs w:val="20"/>
              </w:rPr>
            </w:pPr>
          </w:p>
          <w:p w14:paraId="3E3C5D29" w14:textId="77777777" w:rsidR="00E47756" w:rsidRPr="00E47756" w:rsidRDefault="00E47756" w:rsidP="00E47756">
            <w:pPr>
              <w:spacing w:after="0" w:line="240" w:lineRule="auto"/>
              <w:ind w:left="57" w:right="57"/>
              <w:rPr>
                <w:b/>
                <w:bCs/>
                <w:sz w:val="20"/>
                <w:szCs w:val="20"/>
                <w:u w:val="single"/>
              </w:rPr>
            </w:pPr>
          </w:p>
          <w:p w14:paraId="2CCEBFCB" w14:textId="77777777" w:rsidR="00E47756" w:rsidRDefault="00E47756" w:rsidP="00E47756">
            <w:pPr>
              <w:spacing w:after="0" w:line="240" w:lineRule="auto"/>
              <w:ind w:left="57" w:right="57"/>
              <w:rPr>
                <w:sz w:val="20"/>
                <w:szCs w:val="20"/>
              </w:rPr>
            </w:pPr>
            <w:r w:rsidRPr="00E47756">
              <w:rPr>
                <w:b/>
                <w:bCs/>
                <w:sz w:val="20"/>
                <w:szCs w:val="20"/>
                <w:u w:val="single"/>
              </w:rPr>
              <w:t>Stredná priorita</w:t>
            </w:r>
            <w:r w:rsidRPr="00E47756">
              <w:rPr>
                <w:b/>
                <w:sz w:val="20"/>
                <w:szCs w:val="20"/>
              </w:rPr>
              <w:t xml:space="preserve"> - </w:t>
            </w:r>
            <w:r w:rsidRPr="00E47756">
              <w:rPr>
                <w:bCs/>
                <w:sz w:val="20"/>
                <w:szCs w:val="20"/>
              </w:rPr>
              <w:t xml:space="preserve">Nová BOZP stratégia z dielne EK na roky 2021 – 2027 by mala byť nezáväznou predlohou na vypracovanie národných stratégií ČŠ a jej akčných programov. Na vypracovanie EU stratégie vyzývajú aj Závery Rady o novom strategickom rámci z r. 2019.Obsah by mal byť zameraný na nové riziká práce súvisiace s novými formami práce ako takej, </w:t>
            </w:r>
            <w:proofErr w:type="spellStart"/>
            <w:r w:rsidRPr="00E47756">
              <w:rPr>
                <w:bCs/>
                <w:sz w:val="20"/>
                <w:szCs w:val="20"/>
              </w:rPr>
              <w:t>psychosociálne</w:t>
            </w:r>
            <w:proofErr w:type="spellEnd"/>
            <w:r w:rsidRPr="00E47756">
              <w:rPr>
                <w:bCs/>
                <w:sz w:val="20"/>
                <w:szCs w:val="20"/>
              </w:rPr>
              <w:t xml:space="preserve"> riziká, práca s bremenami vzhľadom na poruchy pohybového ústrojenstva. Mal by sa zvoliť tzv. </w:t>
            </w:r>
            <w:proofErr w:type="spellStart"/>
            <w:r w:rsidRPr="00E47756">
              <w:rPr>
                <w:bCs/>
                <w:sz w:val="20"/>
                <w:szCs w:val="20"/>
              </w:rPr>
              <w:t>ZeroVision</w:t>
            </w:r>
            <w:proofErr w:type="spellEnd"/>
            <w:r w:rsidRPr="00E47756">
              <w:rPr>
                <w:bCs/>
                <w:sz w:val="20"/>
                <w:szCs w:val="20"/>
              </w:rPr>
              <w:t xml:space="preserve"> prístup, tzn. </w:t>
            </w:r>
            <w:r w:rsidRPr="00E47756">
              <w:rPr>
                <w:color w:val="202124"/>
                <w:sz w:val="20"/>
                <w:szCs w:val="20"/>
              </w:rPr>
              <w:t xml:space="preserve">nulová vízia úrazovosti, pokiaľ ide o smrteľné pracovné úrazy a smrteľné choroby z povolania; zamerať sa na zlepšenie kultúry prevencie na pracovisku a výmenu najlepších postupov ako </w:t>
            </w:r>
            <w:r w:rsidRPr="00E47756">
              <w:rPr>
                <w:bCs/>
                <w:sz w:val="20"/>
                <w:szCs w:val="20"/>
              </w:rPr>
              <w:t xml:space="preserve">aj na prácu so zobrazovacími jednotkami vzhľadom na meniaci sa svet práce. </w:t>
            </w:r>
            <w:r w:rsidRPr="00E47756">
              <w:rPr>
                <w:sz w:val="20"/>
                <w:szCs w:val="20"/>
              </w:rPr>
              <w:t>SR  podporuje a víta prijatie spoločnej európskej stratégie, ktorá bude nápomocná pri formovaní aj SR cieľov.</w:t>
            </w:r>
          </w:p>
          <w:p w14:paraId="12A096AE" w14:textId="77777777" w:rsidR="000A3081" w:rsidRPr="00E47756" w:rsidRDefault="000A3081" w:rsidP="00E47756">
            <w:pPr>
              <w:spacing w:after="0" w:line="240" w:lineRule="auto"/>
              <w:ind w:left="57" w:right="57"/>
              <w:rPr>
                <w:sz w:val="20"/>
                <w:szCs w:val="20"/>
              </w:rPr>
            </w:pPr>
          </w:p>
          <w:p w14:paraId="35C15313" w14:textId="5D2D0691" w:rsidR="0032116D" w:rsidRPr="0032116D" w:rsidRDefault="00E47756" w:rsidP="0032116D">
            <w:pPr>
              <w:spacing w:after="0" w:line="240" w:lineRule="auto"/>
              <w:ind w:left="57" w:right="57"/>
              <w:rPr>
                <w:sz w:val="20"/>
                <w:szCs w:val="20"/>
              </w:rPr>
            </w:pPr>
            <w:r w:rsidRPr="00E47756">
              <w:rPr>
                <w:b/>
                <w:bCs/>
                <w:sz w:val="20"/>
                <w:szCs w:val="20"/>
                <w:u w:val="single"/>
              </w:rPr>
              <w:t>Stredná priorita</w:t>
            </w:r>
            <w:r w:rsidRPr="00E47756">
              <w:rPr>
                <w:b/>
                <w:sz w:val="20"/>
                <w:szCs w:val="20"/>
              </w:rPr>
              <w:t xml:space="preserve"> - </w:t>
            </w:r>
            <w:r w:rsidRPr="00E47756">
              <w:rPr>
                <w:sz w:val="20"/>
                <w:szCs w:val="20"/>
              </w:rPr>
              <w:t>Nekontroverzný dokument, zatiaľ obsahovo nejasný. Predpokladáme pozitívnu pozíciu SR. PT PRES konferencie počas 1. polroku 2021 budú zamerané práve na podporu sociálnej ekonomiky.</w:t>
            </w:r>
          </w:p>
        </w:tc>
      </w:tr>
      <w:tr w:rsidR="00E47756" w:rsidRPr="00E47756" w14:paraId="3ABED114" w14:textId="77777777" w:rsidTr="001A4016">
        <w:trPr>
          <w:trHeight w:val="526"/>
        </w:trPr>
        <w:tc>
          <w:tcPr>
            <w:tcW w:w="407" w:type="dxa"/>
            <w:tcBorders>
              <w:top w:val="single" w:sz="4" w:space="0" w:color="auto"/>
              <w:left w:val="single" w:sz="4" w:space="0" w:color="000000"/>
              <w:bottom w:val="single" w:sz="4" w:space="0" w:color="000000"/>
              <w:right w:val="single" w:sz="4" w:space="0" w:color="000000"/>
            </w:tcBorders>
          </w:tcPr>
          <w:p w14:paraId="1E68D612" w14:textId="77777777" w:rsidR="00E47756" w:rsidRPr="00E47756" w:rsidRDefault="00E47756" w:rsidP="00E47756">
            <w:pPr>
              <w:spacing w:after="0" w:line="240" w:lineRule="auto"/>
              <w:ind w:left="57" w:right="57"/>
            </w:pPr>
            <w:r w:rsidRPr="00E47756">
              <w:rPr>
                <w:sz w:val="20"/>
              </w:rPr>
              <w:lastRenderedPageBreak/>
              <w:t>19.</w:t>
            </w:r>
            <w:r w:rsidRPr="00E47756">
              <w:rPr>
                <w:rFonts w:ascii="Arial" w:hAnsi="Arial" w:cs="Arial"/>
                <w:sz w:val="20"/>
              </w:rPr>
              <w:t xml:space="preserve"> </w:t>
            </w:r>
            <w:r w:rsidRPr="00E47756">
              <w:rPr>
                <w:sz w:val="20"/>
              </w:rPr>
              <w:t xml:space="preserve"> </w:t>
            </w:r>
          </w:p>
        </w:tc>
        <w:tc>
          <w:tcPr>
            <w:tcW w:w="2780" w:type="dxa"/>
            <w:tcBorders>
              <w:top w:val="single" w:sz="4" w:space="0" w:color="auto"/>
              <w:left w:val="single" w:sz="4" w:space="0" w:color="000000"/>
              <w:bottom w:val="single" w:sz="4" w:space="0" w:color="000000"/>
              <w:right w:val="single" w:sz="4" w:space="0" w:color="000000"/>
            </w:tcBorders>
          </w:tcPr>
          <w:p w14:paraId="36E939F8" w14:textId="77777777" w:rsidR="00E47756" w:rsidRPr="00E47756" w:rsidRDefault="00E47756" w:rsidP="00E47756">
            <w:pPr>
              <w:spacing w:after="0" w:line="240" w:lineRule="auto"/>
              <w:ind w:left="57" w:right="57"/>
            </w:pPr>
            <w:r w:rsidRPr="00E47756">
              <w:rPr>
                <w:b/>
                <w:sz w:val="20"/>
              </w:rPr>
              <w:t xml:space="preserve">Všeobecný systém preferencií </w:t>
            </w:r>
          </w:p>
        </w:tc>
        <w:tc>
          <w:tcPr>
            <w:tcW w:w="3638" w:type="dxa"/>
            <w:tcBorders>
              <w:top w:val="single" w:sz="4" w:space="0" w:color="auto"/>
              <w:left w:val="single" w:sz="4" w:space="0" w:color="000000"/>
              <w:bottom w:val="single" w:sz="4" w:space="0" w:color="000000"/>
              <w:right w:val="single" w:sz="4" w:space="0" w:color="000000"/>
            </w:tcBorders>
          </w:tcPr>
          <w:p w14:paraId="2C61B93C" w14:textId="77777777" w:rsidR="00E47756" w:rsidRPr="00E47756" w:rsidRDefault="00E47756" w:rsidP="00E47756">
            <w:pPr>
              <w:spacing w:after="0" w:line="240" w:lineRule="auto"/>
              <w:ind w:left="57" w:right="57"/>
            </w:pPr>
            <w:r w:rsidRPr="00E47756">
              <w:rPr>
                <w:b/>
                <w:sz w:val="20"/>
              </w:rPr>
              <w:t xml:space="preserve">smerom k budúcemu legislatívnemu rámcu systému všeobecných colných preferencií poskytujúcemu obchodné </w:t>
            </w:r>
            <w:r w:rsidRPr="00E47756">
              <w:rPr>
                <w:b/>
                <w:sz w:val="20"/>
              </w:rPr>
              <w:lastRenderedPageBreak/>
              <w:t>výhody rozvojovým krajinám</w:t>
            </w:r>
            <w:r w:rsidRPr="00E47756">
              <w:rPr>
                <w:sz w:val="20"/>
              </w:rPr>
              <w:t xml:space="preserve"> (legislatívna iniciatíva vrátane posúdenia vplyvu, článok 207 ZFEÚ, 2. štvrťrok 2021) </w:t>
            </w:r>
          </w:p>
        </w:tc>
        <w:tc>
          <w:tcPr>
            <w:tcW w:w="1985" w:type="dxa"/>
            <w:tcBorders>
              <w:top w:val="single" w:sz="4" w:space="0" w:color="auto"/>
              <w:left w:val="single" w:sz="4" w:space="0" w:color="000000"/>
              <w:bottom w:val="single" w:sz="4" w:space="0" w:color="000000"/>
              <w:right w:val="single" w:sz="4" w:space="0" w:color="000000"/>
            </w:tcBorders>
          </w:tcPr>
          <w:p w14:paraId="3C0BF9FB" w14:textId="77777777" w:rsidR="00E47756" w:rsidRPr="00E47756" w:rsidRDefault="00E47756" w:rsidP="00E47756">
            <w:pPr>
              <w:spacing w:after="0" w:line="240" w:lineRule="auto"/>
              <w:ind w:left="57" w:right="57"/>
              <w:jc w:val="center"/>
              <w:rPr>
                <w:b/>
                <w:sz w:val="20"/>
                <w:highlight w:val="yellow"/>
              </w:rPr>
            </w:pPr>
            <w:r w:rsidRPr="00E47756">
              <w:rPr>
                <w:b/>
                <w:sz w:val="20"/>
              </w:rPr>
              <w:lastRenderedPageBreak/>
              <w:t xml:space="preserve">MH SR </w:t>
            </w:r>
          </w:p>
        </w:tc>
        <w:tc>
          <w:tcPr>
            <w:tcW w:w="5812" w:type="dxa"/>
            <w:tcBorders>
              <w:top w:val="single" w:sz="4" w:space="0" w:color="auto"/>
              <w:left w:val="single" w:sz="4" w:space="0" w:color="000000"/>
              <w:bottom w:val="single" w:sz="4" w:space="0" w:color="000000"/>
              <w:right w:val="single" w:sz="4" w:space="0" w:color="000000"/>
            </w:tcBorders>
          </w:tcPr>
          <w:p w14:paraId="3281DB17" w14:textId="77777777" w:rsidR="00E47756" w:rsidRPr="00E47756" w:rsidRDefault="00E47756" w:rsidP="00E47756">
            <w:pPr>
              <w:spacing w:after="0" w:line="240" w:lineRule="auto"/>
              <w:ind w:left="57" w:right="57"/>
              <w:rPr>
                <w:bCs/>
                <w:sz w:val="20"/>
                <w:szCs w:val="20"/>
              </w:rPr>
            </w:pPr>
            <w:r w:rsidRPr="00E47756">
              <w:rPr>
                <w:b/>
                <w:bCs/>
                <w:sz w:val="20"/>
                <w:szCs w:val="20"/>
                <w:u w:val="single"/>
              </w:rPr>
              <w:t>Nízka  priorita</w:t>
            </w:r>
            <w:r w:rsidRPr="00E47756">
              <w:rPr>
                <w:b/>
                <w:sz w:val="20"/>
                <w:szCs w:val="20"/>
              </w:rPr>
              <w:t xml:space="preserve"> - </w:t>
            </w:r>
            <w:r w:rsidRPr="00E47756">
              <w:rPr>
                <w:sz w:val="20"/>
                <w:szCs w:val="20"/>
              </w:rPr>
              <w:t xml:space="preserve">Súčasné nariadenie o všeobecnom systéme preferencií </w:t>
            </w:r>
            <w:proofErr w:type="spellStart"/>
            <w:r w:rsidRPr="00E47756">
              <w:rPr>
                <w:sz w:val="20"/>
                <w:szCs w:val="20"/>
              </w:rPr>
              <w:t>expiruje</w:t>
            </w:r>
            <w:proofErr w:type="spellEnd"/>
            <w:r w:rsidRPr="00E47756">
              <w:rPr>
                <w:sz w:val="20"/>
                <w:szCs w:val="20"/>
              </w:rPr>
              <w:t xml:space="preserve"> k 31. 12. 2023. EK začala prípravu nového nariadenia, ktoré, by malo byť účinné v dostatočnom predstihu, aby sa ekonomické </w:t>
            </w:r>
            <w:r w:rsidRPr="00E47756">
              <w:rPr>
                <w:sz w:val="20"/>
                <w:szCs w:val="20"/>
              </w:rPr>
              <w:lastRenderedPageBreak/>
              <w:t>subjekty EÚ a príjemcovia pomoci mohli včas adaptovať. Predpokladá sa, že nové nariadenie bude pokračovať v posilňovaní  udržateľného rozvoja rozvojových krajín, vrátane rešpektovania zásad správneho vládnutia a dodržiavania ľudských práv.</w:t>
            </w:r>
          </w:p>
        </w:tc>
      </w:tr>
      <w:tr w:rsidR="00E47756" w:rsidRPr="00E47756" w14:paraId="4B97BB47" w14:textId="77777777" w:rsidTr="001A4016">
        <w:trPr>
          <w:trHeight w:val="526"/>
        </w:trPr>
        <w:tc>
          <w:tcPr>
            <w:tcW w:w="407" w:type="dxa"/>
            <w:tcBorders>
              <w:top w:val="single" w:sz="4" w:space="0" w:color="000000"/>
              <w:left w:val="single" w:sz="4" w:space="0" w:color="000000"/>
              <w:bottom w:val="single" w:sz="4" w:space="0" w:color="000000"/>
              <w:right w:val="single" w:sz="4" w:space="0" w:color="000000"/>
            </w:tcBorders>
          </w:tcPr>
          <w:p w14:paraId="4567D04B" w14:textId="77777777" w:rsidR="00E47756" w:rsidRPr="00E47756" w:rsidRDefault="00E47756" w:rsidP="00E47756">
            <w:pPr>
              <w:spacing w:after="0" w:line="240" w:lineRule="auto"/>
              <w:ind w:left="57" w:right="57"/>
            </w:pPr>
            <w:r w:rsidRPr="00E47756">
              <w:rPr>
                <w:sz w:val="20"/>
              </w:rPr>
              <w:lastRenderedPageBreak/>
              <w:t>20.</w:t>
            </w:r>
            <w:r w:rsidRPr="00E47756">
              <w:rPr>
                <w:rFonts w:ascii="Arial" w:hAnsi="Arial" w:cs="Arial"/>
                <w:sz w:val="20"/>
              </w:rPr>
              <w:t xml:space="preserve"> </w:t>
            </w:r>
            <w:r w:rsidRPr="00E47756">
              <w:rPr>
                <w:sz w:val="20"/>
              </w:rPr>
              <w:t xml:space="preserve"> </w:t>
            </w:r>
          </w:p>
        </w:tc>
        <w:tc>
          <w:tcPr>
            <w:tcW w:w="2780" w:type="dxa"/>
            <w:tcBorders>
              <w:top w:val="single" w:sz="4" w:space="0" w:color="000000"/>
              <w:left w:val="single" w:sz="4" w:space="0" w:color="000000"/>
              <w:bottom w:val="single" w:sz="4" w:space="0" w:color="000000"/>
              <w:right w:val="single" w:sz="4" w:space="0" w:color="000000"/>
            </w:tcBorders>
          </w:tcPr>
          <w:p w14:paraId="3AAEB9E5" w14:textId="77777777" w:rsidR="00E47756" w:rsidRPr="00E47756" w:rsidRDefault="00E47756" w:rsidP="00E47756">
            <w:pPr>
              <w:spacing w:after="0" w:line="240" w:lineRule="auto"/>
              <w:ind w:left="57" w:right="57"/>
            </w:pPr>
            <w:r w:rsidRPr="00E47756">
              <w:rPr>
                <w:b/>
                <w:sz w:val="20"/>
              </w:rPr>
              <w:t xml:space="preserve">Odrádzanie od donucovacích opatrení tretích krajín a boj proti nim </w:t>
            </w:r>
          </w:p>
        </w:tc>
        <w:tc>
          <w:tcPr>
            <w:tcW w:w="3638" w:type="dxa"/>
            <w:tcBorders>
              <w:top w:val="single" w:sz="4" w:space="0" w:color="000000"/>
              <w:left w:val="single" w:sz="4" w:space="0" w:color="000000"/>
              <w:bottom w:val="single" w:sz="4" w:space="0" w:color="000000"/>
              <w:right w:val="single" w:sz="4" w:space="0" w:color="000000"/>
            </w:tcBorders>
          </w:tcPr>
          <w:p w14:paraId="5C1E4834" w14:textId="77777777" w:rsidR="00E47756" w:rsidRPr="00E47756" w:rsidRDefault="00E47756" w:rsidP="00E47756">
            <w:pPr>
              <w:spacing w:after="0" w:line="240" w:lineRule="auto"/>
              <w:ind w:left="57" w:right="57"/>
            </w:pPr>
            <w:r w:rsidRPr="00E47756">
              <w:rPr>
                <w:b/>
                <w:sz w:val="20"/>
              </w:rPr>
              <w:t>nástroj na odrádzanie od donucovacích opatrení tretích krajín a boj proti nim</w:t>
            </w:r>
            <w:r w:rsidRPr="00E47756">
              <w:rPr>
                <w:sz w:val="20"/>
              </w:rPr>
              <w:t xml:space="preserve"> (legislatívna iniciatíva vrátane posúdenia vplyvu, článok 207 ZFEÚ, 4. štvrťrok 2021) </w:t>
            </w:r>
          </w:p>
        </w:tc>
        <w:tc>
          <w:tcPr>
            <w:tcW w:w="1985" w:type="dxa"/>
            <w:tcBorders>
              <w:top w:val="single" w:sz="4" w:space="0" w:color="000000"/>
              <w:left w:val="single" w:sz="4" w:space="0" w:color="000000"/>
              <w:bottom w:val="single" w:sz="4" w:space="0" w:color="000000"/>
              <w:right w:val="single" w:sz="4" w:space="0" w:color="000000"/>
            </w:tcBorders>
          </w:tcPr>
          <w:p w14:paraId="10C4CDB5" w14:textId="77777777" w:rsidR="00E47756" w:rsidRPr="00E47756" w:rsidRDefault="00E47756" w:rsidP="00E47756">
            <w:pPr>
              <w:spacing w:after="0" w:line="240" w:lineRule="auto"/>
              <w:ind w:left="57" w:right="57"/>
              <w:jc w:val="center"/>
              <w:rPr>
                <w:b/>
                <w:sz w:val="20"/>
                <w:highlight w:val="yellow"/>
              </w:rPr>
            </w:pPr>
            <w:r w:rsidRPr="00E47756">
              <w:rPr>
                <w:b/>
                <w:sz w:val="20"/>
              </w:rPr>
              <w:t xml:space="preserve">MH SR </w:t>
            </w:r>
          </w:p>
        </w:tc>
        <w:tc>
          <w:tcPr>
            <w:tcW w:w="5812" w:type="dxa"/>
            <w:tcBorders>
              <w:top w:val="single" w:sz="4" w:space="0" w:color="000000"/>
              <w:left w:val="single" w:sz="4" w:space="0" w:color="000000"/>
              <w:bottom w:val="single" w:sz="4" w:space="0" w:color="000000"/>
              <w:right w:val="single" w:sz="4" w:space="0" w:color="000000"/>
            </w:tcBorders>
          </w:tcPr>
          <w:p w14:paraId="691451EC" w14:textId="1D9EC643" w:rsidR="00E47756" w:rsidRPr="00307403" w:rsidRDefault="00E47756" w:rsidP="00307403">
            <w:pPr>
              <w:spacing w:after="0" w:line="240" w:lineRule="auto"/>
              <w:ind w:left="57" w:right="57"/>
            </w:pPr>
            <w:r w:rsidRPr="00E47756">
              <w:rPr>
                <w:b/>
                <w:bCs/>
                <w:sz w:val="20"/>
                <w:szCs w:val="20"/>
                <w:u w:val="single"/>
              </w:rPr>
              <w:t>Nízka  priorita</w:t>
            </w:r>
            <w:r w:rsidRPr="00E47756">
              <w:rPr>
                <w:b/>
                <w:sz w:val="20"/>
                <w:szCs w:val="20"/>
              </w:rPr>
              <w:t xml:space="preserve"> - </w:t>
            </w:r>
            <w:r w:rsidR="00307403" w:rsidRPr="00503A96">
              <w:rPr>
                <w:sz w:val="20"/>
                <w:szCs w:val="20"/>
              </w:rPr>
              <w:t>Legislatívna iniciatíva vychádza zo spoločnej deklarácie EP, Rady a EK, ktorou EP podmienil schválenie novely nariadenia (EÚ) č. 654/2014 o výkone práv Únie na účely uplatňovania a presadzovania p</w:t>
            </w:r>
            <w:r w:rsidR="00307403">
              <w:rPr>
                <w:sz w:val="20"/>
                <w:szCs w:val="20"/>
              </w:rPr>
              <w:t xml:space="preserve">ravidiel medzinárodného obchodu </w:t>
            </w:r>
            <w:r w:rsidR="00307403" w:rsidRPr="00503A96">
              <w:rPr>
                <w:sz w:val="20"/>
                <w:szCs w:val="20"/>
              </w:rPr>
              <w:t>(tzv. „</w:t>
            </w:r>
            <w:proofErr w:type="spellStart"/>
            <w:r w:rsidR="00307403" w:rsidRPr="00503A96">
              <w:rPr>
                <w:sz w:val="20"/>
                <w:szCs w:val="20"/>
              </w:rPr>
              <w:t>Enforcement</w:t>
            </w:r>
            <w:proofErr w:type="spellEnd"/>
            <w:r w:rsidR="00307403" w:rsidRPr="00503A96">
              <w:rPr>
                <w:sz w:val="20"/>
                <w:szCs w:val="20"/>
              </w:rPr>
              <w:t xml:space="preserve"> </w:t>
            </w:r>
            <w:proofErr w:type="spellStart"/>
            <w:r w:rsidR="00307403" w:rsidRPr="00503A96">
              <w:rPr>
                <w:sz w:val="20"/>
                <w:szCs w:val="20"/>
              </w:rPr>
              <w:t>Regulation</w:t>
            </w:r>
            <w:proofErr w:type="spellEnd"/>
            <w:r w:rsidR="00307403" w:rsidRPr="00503A96">
              <w:rPr>
                <w:sz w:val="20"/>
                <w:szCs w:val="20"/>
              </w:rPr>
              <w:t>“). Nový legislatívny nástroj (tzv. „</w:t>
            </w:r>
            <w:proofErr w:type="spellStart"/>
            <w:r w:rsidR="00307403" w:rsidRPr="00503A96">
              <w:rPr>
                <w:sz w:val="20"/>
                <w:szCs w:val="20"/>
              </w:rPr>
              <w:t>anti-coercive</w:t>
            </w:r>
            <w:proofErr w:type="spellEnd"/>
            <w:r w:rsidR="00307403" w:rsidRPr="00503A96">
              <w:rPr>
                <w:sz w:val="20"/>
                <w:szCs w:val="20"/>
              </w:rPr>
              <w:t xml:space="preserve"> </w:t>
            </w:r>
            <w:proofErr w:type="spellStart"/>
            <w:r w:rsidR="00307403" w:rsidRPr="00503A96">
              <w:rPr>
                <w:sz w:val="20"/>
                <w:szCs w:val="20"/>
              </w:rPr>
              <w:t>instrument</w:t>
            </w:r>
            <w:proofErr w:type="spellEnd"/>
            <w:r w:rsidR="00307403" w:rsidRPr="00503A96">
              <w:rPr>
                <w:sz w:val="20"/>
                <w:szCs w:val="20"/>
              </w:rPr>
              <w:t>“) má umožniť účinnejšiu ochranu pred  nátlakovými p</w:t>
            </w:r>
            <w:r w:rsidR="00307403">
              <w:rPr>
                <w:sz w:val="20"/>
                <w:szCs w:val="20"/>
              </w:rPr>
              <w:t>ostupmi v medzinárodnom obchode.</w:t>
            </w:r>
          </w:p>
        </w:tc>
      </w:tr>
      <w:tr w:rsidR="00E47756" w:rsidRPr="00E47756" w14:paraId="1547F968" w14:textId="77777777" w:rsidTr="001A4016">
        <w:trPr>
          <w:trHeight w:val="298"/>
        </w:trPr>
        <w:tc>
          <w:tcPr>
            <w:tcW w:w="407" w:type="dxa"/>
            <w:tcBorders>
              <w:top w:val="single" w:sz="4" w:space="0" w:color="000000"/>
              <w:left w:val="single" w:sz="4" w:space="0" w:color="000000"/>
              <w:bottom w:val="single" w:sz="4" w:space="0" w:color="000000"/>
              <w:right w:val="single" w:sz="4" w:space="0" w:color="000000"/>
            </w:tcBorders>
          </w:tcPr>
          <w:p w14:paraId="16F865E4" w14:textId="77777777" w:rsidR="00E47756" w:rsidRPr="00E47756" w:rsidRDefault="00E47756" w:rsidP="00E47756">
            <w:pPr>
              <w:spacing w:after="0" w:line="240" w:lineRule="auto"/>
              <w:ind w:left="57" w:right="57"/>
            </w:pPr>
            <w:r w:rsidRPr="00E47756">
              <w:rPr>
                <w:sz w:val="20"/>
              </w:rPr>
              <w:t>21.</w:t>
            </w:r>
            <w:r w:rsidRPr="00E47756">
              <w:rPr>
                <w:rFonts w:ascii="Arial" w:hAnsi="Arial" w:cs="Arial"/>
                <w:sz w:val="20"/>
              </w:rPr>
              <w:t xml:space="preserve"> </w:t>
            </w:r>
            <w:r w:rsidRPr="00E47756">
              <w:rPr>
                <w:sz w:val="20"/>
              </w:rPr>
              <w:t xml:space="preserve"> </w:t>
            </w:r>
          </w:p>
        </w:tc>
        <w:tc>
          <w:tcPr>
            <w:tcW w:w="2780" w:type="dxa"/>
            <w:tcBorders>
              <w:top w:val="single" w:sz="4" w:space="0" w:color="000000"/>
              <w:left w:val="single" w:sz="4" w:space="0" w:color="000000"/>
              <w:bottom w:val="single" w:sz="4" w:space="0" w:color="000000"/>
              <w:right w:val="single" w:sz="4" w:space="0" w:color="000000"/>
            </w:tcBorders>
          </w:tcPr>
          <w:p w14:paraId="5269A029" w14:textId="77777777" w:rsidR="00E47756" w:rsidRPr="00E47756" w:rsidRDefault="00E47756" w:rsidP="00E47756">
            <w:pPr>
              <w:spacing w:after="0" w:line="240" w:lineRule="auto"/>
              <w:ind w:left="57" w:right="57"/>
            </w:pPr>
            <w:r w:rsidRPr="00E47756">
              <w:rPr>
                <w:b/>
                <w:sz w:val="20"/>
              </w:rPr>
              <w:t xml:space="preserve">Výkonnostný rámec na roky 2021 – 2027 </w:t>
            </w:r>
          </w:p>
        </w:tc>
        <w:tc>
          <w:tcPr>
            <w:tcW w:w="3638" w:type="dxa"/>
            <w:tcBorders>
              <w:top w:val="single" w:sz="4" w:space="0" w:color="000000"/>
              <w:left w:val="single" w:sz="4" w:space="0" w:color="000000"/>
              <w:bottom w:val="single" w:sz="4" w:space="0" w:color="000000"/>
              <w:right w:val="single" w:sz="4" w:space="0" w:color="000000"/>
            </w:tcBorders>
          </w:tcPr>
          <w:p w14:paraId="393237E9" w14:textId="77777777" w:rsidR="00E47756" w:rsidRPr="00E47756" w:rsidRDefault="00E47756" w:rsidP="00E47756">
            <w:pPr>
              <w:spacing w:after="0" w:line="240" w:lineRule="auto"/>
              <w:ind w:left="57" w:right="57"/>
            </w:pPr>
            <w:r w:rsidRPr="00E47756">
              <w:rPr>
                <w:b/>
                <w:sz w:val="20"/>
              </w:rPr>
              <w:t>oznámenie o výkonnostnom rámci na roky 2021 – 2027</w:t>
            </w:r>
            <w:r w:rsidRPr="00E47756">
              <w:rPr>
                <w:sz w:val="20"/>
              </w:rPr>
              <w:t xml:space="preserve"> (nelegislatívna iniciatíva, 2. štvrťrok 2021) </w:t>
            </w:r>
          </w:p>
        </w:tc>
        <w:tc>
          <w:tcPr>
            <w:tcW w:w="1985" w:type="dxa"/>
            <w:tcBorders>
              <w:top w:val="single" w:sz="4" w:space="0" w:color="000000"/>
              <w:left w:val="single" w:sz="4" w:space="0" w:color="000000"/>
              <w:bottom w:val="single" w:sz="4" w:space="0" w:color="000000"/>
              <w:right w:val="single" w:sz="4" w:space="0" w:color="000000"/>
            </w:tcBorders>
          </w:tcPr>
          <w:p w14:paraId="5697B884" w14:textId="77777777" w:rsidR="00E47756" w:rsidRPr="00E47756" w:rsidRDefault="00E47756" w:rsidP="00E47756">
            <w:pPr>
              <w:spacing w:after="0" w:line="240" w:lineRule="auto"/>
              <w:ind w:left="57" w:right="57"/>
              <w:jc w:val="center"/>
              <w:rPr>
                <w:b/>
                <w:sz w:val="20"/>
              </w:rPr>
            </w:pPr>
            <w:r w:rsidRPr="00E47756">
              <w:rPr>
                <w:b/>
                <w:bCs/>
                <w:sz w:val="20"/>
                <w:szCs w:val="20"/>
              </w:rPr>
              <w:t>MIRRI SR</w:t>
            </w:r>
          </w:p>
        </w:tc>
        <w:tc>
          <w:tcPr>
            <w:tcW w:w="5812" w:type="dxa"/>
            <w:tcBorders>
              <w:top w:val="single" w:sz="4" w:space="0" w:color="000000"/>
              <w:left w:val="single" w:sz="4" w:space="0" w:color="000000"/>
              <w:bottom w:val="single" w:sz="4" w:space="0" w:color="000000"/>
              <w:right w:val="single" w:sz="4" w:space="0" w:color="000000"/>
            </w:tcBorders>
          </w:tcPr>
          <w:p w14:paraId="158E75C0" w14:textId="77777777" w:rsidR="00E47756" w:rsidRPr="00E47756" w:rsidRDefault="00E47756" w:rsidP="00E47756">
            <w:pPr>
              <w:spacing w:after="0" w:line="240" w:lineRule="auto"/>
              <w:ind w:left="57" w:right="57"/>
              <w:rPr>
                <w:szCs w:val="24"/>
                <w:u w:val="single"/>
              </w:rPr>
            </w:pPr>
            <w:r w:rsidRPr="00E47756">
              <w:rPr>
                <w:b/>
                <w:bCs/>
                <w:sz w:val="20"/>
                <w:szCs w:val="20"/>
                <w:u w:val="single"/>
              </w:rPr>
              <w:t>Stredná priorita</w:t>
            </w:r>
            <w:r w:rsidRPr="00E47756">
              <w:rPr>
                <w:b/>
                <w:sz w:val="20"/>
                <w:szCs w:val="20"/>
              </w:rPr>
              <w:t xml:space="preserve"> - </w:t>
            </w:r>
            <w:r w:rsidRPr="00E47756">
              <w:rPr>
                <w:sz w:val="20"/>
                <w:szCs w:val="20"/>
              </w:rPr>
              <w:t>Výkonnostný rámec na roky 2021 – 2027 je stanovený v čl. 12 a 13 návrhu všeobecného nariadenia EÚ. Výkonnostný rámec umožní monitorovanie, hodnotenie a podávanie správ o výkonnosti programu počas jeho implementácie a prispeje k meraniu celkovej výkonnosti fondov EÚ.</w:t>
            </w:r>
          </w:p>
        </w:tc>
      </w:tr>
      <w:tr w:rsidR="00E47756" w:rsidRPr="00E47756" w14:paraId="05556F47" w14:textId="77777777" w:rsidTr="001A4016">
        <w:trPr>
          <w:trHeight w:val="526"/>
        </w:trPr>
        <w:tc>
          <w:tcPr>
            <w:tcW w:w="407" w:type="dxa"/>
            <w:tcBorders>
              <w:top w:val="single" w:sz="4" w:space="0" w:color="000000"/>
              <w:left w:val="single" w:sz="4" w:space="0" w:color="000000"/>
              <w:bottom w:val="single" w:sz="4" w:space="0" w:color="000000"/>
              <w:right w:val="single" w:sz="4" w:space="0" w:color="000000"/>
            </w:tcBorders>
          </w:tcPr>
          <w:p w14:paraId="0537B62B" w14:textId="77777777" w:rsidR="00E47756" w:rsidRPr="00E47756" w:rsidRDefault="00E47756" w:rsidP="00E47756">
            <w:pPr>
              <w:spacing w:after="0" w:line="240" w:lineRule="auto"/>
              <w:ind w:left="57" w:right="57"/>
            </w:pPr>
            <w:r w:rsidRPr="00E47756">
              <w:rPr>
                <w:sz w:val="20"/>
              </w:rPr>
              <w:t>22.</w:t>
            </w:r>
            <w:r w:rsidRPr="00E47756">
              <w:rPr>
                <w:rFonts w:ascii="Arial" w:hAnsi="Arial" w:cs="Arial"/>
                <w:sz w:val="20"/>
              </w:rPr>
              <w:t xml:space="preserve"> </w:t>
            </w:r>
            <w:r w:rsidRPr="00E47756">
              <w:rPr>
                <w:sz w:val="20"/>
              </w:rPr>
              <w:t xml:space="preserve"> </w:t>
            </w:r>
          </w:p>
        </w:tc>
        <w:tc>
          <w:tcPr>
            <w:tcW w:w="2780" w:type="dxa"/>
            <w:tcBorders>
              <w:top w:val="single" w:sz="4" w:space="0" w:color="000000"/>
              <w:left w:val="single" w:sz="4" w:space="0" w:color="000000"/>
              <w:bottom w:val="single" w:sz="4" w:space="0" w:color="000000"/>
              <w:right w:val="single" w:sz="4" w:space="0" w:color="000000"/>
            </w:tcBorders>
          </w:tcPr>
          <w:p w14:paraId="4554499E" w14:textId="77777777" w:rsidR="00E47756" w:rsidRPr="00E47756" w:rsidRDefault="00E47756" w:rsidP="00E47756">
            <w:pPr>
              <w:spacing w:after="0" w:line="240" w:lineRule="auto"/>
              <w:ind w:left="57" w:right="57"/>
            </w:pPr>
            <w:r w:rsidRPr="00E47756">
              <w:rPr>
                <w:b/>
                <w:sz w:val="20"/>
              </w:rPr>
              <w:t xml:space="preserve">Dobudovanie bankovej únie </w:t>
            </w:r>
          </w:p>
        </w:tc>
        <w:tc>
          <w:tcPr>
            <w:tcW w:w="3638" w:type="dxa"/>
            <w:tcBorders>
              <w:top w:val="single" w:sz="4" w:space="0" w:color="000000"/>
              <w:left w:val="single" w:sz="4" w:space="0" w:color="000000"/>
              <w:bottom w:val="single" w:sz="4" w:space="0" w:color="000000"/>
              <w:right w:val="single" w:sz="4" w:space="0" w:color="000000"/>
            </w:tcBorders>
          </w:tcPr>
          <w:p w14:paraId="4D98FC81" w14:textId="77777777" w:rsidR="00E47756" w:rsidRPr="00E47756" w:rsidRDefault="00E47756" w:rsidP="00E47756">
            <w:pPr>
              <w:spacing w:after="0" w:line="240" w:lineRule="auto"/>
              <w:ind w:left="57" w:right="57"/>
            </w:pPr>
            <w:r w:rsidRPr="00E47756">
              <w:rPr>
                <w:b/>
                <w:sz w:val="20"/>
              </w:rPr>
              <w:t>revízia rámca pre krízové riadenie bánk a ochranu vkladov</w:t>
            </w:r>
            <w:r w:rsidRPr="00E47756">
              <w:rPr>
                <w:sz w:val="20"/>
              </w:rPr>
              <w:t xml:space="preserve"> (legislatívna iniciatíva vrátane posúdenia vplyvu, článok 114</w:t>
            </w:r>
          </w:p>
          <w:p w14:paraId="011BACFF" w14:textId="77777777" w:rsidR="00E47756" w:rsidRPr="00E47756" w:rsidRDefault="00E47756" w:rsidP="00E47756">
            <w:pPr>
              <w:spacing w:after="0" w:line="240" w:lineRule="auto"/>
              <w:ind w:left="57" w:right="57"/>
            </w:pPr>
            <w:r w:rsidRPr="00E47756">
              <w:rPr>
                <w:sz w:val="20"/>
              </w:rPr>
              <w:t xml:space="preserve">ZFEÚ, 4. štvrťrok 2021) </w:t>
            </w:r>
          </w:p>
        </w:tc>
        <w:tc>
          <w:tcPr>
            <w:tcW w:w="1985" w:type="dxa"/>
            <w:tcBorders>
              <w:top w:val="single" w:sz="4" w:space="0" w:color="000000"/>
              <w:left w:val="single" w:sz="4" w:space="0" w:color="000000"/>
              <w:bottom w:val="single" w:sz="4" w:space="0" w:color="000000"/>
              <w:right w:val="single" w:sz="4" w:space="0" w:color="000000"/>
            </w:tcBorders>
          </w:tcPr>
          <w:p w14:paraId="1DC854BB" w14:textId="77777777" w:rsidR="00E47756" w:rsidRPr="00E47756" w:rsidRDefault="00E47756" w:rsidP="00E47756">
            <w:pPr>
              <w:spacing w:after="0" w:line="240" w:lineRule="auto"/>
              <w:ind w:left="57" w:right="57"/>
              <w:jc w:val="center"/>
              <w:rPr>
                <w:b/>
                <w:sz w:val="20"/>
              </w:rPr>
            </w:pPr>
            <w:r w:rsidRPr="00E47756">
              <w:rPr>
                <w:b/>
                <w:sz w:val="20"/>
              </w:rPr>
              <w:t>MF SR</w:t>
            </w:r>
          </w:p>
          <w:p w14:paraId="29675637" w14:textId="77777777" w:rsidR="00E47756" w:rsidRPr="00E47756" w:rsidRDefault="00E47756" w:rsidP="00E47756">
            <w:pPr>
              <w:spacing w:after="0" w:line="240" w:lineRule="auto"/>
              <w:ind w:left="57" w:right="57"/>
              <w:jc w:val="center"/>
              <w:rPr>
                <w:sz w:val="20"/>
              </w:rPr>
            </w:pPr>
          </w:p>
        </w:tc>
        <w:tc>
          <w:tcPr>
            <w:tcW w:w="5812" w:type="dxa"/>
            <w:tcBorders>
              <w:top w:val="single" w:sz="4" w:space="0" w:color="000000"/>
              <w:left w:val="single" w:sz="4" w:space="0" w:color="000000"/>
              <w:bottom w:val="single" w:sz="4" w:space="0" w:color="000000"/>
              <w:right w:val="single" w:sz="4" w:space="0" w:color="000000"/>
            </w:tcBorders>
          </w:tcPr>
          <w:p w14:paraId="7C633782" w14:textId="77777777" w:rsidR="00E47756" w:rsidRPr="00E47756" w:rsidRDefault="00E47756" w:rsidP="00E47756">
            <w:pPr>
              <w:spacing w:after="0" w:line="240" w:lineRule="auto"/>
              <w:ind w:left="57" w:right="57"/>
              <w:rPr>
                <w:sz w:val="20"/>
              </w:rPr>
            </w:pPr>
            <w:r w:rsidRPr="00E47756">
              <w:rPr>
                <w:b/>
                <w:sz w:val="20"/>
                <w:u w:val="single"/>
              </w:rPr>
              <w:t>Stredná priorita</w:t>
            </w:r>
            <w:r w:rsidRPr="00E47756">
              <w:rPr>
                <w:b/>
                <w:sz w:val="20"/>
                <w:szCs w:val="20"/>
              </w:rPr>
              <w:t xml:space="preserve"> - </w:t>
            </w:r>
            <w:r w:rsidRPr="00E47756">
              <w:rPr>
                <w:sz w:val="20"/>
              </w:rPr>
              <w:t>SR podporuje zlepšenie a zefektívnenie rámca pre krízové riadenie bánk a hlbšiu harmonizáciu ochrany vkladov.</w:t>
            </w:r>
          </w:p>
        </w:tc>
      </w:tr>
      <w:tr w:rsidR="00E47756" w:rsidRPr="00E47756" w14:paraId="3969037C" w14:textId="77777777" w:rsidTr="001A4016">
        <w:trPr>
          <w:trHeight w:val="769"/>
        </w:trPr>
        <w:tc>
          <w:tcPr>
            <w:tcW w:w="407" w:type="dxa"/>
            <w:tcBorders>
              <w:top w:val="single" w:sz="4" w:space="0" w:color="000000"/>
              <w:left w:val="single" w:sz="4" w:space="0" w:color="000000"/>
              <w:bottom w:val="single" w:sz="4" w:space="0" w:color="auto"/>
              <w:right w:val="single" w:sz="4" w:space="0" w:color="000000"/>
            </w:tcBorders>
          </w:tcPr>
          <w:p w14:paraId="399AA806" w14:textId="77777777" w:rsidR="00E47756" w:rsidRPr="00E47756" w:rsidRDefault="00E47756" w:rsidP="00E47756">
            <w:pPr>
              <w:spacing w:after="0" w:line="240" w:lineRule="auto"/>
              <w:ind w:left="57" w:right="57"/>
            </w:pPr>
            <w:r w:rsidRPr="00E47756">
              <w:rPr>
                <w:sz w:val="20"/>
              </w:rPr>
              <w:t>23.</w:t>
            </w:r>
            <w:r w:rsidRPr="00E47756">
              <w:rPr>
                <w:rFonts w:ascii="Arial" w:hAnsi="Arial" w:cs="Arial"/>
                <w:sz w:val="20"/>
              </w:rPr>
              <w:t xml:space="preserve"> </w:t>
            </w:r>
            <w:r w:rsidRPr="00E47756">
              <w:rPr>
                <w:sz w:val="20"/>
              </w:rPr>
              <w:t xml:space="preserve"> </w:t>
            </w:r>
          </w:p>
        </w:tc>
        <w:tc>
          <w:tcPr>
            <w:tcW w:w="2780" w:type="dxa"/>
            <w:tcBorders>
              <w:top w:val="single" w:sz="4" w:space="0" w:color="000000"/>
              <w:left w:val="single" w:sz="4" w:space="0" w:color="000000"/>
              <w:bottom w:val="single" w:sz="4" w:space="0" w:color="auto"/>
              <w:right w:val="single" w:sz="4" w:space="0" w:color="000000"/>
            </w:tcBorders>
          </w:tcPr>
          <w:p w14:paraId="7D2CAE9D" w14:textId="77777777" w:rsidR="00E47756" w:rsidRPr="00E47756" w:rsidRDefault="00E47756" w:rsidP="00E47756">
            <w:pPr>
              <w:spacing w:after="0" w:line="240" w:lineRule="auto"/>
              <w:ind w:left="57" w:right="57"/>
            </w:pPr>
            <w:r w:rsidRPr="00E47756">
              <w:rPr>
                <w:b/>
                <w:sz w:val="20"/>
              </w:rPr>
              <w:t xml:space="preserve">Balík opatrení v oblasti spotrebných daní </w:t>
            </w:r>
          </w:p>
        </w:tc>
        <w:tc>
          <w:tcPr>
            <w:tcW w:w="3638" w:type="dxa"/>
            <w:tcBorders>
              <w:top w:val="single" w:sz="4" w:space="0" w:color="000000"/>
              <w:left w:val="single" w:sz="4" w:space="0" w:color="000000"/>
              <w:bottom w:val="single" w:sz="4" w:space="0" w:color="auto"/>
              <w:right w:val="single" w:sz="4" w:space="0" w:color="000000"/>
            </w:tcBorders>
          </w:tcPr>
          <w:p w14:paraId="3633C555" w14:textId="77777777" w:rsidR="00E47756" w:rsidRPr="00E47756" w:rsidRDefault="00E47756" w:rsidP="003826CE">
            <w:pPr>
              <w:numPr>
                <w:ilvl w:val="0"/>
                <w:numId w:val="13"/>
              </w:numPr>
              <w:spacing w:after="0" w:line="240" w:lineRule="auto"/>
              <w:ind w:left="57" w:right="57" w:hanging="334"/>
              <w:jc w:val="left"/>
            </w:pPr>
            <w:r w:rsidRPr="00E47756">
              <w:rPr>
                <w:b/>
                <w:sz w:val="20"/>
              </w:rPr>
              <w:t>revízia smernice o zdaňovaní tabaku</w:t>
            </w:r>
            <w:r w:rsidRPr="00E47756">
              <w:rPr>
                <w:sz w:val="20"/>
              </w:rPr>
              <w:t xml:space="preserve"> (legislatívna iniciatíva vrátane posúdenia vplyvu, článok 113 ZFEÚ, 3. štvrťrok 2021);</w:t>
            </w:r>
            <w:r w:rsidRPr="00E47756">
              <w:rPr>
                <w:b/>
                <w:sz w:val="20"/>
              </w:rPr>
              <w:t xml:space="preserve"> </w:t>
            </w:r>
          </w:p>
          <w:p w14:paraId="7B2610F0" w14:textId="77777777" w:rsidR="00E47756" w:rsidRPr="00E47756" w:rsidRDefault="00E47756" w:rsidP="00E47756">
            <w:pPr>
              <w:spacing w:after="0" w:line="240" w:lineRule="auto"/>
              <w:ind w:left="57" w:right="57"/>
            </w:pPr>
          </w:p>
          <w:p w14:paraId="7E64B6D4" w14:textId="77777777" w:rsidR="00E47756" w:rsidRPr="00E47756" w:rsidRDefault="00E47756" w:rsidP="00E47756">
            <w:pPr>
              <w:spacing w:after="0" w:line="240" w:lineRule="auto"/>
              <w:ind w:left="57" w:right="57"/>
            </w:pPr>
          </w:p>
          <w:p w14:paraId="78C6D5BA" w14:textId="77777777" w:rsidR="00E47756" w:rsidRPr="00E47756" w:rsidRDefault="00E47756" w:rsidP="00E47756">
            <w:pPr>
              <w:spacing w:after="0" w:line="240" w:lineRule="auto"/>
              <w:ind w:left="57" w:right="57"/>
            </w:pPr>
          </w:p>
          <w:p w14:paraId="7F02445E" w14:textId="77777777" w:rsidR="00E47756" w:rsidRPr="00E47756" w:rsidRDefault="00E47756" w:rsidP="00E47756">
            <w:pPr>
              <w:spacing w:after="0" w:line="240" w:lineRule="auto"/>
              <w:ind w:left="57" w:right="57"/>
            </w:pPr>
          </w:p>
          <w:p w14:paraId="1505B779" w14:textId="77777777" w:rsidR="00E47756" w:rsidRPr="00E47756" w:rsidRDefault="00E47756" w:rsidP="00E47756">
            <w:pPr>
              <w:spacing w:after="0" w:line="240" w:lineRule="auto"/>
              <w:ind w:left="57" w:right="57"/>
            </w:pPr>
          </w:p>
          <w:p w14:paraId="175C5109" w14:textId="77777777" w:rsidR="00E47756" w:rsidRPr="00E47756" w:rsidRDefault="00E47756" w:rsidP="00E47756">
            <w:pPr>
              <w:spacing w:after="0" w:line="240" w:lineRule="auto"/>
              <w:ind w:left="57" w:right="57"/>
            </w:pPr>
          </w:p>
          <w:p w14:paraId="4B9D82F6" w14:textId="77777777" w:rsidR="00E47756" w:rsidRPr="00E47756" w:rsidRDefault="00E47756" w:rsidP="00E47756">
            <w:pPr>
              <w:spacing w:after="0" w:line="240" w:lineRule="auto"/>
              <w:ind w:left="57" w:right="57"/>
            </w:pPr>
          </w:p>
          <w:p w14:paraId="74B5F626" w14:textId="77777777" w:rsidR="00E47756" w:rsidRPr="00E47756" w:rsidRDefault="00E47756" w:rsidP="00E47756">
            <w:pPr>
              <w:spacing w:after="0" w:line="240" w:lineRule="auto"/>
              <w:ind w:left="57" w:right="57"/>
            </w:pPr>
          </w:p>
          <w:p w14:paraId="03B10765" w14:textId="77777777" w:rsidR="00E47756" w:rsidRPr="00E47756" w:rsidRDefault="00E47756" w:rsidP="00E47756">
            <w:pPr>
              <w:spacing w:after="0" w:line="240" w:lineRule="auto"/>
              <w:ind w:left="57" w:right="57"/>
            </w:pPr>
          </w:p>
          <w:p w14:paraId="39755D46" w14:textId="77777777" w:rsidR="00E47756" w:rsidRDefault="00E47756" w:rsidP="00E47756">
            <w:pPr>
              <w:spacing w:after="0" w:line="240" w:lineRule="auto"/>
              <w:ind w:left="57" w:right="57"/>
            </w:pPr>
          </w:p>
          <w:p w14:paraId="66880704" w14:textId="77777777" w:rsidR="000A3081" w:rsidRPr="00E47756" w:rsidRDefault="000A3081" w:rsidP="000A3081">
            <w:pPr>
              <w:spacing w:after="0" w:line="240" w:lineRule="auto"/>
              <w:ind w:right="57"/>
            </w:pPr>
          </w:p>
          <w:p w14:paraId="0B821453" w14:textId="77777777" w:rsidR="00E47756" w:rsidRPr="00E47756" w:rsidRDefault="00E47756" w:rsidP="00E47756">
            <w:pPr>
              <w:spacing w:after="0" w:line="240" w:lineRule="auto"/>
              <w:ind w:left="57" w:right="57"/>
            </w:pPr>
          </w:p>
          <w:p w14:paraId="18526EE6" w14:textId="77777777" w:rsidR="00E47756" w:rsidRPr="00E47756" w:rsidRDefault="00E47756" w:rsidP="003826CE">
            <w:pPr>
              <w:numPr>
                <w:ilvl w:val="0"/>
                <w:numId w:val="13"/>
              </w:numPr>
              <w:spacing w:after="0" w:line="240" w:lineRule="auto"/>
              <w:ind w:left="57" w:right="57" w:hanging="334"/>
              <w:jc w:val="left"/>
            </w:pPr>
            <w:r w:rsidRPr="00E47756">
              <w:rPr>
                <w:b/>
                <w:sz w:val="20"/>
              </w:rPr>
              <w:t>zmena smernice o všeobecnom systéme spotrebných daní</w:t>
            </w:r>
            <w:r w:rsidRPr="00E47756">
              <w:rPr>
                <w:sz w:val="20"/>
              </w:rPr>
              <w:t xml:space="preserve"> (legislatívna iniciatíva vrátane posúdenia vplyvu, článok 113 ZFEÚ, 4. štvrťrok 2021).</w:t>
            </w:r>
            <w:r w:rsidRPr="00E47756">
              <w:rPr>
                <w:b/>
                <w:sz w:val="20"/>
              </w:rPr>
              <w:t xml:space="preserve"> </w:t>
            </w:r>
          </w:p>
        </w:tc>
        <w:tc>
          <w:tcPr>
            <w:tcW w:w="1985" w:type="dxa"/>
            <w:tcBorders>
              <w:top w:val="single" w:sz="4" w:space="0" w:color="000000"/>
              <w:left w:val="single" w:sz="4" w:space="0" w:color="000000"/>
              <w:bottom w:val="single" w:sz="4" w:space="0" w:color="auto"/>
              <w:right w:val="single" w:sz="4" w:space="0" w:color="000000"/>
            </w:tcBorders>
          </w:tcPr>
          <w:p w14:paraId="2D75309E" w14:textId="77777777" w:rsidR="00E47756" w:rsidRPr="00E47756" w:rsidRDefault="00E47756" w:rsidP="00E47756">
            <w:pPr>
              <w:spacing w:after="0" w:line="240" w:lineRule="auto"/>
              <w:ind w:left="57" w:right="57"/>
              <w:jc w:val="center"/>
              <w:rPr>
                <w:b/>
                <w:sz w:val="20"/>
              </w:rPr>
            </w:pPr>
            <w:r w:rsidRPr="00E47756">
              <w:rPr>
                <w:b/>
                <w:sz w:val="20"/>
              </w:rPr>
              <w:lastRenderedPageBreak/>
              <w:t>MF SR</w:t>
            </w:r>
          </w:p>
          <w:p w14:paraId="03D6E6AF" w14:textId="77777777" w:rsidR="00E47756" w:rsidRPr="00E47756" w:rsidRDefault="00E47756" w:rsidP="00E47756">
            <w:pPr>
              <w:spacing w:after="0" w:line="240" w:lineRule="auto"/>
              <w:ind w:left="57" w:right="57"/>
              <w:jc w:val="center"/>
              <w:rPr>
                <w:b/>
                <w:sz w:val="20"/>
              </w:rPr>
            </w:pPr>
          </w:p>
          <w:p w14:paraId="665C6D69" w14:textId="77777777" w:rsidR="00E47756" w:rsidRPr="00E47756" w:rsidRDefault="00E47756" w:rsidP="00E47756">
            <w:pPr>
              <w:spacing w:after="0" w:line="240" w:lineRule="auto"/>
              <w:ind w:left="57" w:right="57"/>
              <w:jc w:val="center"/>
              <w:rPr>
                <w:b/>
                <w:sz w:val="20"/>
              </w:rPr>
            </w:pPr>
          </w:p>
          <w:p w14:paraId="02DE4AF0" w14:textId="77777777" w:rsidR="00E47756" w:rsidRPr="00E47756" w:rsidRDefault="00E47756" w:rsidP="00E47756">
            <w:pPr>
              <w:spacing w:after="0" w:line="240" w:lineRule="auto"/>
              <w:ind w:left="57" w:right="57"/>
              <w:jc w:val="center"/>
              <w:rPr>
                <w:b/>
                <w:sz w:val="20"/>
              </w:rPr>
            </w:pPr>
          </w:p>
          <w:p w14:paraId="24ED7AFB" w14:textId="77777777" w:rsidR="00E47756" w:rsidRPr="00E47756" w:rsidRDefault="00E47756" w:rsidP="00E47756">
            <w:pPr>
              <w:spacing w:after="0" w:line="240" w:lineRule="auto"/>
              <w:ind w:left="57" w:right="57"/>
              <w:jc w:val="center"/>
              <w:rPr>
                <w:b/>
                <w:sz w:val="20"/>
              </w:rPr>
            </w:pPr>
          </w:p>
          <w:p w14:paraId="4593C5F4" w14:textId="77777777" w:rsidR="00E47756" w:rsidRPr="00E47756" w:rsidRDefault="00E47756" w:rsidP="00E47756">
            <w:pPr>
              <w:spacing w:after="0" w:line="240" w:lineRule="auto"/>
              <w:ind w:left="57" w:right="57"/>
              <w:jc w:val="center"/>
              <w:rPr>
                <w:b/>
                <w:sz w:val="20"/>
              </w:rPr>
            </w:pPr>
          </w:p>
          <w:p w14:paraId="511DF928" w14:textId="77777777" w:rsidR="00E47756" w:rsidRPr="00E47756" w:rsidRDefault="00E47756" w:rsidP="00E47756">
            <w:pPr>
              <w:spacing w:after="0" w:line="240" w:lineRule="auto"/>
              <w:ind w:left="57" w:right="57"/>
              <w:jc w:val="center"/>
              <w:rPr>
                <w:b/>
                <w:sz w:val="20"/>
              </w:rPr>
            </w:pPr>
          </w:p>
          <w:p w14:paraId="05EC535E" w14:textId="77777777" w:rsidR="00E47756" w:rsidRPr="00E47756" w:rsidRDefault="00E47756" w:rsidP="00E47756">
            <w:pPr>
              <w:spacing w:after="0" w:line="240" w:lineRule="auto"/>
              <w:ind w:left="57" w:right="57"/>
              <w:jc w:val="center"/>
              <w:rPr>
                <w:b/>
                <w:sz w:val="20"/>
              </w:rPr>
            </w:pPr>
          </w:p>
          <w:p w14:paraId="5646FCD6" w14:textId="77777777" w:rsidR="00E47756" w:rsidRPr="00E47756" w:rsidRDefault="00E47756" w:rsidP="00E47756">
            <w:pPr>
              <w:spacing w:after="0" w:line="240" w:lineRule="auto"/>
              <w:ind w:left="57" w:right="57"/>
              <w:jc w:val="center"/>
              <w:rPr>
                <w:b/>
                <w:sz w:val="20"/>
              </w:rPr>
            </w:pPr>
          </w:p>
          <w:p w14:paraId="7C5E86B7" w14:textId="77777777" w:rsidR="00E47756" w:rsidRPr="00E47756" w:rsidRDefault="00E47756" w:rsidP="00E47756">
            <w:pPr>
              <w:spacing w:after="0" w:line="240" w:lineRule="auto"/>
              <w:ind w:left="57" w:right="57"/>
              <w:jc w:val="center"/>
              <w:rPr>
                <w:b/>
                <w:sz w:val="20"/>
              </w:rPr>
            </w:pPr>
          </w:p>
          <w:p w14:paraId="516306AD" w14:textId="77777777" w:rsidR="00E47756" w:rsidRPr="00E47756" w:rsidRDefault="00E47756" w:rsidP="00E47756">
            <w:pPr>
              <w:spacing w:after="0" w:line="240" w:lineRule="auto"/>
              <w:ind w:left="57" w:right="57"/>
              <w:jc w:val="center"/>
              <w:rPr>
                <w:b/>
                <w:sz w:val="20"/>
              </w:rPr>
            </w:pPr>
          </w:p>
          <w:p w14:paraId="5F03FFC6" w14:textId="77777777" w:rsidR="00E47756" w:rsidRPr="00E47756" w:rsidRDefault="00E47756" w:rsidP="00E47756">
            <w:pPr>
              <w:spacing w:after="0" w:line="240" w:lineRule="auto"/>
              <w:ind w:left="57" w:right="57"/>
              <w:jc w:val="center"/>
              <w:rPr>
                <w:b/>
                <w:sz w:val="20"/>
              </w:rPr>
            </w:pPr>
          </w:p>
          <w:p w14:paraId="37784278" w14:textId="77777777" w:rsidR="00E47756" w:rsidRPr="00E47756" w:rsidRDefault="00E47756" w:rsidP="00E47756">
            <w:pPr>
              <w:spacing w:after="0" w:line="240" w:lineRule="auto"/>
              <w:ind w:left="57" w:right="57"/>
              <w:jc w:val="center"/>
              <w:rPr>
                <w:b/>
                <w:sz w:val="20"/>
              </w:rPr>
            </w:pPr>
          </w:p>
          <w:p w14:paraId="1B9AD2E2" w14:textId="77777777" w:rsidR="00E47756" w:rsidRPr="00E47756" w:rsidRDefault="00E47756" w:rsidP="00E47756">
            <w:pPr>
              <w:spacing w:after="0" w:line="240" w:lineRule="auto"/>
              <w:ind w:left="57" w:right="57"/>
              <w:jc w:val="center"/>
              <w:rPr>
                <w:b/>
                <w:sz w:val="20"/>
              </w:rPr>
            </w:pPr>
          </w:p>
          <w:p w14:paraId="1D98E10D" w14:textId="77777777" w:rsidR="00E47756" w:rsidRPr="00E47756" w:rsidRDefault="00E47756" w:rsidP="00E47756">
            <w:pPr>
              <w:spacing w:after="0" w:line="240" w:lineRule="auto"/>
              <w:ind w:left="57" w:right="57"/>
              <w:rPr>
                <w:b/>
                <w:sz w:val="20"/>
              </w:rPr>
            </w:pPr>
          </w:p>
          <w:p w14:paraId="0CFE6500" w14:textId="77777777" w:rsidR="00E47756" w:rsidRPr="00E47756" w:rsidRDefault="00E47756" w:rsidP="00E47756">
            <w:pPr>
              <w:spacing w:after="0" w:line="240" w:lineRule="auto"/>
              <w:ind w:left="57" w:right="57"/>
              <w:jc w:val="center"/>
              <w:rPr>
                <w:b/>
                <w:sz w:val="20"/>
              </w:rPr>
            </w:pPr>
          </w:p>
          <w:p w14:paraId="16756A19" w14:textId="77777777" w:rsidR="00E47756" w:rsidRPr="00E47756" w:rsidRDefault="00E47756" w:rsidP="00E47756">
            <w:pPr>
              <w:spacing w:after="0" w:line="240" w:lineRule="auto"/>
              <w:ind w:left="57" w:right="57"/>
              <w:jc w:val="center"/>
              <w:rPr>
                <w:b/>
                <w:sz w:val="20"/>
              </w:rPr>
            </w:pPr>
          </w:p>
          <w:p w14:paraId="3174044B" w14:textId="77777777" w:rsidR="00E47756" w:rsidRPr="00E47756" w:rsidRDefault="00E47756" w:rsidP="00E47756">
            <w:pPr>
              <w:spacing w:after="0" w:line="240" w:lineRule="auto"/>
              <w:ind w:left="57" w:right="57"/>
              <w:jc w:val="center"/>
              <w:rPr>
                <w:b/>
                <w:sz w:val="20"/>
              </w:rPr>
            </w:pPr>
          </w:p>
          <w:p w14:paraId="4AD58876" w14:textId="77777777" w:rsidR="00E47756" w:rsidRPr="00E47756" w:rsidRDefault="00E47756" w:rsidP="00E47756">
            <w:pPr>
              <w:spacing w:after="0" w:line="240" w:lineRule="auto"/>
              <w:ind w:left="57" w:right="57"/>
              <w:jc w:val="center"/>
              <w:rPr>
                <w:b/>
                <w:sz w:val="20"/>
              </w:rPr>
            </w:pPr>
            <w:r w:rsidRPr="00E47756">
              <w:rPr>
                <w:b/>
                <w:sz w:val="20"/>
              </w:rPr>
              <w:t>MF SR</w:t>
            </w:r>
          </w:p>
        </w:tc>
        <w:tc>
          <w:tcPr>
            <w:tcW w:w="5812" w:type="dxa"/>
            <w:tcBorders>
              <w:top w:val="single" w:sz="4" w:space="0" w:color="000000"/>
              <w:left w:val="single" w:sz="4" w:space="0" w:color="000000"/>
              <w:bottom w:val="single" w:sz="4" w:space="0" w:color="auto"/>
              <w:right w:val="single" w:sz="4" w:space="0" w:color="000000"/>
            </w:tcBorders>
          </w:tcPr>
          <w:p w14:paraId="7CE10130" w14:textId="77777777" w:rsidR="00E47756" w:rsidRPr="00E47756" w:rsidRDefault="00E47756" w:rsidP="00E47756">
            <w:pPr>
              <w:spacing w:after="0" w:line="240" w:lineRule="auto"/>
              <w:ind w:left="57" w:right="57"/>
              <w:rPr>
                <w:b/>
                <w:bCs/>
                <w:sz w:val="20"/>
                <w:szCs w:val="20"/>
                <w:u w:val="single"/>
              </w:rPr>
            </w:pPr>
            <w:r w:rsidRPr="00E47756">
              <w:rPr>
                <w:b/>
                <w:bCs/>
                <w:sz w:val="20"/>
                <w:szCs w:val="20"/>
                <w:u w:val="single"/>
              </w:rPr>
              <w:lastRenderedPageBreak/>
              <w:t>Vysoká priorita</w:t>
            </w:r>
            <w:r w:rsidRPr="00E47756">
              <w:rPr>
                <w:b/>
                <w:sz w:val="20"/>
                <w:szCs w:val="20"/>
              </w:rPr>
              <w:t xml:space="preserve"> - </w:t>
            </w:r>
            <w:r w:rsidRPr="00E47756">
              <w:rPr>
                <w:sz w:val="20"/>
              </w:rPr>
              <w:t xml:space="preserve">SR si uvedomuje naliehavosť a významnosť uvedenej agendy. Tak ako je uvedené vyššie, od predloženého návrhu očakávame, že ponúkne relevantné riešenia pre novovznikajúce situácie na trhu s tabakovými výrobkami. Trh veľmi pružne reaguje na dopyt po produktoch novej generácie ako sú elektronické cigarety a bezdymové tabakové výrobky. Zároveň očakávame, že bude vhodným nástrojom na boj proti daňovým </w:t>
            </w:r>
            <w:proofErr w:type="spellStart"/>
            <w:r w:rsidRPr="00E47756">
              <w:rPr>
                <w:sz w:val="20"/>
              </w:rPr>
              <w:t>únikom.V</w:t>
            </w:r>
            <w:proofErr w:type="spellEnd"/>
            <w:r w:rsidRPr="00E47756">
              <w:rPr>
                <w:sz w:val="20"/>
              </w:rPr>
              <w:t xml:space="preserve"> roku 2021 sa predpokladá predloženie revízie smernice o zdaňovaní tabaku. Zámerom návrhu bude najmä fungovanie vnútorného trhu s tabakovými výrobkami, harmonizácia štruktúry a výšky sadzieb daní a realizácia plánu EK v oblasti zdravotníctva a  boji proti rakovine. Zároveň to bude boj proti daňovým podvodom a daňovým únikom, keďže na trhu sa objavujú stále nové produkty a na túto situáciu je potrebné pružne reagovať. Rozvíja sa najmä trh s elektronickými cigaretami a bezdymovými tabakovými výrobkami. Smernica bude predložená na základe záverov Rady z 2. </w:t>
            </w:r>
            <w:r w:rsidRPr="00E47756">
              <w:rPr>
                <w:sz w:val="20"/>
              </w:rPr>
              <w:lastRenderedPageBreak/>
              <w:t>júna 2020 týkajúcich sa štruktúry a sadzieb spotrebnej dane z tabakových výrobkov.</w:t>
            </w:r>
          </w:p>
          <w:p w14:paraId="5EF784F9" w14:textId="77777777" w:rsidR="00E47756" w:rsidRPr="00E47756" w:rsidRDefault="00E47756" w:rsidP="00E47756">
            <w:pPr>
              <w:spacing w:after="0" w:line="240" w:lineRule="auto"/>
              <w:ind w:left="57" w:right="57"/>
              <w:rPr>
                <w:sz w:val="20"/>
              </w:rPr>
            </w:pPr>
          </w:p>
          <w:p w14:paraId="58B52C15" w14:textId="311803F2" w:rsidR="00F46B8A" w:rsidRPr="000A3081" w:rsidRDefault="00E47756" w:rsidP="0032116D">
            <w:pPr>
              <w:spacing w:after="0" w:line="240" w:lineRule="auto"/>
              <w:ind w:left="57" w:right="57"/>
              <w:rPr>
                <w:sz w:val="20"/>
              </w:rPr>
            </w:pPr>
            <w:r w:rsidRPr="00E47756">
              <w:rPr>
                <w:b/>
                <w:bCs/>
                <w:sz w:val="20"/>
                <w:szCs w:val="20"/>
                <w:u w:val="single"/>
              </w:rPr>
              <w:t>Vysoká priorita</w:t>
            </w:r>
            <w:r w:rsidRPr="00E47756">
              <w:rPr>
                <w:b/>
                <w:sz w:val="20"/>
                <w:szCs w:val="20"/>
              </w:rPr>
              <w:t xml:space="preserve"> - </w:t>
            </w:r>
            <w:r w:rsidRPr="00E47756">
              <w:rPr>
                <w:sz w:val="20"/>
              </w:rPr>
              <w:t>S ohľadom na problematiku praktickej realizácie smernice v aplikačnej praxi a nastavenia systémov má táto problematika vysokú prioritu.  V tejto oblasti očakávame najmä prijatie vykonávacích predpisov a technické špecifikácie k realizácii jednotlivých ustanovení smernice. Rokovania k samotnej smernici nepredpokladáme, keďže boli ukončené. Existuje však predpoklad, že EK túto možnosť nechala otvorenú pre prípad problémov pr</w:t>
            </w:r>
            <w:r w:rsidR="000A3081">
              <w:rPr>
                <w:sz w:val="20"/>
              </w:rPr>
              <w:t>i implantácii smernice v praxi.</w:t>
            </w:r>
          </w:p>
        </w:tc>
      </w:tr>
      <w:tr w:rsidR="00E47756" w:rsidRPr="00E47756" w14:paraId="6C70E839" w14:textId="77777777" w:rsidTr="001A4016">
        <w:trPr>
          <w:trHeight w:val="391"/>
        </w:trPr>
        <w:tc>
          <w:tcPr>
            <w:tcW w:w="6825" w:type="dxa"/>
            <w:gridSpan w:val="3"/>
            <w:tcBorders>
              <w:top w:val="single" w:sz="4" w:space="0" w:color="auto"/>
              <w:left w:val="single" w:sz="4" w:space="0" w:color="000000"/>
              <w:bottom w:val="single" w:sz="4" w:space="0" w:color="000000"/>
              <w:right w:val="single" w:sz="4" w:space="0" w:color="000000"/>
            </w:tcBorders>
            <w:shd w:val="clear" w:color="auto" w:fill="585EAA"/>
          </w:tcPr>
          <w:p w14:paraId="0CB78E6E" w14:textId="77777777" w:rsidR="00E47756" w:rsidRPr="00E47756" w:rsidRDefault="00E47756" w:rsidP="00E47756">
            <w:pPr>
              <w:spacing w:after="0"/>
            </w:pPr>
            <w:r w:rsidRPr="00E47756">
              <w:rPr>
                <w:b/>
                <w:color w:val="FFFFFF"/>
                <w:sz w:val="20"/>
              </w:rPr>
              <w:lastRenderedPageBreak/>
              <w:t>Silnejšia Európa vo svete</w:t>
            </w:r>
            <w:r w:rsidRPr="00E47756">
              <w:rPr>
                <w:b/>
                <w:sz w:val="20"/>
              </w:rPr>
              <w:t xml:space="preserve"> </w:t>
            </w:r>
          </w:p>
        </w:tc>
        <w:tc>
          <w:tcPr>
            <w:tcW w:w="1985" w:type="dxa"/>
            <w:tcBorders>
              <w:top w:val="single" w:sz="4" w:space="0" w:color="auto"/>
              <w:left w:val="single" w:sz="4" w:space="0" w:color="000000"/>
              <w:bottom w:val="single" w:sz="4" w:space="0" w:color="000000"/>
              <w:right w:val="single" w:sz="4" w:space="0" w:color="000000"/>
            </w:tcBorders>
            <w:shd w:val="clear" w:color="auto" w:fill="585EAA"/>
          </w:tcPr>
          <w:p w14:paraId="78DFD864" w14:textId="77777777" w:rsidR="00E47756" w:rsidRPr="00E47756" w:rsidRDefault="00E47756" w:rsidP="00E47756">
            <w:pPr>
              <w:spacing w:after="0"/>
              <w:rPr>
                <w:b/>
                <w:color w:val="FFFFFF"/>
                <w:sz w:val="20"/>
              </w:rPr>
            </w:pPr>
          </w:p>
        </w:tc>
        <w:tc>
          <w:tcPr>
            <w:tcW w:w="5812" w:type="dxa"/>
            <w:tcBorders>
              <w:top w:val="single" w:sz="4" w:space="0" w:color="auto"/>
              <w:left w:val="single" w:sz="4" w:space="0" w:color="000000"/>
              <w:bottom w:val="single" w:sz="4" w:space="0" w:color="000000"/>
              <w:right w:val="single" w:sz="4" w:space="0" w:color="000000"/>
            </w:tcBorders>
            <w:shd w:val="clear" w:color="auto" w:fill="585EAA"/>
          </w:tcPr>
          <w:p w14:paraId="3E7D6AA4" w14:textId="77777777" w:rsidR="00E47756" w:rsidRPr="00E47756" w:rsidRDefault="00E47756" w:rsidP="00E47756">
            <w:pPr>
              <w:spacing w:after="0"/>
              <w:rPr>
                <w:b/>
                <w:color w:val="FFFFFF"/>
                <w:sz w:val="20"/>
              </w:rPr>
            </w:pPr>
          </w:p>
        </w:tc>
      </w:tr>
      <w:tr w:rsidR="00E47756" w:rsidRPr="00E47756" w14:paraId="6F9CD24D" w14:textId="77777777" w:rsidTr="001A4016">
        <w:trPr>
          <w:trHeight w:val="538"/>
        </w:trPr>
        <w:tc>
          <w:tcPr>
            <w:tcW w:w="407" w:type="dxa"/>
            <w:tcBorders>
              <w:top w:val="single" w:sz="4" w:space="0" w:color="000000"/>
              <w:left w:val="single" w:sz="4" w:space="0" w:color="000000"/>
              <w:bottom w:val="single" w:sz="4" w:space="0" w:color="000000"/>
              <w:right w:val="single" w:sz="4" w:space="0" w:color="000000"/>
            </w:tcBorders>
          </w:tcPr>
          <w:p w14:paraId="4289B9F5" w14:textId="77777777" w:rsidR="00E47756" w:rsidRPr="00E47756" w:rsidRDefault="00E47756" w:rsidP="00E47756">
            <w:pPr>
              <w:spacing w:after="0" w:line="240" w:lineRule="auto"/>
              <w:ind w:left="57" w:right="57"/>
            </w:pPr>
            <w:r w:rsidRPr="00E47756">
              <w:rPr>
                <w:sz w:val="20"/>
              </w:rPr>
              <w:t>24.</w:t>
            </w:r>
            <w:r w:rsidRPr="00E47756">
              <w:rPr>
                <w:rFonts w:ascii="Arial" w:hAnsi="Arial" w:cs="Arial"/>
                <w:sz w:val="20"/>
              </w:rPr>
              <w:t xml:space="preserve"> </w:t>
            </w:r>
            <w:r w:rsidRPr="00E47756">
              <w:rPr>
                <w:sz w:val="20"/>
              </w:rPr>
              <w:t xml:space="preserve"> </w:t>
            </w:r>
          </w:p>
        </w:tc>
        <w:tc>
          <w:tcPr>
            <w:tcW w:w="2780" w:type="dxa"/>
            <w:tcBorders>
              <w:top w:val="single" w:sz="4" w:space="0" w:color="000000"/>
              <w:left w:val="single" w:sz="4" w:space="0" w:color="000000"/>
              <w:bottom w:val="single" w:sz="4" w:space="0" w:color="000000"/>
              <w:right w:val="single" w:sz="4" w:space="0" w:color="000000"/>
            </w:tcBorders>
          </w:tcPr>
          <w:p w14:paraId="38AFD188" w14:textId="77777777" w:rsidR="00E47756" w:rsidRPr="00E47756" w:rsidRDefault="00E47756" w:rsidP="00E47756">
            <w:pPr>
              <w:spacing w:after="0" w:line="240" w:lineRule="auto"/>
              <w:ind w:left="57" w:right="57"/>
              <w:rPr>
                <w:color w:val="auto"/>
              </w:rPr>
            </w:pPr>
            <w:r w:rsidRPr="00E47756">
              <w:rPr>
                <w:b/>
                <w:color w:val="auto"/>
                <w:sz w:val="20"/>
              </w:rPr>
              <w:t xml:space="preserve">Posilnenie prínosu EÚ k </w:t>
            </w:r>
            <w:proofErr w:type="spellStart"/>
            <w:r w:rsidRPr="00E47756">
              <w:rPr>
                <w:b/>
                <w:color w:val="auto"/>
                <w:sz w:val="20"/>
              </w:rPr>
              <w:t>multilateralizmu</w:t>
            </w:r>
            <w:proofErr w:type="spellEnd"/>
            <w:r w:rsidRPr="00E47756">
              <w:rPr>
                <w:b/>
                <w:color w:val="auto"/>
                <w:sz w:val="20"/>
              </w:rPr>
              <w:t xml:space="preserve"> založenému na pravidlách </w:t>
            </w:r>
          </w:p>
        </w:tc>
        <w:tc>
          <w:tcPr>
            <w:tcW w:w="3638" w:type="dxa"/>
            <w:tcBorders>
              <w:top w:val="single" w:sz="4" w:space="0" w:color="000000"/>
              <w:left w:val="single" w:sz="4" w:space="0" w:color="000000"/>
              <w:bottom w:val="single" w:sz="4" w:space="0" w:color="000000"/>
              <w:right w:val="single" w:sz="4" w:space="0" w:color="000000"/>
            </w:tcBorders>
          </w:tcPr>
          <w:p w14:paraId="4C062CF7" w14:textId="77777777" w:rsidR="00E47756" w:rsidRPr="00E47756" w:rsidRDefault="00E47756" w:rsidP="00E47756">
            <w:pPr>
              <w:spacing w:after="0" w:line="240" w:lineRule="auto"/>
              <w:ind w:left="57" w:right="57"/>
              <w:rPr>
                <w:color w:val="auto"/>
              </w:rPr>
            </w:pPr>
            <w:r w:rsidRPr="00E47756">
              <w:rPr>
                <w:b/>
                <w:color w:val="auto"/>
                <w:sz w:val="20"/>
              </w:rPr>
              <w:t xml:space="preserve">spoločné oznámenie o posilnení prínosu EÚ k </w:t>
            </w:r>
            <w:proofErr w:type="spellStart"/>
            <w:r w:rsidRPr="00E47756">
              <w:rPr>
                <w:b/>
                <w:color w:val="auto"/>
                <w:sz w:val="20"/>
              </w:rPr>
              <w:t>multilateralizmu</w:t>
            </w:r>
            <w:proofErr w:type="spellEnd"/>
            <w:r w:rsidRPr="00E47756">
              <w:rPr>
                <w:b/>
                <w:color w:val="auto"/>
                <w:sz w:val="20"/>
              </w:rPr>
              <w:t xml:space="preserve"> založenému na pravidlách</w:t>
            </w:r>
            <w:r w:rsidRPr="00E47756">
              <w:rPr>
                <w:color w:val="auto"/>
                <w:sz w:val="20"/>
              </w:rPr>
              <w:t xml:space="preserve">(nelegislatívna iniciatíva, </w:t>
            </w:r>
          </w:p>
          <w:p w14:paraId="23F7E26A" w14:textId="77777777" w:rsidR="00E47756" w:rsidRPr="00E47756" w:rsidRDefault="00E47756" w:rsidP="00E47756">
            <w:pPr>
              <w:spacing w:after="0" w:line="240" w:lineRule="auto"/>
              <w:ind w:left="57" w:right="57"/>
              <w:rPr>
                <w:color w:val="auto"/>
              </w:rPr>
            </w:pPr>
            <w:r w:rsidRPr="00E47756">
              <w:rPr>
                <w:color w:val="auto"/>
                <w:sz w:val="20"/>
              </w:rPr>
              <w:t xml:space="preserve">2. štvrťrok 2021) </w:t>
            </w:r>
          </w:p>
        </w:tc>
        <w:tc>
          <w:tcPr>
            <w:tcW w:w="1985" w:type="dxa"/>
            <w:tcBorders>
              <w:top w:val="single" w:sz="4" w:space="0" w:color="000000"/>
              <w:left w:val="single" w:sz="4" w:space="0" w:color="000000"/>
              <w:bottom w:val="single" w:sz="4" w:space="0" w:color="000000"/>
              <w:right w:val="single" w:sz="4" w:space="0" w:color="000000"/>
            </w:tcBorders>
          </w:tcPr>
          <w:p w14:paraId="77B5B873" w14:textId="77777777" w:rsidR="00E47756" w:rsidRPr="00E47756" w:rsidRDefault="00E47756" w:rsidP="00A4393C">
            <w:pPr>
              <w:spacing w:after="0" w:line="240" w:lineRule="auto"/>
              <w:ind w:left="57" w:right="57"/>
              <w:jc w:val="center"/>
              <w:rPr>
                <w:b/>
                <w:sz w:val="20"/>
              </w:rPr>
            </w:pPr>
            <w:r w:rsidRPr="00E47756">
              <w:rPr>
                <w:b/>
                <w:sz w:val="20"/>
              </w:rPr>
              <w:t>MZVEZ SR</w:t>
            </w:r>
          </w:p>
          <w:p w14:paraId="1171F99C" w14:textId="77777777" w:rsidR="00E47756" w:rsidRPr="00E47756" w:rsidRDefault="00E47756" w:rsidP="00A4393C">
            <w:pPr>
              <w:spacing w:after="0" w:line="240" w:lineRule="auto"/>
              <w:ind w:left="57" w:right="57"/>
              <w:jc w:val="center"/>
              <w:rPr>
                <w:b/>
                <w:color w:val="95B3D7"/>
                <w:sz w:val="20"/>
                <w:highlight w:val="yellow"/>
              </w:rPr>
            </w:pPr>
            <w:r w:rsidRPr="00E47756">
              <w:rPr>
                <w:b/>
                <w:sz w:val="20"/>
              </w:rPr>
              <w:t>MH SR</w:t>
            </w:r>
          </w:p>
        </w:tc>
        <w:tc>
          <w:tcPr>
            <w:tcW w:w="5812" w:type="dxa"/>
            <w:tcBorders>
              <w:top w:val="single" w:sz="4" w:space="0" w:color="000000"/>
              <w:left w:val="single" w:sz="4" w:space="0" w:color="000000"/>
              <w:bottom w:val="single" w:sz="4" w:space="0" w:color="000000"/>
              <w:right w:val="single" w:sz="4" w:space="0" w:color="000000"/>
            </w:tcBorders>
          </w:tcPr>
          <w:p w14:paraId="5C818374" w14:textId="086F31A8" w:rsidR="00F46B8A" w:rsidRPr="0032116D" w:rsidRDefault="00E47756" w:rsidP="0032116D">
            <w:pPr>
              <w:spacing w:after="0" w:line="240" w:lineRule="auto"/>
              <w:ind w:left="57" w:right="57"/>
              <w:rPr>
                <w:sz w:val="20"/>
              </w:rPr>
            </w:pPr>
            <w:r w:rsidRPr="00E47756">
              <w:rPr>
                <w:b/>
                <w:bCs/>
                <w:sz w:val="20"/>
                <w:szCs w:val="20"/>
                <w:u w:val="single"/>
              </w:rPr>
              <w:t>Stredná priorita</w:t>
            </w:r>
            <w:r w:rsidRPr="00E47756">
              <w:rPr>
                <w:b/>
                <w:sz w:val="20"/>
                <w:szCs w:val="20"/>
              </w:rPr>
              <w:t xml:space="preserve"> - </w:t>
            </w:r>
            <w:r w:rsidRPr="00E47756">
              <w:rPr>
                <w:sz w:val="20"/>
              </w:rPr>
              <w:t>Spoločné oznámenie o posilnení príspevku EÚ k </w:t>
            </w:r>
            <w:proofErr w:type="spellStart"/>
            <w:r w:rsidRPr="00E47756">
              <w:rPr>
                <w:sz w:val="20"/>
              </w:rPr>
              <w:t>multilaterali</w:t>
            </w:r>
            <w:r w:rsidR="00A4393C">
              <w:rPr>
                <w:sz w:val="20"/>
              </w:rPr>
              <w:t>zmu</w:t>
            </w:r>
            <w:proofErr w:type="spellEnd"/>
            <w:r w:rsidR="00A4393C">
              <w:rPr>
                <w:sz w:val="20"/>
              </w:rPr>
              <w:t xml:space="preserve"> založenému na pravidlách – </w:t>
            </w:r>
            <w:r w:rsidRPr="00E47756">
              <w:rPr>
                <w:sz w:val="20"/>
              </w:rPr>
              <w:t xml:space="preserve">nelegislatívnu iniciatívu, ktorú Komisia plánuje predstaviť v 2. štvrťroku 2021, navrhne konkrétne kroky zamerané na proaktívne a zodpovedné vedenie EÚ na multilaterálnej úrovni. Súčasná kríza spôsobená pandémiou ochorenia </w:t>
            </w:r>
            <w:r w:rsidR="00C00726">
              <w:rPr>
                <w:sz w:val="20"/>
              </w:rPr>
              <w:t>COVID</w:t>
            </w:r>
            <w:r w:rsidRPr="00E47756">
              <w:rPr>
                <w:sz w:val="20"/>
              </w:rPr>
              <w:t xml:space="preserve">-19 ukázala, že systém OSN nie vždy zodpovedá úlohám, pre ktoré bol navrhnutý. Obchodné napätie medzi USA a Čínou zase oslabuje multilaterálny obchod. V reakcii na tieto výzvy EÚ opätovne potvrdila silnú podporu </w:t>
            </w:r>
            <w:proofErr w:type="spellStart"/>
            <w:r w:rsidRPr="00E47756">
              <w:rPr>
                <w:sz w:val="20"/>
              </w:rPr>
              <w:t>multilateralizmu</w:t>
            </w:r>
            <w:proofErr w:type="spellEnd"/>
            <w:r w:rsidRPr="00E47756">
              <w:rPr>
                <w:sz w:val="20"/>
              </w:rPr>
              <w:t>, ale aj potrebu reformovať globálne organizácie ako OSN a WTO, aby fungovali efektívnejšie. Kroky pre naplnenie týchto cieľov majú byť obsiahnuté v pripravovanom spoločnom oznámení.</w:t>
            </w:r>
          </w:p>
        </w:tc>
      </w:tr>
      <w:tr w:rsidR="00E47756" w:rsidRPr="00E47756" w14:paraId="5428F903" w14:textId="77777777" w:rsidTr="001A4016">
        <w:trPr>
          <w:trHeight w:val="295"/>
        </w:trPr>
        <w:tc>
          <w:tcPr>
            <w:tcW w:w="407" w:type="dxa"/>
            <w:tcBorders>
              <w:top w:val="single" w:sz="4" w:space="0" w:color="000000"/>
              <w:left w:val="single" w:sz="4" w:space="0" w:color="000000"/>
              <w:bottom w:val="single" w:sz="4" w:space="0" w:color="000000"/>
              <w:right w:val="single" w:sz="4" w:space="0" w:color="000000"/>
            </w:tcBorders>
          </w:tcPr>
          <w:p w14:paraId="6E3CDA04" w14:textId="77777777" w:rsidR="00E47756" w:rsidRPr="00E47756" w:rsidRDefault="00E47756" w:rsidP="00E47756">
            <w:pPr>
              <w:spacing w:after="0" w:line="240" w:lineRule="auto"/>
              <w:ind w:left="57" w:right="57"/>
            </w:pPr>
            <w:r w:rsidRPr="00E47756">
              <w:rPr>
                <w:sz w:val="20"/>
              </w:rPr>
              <w:t>25.</w:t>
            </w:r>
            <w:r w:rsidRPr="00E47756">
              <w:rPr>
                <w:rFonts w:ascii="Arial" w:hAnsi="Arial" w:cs="Arial"/>
                <w:sz w:val="20"/>
              </w:rPr>
              <w:t xml:space="preserve"> </w:t>
            </w:r>
            <w:r w:rsidRPr="00E47756">
              <w:rPr>
                <w:sz w:val="20"/>
              </w:rPr>
              <w:t xml:space="preserve"> </w:t>
            </w:r>
          </w:p>
        </w:tc>
        <w:tc>
          <w:tcPr>
            <w:tcW w:w="2780" w:type="dxa"/>
            <w:tcBorders>
              <w:top w:val="single" w:sz="4" w:space="0" w:color="000000"/>
              <w:left w:val="single" w:sz="4" w:space="0" w:color="000000"/>
              <w:bottom w:val="single" w:sz="4" w:space="0" w:color="000000"/>
              <w:right w:val="single" w:sz="4" w:space="0" w:color="000000"/>
            </w:tcBorders>
          </w:tcPr>
          <w:p w14:paraId="2F84CA02" w14:textId="77777777" w:rsidR="00E47756" w:rsidRPr="00E47756" w:rsidRDefault="00E47756" w:rsidP="00E47756">
            <w:pPr>
              <w:spacing w:after="0" w:line="240" w:lineRule="auto"/>
              <w:ind w:left="57" w:right="57"/>
              <w:rPr>
                <w:color w:val="auto"/>
              </w:rPr>
            </w:pPr>
            <w:r w:rsidRPr="00E47756">
              <w:rPr>
                <w:b/>
                <w:color w:val="auto"/>
                <w:sz w:val="20"/>
              </w:rPr>
              <w:t xml:space="preserve">Arktický rozmer </w:t>
            </w:r>
          </w:p>
        </w:tc>
        <w:tc>
          <w:tcPr>
            <w:tcW w:w="3638" w:type="dxa"/>
            <w:tcBorders>
              <w:top w:val="single" w:sz="4" w:space="0" w:color="000000"/>
              <w:left w:val="single" w:sz="4" w:space="0" w:color="000000"/>
              <w:bottom w:val="single" w:sz="4" w:space="0" w:color="000000"/>
              <w:right w:val="single" w:sz="4" w:space="0" w:color="000000"/>
            </w:tcBorders>
          </w:tcPr>
          <w:p w14:paraId="144680A0" w14:textId="77777777" w:rsidR="00E47756" w:rsidRPr="00E47756" w:rsidRDefault="00E47756" w:rsidP="00E47756">
            <w:pPr>
              <w:spacing w:after="0" w:line="240" w:lineRule="auto"/>
              <w:ind w:left="57" w:right="57"/>
              <w:rPr>
                <w:color w:val="auto"/>
              </w:rPr>
            </w:pPr>
            <w:r w:rsidRPr="00E47756">
              <w:rPr>
                <w:b/>
                <w:color w:val="auto"/>
                <w:sz w:val="20"/>
              </w:rPr>
              <w:t>spoločné oznámenie o Arktíde</w:t>
            </w:r>
            <w:r w:rsidRPr="00E47756">
              <w:rPr>
                <w:color w:val="auto"/>
                <w:sz w:val="20"/>
              </w:rPr>
              <w:t xml:space="preserve"> (nelegislatívna iniciatíva, 4. štvrťrok 2021)</w:t>
            </w:r>
            <w:r w:rsidRPr="00E47756">
              <w:rPr>
                <w:b/>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FC1420E" w14:textId="77777777" w:rsidR="00E47756" w:rsidRPr="00E47756" w:rsidRDefault="00E47756" w:rsidP="00E47756">
            <w:pPr>
              <w:spacing w:after="0" w:line="240" w:lineRule="auto"/>
              <w:ind w:left="57" w:right="57"/>
              <w:jc w:val="center"/>
              <w:rPr>
                <w:b/>
                <w:color w:val="95B3D7"/>
                <w:sz w:val="20"/>
              </w:rPr>
            </w:pPr>
            <w:r w:rsidRPr="00E47756">
              <w:rPr>
                <w:b/>
                <w:sz w:val="20"/>
              </w:rPr>
              <w:t>MZVEZ SR</w:t>
            </w:r>
          </w:p>
        </w:tc>
        <w:tc>
          <w:tcPr>
            <w:tcW w:w="5812" w:type="dxa"/>
            <w:tcBorders>
              <w:top w:val="single" w:sz="4" w:space="0" w:color="000000"/>
              <w:left w:val="single" w:sz="4" w:space="0" w:color="000000"/>
              <w:bottom w:val="single" w:sz="4" w:space="0" w:color="000000"/>
              <w:right w:val="single" w:sz="4" w:space="0" w:color="000000"/>
            </w:tcBorders>
          </w:tcPr>
          <w:p w14:paraId="640FFB4F" w14:textId="65CBB0BF" w:rsidR="00F46B8A" w:rsidRPr="0032116D" w:rsidRDefault="00E47756" w:rsidP="0032116D">
            <w:pPr>
              <w:shd w:val="clear" w:color="auto" w:fill="FFFFFF"/>
              <w:spacing w:after="0" w:line="240" w:lineRule="auto"/>
              <w:ind w:left="57" w:right="57"/>
              <w:textAlignment w:val="baseline"/>
              <w:rPr>
                <w:sz w:val="20"/>
              </w:rPr>
            </w:pPr>
            <w:r w:rsidRPr="00E47756">
              <w:rPr>
                <w:b/>
                <w:bCs/>
                <w:sz w:val="20"/>
                <w:szCs w:val="20"/>
                <w:u w:val="single"/>
              </w:rPr>
              <w:t xml:space="preserve">Stredná priorita </w:t>
            </w:r>
            <w:r w:rsidRPr="00E47756">
              <w:rPr>
                <w:b/>
                <w:sz w:val="20"/>
                <w:szCs w:val="20"/>
              </w:rPr>
              <w:t xml:space="preserve"> - </w:t>
            </w:r>
            <w:r w:rsidRPr="00E47756">
              <w:rPr>
                <w:sz w:val="20"/>
              </w:rPr>
              <w:t xml:space="preserve">Arktída má, vzhľadom na obrovské nerastné bohatstvo, transportný potenciál (topenie ľadovcov a s tým súvisiace nové lodné trasy z Ázie do Európy) a strategickú polohu, čoraz väčší význam a stáva sa novou arénou súperenia veľmocí. V danom regióne narastá aj úloha EÚ, pre ktorú je dôležité zachovať Arktídu ako zónu mieru, prosperity a konštruktívnej medzinárodnej spolupráce. SR preto podporuje iniciatívu EK vydať spoločné oznámenie o Arktíde s cieľom reagovať na aktuálny vývoj a definovať efektívnu politiku s cieľom presadzovať záujmy EÚ v danej oblasti. </w:t>
            </w:r>
          </w:p>
        </w:tc>
      </w:tr>
      <w:tr w:rsidR="00E47756" w:rsidRPr="00E47756" w14:paraId="2BB2483E" w14:textId="77777777" w:rsidTr="001A4016">
        <w:trPr>
          <w:trHeight w:val="298"/>
        </w:trPr>
        <w:tc>
          <w:tcPr>
            <w:tcW w:w="407" w:type="dxa"/>
            <w:tcBorders>
              <w:top w:val="single" w:sz="4" w:space="0" w:color="000000"/>
              <w:left w:val="single" w:sz="4" w:space="0" w:color="000000"/>
              <w:bottom w:val="single" w:sz="4" w:space="0" w:color="000000"/>
              <w:right w:val="single" w:sz="4" w:space="0" w:color="000000"/>
            </w:tcBorders>
          </w:tcPr>
          <w:p w14:paraId="42E5D6D6" w14:textId="77777777" w:rsidR="00E47756" w:rsidRPr="00E47756" w:rsidRDefault="00E47756" w:rsidP="00E47756">
            <w:pPr>
              <w:spacing w:after="0" w:line="240" w:lineRule="auto"/>
              <w:ind w:left="57" w:right="57"/>
            </w:pPr>
            <w:r w:rsidRPr="00E47756">
              <w:rPr>
                <w:sz w:val="20"/>
              </w:rPr>
              <w:t>26.</w:t>
            </w:r>
            <w:r w:rsidRPr="00E47756">
              <w:rPr>
                <w:rFonts w:ascii="Arial" w:hAnsi="Arial" w:cs="Arial"/>
                <w:sz w:val="20"/>
              </w:rPr>
              <w:t xml:space="preserve"> </w:t>
            </w:r>
            <w:r w:rsidRPr="00E47756">
              <w:rPr>
                <w:sz w:val="20"/>
              </w:rPr>
              <w:t xml:space="preserve"> </w:t>
            </w:r>
          </w:p>
        </w:tc>
        <w:tc>
          <w:tcPr>
            <w:tcW w:w="2780" w:type="dxa"/>
            <w:tcBorders>
              <w:top w:val="single" w:sz="4" w:space="0" w:color="000000"/>
              <w:left w:val="single" w:sz="4" w:space="0" w:color="000000"/>
              <w:bottom w:val="single" w:sz="4" w:space="0" w:color="000000"/>
              <w:right w:val="single" w:sz="4" w:space="0" w:color="000000"/>
            </w:tcBorders>
          </w:tcPr>
          <w:p w14:paraId="066F950E" w14:textId="77777777" w:rsidR="00E47756" w:rsidRPr="00E47756" w:rsidRDefault="00E47756" w:rsidP="00E47756">
            <w:pPr>
              <w:spacing w:after="0" w:line="240" w:lineRule="auto"/>
              <w:ind w:left="57" w:right="57"/>
              <w:rPr>
                <w:color w:val="auto"/>
              </w:rPr>
            </w:pPr>
            <w:r w:rsidRPr="00E47756">
              <w:rPr>
                <w:b/>
                <w:color w:val="auto"/>
                <w:sz w:val="20"/>
              </w:rPr>
              <w:t xml:space="preserve">Južné susedstvo </w:t>
            </w:r>
          </w:p>
        </w:tc>
        <w:tc>
          <w:tcPr>
            <w:tcW w:w="3638" w:type="dxa"/>
            <w:tcBorders>
              <w:top w:val="single" w:sz="4" w:space="0" w:color="000000"/>
              <w:left w:val="single" w:sz="4" w:space="0" w:color="000000"/>
              <w:bottom w:val="single" w:sz="4" w:space="0" w:color="000000"/>
              <w:right w:val="single" w:sz="4" w:space="0" w:color="000000"/>
            </w:tcBorders>
          </w:tcPr>
          <w:p w14:paraId="01B5EE3D" w14:textId="77777777" w:rsidR="00E47756" w:rsidRPr="00E47756" w:rsidRDefault="00E47756" w:rsidP="00E47756">
            <w:pPr>
              <w:spacing w:after="0" w:line="240" w:lineRule="auto"/>
              <w:ind w:left="57" w:right="57"/>
              <w:rPr>
                <w:color w:val="auto"/>
              </w:rPr>
            </w:pPr>
            <w:r w:rsidRPr="00E47756">
              <w:rPr>
                <w:b/>
                <w:color w:val="auto"/>
                <w:sz w:val="20"/>
              </w:rPr>
              <w:t>spoločné oznámenie o obnovenom partnerstve s južným susedstvom</w:t>
            </w:r>
            <w:r w:rsidRPr="00E47756">
              <w:rPr>
                <w:color w:val="auto"/>
                <w:sz w:val="20"/>
              </w:rPr>
              <w:t xml:space="preserve"> (nelegislatívna iniciatíva, 1. štvrťrok 2021) </w:t>
            </w:r>
          </w:p>
        </w:tc>
        <w:tc>
          <w:tcPr>
            <w:tcW w:w="1985" w:type="dxa"/>
            <w:tcBorders>
              <w:top w:val="single" w:sz="4" w:space="0" w:color="000000"/>
              <w:left w:val="single" w:sz="4" w:space="0" w:color="000000"/>
              <w:bottom w:val="single" w:sz="4" w:space="0" w:color="000000"/>
              <w:right w:val="single" w:sz="4" w:space="0" w:color="000000"/>
            </w:tcBorders>
          </w:tcPr>
          <w:p w14:paraId="3B815DD2" w14:textId="77777777" w:rsidR="00E47756" w:rsidRPr="00E47756" w:rsidRDefault="00E47756" w:rsidP="00E47756">
            <w:pPr>
              <w:spacing w:after="0" w:line="240" w:lineRule="auto"/>
              <w:ind w:left="57" w:right="57"/>
              <w:jc w:val="center"/>
              <w:rPr>
                <w:b/>
                <w:color w:val="95B3D7"/>
                <w:sz w:val="20"/>
              </w:rPr>
            </w:pPr>
            <w:r w:rsidRPr="00E47756">
              <w:rPr>
                <w:b/>
                <w:sz w:val="20"/>
              </w:rPr>
              <w:t>MZVEZ SR</w:t>
            </w:r>
          </w:p>
        </w:tc>
        <w:tc>
          <w:tcPr>
            <w:tcW w:w="5812" w:type="dxa"/>
            <w:tcBorders>
              <w:top w:val="single" w:sz="4" w:space="0" w:color="000000"/>
              <w:left w:val="single" w:sz="4" w:space="0" w:color="000000"/>
              <w:bottom w:val="single" w:sz="4" w:space="0" w:color="000000"/>
              <w:right w:val="single" w:sz="4" w:space="0" w:color="000000"/>
            </w:tcBorders>
          </w:tcPr>
          <w:p w14:paraId="6CF91BF4" w14:textId="77777777" w:rsidR="00E47756" w:rsidRPr="00E47756" w:rsidRDefault="00E47756" w:rsidP="00E47756">
            <w:pPr>
              <w:shd w:val="clear" w:color="auto" w:fill="FFFFFF"/>
              <w:spacing w:after="0" w:line="240" w:lineRule="auto"/>
              <w:ind w:left="57" w:right="57"/>
              <w:textAlignment w:val="baseline"/>
              <w:rPr>
                <w:b/>
                <w:bCs/>
                <w:sz w:val="20"/>
                <w:szCs w:val="20"/>
                <w:u w:val="single"/>
              </w:rPr>
            </w:pPr>
            <w:r w:rsidRPr="00E47756">
              <w:rPr>
                <w:b/>
                <w:bCs/>
                <w:sz w:val="20"/>
                <w:szCs w:val="20"/>
                <w:u w:val="single"/>
              </w:rPr>
              <w:t>Stredná priorita</w:t>
            </w:r>
            <w:r w:rsidRPr="00E47756">
              <w:rPr>
                <w:b/>
                <w:sz w:val="20"/>
                <w:szCs w:val="20"/>
              </w:rPr>
              <w:t xml:space="preserve"> - </w:t>
            </w:r>
            <w:r w:rsidRPr="00E47756">
              <w:rPr>
                <w:sz w:val="20"/>
              </w:rPr>
              <w:t xml:space="preserve">Politická, bezpečnostná a ekonomická stabilizácia (a tým aj tým aj adresovanie základných príčin nelegálnej migrácie) partnerských krajín Južného susedstva EÚ je v našom záujme, preto </w:t>
            </w:r>
            <w:r w:rsidRPr="00E47756">
              <w:rPr>
                <w:sz w:val="20"/>
              </w:rPr>
              <w:lastRenderedPageBreak/>
              <w:t xml:space="preserve">sme na decembrovom zasadnutí ER podporili prijatie záverov k Južnému susedstvu EÚ, ktorých súčasťou je aj </w:t>
            </w:r>
            <w:proofErr w:type="spellStart"/>
            <w:r w:rsidRPr="00E47756">
              <w:rPr>
                <w:sz w:val="20"/>
              </w:rPr>
              <w:t>tasking</w:t>
            </w:r>
            <w:proofErr w:type="spellEnd"/>
            <w:r w:rsidRPr="00E47756">
              <w:rPr>
                <w:sz w:val="20"/>
              </w:rPr>
              <w:t xml:space="preserve"> spoločného oznámenia HR/VP a EK k Južnému susedstvu v 1Q 2021.</w:t>
            </w:r>
          </w:p>
        </w:tc>
      </w:tr>
      <w:tr w:rsidR="00E47756" w:rsidRPr="00E47756" w14:paraId="301D9A16" w14:textId="77777777" w:rsidTr="001A4016">
        <w:trPr>
          <w:trHeight w:val="526"/>
        </w:trPr>
        <w:tc>
          <w:tcPr>
            <w:tcW w:w="407" w:type="dxa"/>
            <w:tcBorders>
              <w:top w:val="single" w:sz="4" w:space="0" w:color="000000"/>
              <w:left w:val="single" w:sz="4" w:space="0" w:color="000000"/>
              <w:bottom w:val="single" w:sz="4" w:space="0" w:color="000000"/>
              <w:right w:val="single" w:sz="4" w:space="0" w:color="000000"/>
            </w:tcBorders>
          </w:tcPr>
          <w:p w14:paraId="718A3BE0" w14:textId="77777777" w:rsidR="00E47756" w:rsidRPr="00E47756" w:rsidRDefault="00E47756" w:rsidP="00E47756">
            <w:pPr>
              <w:spacing w:after="0" w:line="240" w:lineRule="auto"/>
              <w:ind w:left="57" w:right="57"/>
              <w:rPr>
                <w:color w:val="auto"/>
              </w:rPr>
            </w:pPr>
            <w:r w:rsidRPr="00E47756">
              <w:rPr>
                <w:sz w:val="20"/>
              </w:rPr>
              <w:lastRenderedPageBreak/>
              <w:t>27.</w:t>
            </w:r>
            <w:r w:rsidRPr="00E47756">
              <w:rPr>
                <w:rFonts w:ascii="Arial" w:hAnsi="Arial" w:cs="Arial"/>
                <w:sz w:val="20"/>
              </w:rPr>
              <w:t xml:space="preserve"> </w:t>
            </w:r>
            <w:r w:rsidRPr="00E47756">
              <w:rPr>
                <w:sz w:val="20"/>
              </w:rPr>
              <w:t xml:space="preserve"> </w:t>
            </w:r>
          </w:p>
        </w:tc>
        <w:tc>
          <w:tcPr>
            <w:tcW w:w="2780" w:type="dxa"/>
            <w:tcBorders>
              <w:top w:val="single" w:sz="4" w:space="0" w:color="000000"/>
              <w:left w:val="single" w:sz="4" w:space="0" w:color="000000"/>
              <w:bottom w:val="single" w:sz="4" w:space="0" w:color="000000"/>
              <w:right w:val="single" w:sz="4" w:space="0" w:color="000000"/>
            </w:tcBorders>
          </w:tcPr>
          <w:p w14:paraId="5F27F9E8" w14:textId="77777777" w:rsidR="00E47756" w:rsidRPr="00E47756" w:rsidRDefault="00E47756" w:rsidP="00E47756">
            <w:pPr>
              <w:spacing w:after="0" w:line="240" w:lineRule="auto"/>
              <w:ind w:left="57" w:right="57"/>
              <w:jc w:val="left"/>
              <w:rPr>
                <w:color w:val="auto"/>
              </w:rPr>
            </w:pPr>
            <w:r w:rsidRPr="00E47756">
              <w:rPr>
                <w:b/>
                <w:color w:val="auto"/>
                <w:sz w:val="20"/>
              </w:rPr>
              <w:t xml:space="preserve">Odzbrojenie, demobilizácia a reintegrácia bývalých bojovníkov </w:t>
            </w:r>
          </w:p>
        </w:tc>
        <w:tc>
          <w:tcPr>
            <w:tcW w:w="3638" w:type="dxa"/>
            <w:tcBorders>
              <w:top w:val="single" w:sz="4" w:space="0" w:color="000000"/>
              <w:left w:val="single" w:sz="4" w:space="0" w:color="000000"/>
              <w:bottom w:val="single" w:sz="4" w:space="0" w:color="000000"/>
              <w:right w:val="single" w:sz="4" w:space="0" w:color="000000"/>
            </w:tcBorders>
          </w:tcPr>
          <w:p w14:paraId="1BAB2B1A" w14:textId="77777777" w:rsidR="00E47756" w:rsidRPr="00E47756" w:rsidRDefault="00E47756" w:rsidP="00E47756">
            <w:pPr>
              <w:spacing w:after="0" w:line="240" w:lineRule="auto"/>
              <w:ind w:left="57" w:right="57"/>
              <w:rPr>
                <w:color w:val="auto"/>
              </w:rPr>
            </w:pPr>
            <w:r w:rsidRPr="00E47756">
              <w:rPr>
                <w:b/>
                <w:color w:val="auto"/>
                <w:sz w:val="20"/>
              </w:rPr>
              <w:t>spoločné oznámenie o strategickom prístupe k podpore odzbrojenia, demobilizácie a reintegrácie bývalých bojovníkov</w:t>
            </w:r>
            <w:r w:rsidRPr="00E47756">
              <w:rPr>
                <w:color w:val="auto"/>
                <w:sz w:val="20"/>
              </w:rPr>
              <w:t>(nelegislatívna iniciatíva, 3. štvrťrok 2021)</w:t>
            </w:r>
            <w:r w:rsidRPr="00E47756">
              <w:rPr>
                <w:b/>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129C1BF" w14:textId="77777777" w:rsidR="00913DAA" w:rsidRDefault="00913DAA" w:rsidP="00195C5B">
            <w:pPr>
              <w:spacing w:after="0" w:line="240" w:lineRule="auto"/>
              <w:ind w:left="57" w:right="57"/>
              <w:jc w:val="center"/>
              <w:rPr>
                <w:b/>
                <w:sz w:val="20"/>
              </w:rPr>
            </w:pPr>
            <w:r w:rsidRPr="00E47756">
              <w:rPr>
                <w:b/>
                <w:sz w:val="20"/>
              </w:rPr>
              <w:t>MZVEZ SR</w:t>
            </w:r>
            <w:r>
              <w:rPr>
                <w:b/>
                <w:sz w:val="20"/>
              </w:rPr>
              <w:t xml:space="preserve"> </w:t>
            </w:r>
          </w:p>
          <w:p w14:paraId="10A1348D" w14:textId="3016AE4E" w:rsidR="00D24A1C" w:rsidRDefault="00D24A1C" w:rsidP="00195C5B">
            <w:pPr>
              <w:spacing w:after="0" w:line="240" w:lineRule="auto"/>
              <w:ind w:left="57" w:right="57"/>
              <w:jc w:val="center"/>
              <w:rPr>
                <w:b/>
                <w:sz w:val="20"/>
              </w:rPr>
            </w:pPr>
            <w:r>
              <w:rPr>
                <w:b/>
                <w:sz w:val="20"/>
              </w:rPr>
              <w:t>MO SR</w:t>
            </w:r>
          </w:p>
          <w:p w14:paraId="1369D03B" w14:textId="18657DA8" w:rsidR="00B46DB0" w:rsidRPr="00E47756" w:rsidRDefault="00B46DB0" w:rsidP="00195C5B">
            <w:pPr>
              <w:spacing w:after="0" w:line="240" w:lineRule="auto"/>
              <w:ind w:left="57" w:right="57"/>
              <w:jc w:val="center"/>
              <w:rPr>
                <w:b/>
                <w:color w:val="95B3D7"/>
                <w:sz w:val="20"/>
              </w:rPr>
            </w:pPr>
          </w:p>
        </w:tc>
        <w:tc>
          <w:tcPr>
            <w:tcW w:w="5812" w:type="dxa"/>
            <w:tcBorders>
              <w:top w:val="single" w:sz="4" w:space="0" w:color="000000"/>
              <w:left w:val="single" w:sz="4" w:space="0" w:color="000000"/>
              <w:bottom w:val="single" w:sz="4" w:space="0" w:color="000000"/>
              <w:right w:val="single" w:sz="4" w:space="0" w:color="000000"/>
            </w:tcBorders>
          </w:tcPr>
          <w:p w14:paraId="5D661417" w14:textId="3DD3E7C3" w:rsidR="00E47756" w:rsidRPr="00E47756" w:rsidRDefault="00AB10CB" w:rsidP="00E47756">
            <w:pPr>
              <w:spacing w:after="0" w:line="240" w:lineRule="auto"/>
              <w:ind w:left="57" w:right="57"/>
              <w:rPr>
                <w:b/>
                <w:color w:val="95B3D7"/>
                <w:sz w:val="20"/>
              </w:rPr>
            </w:pPr>
            <w:r w:rsidRPr="00E47756">
              <w:rPr>
                <w:b/>
                <w:bCs/>
                <w:sz w:val="20"/>
                <w:szCs w:val="20"/>
                <w:u w:val="single"/>
              </w:rPr>
              <w:t>Stredná priorita</w:t>
            </w:r>
            <w:r w:rsidRPr="00E47756">
              <w:rPr>
                <w:b/>
                <w:sz w:val="20"/>
                <w:szCs w:val="20"/>
              </w:rPr>
              <w:t xml:space="preserve"> </w:t>
            </w:r>
            <w:r>
              <w:rPr>
                <w:b/>
                <w:sz w:val="20"/>
                <w:szCs w:val="20"/>
              </w:rPr>
              <w:t xml:space="preserve">– </w:t>
            </w:r>
            <w:r>
              <w:rPr>
                <w:sz w:val="20"/>
              </w:rPr>
              <w:t>Nová stratégia v oblasti DDR nahradí Koncept prístupu EÚ k DDR ešte z roku 2006. Cieľom stratégie je lepšie prepojiť operácie krízového manažmentu EÚ (SBOP) s rozvojovou pomocou EÚ</w:t>
            </w:r>
            <w:r w:rsidRPr="00A649EC">
              <w:rPr>
                <w:sz w:val="20"/>
              </w:rPr>
              <w:t xml:space="preserve"> v </w:t>
            </w:r>
            <w:r>
              <w:rPr>
                <w:sz w:val="20"/>
              </w:rPr>
              <w:t>procese reintegrácie bývalých bojovníkov v príslušných tretích krajiná</w:t>
            </w:r>
            <w:r w:rsidRPr="00A649EC">
              <w:rPr>
                <w:sz w:val="20"/>
              </w:rPr>
              <w:t>ch.</w:t>
            </w:r>
            <w:r w:rsidRPr="000C02A2">
              <w:rPr>
                <w:sz w:val="20"/>
              </w:rPr>
              <w:t xml:space="preserve"> Je nevyhnutné nastaviť procesy DDR v aktivitách EÚ v partnerských krajinách tak</w:t>
            </w:r>
            <w:r>
              <w:rPr>
                <w:sz w:val="20"/>
              </w:rPr>
              <w:t>,</w:t>
            </w:r>
            <w:r w:rsidRPr="000C02A2">
              <w:rPr>
                <w:sz w:val="20"/>
              </w:rPr>
              <w:t xml:space="preserve"> aby reagovali na okamžité bezpečnostné potreby a pomôcť položiť základy dlhodobej stability v  partnerskej krajine alebo regióne.</w:t>
            </w:r>
          </w:p>
        </w:tc>
      </w:tr>
      <w:tr w:rsidR="00E47756" w:rsidRPr="00E47756" w14:paraId="57D1589B" w14:textId="77777777" w:rsidTr="001A4016">
        <w:trPr>
          <w:trHeight w:val="295"/>
        </w:trPr>
        <w:tc>
          <w:tcPr>
            <w:tcW w:w="407" w:type="dxa"/>
            <w:tcBorders>
              <w:top w:val="single" w:sz="4" w:space="0" w:color="000000"/>
              <w:left w:val="single" w:sz="4" w:space="0" w:color="000000"/>
              <w:bottom w:val="single" w:sz="4" w:space="0" w:color="000000"/>
              <w:right w:val="single" w:sz="4" w:space="0" w:color="000000"/>
            </w:tcBorders>
          </w:tcPr>
          <w:p w14:paraId="7AAD0EC3" w14:textId="77777777" w:rsidR="00E47756" w:rsidRPr="00E47756" w:rsidRDefault="00E47756" w:rsidP="00E47756">
            <w:pPr>
              <w:spacing w:after="0" w:line="240" w:lineRule="auto"/>
              <w:ind w:left="57" w:right="57"/>
            </w:pPr>
            <w:r w:rsidRPr="00E47756">
              <w:rPr>
                <w:sz w:val="20"/>
              </w:rPr>
              <w:t>28.</w:t>
            </w:r>
            <w:r w:rsidRPr="00E47756">
              <w:rPr>
                <w:rFonts w:ascii="Arial" w:hAnsi="Arial" w:cs="Arial"/>
                <w:sz w:val="20"/>
              </w:rPr>
              <w:t xml:space="preserve"> </w:t>
            </w:r>
            <w:r w:rsidRPr="00E47756">
              <w:rPr>
                <w:sz w:val="20"/>
              </w:rPr>
              <w:t xml:space="preserve"> </w:t>
            </w:r>
          </w:p>
        </w:tc>
        <w:tc>
          <w:tcPr>
            <w:tcW w:w="2780" w:type="dxa"/>
            <w:tcBorders>
              <w:top w:val="single" w:sz="4" w:space="0" w:color="000000"/>
              <w:left w:val="single" w:sz="4" w:space="0" w:color="000000"/>
              <w:bottom w:val="single" w:sz="4" w:space="0" w:color="000000"/>
              <w:right w:val="single" w:sz="4" w:space="0" w:color="000000"/>
            </w:tcBorders>
          </w:tcPr>
          <w:p w14:paraId="5C1C47B3" w14:textId="77777777" w:rsidR="00E47756" w:rsidRPr="00E47756" w:rsidRDefault="00E47756" w:rsidP="00E47756">
            <w:pPr>
              <w:spacing w:after="0" w:line="240" w:lineRule="auto"/>
              <w:ind w:left="57" w:right="57"/>
            </w:pPr>
            <w:r w:rsidRPr="00E47756">
              <w:rPr>
                <w:b/>
                <w:sz w:val="20"/>
              </w:rPr>
              <w:t xml:space="preserve">Výskum, inovácia, vzdelávanie a mládež </w:t>
            </w:r>
          </w:p>
        </w:tc>
        <w:tc>
          <w:tcPr>
            <w:tcW w:w="3638" w:type="dxa"/>
            <w:tcBorders>
              <w:top w:val="single" w:sz="4" w:space="0" w:color="000000"/>
              <w:left w:val="single" w:sz="4" w:space="0" w:color="000000"/>
              <w:bottom w:val="single" w:sz="4" w:space="0" w:color="000000"/>
              <w:right w:val="single" w:sz="4" w:space="0" w:color="000000"/>
            </w:tcBorders>
          </w:tcPr>
          <w:p w14:paraId="43F7776B" w14:textId="77777777" w:rsidR="00E47756" w:rsidRPr="00E47756" w:rsidRDefault="00E47756" w:rsidP="00E47756">
            <w:pPr>
              <w:spacing w:after="0" w:line="240" w:lineRule="auto"/>
              <w:ind w:left="57" w:right="57"/>
            </w:pPr>
            <w:r w:rsidRPr="00E47756">
              <w:rPr>
                <w:b/>
                <w:sz w:val="20"/>
              </w:rPr>
              <w:t>oznámenie o globálnom prístupe k výskumu, inovácii, vzdelávaniu a mládeži</w:t>
            </w:r>
            <w:r w:rsidRPr="00E47756">
              <w:rPr>
                <w:sz w:val="20"/>
              </w:rPr>
              <w:t xml:space="preserve"> (nelegislatívna iniciatíva, 2. štvrťrok 2021)</w:t>
            </w:r>
          </w:p>
        </w:tc>
        <w:tc>
          <w:tcPr>
            <w:tcW w:w="1985" w:type="dxa"/>
            <w:tcBorders>
              <w:top w:val="single" w:sz="4" w:space="0" w:color="000000"/>
              <w:left w:val="single" w:sz="4" w:space="0" w:color="000000"/>
              <w:bottom w:val="single" w:sz="4" w:space="0" w:color="000000"/>
              <w:right w:val="single" w:sz="4" w:space="0" w:color="000000"/>
            </w:tcBorders>
          </w:tcPr>
          <w:p w14:paraId="07AD121A" w14:textId="77777777" w:rsidR="00E47756" w:rsidRPr="00E47756" w:rsidRDefault="00E47756" w:rsidP="00E47756">
            <w:pPr>
              <w:spacing w:after="0" w:line="240" w:lineRule="auto"/>
              <w:ind w:left="57" w:right="57"/>
              <w:jc w:val="center"/>
              <w:rPr>
                <w:b/>
                <w:sz w:val="20"/>
              </w:rPr>
            </w:pPr>
            <w:r w:rsidRPr="00E47756">
              <w:rPr>
                <w:b/>
                <w:sz w:val="20"/>
              </w:rPr>
              <w:t>MŠVVaŠ SR</w:t>
            </w:r>
          </w:p>
          <w:p w14:paraId="159C14D6" w14:textId="77777777" w:rsidR="00E47756" w:rsidRPr="00E47756" w:rsidRDefault="00E47756" w:rsidP="00E47756">
            <w:pPr>
              <w:spacing w:after="0" w:line="240" w:lineRule="auto"/>
              <w:ind w:left="57" w:right="57"/>
              <w:jc w:val="center"/>
              <w:rPr>
                <w:b/>
                <w:sz w:val="20"/>
              </w:rPr>
            </w:pPr>
            <w:r w:rsidRPr="00E47756">
              <w:rPr>
                <w:b/>
                <w:sz w:val="20"/>
              </w:rPr>
              <w:t xml:space="preserve">MH SR </w:t>
            </w:r>
          </w:p>
          <w:p w14:paraId="1FD821B9" w14:textId="77777777" w:rsidR="00E47756" w:rsidRPr="00E47756" w:rsidRDefault="00E47756" w:rsidP="00E47756">
            <w:pPr>
              <w:spacing w:after="0" w:line="240" w:lineRule="auto"/>
              <w:ind w:left="57" w:right="57"/>
              <w:rPr>
                <w:b/>
                <w:sz w:val="20"/>
              </w:rPr>
            </w:pPr>
          </w:p>
          <w:p w14:paraId="419270BA" w14:textId="77777777" w:rsidR="00E47756" w:rsidRPr="00E47756" w:rsidRDefault="00E47756" w:rsidP="00E47756">
            <w:pPr>
              <w:spacing w:after="0" w:line="240" w:lineRule="auto"/>
              <w:ind w:left="57" w:right="57"/>
              <w:rPr>
                <w:b/>
                <w:sz w:val="20"/>
              </w:rPr>
            </w:pPr>
          </w:p>
          <w:p w14:paraId="29FB6417" w14:textId="77777777" w:rsidR="00E47756" w:rsidRPr="00E47756" w:rsidRDefault="00E47756" w:rsidP="00E47756">
            <w:pPr>
              <w:spacing w:after="0" w:line="240" w:lineRule="auto"/>
              <w:ind w:left="57" w:right="57"/>
              <w:rPr>
                <w:b/>
                <w:sz w:val="20"/>
              </w:rPr>
            </w:pPr>
          </w:p>
          <w:p w14:paraId="2C3B9C00" w14:textId="77777777" w:rsidR="00E47756" w:rsidRPr="00E47756" w:rsidRDefault="00E47756" w:rsidP="00E47756">
            <w:pPr>
              <w:spacing w:after="0" w:line="240" w:lineRule="auto"/>
              <w:ind w:left="57" w:right="57"/>
              <w:rPr>
                <w:b/>
                <w:sz w:val="20"/>
              </w:rPr>
            </w:pPr>
          </w:p>
          <w:p w14:paraId="05DC7715" w14:textId="77777777" w:rsidR="00E47756" w:rsidRPr="00E47756" w:rsidRDefault="00E47756" w:rsidP="00E47756">
            <w:pPr>
              <w:spacing w:after="0" w:line="240" w:lineRule="auto"/>
              <w:ind w:left="57" w:right="57"/>
              <w:rPr>
                <w:b/>
                <w:sz w:val="20"/>
              </w:rPr>
            </w:pPr>
          </w:p>
          <w:p w14:paraId="75D11440" w14:textId="77777777" w:rsidR="00E47756" w:rsidRPr="00E47756" w:rsidRDefault="00E47756" w:rsidP="00E47756">
            <w:pPr>
              <w:spacing w:after="0" w:line="240" w:lineRule="auto"/>
              <w:ind w:left="57" w:right="57"/>
              <w:rPr>
                <w:b/>
                <w:sz w:val="20"/>
              </w:rPr>
            </w:pPr>
          </w:p>
          <w:p w14:paraId="7102E138" w14:textId="77777777" w:rsidR="00E47756" w:rsidRPr="00E47756" w:rsidRDefault="00E47756" w:rsidP="00E47756">
            <w:pPr>
              <w:spacing w:after="0" w:line="240" w:lineRule="auto"/>
              <w:ind w:left="57" w:right="57"/>
              <w:rPr>
                <w:b/>
                <w:sz w:val="20"/>
              </w:rPr>
            </w:pPr>
          </w:p>
        </w:tc>
        <w:tc>
          <w:tcPr>
            <w:tcW w:w="5812" w:type="dxa"/>
            <w:tcBorders>
              <w:top w:val="single" w:sz="4" w:space="0" w:color="000000"/>
              <w:left w:val="single" w:sz="4" w:space="0" w:color="000000"/>
              <w:bottom w:val="single" w:sz="4" w:space="0" w:color="000000"/>
              <w:right w:val="single" w:sz="4" w:space="0" w:color="000000"/>
            </w:tcBorders>
          </w:tcPr>
          <w:p w14:paraId="168718DB" w14:textId="77777777" w:rsidR="00E47756" w:rsidRPr="00E47756" w:rsidRDefault="00E47756" w:rsidP="00E47756">
            <w:pPr>
              <w:shd w:val="clear" w:color="auto" w:fill="FFFFFF"/>
              <w:spacing w:after="0" w:line="240" w:lineRule="auto"/>
              <w:ind w:left="57" w:right="57"/>
              <w:textAlignment w:val="baseline"/>
              <w:rPr>
                <w:b/>
                <w:bCs/>
                <w:sz w:val="20"/>
                <w:szCs w:val="20"/>
                <w:u w:val="single"/>
              </w:rPr>
            </w:pPr>
            <w:r w:rsidRPr="00E47756">
              <w:rPr>
                <w:b/>
                <w:bCs/>
                <w:sz w:val="20"/>
                <w:szCs w:val="20"/>
                <w:u w:val="single"/>
              </w:rPr>
              <w:t>Stredná priorita</w:t>
            </w:r>
            <w:r w:rsidRPr="00E47756">
              <w:rPr>
                <w:b/>
                <w:sz w:val="20"/>
                <w:szCs w:val="20"/>
              </w:rPr>
              <w:t xml:space="preserve"> - </w:t>
            </w:r>
            <w:r w:rsidRPr="00E47756">
              <w:rPr>
                <w:sz w:val="20"/>
              </w:rPr>
              <w:t xml:space="preserve">Aktuálny stav rokovaní: Materiál bude predložený na rokovanie na technickej úrovni až v 2. štvrťroku 2021. Európska komisia  sa vo svojom pracovnom programe na rok 2021 zamerala na zelenú a digitálnu transformáciu ako príležitosť na prekonanie krízy spôsobenej pandémiou </w:t>
            </w:r>
            <w:r w:rsidR="00C00726">
              <w:rPr>
                <w:sz w:val="20"/>
              </w:rPr>
              <w:t>COVID</w:t>
            </w:r>
            <w:r w:rsidRPr="00E47756">
              <w:rPr>
                <w:sz w:val="20"/>
              </w:rPr>
              <w:t>-19. V rámci oblasti výskumu a inovácií, sa v pracovnom programe, okrem iného, spomína tiež Oznámenie o globálnom prístupe k výskumu, inováciám, vzdelávaniu a mládeži. Oznámenie má vplyv na nastavenie stratégií/politík v uvedených oblastiach aj na národnej úrovni, aj keď je väčšinovým gestorom MŠVVaŠ SR.</w:t>
            </w:r>
          </w:p>
        </w:tc>
      </w:tr>
      <w:tr w:rsidR="00E47756" w:rsidRPr="00E47756" w14:paraId="105D66D7" w14:textId="77777777" w:rsidTr="001A4016">
        <w:trPr>
          <w:trHeight w:val="295"/>
        </w:trPr>
        <w:tc>
          <w:tcPr>
            <w:tcW w:w="407" w:type="dxa"/>
            <w:tcBorders>
              <w:top w:val="single" w:sz="4" w:space="0" w:color="000000"/>
              <w:left w:val="single" w:sz="4" w:space="0" w:color="000000"/>
              <w:bottom w:val="single" w:sz="4" w:space="0" w:color="000000"/>
              <w:right w:val="single" w:sz="4" w:space="0" w:color="000000"/>
            </w:tcBorders>
          </w:tcPr>
          <w:p w14:paraId="1541245A" w14:textId="77777777" w:rsidR="00E47756" w:rsidRPr="00E47756" w:rsidRDefault="00E47756" w:rsidP="00E47756">
            <w:pPr>
              <w:spacing w:after="0" w:line="240" w:lineRule="auto"/>
              <w:ind w:left="57" w:right="57"/>
              <w:rPr>
                <w:sz w:val="20"/>
              </w:rPr>
            </w:pPr>
            <w:r w:rsidRPr="00E47756">
              <w:rPr>
                <w:sz w:val="20"/>
              </w:rPr>
              <w:t>29.</w:t>
            </w:r>
            <w:r w:rsidRPr="00E47756">
              <w:rPr>
                <w:rFonts w:ascii="Arial" w:hAnsi="Arial" w:cs="Arial"/>
                <w:sz w:val="20"/>
              </w:rPr>
              <w:t xml:space="preserve"> </w:t>
            </w:r>
            <w:r w:rsidRPr="00E47756">
              <w:rPr>
                <w:sz w:val="20"/>
              </w:rPr>
              <w:t xml:space="preserve"> </w:t>
            </w:r>
          </w:p>
        </w:tc>
        <w:tc>
          <w:tcPr>
            <w:tcW w:w="2780" w:type="dxa"/>
            <w:tcBorders>
              <w:top w:val="single" w:sz="4" w:space="0" w:color="000000"/>
              <w:left w:val="single" w:sz="4" w:space="0" w:color="000000"/>
              <w:bottom w:val="single" w:sz="4" w:space="0" w:color="000000"/>
              <w:right w:val="single" w:sz="4" w:space="0" w:color="000000"/>
            </w:tcBorders>
          </w:tcPr>
          <w:p w14:paraId="7F1C55B3" w14:textId="77777777" w:rsidR="00E47756" w:rsidRPr="00E47756" w:rsidRDefault="00E47756" w:rsidP="00E47756">
            <w:pPr>
              <w:spacing w:after="0" w:line="240" w:lineRule="auto"/>
              <w:ind w:left="57" w:right="57"/>
              <w:rPr>
                <w:b/>
                <w:sz w:val="20"/>
              </w:rPr>
            </w:pPr>
            <w:r w:rsidRPr="00E47756">
              <w:rPr>
                <w:b/>
                <w:sz w:val="20"/>
              </w:rPr>
              <w:t xml:space="preserve">Humanitárna pomoc EÚ  </w:t>
            </w:r>
          </w:p>
        </w:tc>
        <w:tc>
          <w:tcPr>
            <w:tcW w:w="3638" w:type="dxa"/>
            <w:tcBorders>
              <w:top w:val="single" w:sz="4" w:space="0" w:color="000000"/>
              <w:left w:val="single" w:sz="4" w:space="0" w:color="000000"/>
              <w:bottom w:val="single" w:sz="4" w:space="0" w:color="000000"/>
              <w:right w:val="single" w:sz="4" w:space="0" w:color="000000"/>
            </w:tcBorders>
          </w:tcPr>
          <w:p w14:paraId="7D10BF64" w14:textId="77777777" w:rsidR="00E47756" w:rsidRPr="00E47756" w:rsidRDefault="00E47756" w:rsidP="00E47756">
            <w:pPr>
              <w:spacing w:after="0" w:line="240" w:lineRule="auto"/>
              <w:ind w:left="57" w:right="57"/>
              <w:rPr>
                <w:b/>
                <w:sz w:val="20"/>
              </w:rPr>
            </w:pPr>
            <w:r w:rsidRPr="00E47756">
              <w:rPr>
                <w:b/>
                <w:sz w:val="20"/>
              </w:rPr>
              <w:t xml:space="preserve">oznámenie o humanitárnej pomoci EÚ v súvislosti s pandémiou ochorenia </w:t>
            </w:r>
            <w:r w:rsidR="00C00726">
              <w:rPr>
                <w:b/>
                <w:sz w:val="20"/>
              </w:rPr>
              <w:t>COVID</w:t>
            </w:r>
            <w:r w:rsidRPr="00E47756">
              <w:rPr>
                <w:b/>
                <w:sz w:val="20"/>
              </w:rPr>
              <w:t>-19 a po nej</w:t>
            </w:r>
            <w:r w:rsidRPr="00E47756">
              <w:rPr>
                <w:sz w:val="20"/>
              </w:rPr>
              <w:t xml:space="preserve"> (nelegislatívna iniciatíva, 1. štvrťrok 2021)</w:t>
            </w:r>
            <w:r w:rsidRPr="00E47756">
              <w:rPr>
                <w:b/>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68B59D7" w14:textId="77777777" w:rsidR="00E47756" w:rsidRPr="00E47756" w:rsidRDefault="00E47756" w:rsidP="00E47756">
            <w:pPr>
              <w:spacing w:after="0" w:line="240" w:lineRule="auto"/>
              <w:ind w:left="57" w:right="57"/>
              <w:jc w:val="center"/>
              <w:rPr>
                <w:b/>
                <w:sz w:val="20"/>
              </w:rPr>
            </w:pPr>
            <w:r w:rsidRPr="00E47756">
              <w:rPr>
                <w:b/>
                <w:sz w:val="20"/>
              </w:rPr>
              <w:t>MZVEZ SR</w:t>
            </w:r>
          </w:p>
        </w:tc>
        <w:tc>
          <w:tcPr>
            <w:tcW w:w="5812" w:type="dxa"/>
            <w:tcBorders>
              <w:top w:val="single" w:sz="4" w:space="0" w:color="000000"/>
              <w:left w:val="single" w:sz="4" w:space="0" w:color="000000"/>
              <w:bottom w:val="single" w:sz="4" w:space="0" w:color="000000"/>
              <w:right w:val="single" w:sz="4" w:space="0" w:color="000000"/>
            </w:tcBorders>
          </w:tcPr>
          <w:p w14:paraId="2B023FFC" w14:textId="77777777" w:rsidR="00E47756" w:rsidRPr="00E47756" w:rsidRDefault="00E47756" w:rsidP="00E47756">
            <w:pPr>
              <w:shd w:val="clear" w:color="auto" w:fill="FFFFFF"/>
              <w:spacing w:after="0" w:line="240" w:lineRule="auto"/>
              <w:ind w:left="57" w:right="57"/>
              <w:textAlignment w:val="baseline"/>
              <w:rPr>
                <w:b/>
                <w:bCs/>
                <w:sz w:val="20"/>
                <w:szCs w:val="20"/>
                <w:u w:val="single"/>
              </w:rPr>
            </w:pPr>
            <w:r w:rsidRPr="00E47756">
              <w:rPr>
                <w:b/>
                <w:bCs/>
                <w:sz w:val="20"/>
                <w:szCs w:val="20"/>
                <w:u w:val="single"/>
              </w:rPr>
              <w:t>Stredná priorita</w:t>
            </w:r>
            <w:r w:rsidRPr="00E47756">
              <w:rPr>
                <w:b/>
                <w:sz w:val="20"/>
                <w:szCs w:val="20"/>
              </w:rPr>
              <w:t xml:space="preserve"> - </w:t>
            </w:r>
            <w:r w:rsidRPr="00E47756">
              <w:rPr>
                <w:sz w:val="20"/>
                <w:szCs w:val="20"/>
              </w:rPr>
              <w:t xml:space="preserve">Od vypuknutia pandémie ochorenia </w:t>
            </w:r>
            <w:r w:rsidR="00C00726">
              <w:rPr>
                <w:sz w:val="20"/>
                <w:szCs w:val="20"/>
              </w:rPr>
              <w:t>COVID</w:t>
            </w:r>
            <w:r w:rsidRPr="00E47756">
              <w:rPr>
                <w:sz w:val="20"/>
                <w:szCs w:val="20"/>
              </w:rPr>
              <w:t xml:space="preserve">-19 sa SR prostredníctvom humanitárnej pomoci aktívne podieľa na podpore boja proti šíreniu </w:t>
            </w:r>
            <w:r w:rsidR="00C00726">
              <w:rPr>
                <w:sz w:val="20"/>
                <w:szCs w:val="20"/>
              </w:rPr>
              <w:t>COVID</w:t>
            </w:r>
            <w:r w:rsidRPr="00E47756">
              <w:rPr>
                <w:sz w:val="20"/>
                <w:szCs w:val="20"/>
              </w:rPr>
              <w:t xml:space="preserve">-19 vo svete. Predmetné oznámenie môže slúžiť ako dôležitý zdrojový dokument pre ďalšie strategické smerovanie humanitárnej pomoci SR do zahraničia, vrátane zlepšenia mechanizmu jeho poskytovania. </w:t>
            </w:r>
          </w:p>
        </w:tc>
      </w:tr>
      <w:tr w:rsidR="00E47756" w:rsidRPr="00E47756" w14:paraId="62100D3E" w14:textId="77777777" w:rsidTr="001A4016">
        <w:trPr>
          <w:trHeight w:val="295"/>
        </w:trPr>
        <w:tc>
          <w:tcPr>
            <w:tcW w:w="407" w:type="dxa"/>
            <w:tcBorders>
              <w:top w:val="single" w:sz="4" w:space="0" w:color="000000"/>
              <w:left w:val="single" w:sz="4" w:space="0" w:color="000000"/>
              <w:bottom w:val="single" w:sz="4" w:space="0" w:color="000000"/>
              <w:right w:val="single" w:sz="4" w:space="0" w:color="000000"/>
            </w:tcBorders>
          </w:tcPr>
          <w:p w14:paraId="6A3EF3BC" w14:textId="77777777" w:rsidR="00E47756" w:rsidRPr="00E47756" w:rsidRDefault="00E47756" w:rsidP="00E47756">
            <w:pPr>
              <w:spacing w:after="0" w:line="240" w:lineRule="auto"/>
              <w:ind w:left="57" w:right="57"/>
              <w:rPr>
                <w:sz w:val="20"/>
              </w:rPr>
            </w:pPr>
            <w:r w:rsidRPr="00E47756">
              <w:rPr>
                <w:sz w:val="20"/>
              </w:rPr>
              <w:t>30.</w:t>
            </w:r>
            <w:r w:rsidRPr="00E47756">
              <w:rPr>
                <w:rFonts w:ascii="Arial" w:hAnsi="Arial" w:cs="Arial"/>
                <w:sz w:val="20"/>
              </w:rPr>
              <w:t xml:space="preserve"> </w:t>
            </w:r>
            <w:r w:rsidRPr="00E47756">
              <w:rPr>
                <w:sz w:val="20"/>
              </w:rPr>
              <w:t xml:space="preserve"> </w:t>
            </w:r>
          </w:p>
        </w:tc>
        <w:tc>
          <w:tcPr>
            <w:tcW w:w="2780" w:type="dxa"/>
            <w:tcBorders>
              <w:top w:val="single" w:sz="4" w:space="0" w:color="000000"/>
              <w:left w:val="single" w:sz="4" w:space="0" w:color="000000"/>
              <w:bottom w:val="single" w:sz="4" w:space="0" w:color="000000"/>
              <w:right w:val="single" w:sz="4" w:space="0" w:color="000000"/>
            </w:tcBorders>
          </w:tcPr>
          <w:p w14:paraId="0C1964E4" w14:textId="77777777" w:rsidR="00E47756" w:rsidRPr="00E47756" w:rsidRDefault="00E47756" w:rsidP="00E47756">
            <w:pPr>
              <w:spacing w:after="0" w:line="240" w:lineRule="auto"/>
              <w:ind w:left="57" w:right="57"/>
              <w:rPr>
                <w:b/>
                <w:sz w:val="20"/>
              </w:rPr>
            </w:pPr>
            <w:r w:rsidRPr="00E47756">
              <w:rPr>
                <w:b/>
                <w:color w:val="auto"/>
                <w:sz w:val="20"/>
              </w:rPr>
              <w:t xml:space="preserve">Konzulárna ochrana </w:t>
            </w:r>
          </w:p>
        </w:tc>
        <w:tc>
          <w:tcPr>
            <w:tcW w:w="3638" w:type="dxa"/>
            <w:tcBorders>
              <w:top w:val="single" w:sz="4" w:space="0" w:color="000000"/>
              <w:left w:val="single" w:sz="4" w:space="0" w:color="000000"/>
              <w:bottom w:val="single" w:sz="4" w:space="0" w:color="000000"/>
              <w:right w:val="single" w:sz="4" w:space="0" w:color="000000"/>
            </w:tcBorders>
          </w:tcPr>
          <w:p w14:paraId="45404064" w14:textId="77777777" w:rsidR="00E47756" w:rsidRPr="00E47756" w:rsidRDefault="00E47756" w:rsidP="00E47756">
            <w:pPr>
              <w:spacing w:after="0" w:line="240" w:lineRule="auto"/>
              <w:ind w:left="57" w:right="57"/>
              <w:rPr>
                <w:b/>
                <w:sz w:val="20"/>
              </w:rPr>
            </w:pPr>
            <w:r w:rsidRPr="00E47756">
              <w:rPr>
                <w:b/>
                <w:color w:val="auto"/>
                <w:sz w:val="20"/>
              </w:rPr>
              <w:t>konzulárna ochrana – preskúmanie pravidiel EÚ</w:t>
            </w:r>
            <w:r w:rsidRPr="00E47756">
              <w:rPr>
                <w:color w:val="auto"/>
                <w:sz w:val="20"/>
              </w:rPr>
              <w:t xml:space="preserve"> (legislatívna iniciatíva, článok 23 ZFEÚ, 4. štvrťrok 2021)</w:t>
            </w:r>
            <w:r w:rsidRPr="00E47756">
              <w:rPr>
                <w:b/>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CF313B2" w14:textId="77777777" w:rsidR="00E47756" w:rsidRPr="00E47756" w:rsidRDefault="00E47756" w:rsidP="00E47756">
            <w:pPr>
              <w:spacing w:after="0" w:line="240" w:lineRule="auto"/>
              <w:ind w:left="57" w:right="57"/>
              <w:jc w:val="center"/>
              <w:rPr>
                <w:b/>
                <w:sz w:val="20"/>
              </w:rPr>
            </w:pPr>
            <w:r w:rsidRPr="00E47756">
              <w:rPr>
                <w:b/>
                <w:sz w:val="20"/>
              </w:rPr>
              <w:t>MZVEZ SR</w:t>
            </w:r>
          </w:p>
        </w:tc>
        <w:tc>
          <w:tcPr>
            <w:tcW w:w="5812" w:type="dxa"/>
            <w:tcBorders>
              <w:top w:val="single" w:sz="4" w:space="0" w:color="000000"/>
              <w:left w:val="single" w:sz="4" w:space="0" w:color="000000"/>
              <w:bottom w:val="single" w:sz="4" w:space="0" w:color="000000"/>
              <w:right w:val="single" w:sz="4" w:space="0" w:color="000000"/>
            </w:tcBorders>
          </w:tcPr>
          <w:p w14:paraId="24476590" w14:textId="77777777" w:rsidR="00E47756" w:rsidRPr="00E47756" w:rsidRDefault="00E47756" w:rsidP="00E47756">
            <w:pPr>
              <w:shd w:val="clear" w:color="auto" w:fill="FFFFFF"/>
              <w:spacing w:after="0" w:line="240" w:lineRule="auto"/>
              <w:ind w:left="57" w:right="57"/>
              <w:textAlignment w:val="baseline"/>
              <w:rPr>
                <w:b/>
                <w:bCs/>
                <w:sz w:val="20"/>
                <w:szCs w:val="20"/>
                <w:u w:val="single"/>
              </w:rPr>
            </w:pPr>
            <w:r w:rsidRPr="00E47756">
              <w:rPr>
                <w:b/>
                <w:bCs/>
                <w:sz w:val="20"/>
                <w:szCs w:val="20"/>
                <w:u w:val="single"/>
              </w:rPr>
              <w:t>Vysoká priorita</w:t>
            </w:r>
            <w:r w:rsidRPr="00E47756">
              <w:rPr>
                <w:b/>
                <w:sz w:val="20"/>
                <w:szCs w:val="20"/>
              </w:rPr>
              <w:t xml:space="preserve"> - </w:t>
            </w:r>
            <w:r w:rsidRPr="00E47756">
              <w:rPr>
                <w:sz w:val="20"/>
                <w:szCs w:val="20"/>
              </w:rPr>
              <w:t>Diplomatická misia a konzulárny úrad poskytnú konzulárnu ochranu nezastúpenému občanovi a jeho rodinnému príslušníkovi, ktorý nie je občanom Európskej únie a sprevádza nezastúpeného občana v treťom štáte v rovnakom rozsahu a za tých istých podmienok, za ktorých poskytuje konzulárnu ochranu občanovi a jeho rodinnému príslušníkovi, ktorý nie je občanom Európskej únie a sprevádza občana v treťom štáte.</w:t>
            </w:r>
          </w:p>
        </w:tc>
      </w:tr>
    </w:tbl>
    <w:p w14:paraId="1CD8EBC0" w14:textId="77777777" w:rsidR="00E47756" w:rsidRPr="00E47756" w:rsidRDefault="00E47756" w:rsidP="00E47756">
      <w:pPr>
        <w:spacing w:after="0"/>
        <w:ind w:right="24"/>
      </w:pPr>
    </w:p>
    <w:p w14:paraId="48D8F1A0" w14:textId="77777777" w:rsidR="00E47756" w:rsidRPr="00E47756" w:rsidRDefault="00E47756" w:rsidP="00E47756">
      <w:pPr>
        <w:spacing w:after="0"/>
        <w:ind w:right="24"/>
      </w:pPr>
    </w:p>
    <w:p w14:paraId="45BA6EE7" w14:textId="77777777" w:rsidR="00E47756" w:rsidRPr="00E47756" w:rsidRDefault="00E47756" w:rsidP="00E47756">
      <w:pPr>
        <w:spacing w:after="0"/>
        <w:ind w:right="24"/>
      </w:pPr>
    </w:p>
    <w:tbl>
      <w:tblPr>
        <w:tblStyle w:val="TableGrid1"/>
        <w:tblW w:w="14622" w:type="dxa"/>
        <w:tblInd w:w="-26" w:type="dxa"/>
        <w:tblCellMar>
          <w:top w:w="2" w:type="dxa"/>
        </w:tblCellMar>
        <w:tblLook w:val="04A0" w:firstRow="1" w:lastRow="0" w:firstColumn="1" w:lastColumn="0" w:noHBand="0" w:noVBand="1"/>
      </w:tblPr>
      <w:tblGrid>
        <w:gridCol w:w="457"/>
        <w:gridCol w:w="2857"/>
        <w:gridCol w:w="286"/>
        <w:gridCol w:w="3271"/>
        <w:gridCol w:w="1975"/>
        <w:gridCol w:w="5776"/>
      </w:tblGrid>
      <w:tr w:rsidR="00E47756" w:rsidRPr="00E47756" w14:paraId="67C2A0E0" w14:textId="77777777" w:rsidTr="001A4016">
        <w:trPr>
          <w:trHeight w:val="538"/>
          <w:tblHeader/>
        </w:trPr>
        <w:tc>
          <w:tcPr>
            <w:tcW w:w="457" w:type="dxa"/>
            <w:tcBorders>
              <w:top w:val="single" w:sz="4" w:space="0" w:color="auto"/>
              <w:left w:val="single" w:sz="4" w:space="0" w:color="auto"/>
              <w:bottom w:val="single" w:sz="4" w:space="0" w:color="auto"/>
              <w:right w:val="single" w:sz="4" w:space="0" w:color="auto"/>
            </w:tcBorders>
            <w:shd w:val="clear" w:color="auto" w:fill="99CCFF"/>
            <w:vAlign w:val="center"/>
          </w:tcPr>
          <w:p w14:paraId="1C3D5D5A" w14:textId="0FBFCAF4" w:rsidR="00E47756" w:rsidRPr="00E47756" w:rsidRDefault="0075330D" w:rsidP="0075330D">
            <w:pPr>
              <w:spacing w:after="30"/>
              <w:ind w:left="10" w:right="151" w:hanging="10"/>
              <w:rPr>
                <w:b/>
                <w:bCs/>
                <w:sz w:val="20"/>
                <w:szCs w:val="20"/>
              </w:rPr>
            </w:pPr>
            <w:r>
              <w:rPr>
                <w:b/>
                <w:bCs/>
                <w:sz w:val="20"/>
                <w:szCs w:val="20"/>
              </w:rPr>
              <w:t xml:space="preserve">  </w:t>
            </w:r>
            <w:r w:rsidR="00E47756" w:rsidRPr="00E47756">
              <w:rPr>
                <w:b/>
                <w:bCs/>
                <w:sz w:val="20"/>
                <w:szCs w:val="20"/>
              </w:rPr>
              <w:t>Č.</w:t>
            </w:r>
          </w:p>
        </w:tc>
        <w:tc>
          <w:tcPr>
            <w:tcW w:w="2857" w:type="dxa"/>
            <w:tcBorders>
              <w:top w:val="single" w:sz="4" w:space="0" w:color="auto"/>
              <w:left w:val="single" w:sz="4" w:space="0" w:color="auto"/>
              <w:bottom w:val="single" w:sz="4" w:space="0" w:color="auto"/>
              <w:right w:val="single" w:sz="4" w:space="0" w:color="auto"/>
            </w:tcBorders>
            <w:shd w:val="clear" w:color="auto" w:fill="99CCFF"/>
            <w:vAlign w:val="center"/>
          </w:tcPr>
          <w:p w14:paraId="7932F978" w14:textId="77777777" w:rsidR="00E47756" w:rsidRPr="00E47756" w:rsidRDefault="00E47756" w:rsidP="00E47756">
            <w:pPr>
              <w:spacing w:after="30"/>
              <w:ind w:left="10" w:right="252" w:hanging="10"/>
              <w:jc w:val="center"/>
              <w:rPr>
                <w:b/>
                <w:bCs/>
                <w:sz w:val="20"/>
                <w:szCs w:val="20"/>
              </w:rPr>
            </w:pPr>
            <w:r w:rsidRPr="00E47756">
              <w:rPr>
                <w:b/>
                <w:bCs/>
                <w:sz w:val="20"/>
                <w:szCs w:val="20"/>
              </w:rPr>
              <w:t>Cieľ politiky</w:t>
            </w:r>
          </w:p>
        </w:tc>
        <w:tc>
          <w:tcPr>
            <w:tcW w:w="3557"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33995E24" w14:textId="77777777" w:rsidR="00E47756" w:rsidRPr="00E47756" w:rsidRDefault="00E47756" w:rsidP="00E47756">
            <w:pPr>
              <w:spacing w:after="30"/>
              <w:ind w:left="10" w:right="252" w:hanging="10"/>
              <w:jc w:val="center"/>
              <w:rPr>
                <w:b/>
                <w:bCs/>
                <w:sz w:val="20"/>
                <w:szCs w:val="20"/>
              </w:rPr>
            </w:pPr>
            <w:r w:rsidRPr="00E47756">
              <w:rPr>
                <w:b/>
                <w:bCs/>
                <w:sz w:val="20"/>
                <w:szCs w:val="20"/>
              </w:rPr>
              <w:t>Iniciatívy</w:t>
            </w:r>
          </w:p>
        </w:tc>
        <w:tc>
          <w:tcPr>
            <w:tcW w:w="1975" w:type="dxa"/>
            <w:tcBorders>
              <w:top w:val="single" w:sz="4" w:space="0" w:color="auto"/>
              <w:left w:val="single" w:sz="4" w:space="0" w:color="auto"/>
              <w:bottom w:val="single" w:sz="4" w:space="0" w:color="auto"/>
              <w:right w:val="single" w:sz="4" w:space="0" w:color="auto"/>
            </w:tcBorders>
            <w:shd w:val="clear" w:color="auto" w:fill="99CCFF"/>
            <w:vAlign w:val="center"/>
          </w:tcPr>
          <w:p w14:paraId="1DBD5423" w14:textId="77777777" w:rsidR="00E47756" w:rsidRPr="00E47756" w:rsidRDefault="00E47756" w:rsidP="00E47756">
            <w:pPr>
              <w:spacing w:after="30"/>
              <w:ind w:left="10" w:right="252" w:hanging="10"/>
              <w:jc w:val="center"/>
              <w:rPr>
                <w:b/>
                <w:bCs/>
                <w:sz w:val="20"/>
                <w:szCs w:val="20"/>
              </w:rPr>
            </w:pPr>
            <w:r w:rsidRPr="00E47756">
              <w:rPr>
                <w:b/>
                <w:bCs/>
                <w:sz w:val="20"/>
                <w:szCs w:val="20"/>
              </w:rPr>
              <w:t>Gestor</w:t>
            </w:r>
          </w:p>
        </w:tc>
        <w:tc>
          <w:tcPr>
            <w:tcW w:w="5776" w:type="dxa"/>
            <w:tcBorders>
              <w:top w:val="single" w:sz="4" w:space="0" w:color="auto"/>
              <w:left w:val="single" w:sz="4" w:space="0" w:color="auto"/>
              <w:bottom w:val="single" w:sz="4" w:space="0" w:color="auto"/>
              <w:right w:val="single" w:sz="4" w:space="0" w:color="auto"/>
            </w:tcBorders>
            <w:shd w:val="clear" w:color="auto" w:fill="99CCFF"/>
            <w:vAlign w:val="center"/>
          </w:tcPr>
          <w:p w14:paraId="03517A04" w14:textId="77777777" w:rsidR="00E47756" w:rsidRPr="00E47756" w:rsidRDefault="00E47756" w:rsidP="00E47756">
            <w:pPr>
              <w:spacing w:after="30"/>
              <w:ind w:left="10" w:right="252" w:hanging="10"/>
              <w:jc w:val="center"/>
              <w:rPr>
                <w:b/>
                <w:bCs/>
                <w:sz w:val="20"/>
                <w:szCs w:val="20"/>
              </w:rPr>
            </w:pPr>
            <w:r w:rsidRPr="00E47756">
              <w:rPr>
                <w:b/>
                <w:bCs/>
                <w:sz w:val="20"/>
                <w:szCs w:val="20"/>
              </w:rPr>
              <w:t>Stupeň priority a pozíciu SR</w:t>
            </w:r>
          </w:p>
        </w:tc>
      </w:tr>
      <w:tr w:rsidR="00E47756" w:rsidRPr="00E47756" w14:paraId="33B0AD08" w14:textId="77777777" w:rsidTr="00E47756">
        <w:trPr>
          <w:trHeight w:val="538"/>
        </w:trPr>
        <w:tc>
          <w:tcPr>
            <w:tcW w:w="6871" w:type="dxa"/>
            <w:gridSpan w:val="4"/>
            <w:tcBorders>
              <w:top w:val="single" w:sz="4" w:space="0" w:color="000000"/>
              <w:left w:val="single" w:sz="4" w:space="0" w:color="000000"/>
              <w:bottom w:val="single" w:sz="4" w:space="0" w:color="000000"/>
              <w:right w:val="single" w:sz="4" w:space="0" w:color="000000"/>
            </w:tcBorders>
            <w:shd w:val="clear" w:color="auto" w:fill="C0504D"/>
            <w:vAlign w:val="center"/>
          </w:tcPr>
          <w:p w14:paraId="30A29EC6" w14:textId="77777777" w:rsidR="00E47756" w:rsidRPr="00E47756" w:rsidRDefault="00E47756" w:rsidP="00E47756">
            <w:pPr>
              <w:spacing w:after="0" w:line="240" w:lineRule="auto"/>
              <w:ind w:left="57" w:right="57"/>
              <w:rPr>
                <w:b/>
                <w:color w:val="auto"/>
                <w:sz w:val="20"/>
              </w:rPr>
            </w:pPr>
            <w:r w:rsidRPr="00E47756">
              <w:rPr>
                <w:b/>
                <w:color w:val="FFFFFF"/>
                <w:sz w:val="20"/>
              </w:rPr>
              <w:t xml:space="preserve">Podpora európskeho spôsobu života </w:t>
            </w:r>
          </w:p>
        </w:tc>
        <w:tc>
          <w:tcPr>
            <w:tcW w:w="1975" w:type="dxa"/>
            <w:tcBorders>
              <w:top w:val="single" w:sz="4" w:space="0" w:color="000000"/>
              <w:left w:val="single" w:sz="4" w:space="0" w:color="000000"/>
              <w:bottom w:val="single" w:sz="4" w:space="0" w:color="000000"/>
              <w:right w:val="single" w:sz="4" w:space="0" w:color="000000"/>
            </w:tcBorders>
            <w:shd w:val="clear" w:color="auto" w:fill="C0504D"/>
            <w:vAlign w:val="center"/>
          </w:tcPr>
          <w:p w14:paraId="69B1E3E6" w14:textId="77777777" w:rsidR="00E47756" w:rsidRPr="00E47756" w:rsidRDefault="00E47756" w:rsidP="00E47756">
            <w:pPr>
              <w:spacing w:after="0" w:line="240" w:lineRule="auto"/>
              <w:ind w:left="57" w:right="57"/>
              <w:jc w:val="center"/>
              <w:rPr>
                <w:b/>
                <w:color w:val="auto"/>
                <w:sz w:val="20"/>
              </w:rPr>
            </w:pPr>
          </w:p>
        </w:tc>
        <w:tc>
          <w:tcPr>
            <w:tcW w:w="5776" w:type="dxa"/>
            <w:tcBorders>
              <w:top w:val="single" w:sz="4" w:space="0" w:color="000000"/>
              <w:left w:val="single" w:sz="4" w:space="0" w:color="000000"/>
              <w:bottom w:val="single" w:sz="4" w:space="0" w:color="000000"/>
              <w:right w:val="single" w:sz="4" w:space="0" w:color="000000"/>
            </w:tcBorders>
            <w:shd w:val="clear" w:color="auto" w:fill="C0504D"/>
            <w:vAlign w:val="center"/>
          </w:tcPr>
          <w:p w14:paraId="6880E3D1" w14:textId="77777777" w:rsidR="00E47756" w:rsidRPr="00E47756" w:rsidRDefault="00E47756" w:rsidP="00E47756">
            <w:pPr>
              <w:spacing w:after="0" w:line="240" w:lineRule="auto"/>
              <w:ind w:left="57" w:right="57"/>
              <w:rPr>
                <w:b/>
                <w:bCs/>
                <w:color w:val="auto"/>
                <w:sz w:val="20"/>
                <w:u w:val="single"/>
              </w:rPr>
            </w:pPr>
          </w:p>
        </w:tc>
      </w:tr>
      <w:tr w:rsidR="00E47756" w:rsidRPr="00E47756" w14:paraId="3085E7BB" w14:textId="77777777" w:rsidTr="001A4016">
        <w:trPr>
          <w:trHeight w:val="538"/>
        </w:trPr>
        <w:tc>
          <w:tcPr>
            <w:tcW w:w="457" w:type="dxa"/>
            <w:tcBorders>
              <w:top w:val="single" w:sz="4" w:space="0" w:color="000000"/>
              <w:left w:val="single" w:sz="4" w:space="0" w:color="000000"/>
              <w:bottom w:val="single" w:sz="4" w:space="0" w:color="000000"/>
              <w:right w:val="single" w:sz="4" w:space="0" w:color="000000"/>
            </w:tcBorders>
          </w:tcPr>
          <w:p w14:paraId="1BEAD929" w14:textId="77777777" w:rsidR="00E47756" w:rsidRPr="00E47756" w:rsidRDefault="00E47756" w:rsidP="00E47756">
            <w:pPr>
              <w:spacing w:after="0" w:line="240" w:lineRule="auto"/>
              <w:ind w:left="57" w:right="57"/>
            </w:pPr>
            <w:r w:rsidRPr="00E47756">
              <w:rPr>
                <w:sz w:val="20"/>
              </w:rPr>
              <w:t>31.</w:t>
            </w:r>
            <w:r w:rsidRPr="00E47756">
              <w:rPr>
                <w:rFonts w:ascii="Arial" w:hAnsi="Arial" w:cs="Arial"/>
                <w:sz w:val="20"/>
              </w:rPr>
              <w:t xml:space="preserve"> </w:t>
            </w:r>
            <w:r w:rsidRPr="00E47756">
              <w:rPr>
                <w:sz w:val="2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B99B7CA" w14:textId="77777777" w:rsidR="00E47756" w:rsidRPr="00E47756" w:rsidRDefault="00E47756" w:rsidP="00E47756">
            <w:pPr>
              <w:spacing w:after="0" w:line="240" w:lineRule="auto"/>
              <w:ind w:left="57" w:right="57"/>
            </w:pPr>
            <w:r w:rsidRPr="00E47756">
              <w:rPr>
                <w:b/>
                <w:sz w:val="20"/>
              </w:rPr>
              <w:t xml:space="preserve">Európsky biomedicínsky výskum a vývoj </w:t>
            </w:r>
          </w:p>
        </w:tc>
        <w:tc>
          <w:tcPr>
            <w:tcW w:w="3557" w:type="dxa"/>
            <w:gridSpan w:val="2"/>
            <w:tcBorders>
              <w:top w:val="single" w:sz="4" w:space="0" w:color="000000"/>
              <w:left w:val="single" w:sz="4" w:space="0" w:color="000000"/>
              <w:bottom w:val="single" w:sz="4" w:space="0" w:color="000000"/>
              <w:right w:val="single" w:sz="4" w:space="0" w:color="000000"/>
            </w:tcBorders>
          </w:tcPr>
          <w:p w14:paraId="732C7534" w14:textId="77777777" w:rsidR="00E47756" w:rsidRPr="00E47756" w:rsidRDefault="00E47756" w:rsidP="00E47756">
            <w:pPr>
              <w:spacing w:after="0" w:line="240" w:lineRule="auto"/>
              <w:ind w:left="57" w:right="57"/>
            </w:pPr>
            <w:r w:rsidRPr="00E47756">
              <w:rPr>
                <w:b/>
                <w:sz w:val="20"/>
              </w:rPr>
              <w:t>návrh na zriadenie novej európskej agentúry pre biomedicínsky výskum a vývoj</w:t>
            </w:r>
            <w:r w:rsidRPr="00E47756">
              <w:rPr>
                <w:sz w:val="20"/>
              </w:rPr>
              <w:t xml:space="preserve"> (legislatívna iniciatíva vrátane posúdenia vplyvu, 4. štvrťrok 2021) </w:t>
            </w:r>
          </w:p>
        </w:tc>
        <w:tc>
          <w:tcPr>
            <w:tcW w:w="1975" w:type="dxa"/>
            <w:tcBorders>
              <w:top w:val="single" w:sz="4" w:space="0" w:color="000000"/>
              <w:left w:val="single" w:sz="4" w:space="0" w:color="000000"/>
              <w:bottom w:val="single" w:sz="4" w:space="0" w:color="000000"/>
              <w:right w:val="single" w:sz="4" w:space="0" w:color="000000"/>
            </w:tcBorders>
          </w:tcPr>
          <w:p w14:paraId="0B994E45" w14:textId="77777777" w:rsidR="00E47756" w:rsidRPr="00E47756" w:rsidRDefault="00E47756" w:rsidP="00E47756">
            <w:pPr>
              <w:spacing w:after="0" w:line="240" w:lineRule="auto"/>
              <w:ind w:left="57" w:right="57"/>
              <w:jc w:val="center"/>
              <w:rPr>
                <w:b/>
                <w:sz w:val="20"/>
              </w:rPr>
            </w:pPr>
            <w:r w:rsidRPr="00E47756">
              <w:rPr>
                <w:b/>
                <w:sz w:val="20"/>
              </w:rPr>
              <w:t>MZ SR</w:t>
            </w:r>
          </w:p>
          <w:p w14:paraId="135C62A5" w14:textId="12A92275" w:rsidR="00E47756" w:rsidRPr="00E47756" w:rsidRDefault="00E47756" w:rsidP="00E47756">
            <w:pPr>
              <w:spacing w:after="0" w:line="240" w:lineRule="auto"/>
              <w:ind w:left="57" w:right="57"/>
              <w:jc w:val="center"/>
              <w:rPr>
                <w:b/>
                <w:sz w:val="20"/>
              </w:rPr>
            </w:pPr>
            <w:r w:rsidRPr="00E47756">
              <w:rPr>
                <w:b/>
                <w:sz w:val="20"/>
              </w:rPr>
              <w:t>MŠ</w:t>
            </w:r>
            <w:r w:rsidR="00D571D1">
              <w:rPr>
                <w:b/>
                <w:sz w:val="20"/>
              </w:rPr>
              <w:t>VVaŠ</w:t>
            </w:r>
            <w:r w:rsidRPr="00E47756">
              <w:rPr>
                <w:b/>
                <w:sz w:val="20"/>
              </w:rPr>
              <w:t xml:space="preserve"> SR</w:t>
            </w:r>
          </w:p>
          <w:p w14:paraId="5A41028C" w14:textId="77777777" w:rsidR="00E47756" w:rsidRPr="00E47756" w:rsidRDefault="00E47756" w:rsidP="00E47756">
            <w:pPr>
              <w:spacing w:after="0" w:line="240" w:lineRule="auto"/>
              <w:ind w:left="57" w:right="57"/>
              <w:jc w:val="center"/>
              <w:rPr>
                <w:b/>
                <w:sz w:val="20"/>
              </w:rPr>
            </w:pPr>
            <w:r w:rsidRPr="00E47756">
              <w:rPr>
                <w:b/>
                <w:sz w:val="20"/>
              </w:rPr>
              <w:t>MF SR</w:t>
            </w:r>
          </w:p>
          <w:p w14:paraId="0B0B8DF4" w14:textId="65AF5C65" w:rsidR="00E47756" w:rsidRPr="00E47756" w:rsidRDefault="00E47756" w:rsidP="00E47756">
            <w:pPr>
              <w:spacing w:after="0" w:line="240" w:lineRule="auto"/>
              <w:ind w:left="57" w:right="57"/>
              <w:jc w:val="center"/>
              <w:rPr>
                <w:b/>
                <w:sz w:val="20"/>
              </w:rPr>
            </w:pPr>
            <w:r w:rsidRPr="00E47756">
              <w:rPr>
                <w:b/>
                <w:sz w:val="20"/>
              </w:rPr>
              <w:t>MZVEZ</w:t>
            </w:r>
            <w:r w:rsidR="004C00CB">
              <w:rPr>
                <w:b/>
                <w:sz w:val="20"/>
              </w:rPr>
              <w:t xml:space="preserve"> SR</w:t>
            </w:r>
          </w:p>
          <w:p w14:paraId="55517BFE" w14:textId="1C4191D3" w:rsidR="00E47756" w:rsidRPr="00E47756" w:rsidRDefault="00E47756" w:rsidP="00E47756">
            <w:pPr>
              <w:spacing w:after="0" w:line="240" w:lineRule="auto"/>
              <w:ind w:left="57" w:right="57"/>
              <w:jc w:val="center"/>
              <w:rPr>
                <w:b/>
                <w:sz w:val="20"/>
              </w:rPr>
            </w:pPr>
            <w:r w:rsidRPr="00E47756">
              <w:rPr>
                <w:b/>
                <w:sz w:val="20"/>
              </w:rPr>
              <w:t>MIRRI</w:t>
            </w:r>
            <w:r w:rsidR="004C00CB">
              <w:rPr>
                <w:b/>
                <w:sz w:val="20"/>
              </w:rPr>
              <w:t xml:space="preserve"> SR</w:t>
            </w:r>
          </w:p>
        </w:tc>
        <w:tc>
          <w:tcPr>
            <w:tcW w:w="5776" w:type="dxa"/>
            <w:tcBorders>
              <w:top w:val="single" w:sz="4" w:space="0" w:color="000000"/>
              <w:left w:val="single" w:sz="4" w:space="0" w:color="000000"/>
              <w:bottom w:val="single" w:sz="4" w:space="0" w:color="000000"/>
              <w:right w:val="single" w:sz="4" w:space="0" w:color="000000"/>
            </w:tcBorders>
          </w:tcPr>
          <w:p w14:paraId="320E9B83" w14:textId="77777777" w:rsidR="00E47756" w:rsidRPr="00E47756" w:rsidRDefault="00E47756" w:rsidP="00E47756">
            <w:pPr>
              <w:spacing w:after="0" w:line="240" w:lineRule="auto"/>
              <w:ind w:left="57" w:right="57"/>
              <w:rPr>
                <w:sz w:val="20"/>
              </w:rPr>
            </w:pPr>
            <w:r w:rsidRPr="00E47756">
              <w:rPr>
                <w:b/>
                <w:bCs/>
                <w:sz w:val="20"/>
                <w:u w:val="single"/>
              </w:rPr>
              <w:t>Vysoká priorita</w:t>
            </w:r>
            <w:r w:rsidRPr="00E47756">
              <w:rPr>
                <w:b/>
                <w:sz w:val="20"/>
                <w:szCs w:val="20"/>
              </w:rPr>
              <w:t xml:space="preserve"> - </w:t>
            </w:r>
            <w:r w:rsidRPr="00E47756">
              <w:rPr>
                <w:sz w:val="20"/>
              </w:rPr>
              <w:t xml:space="preserve">SR vyjadruje súhlasné a podporné stanovisko s vyššie uvedenou iniciatívou vzniku Európskej alternatívy americkej </w:t>
            </w:r>
            <w:r w:rsidRPr="00E47756">
              <w:rPr>
                <w:i/>
                <w:iCs/>
                <w:sz w:val="20"/>
              </w:rPr>
              <w:t>BARDA</w:t>
            </w:r>
            <w:r w:rsidRPr="00E47756">
              <w:rPr>
                <w:sz w:val="20"/>
              </w:rPr>
              <w:t>, ktorá v prvom rade posilní pripravenosť EÚ, vrátane SR,  efektívne reagovať na cezhraničné hrozby a mimoriadne situácie. Jedným z hlavných cieľov tejto agentúry má byť zabezpečenie tvorby a udržiavanie európskych strategických zásob na ochranu pred prerušením dodávateľského reťazca farmaceutických výrobkov a zdravotníckych pomôcok. Svojimi aktivitami bude nová agentúra posilňovať funkciu Európskej agentúry pre lieky (</w:t>
            </w:r>
            <w:r w:rsidRPr="00E47756">
              <w:rPr>
                <w:i/>
                <w:iCs/>
                <w:sz w:val="20"/>
              </w:rPr>
              <w:t>EMA</w:t>
            </w:r>
            <w:r w:rsidRPr="00E47756">
              <w:rPr>
                <w:sz w:val="20"/>
              </w:rPr>
              <w:t>) a Európskeho strediska pre prevenciu a kontrolu chorôb (</w:t>
            </w:r>
            <w:r w:rsidRPr="00E47756">
              <w:rPr>
                <w:i/>
                <w:iCs/>
                <w:sz w:val="20"/>
              </w:rPr>
              <w:t>ECDC</w:t>
            </w:r>
            <w:r w:rsidRPr="00E47756">
              <w:rPr>
                <w:sz w:val="20"/>
              </w:rPr>
              <w:t xml:space="preserve">).MZ SR, ktoré je prostredníctvom IVV gestorom RIS3 domény inteligentnej špecializácie „Zdravá spoločnosť“ (platforma pre čerpanie štrukturálnych fondov EÚ pre projekty v oblasti výskumu, vývoja a inovácií v zdravotníctve, v programovom období 2021-2027), ako aj  v kontexte zákona č.  576/2004 </w:t>
            </w:r>
            <w:proofErr w:type="spellStart"/>
            <w:r w:rsidRPr="00E47756">
              <w:rPr>
                <w:sz w:val="20"/>
              </w:rPr>
              <w:t>Z.z</w:t>
            </w:r>
            <w:proofErr w:type="spellEnd"/>
            <w:r w:rsidRPr="00E47756">
              <w:rPr>
                <w:sz w:val="20"/>
              </w:rPr>
              <w:t xml:space="preserve">. (ktorý pojednáva aj o biomedicínskom výskume), podporuje vznik európskej alternatívy </w:t>
            </w:r>
            <w:r w:rsidRPr="00E47756">
              <w:rPr>
                <w:i/>
                <w:iCs/>
                <w:sz w:val="20"/>
              </w:rPr>
              <w:t>BARDA</w:t>
            </w:r>
            <w:r w:rsidRPr="00E47756">
              <w:rPr>
                <w:sz w:val="20"/>
              </w:rPr>
              <w:t xml:space="preserve"> - </w:t>
            </w:r>
            <w:proofErr w:type="spellStart"/>
            <w:r w:rsidRPr="00E47756">
              <w:rPr>
                <w:i/>
                <w:iCs/>
                <w:sz w:val="20"/>
              </w:rPr>
              <w:t>European</w:t>
            </w:r>
            <w:proofErr w:type="spellEnd"/>
            <w:r w:rsidRPr="00E47756">
              <w:rPr>
                <w:i/>
                <w:iCs/>
                <w:sz w:val="20"/>
              </w:rPr>
              <w:t xml:space="preserve"> </w:t>
            </w:r>
            <w:proofErr w:type="spellStart"/>
            <w:r w:rsidRPr="00E47756">
              <w:rPr>
                <w:i/>
                <w:iCs/>
                <w:sz w:val="20"/>
              </w:rPr>
              <w:t>Agency</w:t>
            </w:r>
            <w:proofErr w:type="spellEnd"/>
            <w:r w:rsidRPr="00E47756">
              <w:rPr>
                <w:i/>
                <w:iCs/>
                <w:sz w:val="20"/>
              </w:rPr>
              <w:t xml:space="preserve"> </w:t>
            </w:r>
            <w:proofErr w:type="spellStart"/>
            <w:r w:rsidRPr="00E47756">
              <w:rPr>
                <w:i/>
                <w:iCs/>
                <w:sz w:val="20"/>
              </w:rPr>
              <w:t>for</w:t>
            </w:r>
            <w:proofErr w:type="spellEnd"/>
            <w:r w:rsidRPr="00E47756">
              <w:rPr>
                <w:i/>
                <w:iCs/>
                <w:sz w:val="20"/>
              </w:rPr>
              <w:t xml:space="preserve"> </w:t>
            </w:r>
            <w:proofErr w:type="spellStart"/>
            <w:r w:rsidRPr="00E47756">
              <w:rPr>
                <w:i/>
                <w:iCs/>
                <w:sz w:val="20"/>
              </w:rPr>
              <w:t>Advanced</w:t>
            </w:r>
            <w:proofErr w:type="spellEnd"/>
            <w:r w:rsidRPr="00E47756">
              <w:rPr>
                <w:i/>
                <w:iCs/>
                <w:sz w:val="20"/>
              </w:rPr>
              <w:t xml:space="preserve"> </w:t>
            </w:r>
            <w:proofErr w:type="spellStart"/>
            <w:r w:rsidRPr="00E47756">
              <w:rPr>
                <w:i/>
                <w:iCs/>
                <w:sz w:val="20"/>
              </w:rPr>
              <w:t>Biomedical</w:t>
            </w:r>
            <w:proofErr w:type="spellEnd"/>
            <w:r w:rsidRPr="00E47756">
              <w:rPr>
                <w:i/>
                <w:iCs/>
                <w:sz w:val="20"/>
              </w:rPr>
              <w:t xml:space="preserve"> </w:t>
            </w:r>
            <w:proofErr w:type="spellStart"/>
            <w:r w:rsidRPr="00E47756">
              <w:rPr>
                <w:i/>
                <w:iCs/>
                <w:sz w:val="20"/>
              </w:rPr>
              <w:t>Research</w:t>
            </w:r>
            <w:proofErr w:type="spellEnd"/>
            <w:r w:rsidRPr="00E47756">
              <w:rPr>
                <w:i/>
                <w:iCs/>
                <w:sz w:val="20"/>
              </w:rPr>
              <w:t xml:space="preserve"> and </w:t>
            </w:r>
            <w:proofErr w:type="spellStart"/>
            <w:r w:rsidRPr="00E47756">
              <w:rPr>
                <w:i/>
                <w:iCs/>
                <w:sz w:val="20"/>
              </w:rPr>
              <w:t>Development</w:t>
            </w:r>
            <w:proofErr w:type="spellEnd"/>
            <w:r w:rsidRPr="00E47756">
              <w:rPr>
                <w:sz w:val="20"/>
              </w:rPr>
              <w:t xml:space="preserve"> – a to aj s ambíciou lepšieho a efektívnejšieho zapojenia sa Slovenska do európskeho inovatívneho biomedicínskeho výskumu, ale hlavne s cieľom intenzívnejšieho rozvoja kľúčových oblastí európskeho biomedicínskeho výskumu a podpory prelomových inovácii v zdravotníctve ako na celonárodnej, tak aj na európskej úrovni, ktorého výstupy signifikantne zvýšia kvalitu, ale najmä efektivitu poskytovania zdravotnej starostlivosti v SR ako i v celej v EÚ.  Toto stanovisko bude organickou súčasťou národnej stratégie systémovej podpory aplikovaného výskumu v zdravotníctve, najmä biomedicínskeho výskumu - financovaného z národných zdrojov SR.</w:t>
            </w:r>
          </w:p>
          <w:p w14:paraId="7570BB11" w14:textId="77777777" w:rsidR="00E47756" w:rsidRPr="00E47756" w:rsidRDefault="00E47756" w:rsidP="00E47756">
            <w:pPr>
              <w:spacing w:after="0" w:line="240" w:lineRule="auto"/>
              <w:ind w:left="57" w:right="57"/>
              <w:rPr>
                <w:sz w:val="20"/>
              </w:rPr>
            </w:pPr>
          </w:p>
          <w:p w14:paraId="00C56A26" w14:textId="77777777" w:rsidR="00E47756" w:rsidRPr="00E47756" w:rsidRDefault="00E47756" w:rsidP="00E47756">
            <w:pPr>
              <w:spacing w:after="0" w:line="240" w:lineRule="auto"/>
              <w:ind w:right="57"/>
              <w:rPr>
                <w:b/>
                <w:bCs/>
                <w:sz w:val="20"/>
                <w:u w:val="single"/>
              </w:rPr>
            </w:pPr>
          </w:p>
        </w:tc>
      </w:tr>
      <w:tr w:rsidR="00E47756" w:rsidRPr="00E47756" w14:paraId="19E135AC" w14:textId="77777777" w:rsidTr="001A4016">
        <w:trPr>
          <w:trHeight w:val="526"/>
        </w:trPr>
        <w:tc>
          <w:tcPr>
            <w:tcW w:w="457" w:type="dxa"/>
            <w:tcBorders>
              <w:top w:val="single" w:sz="4" w:space="0" w:color="000000"/>
              <w:left w:val="single" w:sz="4" w:space="0" w:color="000000"/>
              <w:bottom w:val="single" w:sz="4" w:space="0" w:color="000000"/>
              <w:right w:val="single" w:sz="4" w:space="0" w:color="000000"/>
            </w:tcBorders>
          </w:tcPr>
          <w:p w14:paraId="1C17C60E" w14:textId="77777777" w:rsidR="00E47756" w:rsidRPr="00E47756" w:rsidRDefault="00E47756" w:rsidP="00E47756">
            <w:pPr>
              <w:spacing w:after="0" w:line="240" w:lineRule="auto"/>
              <w:ind w:left="57" w:right="57"/>
            </w:pPr>
            <w:r w:rsidRPr="00E47756">
              <w:rPr>
                <w:sz w:val="20"/>
              </w:rPr>
              <w:t>32.</w:t>
            </w:r>
            <w:r w:rsidRPr="00E47756">
              <w:rPr>
                <w:rFonts w:ascii="Arial" w:hAnsi="Arial" w:cs="Arial"/>
                <w:sz w:val="20"/>
              </w:rPr>
              <w:t xml:space="preserve"> </w:t>
            </w:r>
            <w:r w:rsidRPr="00E47756">
              <w:rPr>
                <w:sz w:val="2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715D340" w14:textId="77777777" w:rsidR="00E47756" w:rsidRPr="00E47756" w:rsidRDefault="00E47756" w:rsidP="00E47756">
            <w:pPr>
              <w:spacing w:after="0" w:line="240" w:lineRule="auto"/>
              <w:ind w:left="57" w:right="57"/>
            </w:pPr>
            <w:r w:rsidRPr="00E47756">
              <w:rPr>
                <w:b/>
                <w:sz w:val="20"/>
              </w:rPr>
              <w:t xml:space="preserve">Európsky priestor pre údaje týkajúce sa zdravia </w:t>
            </w:r>
          </w:p>
        </w:tc>
        <w:tc>
          <w:tcPr>
            <w:tcW w:w="3557" w:type="dxa"/>
            <w:gridSpan w:val="2"/>
            <w:tcBorders>
              <w:top w:val="single" w:sz="4" w:space="0" w:color="000000"/>
              <w:left w:val="single" w:sz="4" w:space="0" w:color="000000"/>
              <w:bottom w:val="single" w:sz="4" w:space="0" w:color="auto"/>
              <w:right w:val="single" w:sz="4" w:space="0" w:color="000000"/>
            </w:tcBorders>
          </w:tcPr>
          <w:p w14:paraId="7B561D5E" w14:textId="77777777" w:rsidR="00E47756" w:rsidRPr="00E47756" w:rsidRDefault="00E47756" w:rsidP="00E47756">
            <w:pPr>
              <w:spacing w:after="0" w:line="240" w:lineRule="auto"/>
              <w:ind w:left="57" w:right="57"/>
            </w:pPr>
            <w:r w:rsidRPr="00E47756">
              <w:rPr>
                <w:b/>
                <w:sz w:val="20"/>
              </w:rPr>
              <w:t>európsky priestor pre údaje týkajúce sa zdravia</w:t>
            </w:r>
            <w:r w:rsidRPr="00E47756">
              <w:rPr>
                <w:sz w:val="20"/>
              </w:rPr>
              <w:t xml:space="preserve"> (legislatívna iniciatíva vrátane posúdenia vplyvu, články 114 a 168 </w:t>
            </w:r>
          </w:p>
          <w:p w14:paraId="31B1A2E0" w14:textId="77777777" w:rsidR="00E47756" w:rsidRPr="00E47756" w:rsidRDefault="00E47756" w:rsidP="00E47756">
            <w:pPr>
              <w:spacing w:after="0" w:line="240" w:lineRule="auto"/>
              <w:ind w:left="57" w:right="57"/>
            </w:pPr>
            <w:r w:rsidRPr="00E47756">
              <w:rPr>
                <w:sz w:val="20"/>
              </w:rPr>
              <w:t xml:space="preserve">ZFEÚ, 4. štvrťrok 2021) </w:t>
            </w:r>
          </w:p>
        </w:tc>
        <w:tc>
          <w:tcPr>
            <w:tcW w:w="1975" w:type="dxa"/>
            <w:tcBorders>
              <w:top w:val="single" w:sz="4" w:space="0" w:color="000000"/>
              <w:left w:val="single" w:sz="4" w:space="0" w:color="000000"/>
              <w:bottom w:val="single" w:sz="4" w:space="0" w:color="000000"/>
              <w:right w:val="single" w:sz="4" w:space="0" w:color="000000"/>
            </w:tcBorders>
          </w:tcPr>
          <w:p w14:paraId="06C22B71" w14:textId="77777777" w:rsidR="00E47756" w:rsidRPr="00E47756" w:rsidRDefault="00E47756" w:rsidP="00E47756">
            <w:pPr>
              <w:spacing w:after="0" w:line="240" w:lineRule="auto"/>
              <w:ind w:left="57" w:right="57"/>
              <w:jc w:val="center"/>
              <w:rPr>
                <w:b/>
                <w:sz w:val="20"/>
              </w:rPr>
            </w:pPr>
            <w:r w:rsidRPr="00E47756">
              <w:rPr>
                <w:b/>
                <w:sz w:val="20"/>
              </w:rPr>
              <w:t>MZ SR</w:t>
            </w:r>
          </w:p>
        </w:tc>
        <w:tc>
          <w:tcPr>
            <w:tcW w:w="5776" w:type="dxa"/>
            <w:tcBorders>
              <w:top w:val="single" w:sz="4" w:space="0" w:color="000000"/>
              <w:left w:val="single" w:sz="4" w:space="0" w:color="000000"/>
              <w:bottom w:val="single" w:sz="4" w:space="0" w:color="000000"/>
              <w:right w:val="single" w:sz="4" w:space="0" w:color="000000"/>
            </w:tcBorders>
          </w:tcPr>
          <w:p w14:paraId="62094D23" w14:textId="77777777" w:rsidR="00E47756" w:rsidRPr="00E47756" w:rsidRDefault="00E47756" w:rsidP="00E47756">
            <w:pPr>
              <w:spacing w:after="0" w:line="240" w:lineRule="auto"/>
              <w:ind w:left="57" w:right="57"/>
              <w:rPr>
                <w:b/>
                <w:sz w:val="20"/>
                <w:u w:val="single"/>
              </w:rPr>
            </w:pPr>
            <w:r w:rsidRPr="00E47756">
              <w:rPr>
                <w:b/>
                <w:sz w:val="20"/>
                <w:u w:val="single"/>
              </w:rPr>
              <w:t>Vysoká priorita</w:t>
            </w:r>
            <w:r w:rsidRPr="00E47756">
              <w:rPr>
                <w:b/>
                <w:sz w:val="20"/>
                <w:szCs w:val="20"/>
              </w:rPr>
              <w:t xml:space="preserve"> - </w:t>
            </w:r>
            <w:r w:rsidRPr="00E47756">
              <w:rPr>
                <w:bCs/>
                <w:sz w:val="20"/>
              </w:rPr>
              <w:t xml:space="preserve">SR si uvedomuje dôležitosť tejto iniciatívy pre ďalší rozvoj cezhraničného prenosu pacientskych údajov a pre rozvoj umelej inteligencie v oblasti zdravotníctva na európskej úrovni. SR súhlasí s touto iniciatívou, lebo povedie aj k rozvoju digitalizácie </w:t>
            </w:r>
            <w:r w:rsidRPr="00E47756">
              <w:rPr>
                <w:bCs/>
                <w:sz w:val="20"/>
              </w:rPr>
              <w:lastRenderedPageBreak/>
              <w:t>a štandardizácie kódovania pacientskych údajov na Slovensku. SR do budúcna zváži všetky spôsoby, ako túto iniciatívu podporiť.</w:t>
            </w:r>
          </w:p>
        </w:tc>
      </w:tr>
      <w:tr w:rsidR="00E47756" w:rsidRPr="00E47756" w14:paraId="09E22C57" w14:textId="77777777" w:rsidTr="001A4016">
        <w:trPr>
          <w:trHeight w:val="545"/>
        </w:trPr>
        <w:tc>
          <w:tcPr>
            <w:tcW w:w="457" w:type="dxa"/>
            <w:tcBorders>
              <w:top w:val="single" w:sz="4" w:space="0" w:color="000000"/>
              <w:left w:val="single" w:sz="4" w:space="0" w:color="000000"/>
              <w:bottom w:val="single" w:sz="4" w:space="0" w:color="000000"/>
              <w:right w:val="single" w:sz="4" w:space="0" w:color="000000"/>
            </w:tcBorders>
          </w:tcPr>
          <w:p w14:paraId="6FD4C7EC" w14:textId="77777777" w:rsidR="00E47756" w:rsidRPr="00E47756" w:rsidRDefault="00E47756" w:rsidP="00E47756">
            <w:pPr>
              <w:spacing w:after="0" w:line="240" w:lineRule="auto"/>
              <w:ind w:left="57" w:right="57"/>
            </w:pPr>
            <w:r w:rsidRPr="00E47756">
              <w:rPr>
                <w:sz w:val="20"/>
              </w:rPr>
              <w:lastRenderedPageBreak/>
              <w:t>33.</w:t>
            </w:r>
            <w:r w:rsidRPr="00E47756">
              <w:rPr>
                <w:rFonts w:ascii="Arial" w:hAnsi="Arial" w:cs="Arial"/>
                <w:sz w:val="20"/>
              </w:rPr>
              <w:t xml:space="preserve"> </w:t>
            </w:r>
            <w:r w:rsidRPr="00E47756">
              <w:rPr>
                <w:sz w:val="20"/>
              </w:rPr>
              <w:t xml:space="preserve"> </w:t>
            </w:r>
          </w:p>
        </w:tc>
        <w:tc>
          <w:tcPr>
            <w:tcW w:w="2857" w:type="dxa"/>
            <w:tcBorders>
              <w:top w:val="single" w:sz="4" w:space="0" w:color="000000"/>
              <w:left w:val="single" w:sz="4" w:space="0" w:color="000000"/>
              <w:bottom w:val="single" w:sz="4" w:space="0" w:color="000000"/>
              <w:right w:val="single" w:sz="4" w:space="0" w:color="auto"/>
            </w:tcBorders>
          </w:tcPr>
          <w:p w14:paraId="51068AAA" w14:textId="77777777" w:rsidR="00E47756" w:rsidRPr="00E47756" w:rsidRDefault="00E47756" w:rsidP="00E47756">
            <w:pPr>
              <w:spacing w:after="0" w:line="240" w:lineRule="auto"/>
              <w:ind w:left="57" w:right="57"/>
            </w:pPr>
            <w:r w:rsidRPr="00E47756">
              <w:rPr>
                <w:b/>
                <w:sz w:val="20"/>
              </w:rPr>
              <w:t xml:space="preserve">Nadväzujúce iniciatívy v rámci nového paktu o migrácii a azyle </w:t>
            </w:r>
          </w:p>
        </w:tc>
        <w:tc>
          <w:tcPr>
            <w:tcW w:w="286" w:type="dxa"/>
            <w:tcBorders>
              <w:top w:val="single" w:sz="4" w:space="0" w:color="auto"/>
              <w:left w:val="single" w:sz="4" w:space="0" w:color="auto"/>
              <w:bottom w:val="single" w:sz="4" w:space="0" w:color="auto"/>
            </w:tcBorders>
          </w:tcPr>
          <w:p w14:paraId="03028530" w14:textId="77777777" w:rsidR="00E47756" w:rsidRPr="00E47756" w:rsidRDefault="00E47756" w:rsidP="00E47756">
            <w:pPr>
              <w:spacing w:after="0" w:line="240" w:lineRule="auto"/>
              <w:ind w:left="57" w:right="57"/>
            </w:pPr>
            <w:r w:rsidRPr="00E47756">
              <w:rPr>
                <w:sz w:val="20"/>
              </w:rPr>
              <w:t>a)</w:t>
            </w:r>
            <w:r w:rsidRPr="00E47756">
              <w:rPr>
                <w:rFonts w:ascii="Arial" w:hAnsi="Arial" w:cs="Arial"/>
                <w:sz w:val="20"/>
              </w:rPr>
              <w:t xml:space="preserve"> </w:t>
            </w:r>
          </w:p>
          <w:p w14:paraId="12BC255B" w14:textId="77777777" w:rsidR="00E47756" w:rsidRPr="00E47756" w:rsidRDefault="00E47756" w:rsidP="00E47756">
            <w:pPr>
              <w:spacing w:after="0" w:line="240" w:lineRule="auto"/>
              <w:ind w:left="57" w:right="57"/>
              <w:rPr>
                <w:sz w:val="20"/>
              </w:rPr>
            </w:pPr>
          </w:p>
          <w:p w14:paraId="56F1E043" w14:textId="77777777" w:rsidR="00E47756" w:rsidRPr="00E47756" w:rsidRDefault="00E47756" w:rsidP="00E47756">
            <w:pPr>
              <w:spacing w:after="0" w:line="240" w:lineRule="auto"/>
              <w:ind w:left="57" w:right="57"/>
              <w:rPr>
                <w:sz w:val="20"/>
              </w:rPr>
            </w:pPr>
          </w:p>
          <w:p w14:paraId="183550C5" w14:textId="77777777" w:rsidR="00E47756" w:rsidRPr="00E47756" w:rsidRDefault="00E47756" w:rsidP="00E47756">
            <w:pPr>
              <w:spacing w:after="0" w:line="240" w:lineRule="auto"/>
              <w:ind w:left="57" w:right="57"/>
              <w:rPr>
                <w:sz w:val="20"/>
              </w:rPr>
            </w:pPr>
          </w:p>
          <w:p w14:paraId="506854A8" w14:textId="77777777" w:rsidR="00E47756" w:rsidRPr="00E47756" w:rsidRDefault="00E47756" w:rsidP="00E47756">
            <w:pPr>
              <w:spacing w:after="0" w:line="240" w:lineRule="auto"/>
              <w:ind w:left="57" w:right="57"/>
              <w:rPr>
                <w:sz w:val="20"/>
              </w:rPr>
            </w:pPr>
            <w:r w:rsidRPr="00E47756">
              <w:rPr>
                <w:sz w:val="20"/>
              </w:rPr>
              <w:t>b)</w:t>
            </w:r>
          </w:p>
          <w:p w14:paraId="4D84889F" w14:textId="77777777" w:rsidR="00E47756" w:rsidRPr="00E47756" w:rsidRDefault="00E47756" w:rsidP="00E47756">
            <w:pPr>
              <w:spacing w:after="0" w:line="240" w:lineRule="auto"/>
              <w:ind w:left="57" w:right="57"/>
            </w:pPr>
          </w:p>
        </w:tc>
        <w:tc>
          <w:tcPr>
            <w:tcW w:w="3271" w:type="dxa"/>
            <w:tcBorders>
              <w:top w:val="single" w:sz="4" w:space="0" w:color="auto"/>
              <w:left w:val="nil"/>
              <w:bottom w:val="single" w:sz="4" w:space="0" w:color="auto"/>
              <w:right w:val="single" w:sz="4" w:space="0" w:color="auto"/>
            </w:tcBorders>
          </w:tcPr>
          <w:p w14:paraId="707A2290" w14:textId="77777777" w:rsidR="00E47756" w:rsidRPr="00E47756" w:rsidRDefault="00E47756" w:rsidP="00E47756">
            <w:pPr>
              <w:spacing w:after="0" w:line="240" w:lineRule="auto"/>
              <w:ind w:left="57" w:right="57"/>
              <w:rPr>
                <w:b/>
                <w:sz w:val="20"/>
              </w:rPr>
            </w:pPr>
            <w:r w:rsidRPr="00E47756">
              <w:rPr>
                <w:b/>
                <w:sz w:val="20"/>
              </w:rPr>
              <w:t xml:space="preserve">nový akčný plán EÚ proti </w:t>
            </w:r>
            <w:proofErr w:type="spellStart"/>
            <w:r w:rsidRPr="00E47756">
              <w:rPr>
                <w:b/>
                <w:sz w:val="20"/>
              </w:rPr>
              <w:t>prevádzačstvu</w:t>
            </w:r>
            <w:proofErr w:type="spellEnd"/>
            <w:r w:rsidRPr="00E47756">
              <w:rPr>
                <w:sz w:val="20"/>
              </w:rPr>
              <w:t xml:space="preserve"> (nelegislatívna iniciatíva, 2. štvrťrok 2021);</w:t>
            </w:r>
            <w:r w:rsidRPr="00E47756">
              <w:rPr>
                <w:b/>
                <w:sz w:val="20"/>
              </w:rPr>
              <w:t xml:space="preserve"> </w:t>
            </w:r>
          </w:p>
          <w:p w14:paraId="188CD03F" w14:textId="77777777" w:rsidR="00E47756" w:rsidRPr="00E47756" w:rsidRDefault="00E47756" w:rsidP="00E47756">
            <w:pPr>
              <w:spacing w:after="0" w:line="240" w:lineRule="auto"/>
              <w:ind w:left="57" w:right="57"/>
              <w:rPr>
                <w:b/>
                <w:sz w:val="20"/>
              </w:rPr>
            </w:pPr>
          </w:p>
          <w:p w14:paraId="6D1DC3F2" w14:textId="77777777" w:rsidR="00E47756" w:rsidRPr="00E47756" w:rsidRDefault="00E47756" w:rsidP="00E47756">
            <w:pPr>
              <w:spacing w:after="0" w:line="240" w:lineRule="auto"/>
              <w:ind w:left="57" w:right="57"/>
            </w:pPr>
            <w:r w:rsidRPr="00E47756">
              <w:rPr>
                <w:b/>
                <w:sz w:val="20"/>
              </w:rPr>
              <w:t>nová stratégia pre dobrovoľné návraty a reintegráciu</w:t>
            </w:r>
            <w:r w:rsidRPr="00E47756">
              <w:rPr>
                <w:sz w:val="20"/>
              </w:rPr>
              <w:t xml:space="preserve"> (nelegislatívna iniciatíva, 2. štvrťrok 2021). </w:t>
            </w:r>
          </w:p>
        </w:tc>
        <w:tc>
          <w:tcPr>
            <w:tcW w:w="1975" w:type="dxa"/>
            <w:tcBorders>
              <w:top w:val="single" w:sz="4" w:space="0" w:color="000000"/>
              <w:left w:val="single" w:sz="4" w:space="0" w:color="auto"/>
              <w:bottom w:val="single" w:sz="4" w:space="0" w:color="000000"/>
              <w:right w:val="single" w:sz="4" w:space="0" w:color="000000"/>
            </w:tcBorders>
          </w:tcPr>
          <w:p w14:paraId="29F30A8F" w14:textId="77777777" w:rsidR="00E47756" w:rsidRPr="00E47756" w:rsidRDefault="00E47756" w:rsidP="00E47756">
            <w:pPr>
              <w:spacing w:after="0" w:line="240" w:lineRule="auto"/>
              <w:ind w:left="57" w:right="57"/>
              <w:jc w:val="center"/>
              <w:rPr>
                <w:b/>
                <w:sz w:val="20"/>
              </w:rPr>
            </w:pPr>
            <w:r w:rsidRPr="00E47756">
              <w:rPr>
                <w:b/>
                <w:sz w:val="20"/>
              </w:rPr>
              <w:t>MV SR</w:t>
            </w:r>
          </w:p>
          <w:p w14:paraId="6BE8DC4C" w14:textId="77777777" w:rsidR="00E47756" w:rsidRPr="00E47756" w:rsidRDefault="00E47756" w:rsidP="00E47756">
            <w:pPr>
              <w:spacing w:after="0" w:line="240" w:lineRule="auto"/>
              <w:ind w:left="57" w:right="57"/>
              <w:rPr>
                <w:b/>
                <w:sz w:val="20"/>
              </w:rPr>
            </w:pPr>
          </w:p>
          <w:p w14:paraId="5F585355" w14:textId="77777777" w:rsidR="00E47756" w:rsidRPr="00E47756" w:rsidRDefault="00E47756" w:rsidP="00E47756">
            <w:pPr>
              <w:spacing w:after="0" w:line="240" w:lineRule="auto"/>
              <w:ind w:left="57" w:right="57"/>
              <w:jc w:val="center"/>
              <w:rPr>
                <w:b/>
                <w:sz w:val="20"/>
              </w:rPr>
            </w:pPr>
          </w:p>
          <w:p w14:paraId="5A81CA4E" w14:textId="77777777" w:rsidR="00E47756" w:rsidRPr="00E47756" w:rsidRDefault="00E47756" w:rsidP="00E47756">
            <w:pPr>
              <w:spacing w:after="0" w:line="240" w:lineRule="auto"/>
              <w:ind w:left="57" w:right="57"/>
              <w:jc w:val="center"/>
              <w:rPr>
                <w:b/>
                <w:sz w:val="20"/>
              </w:rPr>
            </w:pPr>
          </w:p>
          <w:p w14:paraId="403AF7CA" w14:textId="77777777" w:rsidR="00E47756" w:rsidRPr="00E47756" w:rsidRDefault="00E47756" w:rsidP="00E47756">
            <w:pPr>
              <w:spacing w:after="0" w:line="240" w:lineRule="auto"/>
              <w:ind w:left="57" w:right="57"/>
              <w:jc w:val="center"/>
              <w:rPr>
                <w:b/>
                <w:sz w:val="20"/>
              </w:rPr>
            </w:pPr>
            <w:r w:rsidRPr="00E47756">
              <w:rPr>
                <w:b/>
                <w:sz w:val="20"/>
              </w:rPr>
              <w:t>MV SR</w:t>
            </w:r>
          </w:p>
          <w:p w14:paraId="3140D7FA" w14:textId="77777777" w:rsidR="00E47756" w:rsidRPr="00E47756" w:rsidRDefault="00E47756" w:rsidP="00E47756">
            <w:pPr>
              <w:spacing w:after="0" w:line="240" w:lineRule="auto"/>
              <w:ind w:left="57" w:right="57"/>
              <w:jc w:val="center"/>
              <w:rPr>
                <w:b/>
                <w:sz w:val="20"/>
              </w:rPr>
            </w:pPr>
          </w:p>
          <w:p w14:paraId="1FAA5243" w14:textId="77777777" w:rsidR="00E47756" w:rsidRPr="00E47756" w:rsidRDefault="00E47756" w:rsidP="00E47756">
            <w:pPr>
              <w:spacing w:after="0" w:line="240" w:lineRule="auto"/>
              <w:ind w:left="57" w:right="57"/>
              <w:jc w:val="center"/>
              <w:rPr>
                <w:b/>
                <w:sz w:val="20"/>
              </w:rPr>
            </w:pPr>
          </w:p>
          <w:p w14:paraId="64228FE8" w14:textId="77777777" w:rsidR="00E47756" w:rsidRPr="00E47756" w:rsidRDefault="00E47756" w:rsidP="00E47756">
            <w:pPr>
              <w:spacing w:after="0" w:line="240" w:lineRule="auto"/>
              <w:ind w:left="57" w:right="57"/>
              <w:jc w:val="center"/>
              <w:rPr>
                <w:b/>
                <w:sz w:val="20"/>
              </w:rPr>
            </w:pPr>
          </w:p>
          <w:p w14:paraId="1CF7A0A2" w14:textId="77777777" w:rsidR="00E47756" w:rsidRPr="00E47756" w:rsidRDefault="00E47756" w:rsidP="00E47756">
            <w:pPr>
              <w:spacing w:after="0" w:line="240" w:lineRule="auto"/>
              <w:ind w:left="57" w:right="57"/>
              <w:jc w:val="center"/>
              <w:rPr>
                <w:b/>
                <w:sz w:val="20"/>
              </w:rPr>
            </w:pPr>
          </w:p>
        </w:tc>
        <w:tc>
          <w:tcPr>
            <w:tcW w:w="5776" w:type="dxa"/>
            <w:tcBorders>
              <w:top w:val="single" w:sz="4" w:space="0" w:color="000000"/>
              <w:left w:val="nil"/>
              <w:bottom w:val="single" w:sz="4" w:space="0" w:color="000000"/>
              <w:right w:val="single" w:sz="4" w:space="0" w:color="000000"/>
            </w:tcBorders>
          </w:tcPr>
          <w:p w14:paraId="62DA2929" w14:textId="77777777" w:rsidR="00E47756" w:rsidRPr="00E47756" w:rsidRDefault="00E47756" w:rsidP="00E47756">
            <w:pPr>
              <w:tabs>
                <w:tab w:val="left" w:pos="5680"/>
              </w:tabs>
              <w:spacing w:after="0" w:line="240" w:lineRule="auto"/>
              <w:ind w:left="57" w:right="57"/>
              <w:rPr>
                <w:b/>
                <w:sz w:val="20"/>
              </w:rPr>
            </w:pPr>
            <w:r w:rsidRPr="00E47756">
              <w:rPr>
                <w:b/>
                <w:sz w:val="20"/>
                <w:u w:val="single"/>
              </w:rPr>
              <w:t>Nízka priorita</w:t>
            </w:r>
            <w:r w:rsidRPr="00E47756">
              <w:rPr>
                <w:b/>
                <w:sz w:val="20"/>
                <w:szCs w:val="20"/>
              </w:rPr>
              <w:t xml:space="preserve"> - </w:t>
            </w:r>
            <w:r w:rsidRPr="00E47756">
              <w:rPr>
                <w:sz w:val="20"/>
              </w:rPr>
              <w:t xml:space="preserve">Akčný plán by mal obsahovať ďalšie opatrenia v boji proti </w:t>
            </w:r>
            <w:proofErr w:type="spellStart"/>
            <w:r w:rsidRPr="00E47756">
              <w:rPr>
                <w:sz w:val="20"/>
              </w:rPr>
              <w:t>prevádzačstvu</w:t>
            </w:r>
            <w:proofErr w:type="spellEnd"/>
            <w:r w:rsidRPr="00E47756">
              <w:rPr>
                <w:sz w:val="20"/>
              </w:rPr>
              <w:t>, nepredpokladá sa problematický obsah.</w:t>
            </w:r>
          </w:p>
          <w:p w14:paraId="666A0094" w14:textId="77777777" w:rsidR="00E47756" w:rsidRPr="00E47756" w:rsidRDefault="00E47756" w:rsidP="00E47756">
            <w:pPr>
              <w:tabs>
                <w:tab w:val="left" w:pos="5680"/>
              </w:tabs>
              <w:spacing w:after="0" w:line="240" w:lineRule="auto"/>
              <w:ind w:left="57" w:right="57"/>
              <w:rPr>
                <w:b/>
                <w:sz w:val="20"/>
              </w:rPr>
            </w:pPr>
          </w:p>
          <w:p w14:paraId="0BA5232F" w14:textId="77777777" w:rsidR="00E47756" w:rsidRPr="00E47756" w:rsidRDefault="00E47756" w:rsidP="00E47756">
            <w:pPr>
              <w:tabs>
                <w:tab w:val="left" w:pos="5680"/>
              </w:tabs>
              <w:spacing w:after="0" w:line="240" w:lineRule="auto"/>
              <w:ind w:left="57" w:right="57"/>
              <w:rPr>
                <w:b/>
                <w:sz w:val="20"/>
                <w:u w:val="single"/>
              </w:rPr>
            </w:pPr>
          </w:p>
          <w:p w14:paraId="59436763" w14:textId="77777777" w:rsidR="00E47756" w:rsidRPr="00E47756" w:rsidRDefault="00E47756" w:rsidP="00E47756">
            <w:pPr>
              <w:tabs>
                <w:tab w:val="left" w:pos="5680"/>
              </w:tabs>
              <w:spacing w:after="0" w:line="240" w:lineRule="auto"/>
              <w:ind w:left="57" w:right="57"/>
              <w:rPr>
                <w:sz w:val="20"/>
              </w:rPr>
            </w:pPr>
            <w:r w:rsidRPr="00E47756">
              <w:rPr>
                <w:b/>
                <w:sz w:val="20"/>
                <w:u w:val="single"/>
              </w:rPr>
              <w:t>Nízka priorita</w:t>
            </w:r>
            <w:r w:rsidRPr="00E47756">
              <w:rPr>
                <w:sz w:val="20"/>
              </w:rPr>
              <w:t xml:space="preserve"> –</w:t>
            </w:r>
            <w:r w:rsidRPr="00E47756">
              <w:rPr>
                <w:b/>
                <w:sz w:val="20"/>
              </w:rPr>
              <w:t xml:space="preserve"> </w:t>
            </w:r>
            <w:r w:rsidRPr="00E47756">
              <w:rPr>
                <w:sz w:val="20"/>
              </w:rPr>
              <w:t xml:space="preserve">Komisia predstaví stratégiu pre dobrovoľné návraty a reintegráciu, ide o preferovanú formu výkonu návratov, nepredpokladá sa problematický obsah. </w:t>
            </w:r>
          </w:p>
        </w:tc>
      </w:tr>
      <w:tr w:rsidR="00E47756" w:rsidRPr="00E47756" w14:paraId="77AFCCF2" w14:textId="77777777" w:rsidTr="001A4016">
        <w:trPr>
          <w:trHeight w:val="264"/>
        </w:trPr>
        <w:tc>
          <w:tcPr>
            <w:tcW w:w="457" w:type="dxa"/>
            <w:tcBorders>
              <w:top w:val="single" w:sz="4" w:space="0" w:color="000000"/>
              <w:left w:val="single" w:sz="4" w:space="0" w:color="000000"/>
              <w:right w:val="single" w:sz="4" w:space="0" w:color="000000"/>
            </w:tcBorders>
          </w:tcPr>
          <w:p w14:paraId="44CBC43F" w14:textId="77777777" w:rsidR="00E47756" w:rsidRPr="00E47756" w:rsidRDefault="00E47756" w:rsidP="00E47756">
            <w:pPr>
              <w:spacing w:after="0" w:line="240" w:lineRule="auto"/>
              <w:ind w:left="57" w:right="57"/>
            </w:pPr>
            <w:r w:rsidRPr="00E47756">
              <w:rPr>
                <w:sz w:val="20"/>
              </w:rPr>
              <w:t>34.</w:t>
            </w:r>
            <w:r w:rsidRPr="00E47756">
              <w:rPr>
                <w:rFonts w:ascii="Arial" w:hAnsi="Arial" w:cs="Arial"/>
                <w:sz w:val="20"/>
              </w:rPr>
              <w:t xml:space="preserve"> </w:t>
            </w:r>
            <w:r w:rsidRPr="00E47756">
              <w:rPr>
                <w:sz w:val="20"/>
              </w:rPr>
              <w:t xml:space="preserve"> </w:t>
            </w:r>
          </w:p>
        </w:tc>
        <w:tc>
          <w:tcPr>
            <w:tcW w:w="2857" w:type="dxa"/>
            <w:tcBorders>
              <w:top w:val="single" w:sz="4" w:space="0" w:color="000000"/>
              <w:left w:val="single" w:sz="4" w:space="0" w:color="000000"/>
              <w:right w:val="single" w:sz="4" w:space="0" w:color="000000"/>
            </w:tcBorders>
          </w:tcPr>
          <w:p w14:paraId="58347908" w14:textId="77777777" w:rsidR="00E47756" w:rsidRPr="00E47756" w:rsidRDefault="00E47756" w:rsidP="00E47756">
            <w:pPr>
              <w:spacing w:after="0" w:line="240" w:lineRule="auto"/>
              <w:ind w:left="57" w:right="57"/>
            </w:pPr>
            <w:r w:rsidRPr="00E47756">
              <w:rPr>
                <w:b/>
                <w:sz w:val="20"/>
              </w:rPr>
              <w:t>Schengenský balík</w:t>
            </w:r>
            <w:r w:rsidRPr="00E47756">
              <w:rPr>
                <w:sz w:val="20"/>
              </w:rPr>
              <w:t xml:space="preserve"> </w:t>
            </w:r>
          </w:p>
        </w:tc>
        <w:tc>
          <w:tcPr>
            <w:tcW w:w="286" w:type="dxa"/>
            <w:tcBorders>
              <w:top w:val="single" w:sz="4" w:space="0" w:color="auto"/>
              <w:left w:val="single" w:sz="4" w:space="0" w:color="000000"/>
              <w:right w:val="nil"/>
            </w:tcBorders>
          </w:tcPr>
          <w:p w14:paraId="70140111" w14:textId="77777777" w:rsidR="00E47756" w:rsidRPr="00E47756" w:rsidRDefault="00E47756" w:rsidP="00E47756">
            <w:pPr>
              <w:spacing w:after="0" w:line="240" w:lineRule="auto"/>
              <w:ind w:left="57" w:right="57"/>
            </w:pPr>
            <w:r w:rsidRPr="00E47756">
              <w:rPr>
                <w:sz w:val="20"/>
              </w:rPr>
              <w:t>a)</w:t>
            </w:r>
            <w:r w:rsidRPr="00E47756">
              <w:rPr>
                <w:rFonts w:ascii="Arial" w:hAnsi="Arial" w:cs="Arial"/>
                <w:sz w:val="20"/>
              </w:rPr>
              <w:t xml:space="preserve"> </w:t>
            </w:r>
          </w:p>
        </w:tc>
        <w:tc>
          <w:tcPr>
            <w:tcW w:w="3271" w:type="dxa"/>
            <w:tcBorders>
              <w:top w:val="single" w:sz="4" w:space="0" w:color="auto"/>
              <w:left w:val="nil"/>
              <w:right w:val="single" w:sz="4" w:space="0" w:color="000000"/>
            </w:tcBorders>
          </w:tcPr>
          <w:p w14:paraId="4A79EF39" w14:textId="77777777" w:rsidR="00E47756" w:rsidRPr="00E47756" w:rsidRDefault="00E47756" w:rsidP="00E47756">
            <w:pPr>
              <w:spacing w:after="0" w:line="240" w:lineRule="auto"/>
              <w:ind w:left="57" w:right="57"/>
            </w:pPr>
            <w:r w:rsidRPr="00E47756">
              <w:rPr>
                <w:b/>
                <w:sz w:val="20"/>
              </w:rPr>
              <w:t xml:space="preserve">stratégia o budúcnosti schengenského priestoru </w:t>
            </w:r>
            <w:r w:rsidRPr="00E47756">
              <w:rPr>
                <w:sz w:val="20"/>
              </w:rPr>
              <w:t>(nelegislatívna iniciatíva, 2. štvrťrok 2021);</w:t>
            </w:r>
            <w:r w:rsidRPr="00E47756">
              <w:rPr>
                <w:b/>
                <w:sz w:val="20"/>
              </w:rPr>
              <w:t xml:space="preserve"> </w:t>
            </w:r>
          </w:p>
        </w:tc>
        <w:tc>
          <w:tcPr>
            <w:tcW w:w="1975" w:type="dxa"/>
            <w:tcBorders>
              <w:top w:val="single" w:sz="4" w:space="0" w:color="000000"/>
              <w:left w:val="nil"/>
              <w:right w:val="single" w:sz="4" w:space="0" w:color="000000"/>
            </w:tcBorders>
          </w:tcPr>
          <w:p w14:paraId="42DB35E6" w14:textId="77777777" w:rsidR="00E47756" w:rsidRPr="00E47756" w:rsidRDefault="00E47756" w:rsidP="00E47756">
            <w:pPr>
              <w:spacing w:after="0" w:line="240" w:lineRule="auto"/>
              <w:ind w:left="57" w:right="57"/>
              <w:jc w:val="center"/>
              <w:rPr>
                <w:b/>
                <w:sz w:val="20"/>
              </w:rPr>
            </w:pPr>
            <w:r w:rsidRPr="00E47756">
              <w:rPr>
                <w:b/>
                <w:sz w:val="20"/>
              </w:rPr>
              <w:t>MV SR</w:t>
            </w:r>
          </w:p>
        </w:tc>
        <w:tc>
          <w:tcPr>
            <w:tcW w:w="5776" w:type="dxa"/>
            <w:tcBorders>
              <w:top w:val="single" w:sz="4" w:space="0" w:color="000000"/>
              <w:left w:val="nil"/>
              <w:right w:val="single" w:sz="4" w:space="0" w:color="000000"/>
            </w:tcBorders>
          </w:tcPr>
          <w:p w14:paraId="6EAF8A60" w14:textId="77777777" w:rsidR="00E47756" w:rsidRPr="00E47756" w:rsidRDefault="00E47756" w:rsidP="00E47756">
            <w:pPr>
              <w:spacing w:after="0" w:line="240" w:lineRule="auto"/>
              <w:ind w:left="57" w:right="57"/>
              <w:rPr>
                <w:sz w:val="20"/>
              </w:rPr>
            </w:pPr>
            <w:r w:rsidRPr="00E47756">
              <w:rPr>
                <w:b/>
                <w:sz w:val="20"/>
                <w:u w:val="single"/>
              </w:rPr>
              <w:t>Vysoká priorita</w:t>
            </w:r>
            <w:r w:rsidRPr="00E47756">
              <w:rPr>
                <w:sz w:val="20"/>
              </w:rPr>
              <w:t xml:space="preserve"> – pôjde o dôležitý balík návrhov, do ktorého plánuje Komisia premietnuť skúsenosti z fungovania Schengenského priestoru a dodržiavania voľného pohybu osôb bez kontroly vnútorných hraníc. Cieľom je zachovať a zlepšiť fungovanie schengenského priestoru, zaviesť prísnejšie schengenské pravidlá a pokračovať v práci na dobudovaní schengenského priestoru. SR s cieľmi Komisie súhlasí, konečné stanovisko však bude známe až po predložení dokumentov.</w:t>
            </w:r>
          </w:p>
          <w:p w14:paraId="5F5C6C33" w14:textId="77777777" w:rsidR="00E47756" w:rsidRPr="00E47756" w:rsidRDefault="00E47756" w:rsidP="00E47756">
            <w:pPr>
              <w:spacing w:after="0" w:line="240" w:lineRule="auto"/>
              <w:ind w:left="57" w:right="57"/>
              <w:rPr>
                <w:sz w:val="20"/>
              </w:rPr>
            </w:pPr>
          </w:p>
        </w:tc>
      </w:tr>
      <w:tr w:rsidR="00E47756" w:rsidRPr="00E47756" w14:paraId="6A55BF83" w14:textId="77777777" w:rsidTr="00A41E9A">
        <w:trPr>
          <w:trHeight w:val="458"/>
        </w:trPr>
        <w:tc>
          <w:tcPr>
            <w:tcW w:w="457" w:type="dxa"/>
            <w:tcBorders>
              <w:top w:val="nil"/>
              <w:left w:val="single" w:sz="4" w:space="0" w:color="000000"/>
              <w:bottom w:val="single" w:sz="4" w:space="0" w:color="auto"/>
              <w:right w:val="single" w:sz="4" w:space="0" w:color="000000"/>
            </w:tcBorders>
          </w:tcPr>
          <w:p w14:paraId="2E5659C0" w14:textId="77777777" w:rsidR="00E47756" w:rsidRPr="00E47756" w:rsidRDefault="00E47756" w:rsidP="00E47756">
            <w:pPr>
              <w:spacing w:after="0" w:line="240" w:lineRule="auto"/>
              <w:ind w:left="57" w:right="57"/>
            </w:pPr>
          </w:p>
        </w:tc>
        <w:tc>
          <w:tcPr>
            <w:tcW w:w="2857" w:type="dxa"/>
            <w:tcBorders>
              <w:top w:val="nil"/>
              <w:left w:val="single" w:sz="4" w:space="0" w:color="000000"/>
              <w:bottom w:val="single" w:sz="4" w:space="0" w:color="auto"/>
              <w:right w:val="single" w:sz="4" w:space="0" w:color="000000"/>
            </w:tcBorders>
          </w:tcPr>
          <w:p w14:paraId="41BDDBB7" w14:textId="77777777" w:rsidR="00E47756" w:rsidRPr="00E47756" w:rsidRDefault="00E47756" w:rsidP="00E47756">
            <w:pPr>
              <w:spacing w:after="0" w:line="240" w:lineRule="auto"/>
              <w:ind w:left="57" w:right="57"/>
            </w:pPr>
          </w:p>
        </w:tc>
        <w:tc>
          <w:tcPr>
            <w:tcW w:w="286" w:type="dxa"/>
            <w:tcBorders>
              <w:top w:val="nil"/>
              <w:left w:val="single" w:sz="4" w:space="0" w:color="000000"/>
              <w:bottom w:val="single" w:sz="4" w:space="0" w:color="auto"/>
              <w:right w:val="nil"/>
            </w:tcBorders>
          </w:tcPr>
          <w:p w14:paraId="2BA2C177" w14:textId="77777777" w:rsidR="00E47756" w:rsidRPr="00E47756" w:rsidRDefault="00E47756" w:rsidP="00E47756">
            <w:pPr>
              <w:spacing w:after="0" w:line="240" w:lineRule="auto"/>
              <w:ind w:left="57" w:right="57"/>
            </w:pPr>
            <w:r w:rsidRPr="00E47756">
              <w:rPr>
                <w:sz w:val="20"/>
              </w:rPr>
              <w:t>b)</w:t>
            </w:r>
            <w:r w:rsidRPr="00E47756">
              <w:rPr>
                <w:rFonts w:ascii="Arial" w:hAnsi="Arial" w:cs="Arial"/>
                <w:sz w:val="20"/>
              </w:rPr>
              <w:t xml:space="preserve"> </w:t>
            </w:r>
          </w:p>
        </w:tc>
        <w:tc>
          <w:tcPr>
            <w:tcW w:w="3271" w:type="dxa"/>
            <w:tcBorders>
              <w:top w:val="nil"/>
              <w:left w:val="nil"/>
              <w:bottom w:val="single" w:sz="4" w:space="0" w:color="auto"/>
              <w:right w:val="single" w:sz="4" w:space="0" w:color="000000"/>
            </w:tcBorders>
          </w:tcPr>
          <w:p w14:paraId="1DE4BEBC" w14:textId="77777777" w:rsidR="00E47756" w:rsidRPr="00E47756" w:rsidRDefault="00E47756" w:rsidP="00E47756">
            <w:pPr>
              <w:spacing w:after="0" w:line="240" w:lineRule="auto"/>
              <w:ind w:left="57" w:right="57"/>
              <w:rPr>
                <w:b/>
                <w:sz w:val="20"/>
              </w:rPr>
            </w:pPr>
            <w:r w:rsidRPr="00E47756">
              <w:rPr>
                <w:b/>
                <w:sz w:val="20"/>
              </w:rPr>
              <w:t>zmena nariadenia, ktorým sa zriaďuje schengenský hodnotiaci mechanizmus</w:t>
            </w:r>
            <w:r w:rsidRPr="00E47756">
              <w:rPr>
                <w:sz w:val="20"/>
              </w:rPr>
              <w:t xml:space="preserve"> (legislatívna iniciatíva vrátane posúdenia vplyvu, článok 70 ZFEÚ, 2. štvrťrok 2021);</w:t>
            </w:r>
            <w:r w:rsidRPr="00E47756">
              <w:rPr>
                <w:b/>
                <w:sz w:val="20"/>
              </w:rPr>
              <w:t xml:space="preserve"> </w:t>
            </w:r>
          </w:p>
          <w:p w14:paraId="6B75F73B" w14:textId="77777777" w:rsidR="00E47756" w:rsidRPr="00E47756" w:rsidRDefault="00E47756" w:rsidP="00E47756">
            <w:pPr>
              <w:spacing w:after="0" w:line="240" w:lineRule="auto"/>
              <w:ind w:left="57" w:right="57"/>
            </w:pPr>
          </w:p>
          <w:p w14:paraId="279A7078" w14:textId="77777777" w:rsidR="00E47756" w:rsidRPr="00E47756" w:rsidRDefault="00E47756" w:rsidP="00E47756">
            <w:pPr>
              <w:spacing w:after="0" w:line="240" w:lineRule="auto"/>
              <w:ind w:left="57" w:right="57"/>
            </w:pPr>
          </w:p>
          <w:p w14:paraId="6AD983EF" w14:textId="77777777" w:rsidR="00E47756" w:rsidRPr="00E47756" w:rsidRDefault="00E47756" w:rsidP="00E47756">
            <w:pPr>
              <w:spacing w:after="0" w:line="240" w:lineRule="auto"/>
              <w:ind w:left="57" w:right="57"/>
            </w:pPr>
          </w:p>
        </w:tc>
        <w:tc>
          <w:tcPr>
            <w:tcW w:w="1975" w:type="dxa"/>
            <w:tcBorders>
              <w:top w:val="nil"/>
              <w:left w:val="nil"/>
              <w:bottom w:val="single" w:sz="4" w:space="0" w:color="auto"/>
              <w:right w:val="single" w:sz="4" w:space="0" w:color="000000"/>
            </w:tcBorders>
          </w:tcPr>
          <w:p w14:paraId="35A74795" w14:textId="77777777" w:rsidR="00E47756" w:rsidRPr="00E47756" w:rsidRDefault="00E47756" w:rsidP="00E47756">
            <w:pPr>
              <w:spacing w:after="0" w:line="240" w:lineRule="auto"/>
              <w:ind w:left="57" w:right="57"/>
              <w:jc w:val="center"/>
              <w:rPr>
                <w:b/>
                <w:sz w:val="20"/>
              </w:rPr>
            </w:pPr>
            <w:r w:rsidRPr="00E47756">
              <w:rPr>
                <w:b/>
                <w:sz w:val="20"/>
              </w:rPr>
              <w:t>MV SR</w:t>
            </w:r>
          </w:p>
        </w:tc>
        <w:tc>
          <w:tcPr>
            <w:tcW w:w="5776" w:type="dxa"/>
            <w:tcBorders>
              <w:top w:val="nil"/>
              <w:left w:val="nil"/>
              <w:bottom w:val="single" w:sz="4" w:space="0" w:color="auto"/>
              <w:right w:val="single" w:sz="4" w:space="0" w:color="000000"/>
            </w:tcBorders>
          </w:tcPr>
          <w:p w14:paraId="6D71FE5C" w14:textId="77777777" w:rsidR="00E47756" w:rsidRPr="00E47756" w:rsidRDefault="00E47756" w:rsidP="00E47756">
            <w:pPr>
              <w:spacing w:after="0" w:line="240" w:lineRule="auto"/>
              <w:ind w:left="57" w:right="57"/>
              <w:rPr>
                <w:sz w:val="20"/>
              </w:rPr>
            </w:pPr>
            <w:r w:rsidRPr="00E47756">
              <w:rPr>
                <w:b/>
                <w:sz w:val="20"/>
                <w:u w:val="single"/>
              </w:rPr>
              <w:t>Vysoká priorita</w:t>
            </w:r>
            <w:r w:rsidRPr="00E47756">
              <w:rPr>
                <w:sz w:val="20"/>
              </w:rPr>
              <w:t xml:space="preserve"> – pôjde o dôležitý balík návrhov, do ktorého plánuje Komisia premietnuť skúsenosti z fungovania Schengenského priestoru a dodržiavania voľného pohybu osôb bez kontroly vnútorných hraníc. Cieľom je zachovať a zlepšiť fungovanie schengenského priestoru, zaviesť prísnejšie schengenské pravidlá a pokračovať v práci na dobudovaní schengenského priestoru. SR s cieľmi Komisie súhlasí, konečné stanovisko však bude známe až po predložení dokumentov.</w:t>
            </w:r>
          </w:p>
          <w:p w14:paraId="49380A74" w14:textId="77777777" w:rsidR="00E47756" w:rsidRPr="00E47756" w:rsidRDefault="00E47756" w:rsidP="00E47756">
            <w:pPr>
              <w:spacing w:after="0" w:line="240" w:lineRule="auto"/>
              <w:ind w:left="57" w:right="57"/>
              <w:rPr>
                <w:b/>
                <w:sz w:val="20"/>
              </w:rPr>
            </w:pPr>
          </w:p>
          <w:p w14:paraId="05F5E7E0" w14:textId="77777777" w:rsidR="00E47756" w:rsidRPr="00E47756" w:rsidRDefault="00E47756" w:rsidP="00E47756">
            <w:pPr>
              <w:spacing w:after="0" w:line="240" w:lineRule="auto"/>
              <w:ind w:left="57" w:right="57"/>
              <w:rPr>
                <w:b/>
                <w:sz w:val="20"/>
              </w:rPr>
            </w:pPr>
          </w:p>
          <w:p w14:paraId="45CD26C9" w14:textId="77777777" w:rsidR="00E47756" w:rsidRPr="00E47756" w:rsidRDefault="00E47756" w:rsidP="00E47756">
            <w:pPr>
              <w:spacing w:after="0" w:line="240" w:lineRule="auto"/>
              <w:ind w:left="57" w:right="57"/>
              <w:rPr>
                <w:b/>
                <w:sz w:val="20"/>
              </w:rPr>
            </w:pPr>
          </w:p>
        </w:tc>
      </w:tr>
      <w:tr w:rsidR="00E47756" w:rsidRPr="00E47756" w14:paraId="6918BF80" w14:textId="77777777" w:rsidTr="00A41E9A">
        <w:trPr>
          <w:trHeight w:val="460"/>
        </w:trPr>
        <w:tc>
          <w:tcPr>
            <w:tcW w:w="457" w:type="dxa"/>
            <w:tcBorders>
              <w:top w:val="single" w:sz="4" w:space="0" w:color="auto"/>
              <w:left w:val="single" w:sz="4" w:space="0" w:color="000000"/>
              <w:bottom w:val="single" w:sz="4" w:space="0" w:color="auto"/>
              <w:right w:val="single" w:sz="4" w:space="0" w:color="000000"/>
            </w:tcBorders>
          </w:tcPr>
          <w:p w14:paraId="76A10444" w14:textId="77777777" w:rsidR="00E47756" w:rsidRPr="00E47756" w:rsidRDefault="00E47756" w:rsidP="00E47756">
            <w:pPr>
              <w:spacing w:after="0" w:line="240" w:lineRule="auto"/>
              <w:ind w:left="57" w:right="57"/>
            </w:pPr>
          </w:p>
        </w:tc>
        <w:tc>
          <w:tcPr>
            <w:tcW w:w="2857" w:type="dxa"/>
            <w:tcBorders>
              <w:top w:val="single" w:sz="4" w:space="0" w:color="auto"/>
              <w:left w:val="single" w:sz="4" w:space="0" w:color="000000"/>
              <w:bottom w:val="single" w:sz="4" w:space="0" w:color="auto"/>
              <w:right w:val="single" w:sz="4" w:space="0" w:color="000000"/>
            </w:tcBorders>
          </w:tcPr>
          <w:p w14:paraId="1A2D9253" w14:textId="77777777" w:rsidR="00E47756" w:rsidRPr="00E47756" w:rsidRDefault="00E47756" w:rsidP="00E47756">
            <w:pPr>
              <w:spacing w:after="0" w:line="240" w:lineRule="auto"/>
              <w:ind w:left="57" w:right="57"/>
            </w:pPr>
          </w:p>
        </w:tc>
        <w:tc>
          <w:tcPr>
            <w:tcW w:w="286" w:type="dxa"/>
            <w:tcBorders>
              <w:top w:val="single" w:sz="4" w:space="0" w:color="auto"/>
              <w:left w:val="single" w:sz="4" w:space="0" w:color="000000"/>
              <w:bottom w:val="single" w:sz="4" w:space="0" w:color="auto"/>
              <w:right w:val="nil"/>
            </w:tcBorders>
          </w:tcPr>
          <w:p w14:paraId="61534A19" w14:textId="77777777" w:rsidR="00E47756" w:rsidRPr="00E47756" w:rsidRDefault="00E47756" w:rsidP="00E47756">
            <w:pPr>
              <w:spacing w:after="0" w:line="240" w:lineRule="auto"/>
              <w:ind w:left="57" w:right="57"/>
            </w:pPr>
            <w:r w:rsidRPr="00E47756">
              <w:rPr>
                <w:sz w:val="20"/>
              </w:rPr>
              <w:t>c)</w:t>
            </w:r>
            <w:r w:rsidRPr="00E47756">
              <w:rPr>
                <w:rFonts w:ascii="Arial" w:hAnsi="Arial" w:cs="Arial"/>
                <w:sz w:val="20"/>
              </w:rPr>
              <w:t xml:space="preserve"> </w:t>
            </w:r>
          </w:p>
        </w:tc>
        <w:tc>
          <w:tcPr>
            <w:tcW w:w="3271" w:type="dxa"/>
            <w:tcBorders>
              <w:top w:val="single" w:sz="4" w:space="0" w:color="auto"/>
              <w:left w:val="nil"/>
              <w:bottom w:val="single" w:sz="4" w:space="0" w:color="auto"/>
              <w:right w:val="single" w:sz="4" w:space="0" w:color="000000"/>
            </w:tcBorders>
          </w:tcPr>
          <w:p w14:paraId="534E9A04" w14:textId="77777777" w:rsidR="00E47756" w:rsidRPr="00E47756" w:rsidRDefault="00E47756" w:rsidP="00E47756">
            <w:pPr>
              <w:spacing w:after="0" w:line="240" w:lineRule="auto"/>
              <w:ind w:left="57" w:right="57"/>
            </w:pPr>
            <w:r w:rsidRPr="00E47756">
              <w:rPr>
                <w:b/>
                <w:sz w:val="20"/>
              </w:rPr>
              <w:t>revízia Kódexu schengenských hraníc</w:t>
            </w:r>
            <w:r w:rsidRPr="00E47756">
              <w:rPr>
                <w:sz w:val="20"/>
              </w:rPr>
              <w:t xml:space="preserve"> (legislatívna iniciatíva vrátane posúdenia vplyvu, článok 77 ZFEÚ, 2. štvrťrok </w:t>
            </w:r>
          </w:p>
          <w:p w14:paraId="09776BBD" w14:textId="77777777" w:rsidR="00E47756" w:rsidRPr="00A41E9A" w:rsidRDefault="00E47756" w:rsidP="00A41E9A">
            <w:pPr>
              <w:spacing w:after="0" w:line="240" w:lineRule="auto"/>
              <w:ind w:left="57" w:right="57"/>
              <w:rPr>
                <w:sz w:val="20"/>
              </w:rPr>
            </w:pPr>
            <w:r w:rsidRPr="00E47756">
              <w:rPr>
                <w:sz w:val="20"/>
              </w:rPr>
              <w:t xml:space="preserve">2021); </w:t>
            </w:r>
          </w:p>
        </w:tc>
        <w:tc>
          <w:tcPr>
            <w:tcW w:w="1975" w:type="dxa"/>
            <w:tcBorders>
              <w:top w:val="single" w:sz="4" w:space="0" w:color="auto"/>
              <w:left w:val="nil"/>
              <w:bottom w:val="single" w:sz="4" w:space="0" w:color="auto"/>
              <w:right w:val="single" w:sz="4" w:space="0" w:color="000000"/>
            </w:tcBorders>
          </w:tcPr>
          <w:p w14:paraId="456CF4CC" w14:textId="77777777" w:rsidR="00E47756" w:rsidRPr="00E47756" w:rsidRDefault="00E47756" w:rsidP="00E47756">
            <w:pPr>
              <w:spacing w:after="0" w:line="240" w:lineRule="auto"/>
              <w:ind w:left="57" w:right="57"/>
              <w:jc w:val="center"/>
              <w:rPr>
                <w:b/>
                <w:sz w:val="20"/>
              </w:rPr>
            </w:pPr>
            <w:r w:rsidRPr="00E47756">
              <w:rPr>
                <w:b/>
                <w:sz w:val="20"/>
              </w:rPr>
              <w:t>MV SR</w:t>
            </w:r>
          </w:p>
        </w:tc>
        <w:tc>
          <w:tcPr>
            <w:tcW w:w="5776" w:type="dxa"/>
            <w:tcBorders>
              <w:top w:val="single" w:sz="4" w:space="0" w:color="auto"/>
              <w:left w:val="nil"/>
              <w:bottom w:val="single" w:sz="4" w:space="0" w:color="auto"/>
              <w:right w:val="single" w:sz="4" w:space="0" w:color="000000"/>
            </w:tcBorders>
          </w:tcPr>
          <w:p w14:paraId="7FF8065B" w14:textId="77777777" w:rsidR="00E47756" w:rsidRPr="00A41E9A" w:rsidRDefault="00E47756" w:rsidP="00A41E9A">
            <w:pPr>
              <w:spacing w:after="0" w:line="240" w:lineRule="auto"/>
              <w:ind w:left="57" w:right="57"/>
              <w:rPr>
                <w:sz w:val="20"/>
              </w:rPr>
            </w:pPr>
            <w:r w:rsidRPr="00E47756">
              <w:rPr>
                <w:b/>
                <w:sz w:val="20"/>
                <w:u w:val="single"/>
              </w:rPr>
              <w:t>Vysoká priorita</w:t>
            </w:r>
            <w:r w:rsidRPr="00E47756">
              <w:rPr>
                <w:sz w:val="20"/>
              </w:rPr>
              <w:t xml:space="preserve"> – pôjde o dôležitý balík návrhov, do ktorého plánuje Komisia premietnuť skúsenosti z fungovania Schengenského priestoru a dodržiavania voľného pohybu osôb bez kontroly vnútorných hraníc. Cieľom je zachovať a zlepšiť fungovanie schengenského priestoru, zaviesť prísnejšie schengenské pravidlá a pokračovať v práci na dobudovaní schengenského priestoru. SR s cieľmi Komisie súhlasí, konečné stanovisko však bude známe až po predložení dokumentov.</w:t>
            </w:r>
          </w:p>
        </w:tc>
      </w:tr>
      <w:tr w:rsidR="00E47756" w:rsidRPr="00E47756" w14:paraId="03F51D2D" w14:textId="77777777" w:rsidTr="00A41E9A">
        <w:trPr>
          <w:trHeight w:val="496"/>
        </w:trPr>
        <w:tc>
          <w:tcPr>
            <w:tcW w:w="457" w:type="dxa"/>
            <w:tcBorders>
              <w:top w:val="single" w:sz="4" w:space="0" w:color="auto"/>
              <w:left w:val="single" w:sz="4" w:space="0" w:color="000000"/>
              <w:bottom w:val="single" w:sz="4" w:space="0" w:color="000000"/>
              <w:right w:val="single" w:sz="4" w:space="0" w:color="000000"/>
            </w:tcBorders>
          </w:tcPr>
          <w:p w14:paraId="757787CF" w14:textId="77777777" w:rsidR="00E47756" w:rsidRPr="00E47756" w:rsidRDefault="00E47756" w:rsidP="00E47756">
            <w:pPr>
              <w:spacing w:after="0" w:line="240" w:lineRule="auto"/>
              <w:ind w:left="57" w:right="57"/>
            </w:pPr>
          </w:p>
        </w:tc>
        <w:tc>
          <w:tcPr>
            <w:tcW w:w="2857" w:type="dxa"/>
            <w:tcBorders>
              <w:top w:val="single" w:sz="4" w:space="0" w:color="auto"/>
              <w:left w:val="single" w:sz="4" w:space="0" w:color="000000"/>
              <w:bottom w:val="single" w:sz="4" w:space="0" w:color="000000"/>
              <w:right w:val="single" w:sz="4" w:space="0" w:color="000000"/>
            </w:tcBorders>
          </w:tcPr>
          <w:p w14:paraId="05A20923" w14:textId="77777777" w:rsidR="00E47756" w:rsidRPr="00E47756" w:rsidRDefault="00E47756" w:rsidP="00E47756">
            <w:pPr>
              <w:spacing w:after="0" w:line="240" w:lineRule="auto"/>
              <w:ind w:left="57" w:right="57"/>
            </w:pPr>
          </w:p>
        </w:tc>
        <w:tc>
          <w:tcPr>
            <w:tcW w:w="286" w:type="dxa"/>
            <w:tcBorders>
              <w:top w:val="single" w:sz="4" w:space="0" w:color="auto"/>
              <w:left w:val="single" w:sz="4" w:space="0" w:color="000000"/>
              <w:bottom w:val="single" w:sz="4" w:space="0" w:color="000000"/>
              <w:right w:val="nil"/>
            </w:tcBorders>
          </w:tcPr>
          <w:p w14:paraId="34453DC9" w14:textId="77777777" w:rsidR="00E47756" w:rsidRPr="00E47756" w:rsidRDefault="00E47756" w:rsidP="00E47756">
            <w:pPr>
              <w:spacing w:after="0" w:line="240" w:lineRule="auto"/>
              <w:ind w:left="57" w:right="57"/>
            </w:pPr>
            <w:r w:rsidRPr="00E47756">
              <w:rPr>
                <w:sz w:val="20"/>
              </w:rPr>
              <w:t>d)</w:t>
            </w:r>
            <w:r w:rsidRPr="00E47756">
              <w:rPr>
                <w:rFonts w:ascii="Arial" w:hAnsi="Arial" w:cs="Arial"/>
                <w:sz w:val="20"/>
              </w:rPr>
              <w:t xml:space="preserve"> </w:t>
            </w:r>
          </w:p>
        </w:tc>
        <w:tc>
          <w:tcPr>
            <w:tcW w:w="3271" w:type="dxa"/>
            <w:tcBorders>
              <w:top w:val="single" w:sz="4" w:space="0" w:color="auto"/>
              <w:left w:val="nil"/>
              <w:bottom w:val="single" w:sz="4" w:space="0" w:color="000000"/>
              <w:right w:val="single" w:sz="4" w:space="0" w:color="000000"/>
            </w:tcBorders>
          </w:tcPr>
          <w:p w14:paraId="5F601917" w14:textId="77777777" w:rsidR="00E47756" w:rsidRPr="00E47756" w:rsidRDefault="00E47756" w:rsidP="00E47756">
            <w:pPr>
              <w:spacing w:after="0" w:line="240" w:lineRule="auto"/>
              <w:ind w:left="57" w:right="57"/>
            </w:pPr>
            <w:r w:rsidRPr="00E47756">
              <w:rPr>
                <w:b/>
                <w:sz w:val="20"/>
              </w:rPr>
              <w:t>digitalizácia konaní o udelení víz</w:t>
            </w:r>
            <w:r w:rsidRPr="00E47756">
              <w:rPr>
                <w:sz w:val="20"/>
              </w:rPr>
              <w:t xml:space="preserve"> (legislatívna iniciatíva vrátane posúdenia vplyvu, článok 77 ZFEÚ, 4. štvrťrok 2021). </w:t>
            </w:r>
          </w:p>
        </w:tc>
        <w:tc>
          <w:tcPr>
            <w:tcW w:w="1975" w:type="dxa"/>
            <w:tcBorders>
              <w:top w:val="single" w:sz="4" w:space="0" w:color="auto"/>
              <w:left w:val="nil"/>
              <w:bottom w:val="single" w:sz="4" w:space="0" w:color="000000"/>
              <w:right w:val="single" w:sz="4" w:space="0" w:color="000000"/>
            </w:tcBorders>
          </w:tcPr>
          <w:p w14:paraId="04AF75BB" w14:textId="77777777" w:rsidR="00E47756" w:rsidRPr="00E47756" w:rsidRDefault="00E47756" w:rsidP="00E47756">
            <w:pPr>
              <w:spacing w:after="0" w:line="240" w:lineRule="auto"/>
              <w:ind w:left="57" w:right="57"/>
              <w:jc w:val="center"/>
              <w:rPr>
                <w:b/>
                <w:sz w:val="20"/>
              </w:rPr>
            </w:pPr>
            <w:r w:rsidRPr="00E47756">
              <w:rPr>
                <w:b/>
                <w:sz w:val="20"/>
              </w:rPr>
              <w:t>MV SR</w:t>
            </w:r>
          </w:p>
        </w:tc>
        <w:tc>
          <w:tcPr>
            <w:tcW w:w="5776" w:type="dxa"/>
            <w:tcBorders>
              <w:top w:val="single" w:sz="4" w:space="0" w:color="auto"/>
              <w:left w:val="nil"/>
              <w:bottom w:val="single" w:sz="4" w:space="0" w:color="000000"/>
              <w:right w:val="single" w:sz="4" w:space="0" w:color="000000"/>
            </w:tcBorders>
          </w:tcPr>
          <w:p w14:paraId="5A442966" w14:textId="77777777" w:rsidR="00E47756" w:rsidRPr="00E47756" w:rsidRDefault="00E47756" w:rsidP="00E47756">
            <w:pPr>
              <w:spacing w:after="0" w:line="240" w:lineRule="auto"/>
              <w:ind w:left="57" w:right="57"/>
              <w:rPr>
                <w:b/>
                <w:sz w:val="20"/>
              </w:rPr>
            </w:pPr>
            <w:r w:rsidRPr="00E47756">
              <w:rPr>
                <w:b/>
                <w:sz w:val="20"/>
                <w:u w:val="single"/>
              </w:rPr>
              <w:t>Vysoká priorita</w:t>
            </w:r>
            <w:r w:rsidRPr="00E47756">
              <w:rPr>
                <w:sz w:val="20"/>
              </w:rPr>
              <w:t xml:space="preserve"> – pôjde o dôležitý balík návrhov, do ktorého plánuje Komisia premietnuť skúsenosti z fungovania Schengenského priestoru a dodržiavania voľného pohybu osôb bez kontroly vnútorných hraníc. Cieľom je zachovať a zlepšiť fungovanie schengenského priestoru, zaviesť prísnejšie schengenské pravidlá a pokračovať v práci na dobudovaní schengenského priestoru. SR s cieľmi Komisie súhlasí, konečné stanovisko však bude známe až po predložení dokumentov.</w:t>
            </w:r>
          </w:p>
        </w:tc>
      </w:tr>
      <w:tr w:rsidR="00E47756" w:rsidRPr="00E47756" w14:paraId="4A63A239" w14:textId="77777777" w:rsidTr="001A4016">
        <w:trPr>
          <w:trHeight w:val="490"/>
        </w:trPr>
        <w:tc>
          <w:tcPr>
            <w:tcW w:w="457" w:type="dxa"/>
            <w:tcBorders>
              <w:top w:val="single" w:sz="4" w:space="0" w:color="000000"/>
              <w:left w:val="single" w:sz="4" w:space="0" w:color="000000"/>
              <w:bottom w:val="nil"/>
              <w:right w:val="single" w:sz="4" w:space="0" w:color="000000"/>
            </w:tcBorders>
          </w:tcPr>
          <w:p w14:paraId="6D6D0922" w14:textId="77777777" w:rsidR="00E47756" w:rsidRPr="00E47756" w:rsidRDefault="00E47756" w:rsidP="00E47756">
            <w:pPr>
              <w:spacing w:after="0" w:line="240" w:lineRule="auto"/>
              <w:ind w:left="57" w:right="57"/>
            </w:pPr>
            <w:r w:rsidRPr="00E47756">
              <w:rPr>
                <w:sz w:val="20"/>
              </w:rPr>
              <w:t>35.</w:t>
            </w:r>
            <w:r w:rsidRPr="00E47756">
              <w:rPr>
                <w:rFonts w:ascii="Arial" w:hAnsi="Arial" w:cs="Arial"/>
                <w:sz w:val="20"/>
              </w:rPr>
              <w:t xml:space="preserve"> </w:t>
            </w:r>
            <w:r w:rsidRPr="00E47756">
              <w:rPr>
                <w:sz w:val="20"/>
              </w:rPr>
              <w:t xml:space="preserve"> </w:t>
            </w:r>
          </w:p>
        </w:tc>
        <w:tc>
          <w:tcPr>
            <w:tcW w:w="2857" w:type="dxa"/>
            <w:tcBorders>
              <w:top w:val="single" w:sz="4" w:space="0" w:color="000000"/>
              <w:left w:val="single" w:sz="4" w:space="0" w:color="000000"/>
              <w:bottom w:val="nil"/>
              <w:right w:val="single" w:sz="4" w:space="0" w:color="000000"/>
            </w:tcBorders>
          </w:tcPr>
          <w:p w14:paraId="0B0449A0" w14:textId="77777777" w:rsidR="00E47756" w:rsidRPr="00E47756" w:rsidRDefault="00E47756" w:rsidP="00E47756">
            <w:pPr>
              <w:spacing w:after="0" w:line="240" w:lineRule="auto"/>
              <w:ind w:left="57" w:right="57"/>
            </w:pPr>
            <w:r w:rsidRPr="00E47756">
              <w:rPr>
                <w:b/>
                <w:sz w:val="20"/>
              </w:rPr>
              <w:t xml:space="preserve">Nadviazanie na bezpečnostnú stratégiu EÚ </w:t>
            </w:r>
          </w:p>
        </w:tc>
        <w:tc>
          <w:tcPr>
            <w:tcW w:w="286" w:type="dxa"/>
            <w:tcBorders>
              <w:top w:val="single" w:sz="4" w:space="0" w:color="000000"/>
              <w:left w:val="single" w:sz="4" w:space="0" w:color="000000"/>
              <w:bottom w:val="nil"/>
              <w:right w:val="nil"/>
            </w:tcBorders>
          </w:tcPr>
          <w:p w14:paraId="3E8944BC" w14:textId="77777777" w:rsidR="00E47756" w:rsidRPr="00E47756" w:rsidRDefault="00E47756" w:rsidP="00E47756">
            <w:pPr>
              <w:spacing w:after="0" w:line="240" w:lineRule="auto"/>
              <w:ind w:left="57" w:right="57"/>
            </w:pPr>
            <w:r w:rsidRPr="00E47756">
              <w:rPr>
                <w:sz w:val="20"/>
              </w:rPr>
              <w:t>a)</w:t>
            </w:r>
            <w:r w:rsidRPr="00E47756">
              <w:rPr>
                <w:rFonts w:ascii="Arial" w:hAnsi="Arial" w:cs="Arial"/>
                <w:sz w:val="20"/>
              </w:rPr>
              <w:t xml:space="preserve"> </w:t>
            </w:r>
          </w:p>
        </w:tc>
        <w:tc>
          <w:tcPr>
            <w:tcW w:w="3271" w:type="dxa"/>
            <w:tcBorders>
              <w:top w:val="single" w:sz="4" w:space="0" w:color="000000"/>
              <w:left w:val="nil"/>
              <w:bottom w:val="nil"/>
              <w:right w:val="single" w:sz="4" w:space="0" w:color="000000"/>
            </w:tcBorders>
          </w:tcPr>
          <w:p w14:paraId="331EB052" w14:textId="77777777" w:rsidR="00E47756" w:rsidRPr="00E47756" w:rsidRDefault="00E47756" w:rsidP="00E47756">
            <w:pPr>
              <w:spacing w:after="0" w:line="240" w:lineRule="auto"/>
              <w:ind w:left="57" w:right="57"/>
            </w:pPr>
            <w:r w:rsidRPr="00E47756">
              <w:rPr>
                <w:b/>
                <w:sz w:val="20"/>
              </w:rPr>
              <w:t>oznámenie o agende EÚ v oblasti boja proti organizovanej trestnej činnosti (2021 – 2025)</w:t>
            </w:r>
            <w:r w:rsidRPr="00E47756">
              <w:rPr>
                <w:sz w:val="20"/>
              </w:rPr>
              <w:t xml:space="preserve"> (nelegislatívna iniciatíva, </w:t>
            </w:r>
          </w:p>
          <w:p w14:paraId="3B5F1354" w14:textId="77777777" w:rsidR="00E47756" w:rsidRPr="00E47756" w:rsidRDefault="00E47756" w:rsidP="00E47756">
            <w:pPr>
              <w:spacing w:after="0" w:line="240" w:lineRule="auto"/>
              <w:ind w:left="57" w:right="57"/>
            </w:pPr>
            <w:r w:rsidRPr="00E47756">
              <w:rPr>
                <w:sz w:val="20"/>
              </w:rPr>
              <w:t xml:space="preserve">1. štvrťrok 2021); </w:t>
            </w:r>
          </w:p>
        </w:tc>
        <w:tc>
          <w:tcPr>
            <w:tcW w:w="1975" w:type="dxa"/>
            <w:tcBorders>
              <w:top w:val="single" w:sz="4" w:space="0" w:color="000000"/>
              <w:left w:val="nil"/>
              <w:bottom w:val="nil"/>
              <w:right w:val="single" w:sz="4" w:space="0" w:color="000000"/>
            </w:tcBorders>
          </w:tcPr>
          <w:p w14:paraId="497559AD" w14:textId="77777777" w:rsidR="00E47756" w:rsidRPr="00E47756" w:rsidRDefault="00E47756" w:rsidP="00E47756">
            <w:pPr>
              <w:spacing w:after="0" w:line="240" w:lineRule="auto"/>
              <w:ind w:left="57" w:right="57"/>
              <w:jc w:val="center"/>
              <w:rPr>
                <w:b/>
                <w:sz w:val="20"/>
              </w:rPr>
            </w:pPr>
            <w:r w:rsidRPr="00E47756">
              <w:rPr>
                <w:b/>
                <w:sz w:val="20"/>
              </w:rPr>
              <w:t>MV SR</w:t>
            </w:r>
          </w:p>
          <w:p w14:paraId="35FE2BB9" w14:textId="77777777" w:rsidR="00E47756" w:rsidRPr="00E47756" w:rsidRDefault="00E47756" w:rsidP="00E47756">
            <w:pPr>
              <w:spacing w:after="0" w:line="240" w:lineRule="auto"/>
              <w:ind w:left="57" w:right="57"/>
              <w:jc w:val="center"/>
              <w:rPr>
                <w:b/>
                <w:sz w:val="20"/>
              </w:rPr>
            </w:pPr>
            <w:r w:rsidRPr="00E47756">
              <w:rPr>
                <w:b/>
                <w:sz w:val="20"/>
              </w:rPr>
              <w:t>MS SR</w:t>
            </w:r>
          </w:p>
        </w:tc>
        <w:tc>
          <w:tcPr>
            <w:tcW w:w="5776" w:type="dxa"/>
            <w:tcBorders>
              <w:top w:val="single" w:sz="4" w:space="0" w:color="000000"/>
              <w:left w:val="nil"/>
              <w:bottom w:val="nil"/>
              <w:right w:val="single" w:sz="4" w:space="0" w:color="000000"/>
            </w:tcBorders>
          </w:tcPr>
          <w:p w14:paraId="72E024EE" w14:textId="77777777" w:rsidR="00E47756" w:rsidRPr="00E47756" w:rsidRDefault="00E47756" w:rsidP="00E47756">
            <w:pPr>
              <w:spacing w:after="0" w:line="240" w:lineRule="auto"/>
              <w:ind w:left="57" w:right="57"/>
            </w:pPr>
            <w:r w:rsidRPr="00E47756">
              <w:rPr>
                <w:b/>
                <w:sz w:val="20"/>
                <w:u w:val="single"/>
              </w:rPr>
              <w:t>Nízka priorita</w:t>
            </w:r>
            <w:r w:rsidRPr="00E47756">
              <w:rPr>
                <w:sz w:val="20"/>
              </w:rPr>
              <w:t xml:space="preserve"> – Komisia predstaví súbor opatrení v oblasti boja proti organizovanej kriminalite pre nadchádzajúce obdobie piatich rokov. Nepredpokladá sa problematický obsah. </w:t>
            </w:r>
          </w:p>
          <w:p w14:paraId="1BF5BEAA" w14:textId="77777777" w:rsidR="00E47756" w:rsidRPr="00E47756" w:rsidRDefault="00E47756" w:rsidP="00E47756">
            <w:pPr>
              <w:spacing w:after="0" w:line="240" w:lineRule="auto"/>
              <w:ind w:left="57" w:right="57"/>
              <w:rPr>
                <w:sz w:val="20"/>
              </w:rPr>
            </w:pPr>
          </w:p>
          <w:p w14:paraId="3DA05181" w14:textId="77777777" w:rsidR="00E47756" w:rsidRPr="00E47756" w:rsidRDefault="00E47756" w:rsidP="00E47756">
            <w:pPr>
              <w:spacing w:after="0" w:line="240" w:lineRule="auto"/>
              <w:ind w:left="57" w:right="57"/>
              <w:rPr>
                <w:b/>
                <w:sz w:val="20"/>
              </w:rPr>
            </w:pPr>
          </w:p>
        </w:tc>
      </w:tr>
      <w:tr w:rsidR="00E47756" w:rsidRPr="00E47756" w14:paraId="6B97F44A" w14:textId="77777777" w:rsidTr="001A4016">
        <w:trPr>
          <w:trHeight w:val="461"/>
        </w:trPr>
        <w:tc>
          <w:tcPr>
            <w:tcW w:w="457" w:type="dxa"/>
            <w:tcBorders>
              <w:top w:val="nil"/>
              <w:left w:val="single" w:sz="4" w:space="0" w:color="000000"/>
              <w:right w:val="single" w:sz="4" w:space="0" w:color="000000"/>
            </w:tcBorders>
          </w:tcPr>
          <w:p w14:paraId="6B532ECF" w14:textId="77777777" w:rsidR="00E47756" w:rsidRPr="00E47756" w:rsidRDefault="00E47756" w:rsidP="00E47756">
            <w:pPr>
              <w:spacing w:after="0" w:line="240" w:lineRule="auto"/>
              <w:ind w:left="57" w:right="57"/>
            </w:pPr>
            <w:r w:rsidRPr="00E47756">
              <w:t xml:space="preserve">   </w:t>
            </w:r>
          </w:p>
        </w:tc>
        <w:tc>
          <w:tcPr>
            <w:tcW w:w="2857" w:type="dxa"/>
            <w:tcBorders>
              <w:top w:val="nil"/>
              <w:left w:val="single" w:sz="4" w:space="0" w:color="000000"/>
              <w:right w:val="single" w:sz="4" w:space="0" w:color="000000"/>
            </w:tcBorders>
          </w:tcPr>
          <w:p w14:paraId="7137ADB0" w14:textId="77777777" w:rsidR="00E47756" w:rsidRPr="00E47756" w:rsidRDefault="00E47756" w:rsidP="00E47756">
            <w:pPr>
              <w:spacing w:after="0" w:line="240" w:lineRule="auto"/>
              <w:ind w:left="57" w:right="57"/>
            </w:pPr>
          </w:p>
        </w:tc>
        <w:tc>
          <w:tcPr>
            <w:tcW w:w="286" w:type="dxa"/>
            <w:tcBorders>
              <w:top w:val="nil"/>
              <w:left w:val="single" w:sz="4" w:space="0" w:color="000000"/>
              <w:right w:val="nil"/>
            </w:tcBorders>
          </w:tcPr>
          <w:p w14:paraId="000F27C3" w14:textId="77777777" w:rsidR="00E47756" w:rsidRPr="00E47756" w:rsidRDefault="00E47756" w:rsidP="00E47756">
            <w:pPr>
              <w:spacing w:after="0" w:line="240" w:lineRule="auto"/>
              <w:ind w:left="57" w:right="57"/>
            </w:pPr>
            <w:r w:rsidRPr="00E47756">
              <w:rPr>
                <w:sz w:val="20"/>
              </w:rPr>
              <w:t>b)</w:t>
            </w:r>
            <w:r w:rsidRPr="00E47756">
              <w:rPr>
                <w:rFonts w:ascii="Arial" w:hAnsi="Arial" w:cs="Arial"/>
                <w:sz w:val="20"/>
              </w:rPr>
              <w:t xml:space="preserve"> </w:t>
            </w:r>
          </w:p>
        </w:tc>
        <w:tc>
          <w:tcPr>
            <w:tcW w:w="3271" w:type="dxa"/>
            <w:tcBorders>
              <w:top w:val="nil"/>
              <w:left w:val="nil"/>
              <w:right w:val="single" w:sz="4" w:space="0" w:color="000000"/>
            </w:tcBorders>
          </w:tcPr>
          <w:p w14:paraId="607509D4" w14:textId="77777777" w:rsidR="00E47756" w:rsidRPr="00E47756" w:rsidRDefault="00E47756" w:rsidP="00E47756">
            <w:pPr>
              <w:spacing w:after="0" w:line="240" w:lineRule="auto"/>
              <w:ind w:left="57" w:right="57"/>
              <w:rPr>
                <w:sz w:val="20"/>
              </w:rPr>
            </w:pPr>
            <w:r w:rsidRPr="00E47756">
              <w:rPr>
                <w:b/>
                <w:sz w:val="20"/>
              </w:rPr>
              <w:t>právne predpisy s cieľom účinne bojovať proti sexuálnemu zneužívaniu detí online</w:t>
            </w:r>
            <w:r w:rsidRPr="00E47756">
              <w:rPr>
                <w:sz w:val="20"/>
              </w:rPr>
              <w:t xml:space="preserve"> (legislatívna iniciatíva vrátane posúdenia vplyvu, článok 114 ZFEÚ, 2. štvrťrok 2021); </w:t>
            </w:r>
          </w:p>
          <w:p w14:paraId="0506E762" w14:textId="77777777" w:rsidR="00E47756" w:rsidRPr="00E47756" w:rsidRDefault="00E47756" w:rsidP="00E47756">
            <w:pPr>
              <w:spacing w:after="0" w:line="240" w:lineRule="auto"/>
              <w:ind w:left="57" w:right="57"/>
            </w:pPr>
          </w:p>
        </w:tc>
        <w:tc>
          <w:tcPr>
            <w:tcW w:w="1975" w:type="dxa"/>
            <w:tcBorders>
              <w:top w:val="nil"/>
              <w:left w:val="nil"/>
              <w:right w:val="single" w:sz="4" w:space="0" w:color="000000"/>
            </w:tcBorders>
          </w:tcPr>
          <w:p w14:paraId="74E741C9" w14:textId="77777777" w:rsidR="00E47756" w:rsidRPr="00E47756" w:rsidRDefault="00E47756" w:rsidP="00E47756">
            <w:pPr>
              <w:spacing w:after="0" w:line="240" w:lineRule="auto"/>
              <w:ind w:left="57" w:right="57"/>
              <w:jc w:val="center"/>
              <w:rPr>
                <w:b/>
                <w:sz w:val="20"/>
              </w:rPr>
            </w:pPr>
            <w:r w:rsidRPr="00E47756">
              <w:rPr>
                <w:b/>
                <w:sz w:val="20"/>
              </w:rPr>
              <w:t>MV SR</w:t>
            </w:r>
          </w:p>
          <w:p w14:paraId="66D3BC25" w14:textId="77777777" w:rsidR="00E47756" w:rsidRPr="00E47756" w:rsidRDefault="00E47756" w:rsidP="00E47756">
            <w:pPr>
              <w:spacing w:after="0" w:line="240" w:lineRule="auto"/>
              <w:ind w:left="57" w:right="57"/>
              <w:jc w:val="center"/>
              <w:rPr>
                <w:b/>
                <w:sz w:val="20"/>
              </w:rPr>
            </w:pPr>
            <w:r w:rsidRPr="00E47756">
              <w:rPr>
                <w:b/>
                <w:sz w:val="20"/>
              </w:rPr>
              <w:t>MS SR</w:t>
            </w:r>
          </w:p>
        </w:tc>
        <w:tc>
          <w:tcPr>
            <w:tcW w:w="5776" w:type="dxa"/>
            <w:tcBorders>
              <w:top w:val="nil"/>
              <w:left w:val="nil"/>
              <w:right w:val="single" w:sz="4" w:space="0" w:color="000000"/>
            </w:tcBorders>
          </w:tcPr>
          <w:p w14:paraId="63E5C8A8" w14:textId="77777777" w:rsidR="00E47756" w:rsidRPr="00E47756" w:rsidRDefault="00E47756" w:rsidP="00E47756">
            <w:pPr>
              <w:spacing w:after="0" w:line="240" w:lineRule="auto"/>
              <w:ind w:left="57" w:right="57"/>
              <w:rPr>
                <w:b/>
                <w:sz w:val="20"/>
              </w:rPr>
            </w:pPr>
            <w:r w:rsidRPr="00E47756">
              <w:rPr>
                <w:b/>
                <w:sz w:val="20"/>
                <w:u w:val="single"/>
              </w:rPr>
              <w:t>Stredná priorita</w:t>
            </w:r>
            <w:r w:rsidRPr="00E47756">
              <w:rPr>
                <w:sz w:val="20"/>
              </w:rPr>
              <w:t xml:space="preserve"> – Rozvoj legislatívy v tejto oblasti, z pohľadu SR aktuálne nepredpokladáme problematické návrhy, konečné stanovisko bude známe po predložení návrhov. </w:t>
            </w:r>
            <w:r w:rsidRPr="00E47756">
              <w:rPr>
                <w:bCs/>
                <w:sz w:val="20"/>
              </w:rPr>
              <w:t xml:space="preserve">obsah nie je známy (pravdepodobne pôjde o odstraňovanie nezákonného obsahu); </w:t>
            </w:r>
          </w:p>
          <w:p w14:paraId="014FC07C" w14:textId="77777777" w:rsidR="00E47756" w:rsidRPr="00E47756" w:rsidRDefault="00E47756" w:rsidP="00E47756">
            <w:pPr>
              <w:spacing w:after="0" w:line="240" w:lineRule="auto"/>
              <w:ind w:left="57" w:right="57"/>
              <w:rPr>
                <w:b/>
                <w:sz w:val="20"/>
              </w:rPr>
            </w:pPr>
          </w:p>
        </w:tc>
      </w:tr>
      <w:tr w:rsidR="00E47756" w:rsidRPr="00E47756" w14:paraId="21844DEB" w14:textId="77777777" w:rsidTr="00A41E9A">
        <w:trPr>
          <w:trHeight w:val="461"/>
        </w:trPr>
        <w:tc>
          <w:tcPr>
            <w:tcW w:w="457" w:type="dxa"/>
            <w:tcBorders>
              <w:top w:val="nil"/>
              <w:left w:val="single" w:sz="4" w:space="0" w:color="000000"/>
              <w:bottom w:val="single" w:sz="4" w:space="0" w:color="auto"/>
              <w:right w:val="single" w:sz="4" w:space="0" w:color="000000"/>
            </w:tcBorders>
          </w:tcPr>
          <w:p w14:paraId="3F83B145" w14:textId="77777777" w:rsidR="00E47756" w:rsidRPr="00E47756" w:rsidRDefault="00E47756" w:rsidP="00E47756">
            <w:pPr>
              <w:spacing w:after="0" w:line="240" w:lineRule="auto"/>
              <w:ind w:left="57" w:right="57"/>
            </w:pPr>
          </w:p>
        </w:tc>
        <w:tc>
          <w:tcPr>
            <w:tcW w:w="2857" w:type="dxa"/>
            <w:tcBorders>
              <w:top w:val="nil"/>
              <w:left w:val="single" w:sz="4" w:space="0" w:color="000000"/>
              <w:bottom w:val="single" w:sz="4" w:space="0" w:color="auto"/>
              <w:right w:val="single" w:sz="4" w:space="0" w:color="000000"/>
            </w:tcBorders>
          </w:tcPr>
          <w:p w14:paraId="3A348925" w14:textId="77777777" w:rsidR="00E47756" w:rsidRPr="00E47756" w:rsidRDefault="00E47756" w:rsidP="00E47756">
            <w:pPr>
              <w:spacing w:after="0" w:line="240" w:lineRule="auto"/>
              <w:ind w:left="57" w:right="57"/>
            </w:pPr>
          </w:p>
        </w:tc>
        <w:tc>
          <w:tcPr>
            <w:tcW w:w="286" w:type="dxa"/>
            <w:tcBorders>
              <w:top w:val="nil"/>
              <w:left w:val="single" w:sz="4" w:space="0" w:color="000000"/>
              <w:bottom w:val="single" w:sz="4" w:space="0" w:color="auto"/>
              <w:right w:val="nil"/>
            </w:tcBorders>
          </w:tcPr>
          <w:p w14:paraId="0C7E2B8F" w14:textId="77777777" w:rsidR="00E47756" w:rsidRPr="00E47756" w:rsidRDefault="00E47756" w:rsidP="00E47756">
            <w:pPr>
              <w:spacing w:after="0" w:line="240" w:lineRule="auto"/>
              <w:ind w:left="57" w:right="57"/>
            </w:pPr>
            <w:r w:rsidRPr="00E47756">
              <w:rPr>
                <w:sz w:val="20"/>
              </w:rPr>
              <w:t>c)</w:t>
            </w:r>
            <w:r w:rsidRPr="00E47756">
              <w:rPr>
                <w:rFonts w:ascii="Arial" w:hAnsi="Arial" w:cs="Arial"/>
                <w:sz w:val="20"/>
              </w:rPr>
              <w:t xml:space="preserve"> </w:t>
            </w:r>
          </w:p>
        </w:tc>
        <w:tc>
          <w:tcPr>
            <w:tcW w:w="3271" w:type="dxa"/>
            <w:tcBorders>
              <w:top w:val="nil"/>
              <w:left w:val="nil"/>
              <w:bottom w:val="single" w:sz="4" w:space="0" w:color="auto"/>
              <w:right w:val="single" w:sz="4" w:space="0" w:color="000000"/>
            </w:tcBorders>
          </w:tcPr>
          <w:p w14:paraId="5F59BBA1" w14:textId="77777777" w:rsidR="00E47756" w:rsidRPr="00E47756" w:rsidRDefault="00E47756" w:rsidP="00E47756">
            <w:pPr>
              <w:spacing w:after="0" w:line="240" w:lineRule="auto"/>
              <w:ind w:left="57" w:right="57"/>
            </w:pPr>
            <w:r w:rsidRPr="00E47756">
              <w:rPr>
                <w:b/>
                <w:sz w:val="20"/>
              </w:rPr>
              <w:t>agenda EÚ v oblasti boja proti terorizmu: zabraňovať, ochraňovať, reagovať, predvídať</w:t>
            </w:r>
            <w:r w:rsidRPr="00E47756">
              <w:rPr>
                <w:sz w:val="20"/>
              </w:rPr>
              <w:t xml:space="preserve"> (nelegislatívna iniciatíva, </w:t>
            </w:r>
          </w:p>
          <w:p w14:paraId="107FEF8D" w14:textId="77777777" w:rsidR="00E47756" w:rsidRPr="00E47756" w:rsidRDefault="00E47756" w:rsidP="00E47756">
            <w:pPr>
              <w:spacing w:after="0" w:line="240" w:lineRule="auto"/>
              <w:ind w:left="57" w:right="57"/>
              <w:rPr>
                <w:sz w:val="20"/>
              </w:rPr>
            </w:pPr>
            <w:r w:rsidRPr="00E47756">
              <w:rPr>
                <w:sz w:val="20"/>
              </w:rPr>
              <w:t xml:space="preserve">3. štvrťrok 2021); </w:t>
            </w:r>
          </w:p>
          <w:p w14:paraId="1715A275" w14:textId="77777777" w:rsidR="00E47756" w:rsidRPr="00E47756" w:rsidRDefault="00E47756" w:rsidP="00E47756">
            <w:pPr>
              <w:spacing w:after="0" w:line="240" w:lineRule="auto"/>
              <w:ind w:left="57" w:right="57"/>
            </w:pPr>
          </w:p>
        </w:tc>
        <w:tc>
          <w:tcPr>
            <w:tcW w:w="1975" w:type="dxa"/>
            <w:tcBorders>
              <w:top w:val="nil"/>
              <w:left w:val="nil"/>
              <w:bottom w:val="single" w:sz="4" w:space="0" w:color="auto"/>
              <w:right w:val="single" w:sz="4" w:space="0" w:color="000000"/>
            </w:tcBorders>
          </w:tcPr>
          <w:p w14:paraId="340618C1" w14:textId="77777777" w:rsidR="00E47756" w:rsidRPr="00E47756" w:rsidRDefault="00E47756" w:rsidP="00E47756">
            <w:pPr>
              <w:spacing w:after="0" w:line="240" w:lineRule="auto"/>
              <w:ind w:left="57" w:right="57"/>
              <w:jc w:val="center"/>
              <w:rPr>
                <w:b/>
                <w:sz w:val="20"/>
              </w:rPr>
            </w:pPr>
            <w:r w:rsidRPr="00E47756">
              <w:rPr>
                <w:b/>
                <w:sz w:val="20"/>
              </w:rPr>
              <w:t>MV SR</w:t>
            </w:r>
          </w:p>
          <w:p w14:paraId="68F06B11" w14:textId="77777777" w:rsidR="00E47756" w:rsidRPr="00E47756" w:rsidRDefault="00E47756" w:rsidP="00E47756">
            <w:pPr>
              <w:spacing w:after="0" w:line="240" w:lineRule="auto"/>
              <w:ind w:left="57" w:right="57"/>
              <w:jc w:val="center"/>
              <w:rPr>
                <w:b/>
                <w:sz w:val="20"/>
              </w:rPr>
            </w:pPr>
            <w:r w:rsidRPr="00E47756">
              <w:rPr>
                <w:b/>
                <w:sz w:val="20"/>
              </w:rPr>
              <w:t>MS SR</w:t>
            </w:r>
          </w:p>
        </w:tc>
        <w:tc>
          <w:tcPr>
            <w:tcW w:w="5776" w:type="dxa"/>
            <w:tcBorders>
              <w:top w:val="nil"/>
              <w:left w:val="nil"/>
              <w:bottom w:val="single" w:sz="4" w:space="0" w:color="auto"/>
              <w:right w:val="single" w:sz="4" w:space="0" w:color="000000"/>
            </w:tcBorders>
          </w:tcPr>
          <w:p w14:paraId="6A486BE6" w14:textId="77777777" w:rsidR="00E47756" w:rsidRPr="00E47756" w:rsidRDefault="00E47756" w:rsidP="00E47756">
            <w:pPr>
              <w:spacing w:after="0" w:line="240" w:lineRule="auto"/>
              <w:ind w:left="57" w:right="57"/>
              <w:rPr>
                <w:sz w:val="20"/>
              </w:rPr>
            </w:pPr>
            <w:r w:rsidRPr="00E47756">
              <w:rPr>
                <w:b/>
                <w:sz w:val="20"/>
                <w:u w:val="single"/>
              </w:rPr>
              <w:t>Nízka priorita</w:t>
            </w:r>
            <w:r w:rsidRPr="00E47756">
              <w:rPr>
                <w:b/>
                <w:sz w:val="20"/>
              </w:rPr>
              <w:t xml:space="preserve"> -</w:t>
            </w:r>
            <w:r w:rsidRPr="00E47756">
              <w:rPr>
                <w:sz w:val="20"/>
              </w:rPr>
              <w:t xml:space="preserve">  Komisia predstaví súbor opatrení v oblasti boja proti terorizmu. Nepredpokladá sa problematický obsah.</w:t>
            </w:r>
          </w:p>
          <w:p w14:paraId="77605900" w14:textId="77777777" w:rsidR="00E47756" w:rsidRPr="00E47756" w:rsidRDefault="00E47756" w:rsidP="00E47756">
            <w:pPr>
              <w:spacing w:after="0" w:line="240" w:lineRule="auto"/>
              <w:ind w:left="57" w:right="57"/>
              <w:rPr>
                <w:b/>
                <w:color w:val="FF0000"/>
                <w:sz w:val="20"/>
              </w:rPr>
            </w:pPr>
          </w:p>
          <w:p w14:paraId="46435E45" w14:textId="77777777" w:rsidR="00E47756" w:rsidRPr="00E47756" w:rsidRDefault="00E47756" w:rsidP="00E47756">
            <w:pPr>
              <w:spacing w:after="0" w:line="240" w:lineRule="auto"/>
              <w:ind w:left="57" w:right="57"/>
              <w:rPr>
                <w:sz w:val="20"/>
              </w:rPr>
            </w:pPr>
          </w:p>
        </w:tc>
      </w:tr>
      <w:tr w:rsidR="00E47756" w:rsidRPr="00E47756" w14:paraId="571BB77F" w14:textId="77777777" w:rsidTr="00A4393C">
        <w:trPr>
          <w:trHeight w:val="461"/>
        </w:trPr>
        <w:tc>
          <w:tcPr>
            <w:tcW w:w="457" w:type="dxa"/>
            <w:tcBorders>
              <w:top w:val="single" w:sz="4" w:space="0" w:color="auto"/>
              <w:left w:val="single" w:sz="4" w:space="0" w:color="000000"/>
              <w:right w:val="single" w:sz="4" w:space="0" w:color="000000"/>
            </w:tcBorders>
          </w:tcPr>
          <w:p w14:paraId="6BADE378" w14:textId="77777777" w:rsidR="00E47756" w:rsidRPr="00E47756" w:rsidRDefault="00E47756" w:rsidP="00E47756">
            <w:pPr>
              <w:spacing w:after="0" w:line="240" w:lineRule="auto"/>
              <w:ind w:left="57" w:right="57"/>
            </w:pPr>
          </w:p>
        </w:tc>
        <w:tc>
          <w:tcPr>
            <w:tcW w:w="2857" w:type="dxa"/>
            <w:tcBorders>
              <w:top w:val="single" w:sz="4" w:space="0" w:color="auto"/>
              <w:left w:val="single" w:sz="4" w:space="0" w:color="000000"/>
              <w:right w:val="single" w:sz="4" w:space="0" w:color="000000"/>
            </w:tcBorders>
          </w:tcPr>
          <w:p w14:paraId="08FC6E27" w14:textId="77777777" w:rsidR="00E47756" w:rsidRPr="00E47756" w:rsidRDefault="00E47756" w:rsidP="00E47756">
            <w:pPr>
              <w:spacing w:after="0" w:line="240" w:lineRule="auto"/>
              <w:ind w:left="57" w:right="57"/>
            </w:pPr>
          </w:p>
        </w:tc>
        <w:tc>
          <w:tcPr>
            <w:tcW w:w="286" w:type="dxa"/>
            <w:tcBorders>
              <w:top w:val="single" w:sz="4" w:space="0" w:color="auto"/>
              <w:left w:val="single" w:sz="4" w:space="0" w:color="000000"/>
              <w:right w:val="nil"/>
            </w:tcBorders>
          </w:tcPr>
          <w:p w14:paraId="571A95E0" w14:textId="77777777" w:rsidR="00E47756" w:rsidRPr="00E47756" w:rsidRDefault="00E47756" w:rsidP="00E47756">
            <w:pPr>
              <w:spacing w:after="0" w:line="240" w:lineRule="auto"/>
              <w:ind w:left="57" w:right="57"/>
            </w:pPr>
            <w:r w:rsidRPr="00E47756">
              <w:rPr>
                <w:sz w:val="20"/>
              </w:rPr>
              <w:t>d)</w:t>
            </w:r>
            <w:r w:rsidRPr="00E47756">
              <w:rPr>
                <w:rFonts w:ascii="Arial" w:hAnsi="Arial" w:cs="Arial"/>
                <w:sz w:val="20"/>
              </w:rPr>
              <w:t xml:space="preserve"> </w:t>
            </w:r>
          </w:p>
        </w:tc>
        <w:tc>
          <w:tcPr>
            <w:tcW w:w="3271" w:type="dxa"/>
            <w:tcBorders>
              <w:top w:val="single" w:sz="4" w:space="0" w:color="auto"/>
              <w:left w:val="nil"/>
              <w:right w:val="single" w:sz="4" w:space="0" w:color="000000"/>
            </w:tcBorders>
          </w:tcPr>
          <w:p w14:paraId="31F485B2" w14:textId="77777777" w:rsidR="00E47756" w:rsidRPr="00E47756" w:rsidRDefault="00E47756" w:rsidP="00E47756">
            <w:pPr>
              <w:spacing w:after="0" w:line="240" w:lineRule="auto"/>
              <w:ind w:left="57" w:right="57"/>
            </w:pPr>
            <w:r w:rsidRPr="00E47756">
              <w:rPr>
                <w:b/>
                <w:sz w:val="20"/>
              </w:rPr>
              <w:t>revízia smernice o zaistení a konfiškácii príjmov z trestnej činnosti</w:t>
            </w:r>
            <w:r w:rsidRPr="00E47756">
              <w:rPr>
                <w:sz w:val="20"/>
              </w:rPr>
              <w:t xml:space="preserve"> (legislatívna iniciatíva vrátane posúdenia vplyvu, články 82 a 83 ZFEÚ, 4. štvrťrok 2021); </w:t>
            </w:r>
          </w:p>
        </w:tc>
        <w:tc>
          <w:tcPr>
            <w:tcW w:w="1975" w:type="dxa"/>
            <w:tcBorders>
              <w:top w:val="single" w:sz="4" w:space="0" w:color="auto"/>
              <w:left w:val="nil"/>
              <w:bottom w:val="nil"/>
              <w:right w:val="single" w:sz="4" w:space="0" w:color="000000"/>
            </w:tcBorders>
          </w:tcPr>
          <w:p w14:paraId="1F75A031" w14:textId="77777777" w:rsidR="00E47756" w:rsidRDefault="00E47756" w:rsidP="00E47756">
            <w:pPr>
              <w:spacing w:after="0" w:line="240" w:lineRule="auto"/>
              <w:ind w:left="57" w:right="57"/>
              <w:jc w:val="center"/>
              <w:rPr>
                <w:b/>
                <w:sz w:val="20"/>
              </w:rPr>
            </w:pPr>
            <w:r w:rsidRPr="00E47756">
              <w:rPr>
                <w:b/>
                <w:sz w:val="20"/>
              </w:rPr>
              <w:t>MS SR</w:t>
            </w:r>
          </w:p>
          <w:p w14:paraId="0CB9D6E8" w14:textId="01209918" w:rsidR="00A705AC" w:rsidRPr="00E47756" w:rsidRDefault="00A705AC" w:rsidP="00E47756">
            <w:pPr>
              <w:spacing w:after="0" w:line="240" w:lineRule="auto"/>
              <w:ind w:left="57" w:right="57"/>
              <w:jc w:val="center"/>
              <w:rPr>
                <w:b/>
                <w:sz w:val="20"/>
              </w:rPr>
            </w:pPr>
            <w:r>
              <w:rPr>
                <w:b/>
                <w:sz w:val="20"/>
              </w:rPr>
              <w:t>GP SR</w:t>
            </w:r>
          </w:p>
        </w:tc>
        <w:tc>
          <w:tcPr>
            <w:tcW w:w="5776" w:type="dxa"/>
            <w:tcBorders>
              <w:top w:val="single" w:sz="4" w:space="0" w:color="auto"/>
              <w:left w:val="nil"/>
              <w:bottom w:val="nil"/>
              <w:right w:val="single" w:sz="4" w:space="0" w:color="000000"/>
            </w:tcBorders>
          </w:tcPr>
          <w:p w14:paraId="50764292" w14:textId="77777777" w:rsidR="00E47756" w:rsidRPr="00E47756" w:rsidRDefault="00E47756" w:rsidP="00E47756">
            <w:pPr>
              <w:spacing w:after="0" w:line="240" w:lineRule="auto"/>
              <w:ind w:left="57" w:right="57"/>
              <w:rPr>
                <w:sz w:val="20"/>
              </w:rPr>
            </w:pPr>
            <w:r w:rsidRPr="00E47756">
              <w:rPr>
                <w:b/>
                <w:sz w:val="20"/>
                <w:u w:val="single"/>
              </w:rPr>
              <w:t>Stredná priorita</w:t>
            </w:r>
            <w:r w:rsidRPr="00E47756">
              <w:rPr>
                <w:sz w:val="20"/>
              </w:rPr>
              <w:t xml:space="preserve"> – </w:t>
            </w:r>
            <w:r w:rsidRPr="00E47756">
              <w:rPr>
                <w:bCs/>
                <w:sz w:val="20"/>
              </w:rPr>
              <w:t xml:space="preserve">Očakáva sa modernizácia súčasného právneho rámca. SR </w:t>
            </w:r>
            <w:r w:rsidRPr="00E47756">
              <w:rPr>
                <w:sz w:val="20"/>
              </w:rPr>
              <w:t>považuje za potrebné dôsledne vyhodnotiť dosiahnutý stupeň harmonizácie. Ukazuje sa, že najmä otázka rozšírenej konfiškácie a konfiškácie bez predchádzajúceho odsúdenia si vyžaduje Ďalšie harmonizačné prvky.</w:t>
            </w:r>
          </w:p>
          <w:p w14:paraId="63E4AF08" w14:textId="77777777" w:rsidR="00E47756" w:rsidRPr="00E47756" w:rsidRDefault="00E47756" w:rsidP="00E47756">
            <w:pPr>
              <w:spacing w:after="0" w:line="240" w:lineRule="auto"/>
              <w:ind w:left="57" w:right="57"/>
              <w:rPr>
                <w:sz w:val="20"/>
              </w:rPr>
            </w:pPr>
          </w:p>
        </w:tc>
      </w:tr>
      <w:tr w:rsidR="00E47756" w:rsidRPr="00E47756" w14:paraId="6E6959B2" w14:textId="77777777" w:rsidTr="00A4393C">
        <w:trPr>
          <w:trHeight w:val="459"/>
        </w:trPr>
        <w:tc>
          <w:tcPr>
            <w:tcW w:w="457" w:type="dxa"/>
            <w:tcBorders>
              <w:top w:val="nil"/>
              <w:left w:val="single" w:sz="4" w:space="0" w:color="000000"/>
              <w:bottom w:val="single" w:sz="4" w:space="0" w:color="auto"/>
              <w:right w:val="single" w:sz="4" w:space="0" w:color="000000"/>
            </w:tcBorders>
          </w:tcPr>
          <w:p w14:paraId="5D5B6B10" w14:textId="77777777" w:rsidR="00E47756" w:rsidRPr="00E47756" w:rsidRDefault="00E47756" w:rsidP="00E47756">
            <w:pPr>
              <w:spacing w:after="0" w:line="240" w:lineRule="auto"/>
              <w:ind w:left="57" w:right="57"/>
            </w:pPr>
          </w:p>
        </w:tc>
        <w:tc>
          <w:tcPr>
            <w:tcW w:w="2857" w:type="dxa"/>
            <w:tcBorders>
              <w:top w:val="nil"/>
              <w:left w:val="single" w:sz="4" w:space="0" w:color="000000"/>
              <w:bottom w:val="single" w:sz="4" w:space="0" w:color="auto"/>
              <w:right w:val="single" w:sz="4" w:space="0" w:color="000000"/>
            </w:tcBorders>
          </w:tcPr>
          <w:p w14:paraId="17271C2F" w14:textId="77777777" w:rsidR="00E47756" w:rsidRPr="00E47756" w:rsidRDefault="00E47756" w:rsidP="00E47756">
            <w:pPr>
              <w:spacing w:after="0" w:line="240" w:lineRule="auto"/>
              <w:ind w:left="57" w:right="57"/>
            </w:pPr>
          </w:p>
        </w:tc>
        <w:tc>
          <w:tcPr>
            <w:tcW w:w="286" w:type="dxa"/>
            <w:tcBorders>
              <w:top w:val="nil"/>
              <w:left w:val="single" w:sz="4" w:space="0" w:color="000000"/>
              <w:bottom w:val="single" w:sz="4" w:space="0" w:color="auto"/>
              <w:right w:val="nil"/>
            </w:tcBorders>
          </w:tcPr>
          <w:p w14:paraId="5270E29B" w14:textId="77777777" w:rsidR="00E47756" w:rsidRPr="00E47756" w:rsidRDefault="00E47756" w:rsidP="00E47756">
            <w:pPr>
              <w:spacing w:after="0" w:line="240" w:lineRule="auto"/>
              <w:ind w:left="57" w:right="57"/>
            </w:pPr>
            <w:r w:rsidRPr="00E47756">
              <w:rPr>
                <w:sz w:val="20"/>
              </w:rPr>
              <w:t>e)</w:t>
            </w:r>
            <w:r w:rsidRPr="00E47756">
              <w:rPr>
                <w:rFonts w:ascii="Arial" w:hAnsi="Arial" w:cs="Arial"/>
                <w:sz w:val="20"/>
              </w:rPr>
              <w:t xml:space="preserve"> </w:t>
            </w:r>
          </w:p>
        </w:tc>
        <w:tc>
          <w:tcPr>
            <w:tcW w:w="3271" w:type="dxa"/>
            <w:tcBorders>
              <w:top w:val="nil"/>
              <w:left w:val="nil"/>
              <w:bottom w:val="single" w:sz="4" w:space="0" w:color="auto"/>
              <w:right w:val="single" w:sz="4" w:space="0" w:color="000000"/>
            </w:tcBorders>
          </w:tcPr>
          <w:p w14:paraId="4FB2429A" w14:textId="77777777" w:rsidR="00E47756" w:rsidRPr="00A41E9A" w:rsidRDefault="00E47756" w:rsidP="00A41E9A">
            <w:pPr>
              <w:spacing w:after="0" w:line="240" w:lineRule="auto"/>
              <w:ind w:left="57" w:right="57"/>
              <w:rPr>
                <w:sz w:val="20"/>
              </w:rPr>
            </w:pPr>
            <w:r w:rsidRPr="00E47756">
              <w:rPr>
                <w:b/>
                <w:sz w:val="20"/>
              </w:rPr>
              <w:t>návrh modernizácie existujúcej spolupráce v oblasti presadzovania práva v rámci EÚ vytvorením kódexu policajnej spolupráce EÚ</w:t>
            </w:r>
            <w:r w:rsidRPr="00E47756">
              <w:rPr>
                <w:sz w:val="20"/>
              </w:rPr>
              <w:t xml:space="preserve"> (legislatívna iniciatíva vrátane posúd</w:t>
            </w:r>
            <w:r w:rsidR="00A41E9A">
              <w:rPr>
                <w:sz w:val="20"/>
              </w:rPr>
              <w:t>enia vplyvu, 4. štvrťrok 2021);</w:t>
            </w:r>
          </w:p>
        </w:tc>
        <w:tc>
          <w:tcPr>
            <w:tcW w:w="1975" w:type="dxa"/>
            <w:tcBorders>
              <w:top w:val="nil"/>
              <w:left w:val="nil"/>
              <w:bottom w:val="single" w:sz="4" w:space="0" w:color="auto"/>
              <w:right w:val="single" w:sz="4" w:space="0" w:color="000000"/>
            </w:tcBorders>
          </w:tcPr>
          <w:p w14:paraId="04B1F62D" w14:textId="77777777" w:rsidR="00E47756" w:rsidRPr="00E47756" w:rsidRDefault="00E47756" w:rsidP="00E47756">
            <w:pPr>
              <w:spacing w:after="0" w:line="240" w:lineRule="auto"/>
              <w:ind w:left="57" w:right="57"/>
              <w:jc w:val="center"/>
              <w:rPr>
                <w:b/>
                <w:sz w:val="20"/>
              </w:rPr>
            </w:pPr>
            <w:r w:rsidRPr="00E47756">
              <w:rPr>
                <w:b/>
                <w:sz w:val="20"/>
              </w:rPr>
              <w:t>MV SR</w:t>
            </w:r>
          </w:p>
        </w:tc>
        <w:tc>
          <w:tcPr>
            <w:tcW w:w="5776" w:type="dxa"/>
            <w:tcBorders>
              <w:top w:val="nil"/>
              <w:left w:val="nil"/>
              <w:bottom w:val="single" w:sz="4" w:space="0" w:color="auto"/>
              <w:right w:val="single" w:sz="4" w:space="0" w:color="000000"/>
            </w:tcBorders>
          </w:tcPr>
          <w:p w14:paraId="3A3DC2DD" w14:textId="77777777" w:rsidR="00E47756" w:rsidRPr="00E47756" w:rsidRDefault="00E47756" w:rsidP="00E47756">
            <w:pPr>
              <w:spacing w:after="0" w:line="240" w:lineRule="auto"/>
              <w:ind w:left="57" w:right="57"/>
              <w:rPr>
                <w:b/>
                <w:sz w:val="20"/>
              </w:rPr>
            </w:pPr>
            <w:r w:rsidRPr="00E47756">
              <w:rPr>
                <w:b/>
                <w:sz w:val="20"/>
                <w:u w:val="single"/>
              </w:rPr>
              <w:t>Stredná priorita</w:t>
            </w:r>
            <w:r w:rsidRPr="00E47756">
              <w:rPr>
                <w:sz w:val="20"/>
              </w:rPr>
              <w:t xml:space="preserve"> – Príprava zastrešujúcej legislatívy existujúcich a nových nástrojov policajnej spolupráce pri zdieľaní informácií a operatíve. Z pohľadu SR aktuálne nepredpokladáme problematický obsah, konečné stanovisko bude známe po predložení návrhov.</w:t>
            </w:r>
          </w:p>
        </w:tc>
      </w:tr>
      <w:tr w:rsidR="00E47756" w:rsidRPr="00E47756" w14:paraId="28D7AB52" w14:textId="77777777" w:rsidTr="00A4393C">
        <w:trPr>
          <w:trHeight w:val="494"/>
        </w:trPr>
        <w:tc>
          <w:tcPr>
            <w:tcW w:w="457" w:type="dxa"/>
            <w:tcBorders>
              <w:top w:val="single" w:sz="4" w:space="0" w:color="auto"/>
              <w:left w:val="single" w:sz="4" w:space="0" w:color="000000"/>
              <w:bottom w:val="single" w:sz="4" w:space="0" w:color="000000"/>
              <w:right w:val="single" w:sz="4" w:space="0" w:color="000000"/>
            </w:tcBorders>
          </w:tcPr>
          <w:p w14:paraId="5AA2F175" w14:textId="77777777" w:rsidR="00E47756" w:rsidRPr="00E47756" w:rsidRDefault="00E47756" w:rsidP="00E47756">
            <w:pPr>
              <w:spacing w:after="0" w:line="240" w:lineRule="auto"/>
              <w:ind w:left="57" w:right="57"/>
            </w:pPr>
          </w:p>
        </w:tc>
        <w:tc>
          <w:tcPr>
            <w:tcW w:w="2857" w:type="dxa"/>
            <w:tcBorders>
              <w:top w:val="single" w:sz="4" w:space="0" w:color="auto"/>
              <w:left w:val="single" w:sz="4" w:space="0" w:color="000000"/>
              <w:bottom w:val="single" w:sz="4" w:space="0" w:color="000000"/>
              <w:right w:val="single" w:sz="4" w:space="0" w:color="000000"/>
            </w:tcBorders>
          </w:tcPr>
          <w:p w14:paraId="3815EFA5" w14:textId="77777777" w:rsidR="00E47756" w:rsidRPr="00E47756" w:rsidRDefault="00E47756" w:rsidP="00E47756">
            <w:pPr>
              <w:spacing w:after="0" w:line="240" w:lineRule="auto"/>
              <w:ind w:left="57" w:right="57"/>
            </w:pPr>
          </w:p>
        </w:tc>
        <w:tc>
          <w:tcPr>
            <w:tcW w:w="286" w:type="dxa"/>
            <w:tcBorders>
              <w:top w:val="single" w:sz="4" w:space="0" w:color="auto"/>
              <w:left w:val="single" w:sz="4" w:space="0" w:color="000000"/>
              <w:bottom w:val="single" w:sz="4" w:space="0" w:color="000000"/>
              <w:right w:val="nil"/>
            </w:tcBorders>
          </w:tcPr>
          <w:p w14:paraId="3C975420" w14:textId="77777777" w:rsidR="00E47756" w:rsidRPr="00E47756" w:rsidRDefault="00E47756" w:rsidP="00E47756">
            <w:pPr>
              <w:spacing w:after="0" w:line="240" w:lineRule="auto"/>
              <w:ind w:left="57" w:right="57"/>
            </w:pPr>
            <w:r w:rsidRPr="00E47756">
              <w:rPr>
                <w:sz w:val="20"/>
              </w:rPr>
              <w:t>f)</w:t>
            </w:r>
            <w:r w:rsidRPr="00E47756">
              <w:rPr>
                <w:rFonts w:ascii="Arial" w:hAnsi="Arial" w:cs="Arial"/>
                <w:sz w:val="20"/>
              </w:rPr>
              <w:t xml:space="preserve"> </w:t>
            </w:r>
          </w:p>
        </w:tc>
        <w:tc>
          <w:tcPr>
            <w:tcW w:w="3271" w:type="dxa"/>
            <w:tcBorders>
              <w:top w:val="single" w:sz="4" w:space="0" w:color="auto"/>
              <w:left w:val="nil"/>
              <w:bottom w:val="single" w:sz="4" w:space="0" w:color="000000"/>
              <w:right w:val="single" w:sz="4" w:space="0" w:color="000000"/>
            </w:tcBorders>
          </w:tcPr>
          <w:p w14:paraId="14831889" w14:textId="77777777" w:rsidR="00E47756" w:rsidRPr="00E47756" w:rsidRDefault="00E47756" w:rsidP="00E47756">
            <w:pPr>
              <w:spacing w:after="0" w:line="240" w:lineRule="auto"/>
              <w:ind w:left="57" w:right="57"/>
            </w:pPr>
            <w:r w:rsidRPr="00E47756">
              <w:rPr>
                <w:b/>
                <w:sz w:val="20"/>
              </w:rPr>
              <w:t>návrh smernice o úradoch pre vyhľadávanie majetku</w:t>
            </w:r>
            <w:r w:rsidRPr="00E47756">
              <w:rPr>
                <w:sz w:val="20"/>
              </w:rPr>
              <w:t xml:space="preserve"> (legislatívna iniciatíva vrátane posúdenia vplyvu, článok 87 ZFEÚ, 4. štvrťrok 2021). </w:t>
            </w:r>
          </w:p>
        </w:tc>
        <w:tc>
          <w:tcPr>
            <w:tcW w:w="1975" w:type="dxa"/>
            <w:tcBorders>
              <w:top w:val="single" w:sz="4" w:space="0" w:color="auto"/>
              <w:left w:val="nil"/>
              <w:bottom w:val="single" w:sz="4" w:space="0" w:color="000000"/>
              <w:right w:val="single" w:sz="4" w:space="0" w:color="000000"/>
            </w:tcBorders>
          </w:tcPr>
          <w:p w14:paraId="0450E922" w14:textId="77777777" w:rsidR="00E47756" w:rsidRPr="00E47756" w:rsidRDefault="00E47756" w:rsidP="00E47756">
            <w:pPr>
              <w:spacing w:after="0" w:line="240" w:lineRule="auto"/>
              <w:ind w:left="57" w:right="57"/>
              <w:jc w:val="center"/>
              <w:rPr>
                <w:b/>
                <w:sz w:val="20"/>
              </w:rPr>
            </w:pPr>
            <w:r w:rsidRPr="00E47756">
              <w:rPr>
                <w:b/>
                <w:sz w:val="20"/>
              </w:rPr>
              <w:t>MV SR</w:t>
            </w:r>
          </w:p>
          <w:p w14:paraId="2F0C7B05" w14:textId="77777777" w:rsidR="00E47756" w:rsidRPr="00E47756" w:rsidRDefault="00E47756" w:rsidP="00E47756">
            <w:pPr>
              <w:spacing w:after="0" w:line="240" w:lineRule="auto"/>
              <w:ind w:left="57" w:right="57"/>
              <w:jc w:val="center"/>
              <w:rPr>
                <w:b/>
                <w:sz w:val="20"/>
              </w:rPr>
            </w:pPr>
          </w:p>
        </w:tc>
        <w:tc>
          <w:tcPr>
            <w:tcW w:w="5776" w:type="dxa"/>
            <w:tcBorders>
              <w:top w:val="single" w:sz="4" w:space="0" w:color="auto"/>
              <w:left w:val="nil"/>
              <w:bottom w:val="single" w:sz="4" w:space="0" w:color="000000"/>
              <w:right w:val="single" w:sz="4" w:space="0" w:color="000000"/>
            </w:tcBorders>
          </w:tcPr>
          <w:p w14:paraId="0CD8351A" w14:textId="77777777" w:rsidR="00E47756" w:rsidRPr="00E47756" w:rsidRDefault="00E47756" w:rsidP="00E47756">
            <w:pPr>
              <w:spacing w:after="0" w:line="240" w:lineRule="auto"/>
              <w:ind w:left="57" w:right="57"/>
              <w:rPr>
                <w:b/>
                <w:sz w:val="20"/>
              </w:rPr>
            </w:pPr>
            <w:r w:rsidRPr="00E47756">
              <w:rPr>
                <w:b/>
                <w:sz w:val="20"/>
                <w:u w:val="single"/>
              </w:rPr>
              <w:t>Stredná priorita</w:t>
            </w:r>
            <w:r w:rsidRPr="00E47756">
              <w:rPr>
                <w:sz w:val="20"/>
              </w:rPr>
              <w:t xml:space="preserve"> – Nová smernica by mala vytvoriť priestor pre ďalší rozvoj spolupráce úradov pre vyhľadávanie majetku v členských štátoch. Z pohľadu SR aktuálne nepredpokladáme problematický obsah, konečné stanovisko bude známe po predložení návrhov.</w:t>
            </w:r>
          </w:p>
          <w:p w14:paraId="5D79E875" w14:textId="77777777" w:rsidR="00E47756" w:rsidRPr="00E47756" w:rsidRDefault="00E47756" w:rsidP="00E47756">
            <w:pPr>
              <w:spacing w:after="0" w:line="240" w:lineRule="auto"/>
              <w:ind w:left="57" w:right="57"/>
              <w:rPr>
                <w:b/>
                <w:sz w:val="20"/>
              </w:rPr>
            </w:pPr>
          </w:p>
        </w:tc>
      </w:tr>
      <w:tr w:rsidR="00E47756" w:rsidRPr="00E47756" w14:paraId="56CFA6CA" w14:textId="77777777" w:rsidTr="001A4016">
        <w:trPr>
          <w:trHeight w:val="526"/>
        </w:trPr>
        <w:tc>
          <w:tcPr>
            <w:tcW w:w="457" w:type="dxa"/>
            <w:tcBorders>
              <w:top w:val="single" w:sz="4" w:space="0" w:color="000000"/>
              <w:left w:val="single" w:sz="4" w:space="0" w:color="000000"/>
              <w:bottom w:val="single" w:sz="4" w:space="0" w:color="000000"/>
              <w:right w:val="single" w:sz="4" w:space="0" w:color="000000"/>
            </w:tcBorders>
          </w:tcPr>
          <w:p w14:paraId="74D421F5" w14:textId="77777777" w:rsidR="00E47756" w:rsidRPr="00E47756" w:rsidRDefault="00E47756" w:rsidP="00E47756">
            <w:pPr>
              <w:spacing w:after="0" w:line="240" w:lineRule="auto"/>
              <w:ind w:left="57" w:right="57"/>
            </w:pPr>
            <w:r w:rsidRPr="00E47756">
              <w:rPr>
                <w:sz w:val="20"/>
              </w:rPr>
              <w:t>36.</w:t>
            </w:r>
            <w:r w:rsidRPr="00E47756">
              <w:rPr>
                <w:rFonts w:ascii="Arial" w:hAnsi="Arial" w:cs="Arial"/>
                <w:sz w:val="20"/>
              </w:rPr>
              <w:t xml:space="preserve"> </w:t>
            </w:r>
            <w:r w:rsidRPr="00E47756">
              <w:rPr>
                <w:sz w:val="2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927A48D" w14:textId="77777777" w:rsidR="00E47756" w:rsidRPr="00E47756" w:rsidRDefault="00E47756" w:rsidP="00E47756">
            <w:pPr>
              <w:spacing w:after="0" w:line="240" w:lineRule="auto"/>
              <w:ind w:left="57" w:right="57"/>
            </w:pPr>
            <w:r w:rsidRPr="00E47756">
              <w:rPr>
                <w:b/>
                <w:sz w:val="20"/>
              </w:rPr>
              <w:t>Nadviazanie na európsky vzdelávací priestor a aktualizovaný program v oblasti zručností</w:t>
            </w:r>
            <w:r w:rsidRPr="00E47756">
              <w:rPr>
                <w:sz w:val="20"/>
              </w:rPr>
              <w:t xml:space="preserve"> </w:t>
            </w:r>
          </w:p>
        </w:tc>
        <w:tc>
          <w:tcPr>
            <w:tcW w:w="286" w:type="dxa"/>
            <w:tcBorders>
              <w:top w:val="single" w:sz="4" w:space="0" w:color="000000"/>
              <w:left w:val="single" w:sz="4" w:space="0" w:color="000000"/>
              <w:bottom w:val="single" w:sz="4" w:space="0" w:color="000000"/>
              <w:right w:val="nil"/>
            </w:tcBorders>
          </w:tcPr>
          <w:p w14:paraId="50E0621B" w14:textId="77777777" w:rsidR="00E47756" w:rsidRPr="00E47756" w:rsidRDefault="00E47756" w:rsidP="00E47756">
            <w:pPr>
              <w:spacing w:after="0" w:line="240" w:lineRule="auto"/>
              <w:ind w:left="57" w:right="57"/>
            </w:pPr>
            <w:r w:rsidRPr="00E47756">
              <w:rPr>
                <w:sz w:val="20"/>
              </w:rPr>
              <w:t>a)</w:t>
            </w:r>
            <w:r w:rsidRPr="00E47756">
              <w:rPr>
                <w:rFonts w:ascii="Arial" w:hAnsi="Arial" w:cs="Arial"/>
                <w:sz w:val="20"/>
              </w:rPr>
              <w:t xml:space="preserve"> </w:t>
            </w:r>
          </w:p>
          <w:p w14:paraId="4B207814" w14:textId="77777777" w:rsidR="00E47756" w:rsidRPr="00E47756" w:rsidRDefault="00E47756" w:rsidP="00E47756">
            <w:pPr>
              <w:spacing w:after="0" w:line="240" w:lineRule="auto"/>
              <w:ind w:left="57" w:right="57"/>
            </w:pPr>
            <w:r w:rsidRPr="00E47756">
              <w:rPr>
                <w:sz w:val="20"/>
              </w:rPr>
              <w:t>b)</w:t>
            </w:r>
            <w:r w:rsidRPr="00E47756">
              <w:rPr>
                <w:rFonts w:ascii="Arial" w:hAnsi="Arial" w:cs="Arial"/>
                <w:sz w:val="20"/>
              </w:rPr>
              <w:t xml:space="preserve"> </w:t>
            </w:r>
          </w:p>
        </w:tc>
        <w:tc>
          <w:tcPr>
            <w:tcW w:w="3271" w:type="dxa"/>
            <w:tcBorders>
              <w:top w:val="single" w:sz="4" w:space="0" w:color="000000"/>
              <w:left w:val="nil"/>
              <w:bottom w:val="single" w:sz="4" w:space="0" w:color="000000"/>
              <w:right w:val="single" w:sz="4" w:space="0" w:color="000000"/>
            </w:tcBorders>
          </w:tcPr>
          <w:p w14:paraId="37AB820A" w14:textId="77777777" w:rsidR="00E47756" w:rsidRPr="00E47756" w:rsidRDefault="00E47756" w:rsidP="00E47756">
            <w:pPr>
              <w:spacing w:after="0" w:line="240" w:lineRule="auto"/>
              <w:ind w:left="57" w:right="57"/>
            </w:pPr>
            <w:r w:rsidRPr="00E47756">
              <w:rPr>
                <w:b/>
                <w:sz w:val="20"/>
              </w:rPr>
              <w:t xml:space="preserve">európsky prístup v oblasti </w:t>
            </w:r>
            <w:proofErr w:type="spellStart"/>
            <w:r w:rsidRPr="00E47756">
              <w:rPr>
                <w:b/>
                <w:sz w:val="20"/>
              </w:rPr>
              <w:t>mikrocertifikátov</w:t>
            </w:r>
            <w:proofErr w:type="spellEnd"/>
            <w:r w:rsidRPr="00E47756">
              <w:rPr>
                <w:sz w:val="20"/>
              </w:rPr>
              <w:t xml:space="preserve"> (nelegislatívna iniciatíva, 4. štvrťrok 2021); </w:t>
            </w:r>
            <w:r w:rsidRPr="00E47756">
              <w:rPr>
                <w:b/>
                <w:sz w:val="20"/>
              </w:rPr>
              <w:t>individuálne vzdelávacie účty</w:t>
            </w:r>
            <w:r w:rsidRPr="00E47756">
              <w:rPr>
                <w:sz w:val="20"/>
              </w:rPr>
              <w:t xml:space="preserve"> (legislatívna a nelegislatívna iniciatíva vrátane posúdenia vplyvu, 4. štvrťrok 2021). </w:t>
            </w:r>
          </w:p>
        </w:tc>
        <w:tc>
          <w:tcPr>
            <w:tcW w:w="1975" w:type="dxa"/>
            <w:tcBorders>
              <w:top w:val="single" w:sz="4" w:space="0" w:color="000000"/>
              <w:left w:val="nil"/>
              <w:bottom w:val="single" w:sz="4" w:space="0" w:color="000000"/>
              <w:right w:val="single" w:sz="4" w:space="0" w:color="000000"/>
            </w:tcBorders>
          </w:tcPr>
          <w:p w14:paraId="49A88D41" w14:textId="77777777" w:rsidR="00E47756" w:rsidRPr="00E47756" w:rsidRDefault="00E47756" w:rsidP="00A4393C">
            <w:pPr>
              <w:spacing w:after="0" w:line="240" w:lineRule="auto"/>
              <w:ind w:left="57" w:right="57"/>
              <w:jc w:val="center"/>
              <w:rPr>
                <w:b/>
                <w:sz w:val="20"/>
              </w:rPr>
            </w:pPr>
            <w:r w:rsidRPr="00E47756">
              <w:rPr>
                <w:b/>
                <w:sz w:val="20"/>
              </w:rPr>
              <w:t>MŠVVaŠ SR</w:t>
            </w:r>
          </w:p>
        </w:tc>
        <w:tc>
          <w:tcPr>
            <w:tcW w:w="5776" w:type="dxa"/>
            <w:tcBorders>
              <w:top w:val="single" w:sz="4" w:space="0" w:color="000000"/>
              <w:left w:val="nil"/>
              <w:bottom w:val="single" w:sz="4" w:space="0" w:color="000000"/>
              <w:right w:val="single" w:sz="4" w:space="0" w:color="000000"/>
            </w:tcBorders>
          </w:tcPr>
          <w:p w14:paraId="73C48FDA" w14:textId="090EFA9B" w:rsidR="00E47756" w:rsidRPr="00853890" w:rsidRDefault="00E47756" w:rsidP="00853890">
            <w:pPr>
              <w:spacing w:after="0" w:line="240" w:lineRule="auto"/>
              <w:ind w:left="57" w:right="57"/>
              <w:rPr>
                <w:sz w:val="20"/>
              </w:rPr>
            </w:pPr>
            <w:r w:rsidRPr="00E47756">
              <w:rPr>
                <w:b/>
                <w:sz w:val="20"/>
                <w:u w:val="single"/>
              </w:rPr>
              <w:t>Stredná priorita</w:t>
            </w:r>
            <w:r w:rsidRPr="00E47756">
              <w:rPr>
                <w:sz w:val="20"/>
              </w:rPr>
              <w:t xml:space="preserve"> – </w:t>
            </w:r>
            <w:r w:rsidRPr="00E47756">
              <w:rPr>
                <w:sz w:val="20"/>
                <w:szCs w:val="20"/>
              </w:rPr>
              <w:t xml:space="preserve">Aktuálny stav rokovaní: Cesta k hospodárskemu oživeniu a </w:t>
            </w:r>
            <w:r w:rsidRPr="00E47756">
              <w:rPr>
                <w:sz w:val="20"/>
              </w:rPr>
              <w:t xml:space="preserve">úspešnému ekologickému a digitálnemu prechodu si vyžaduje nadobúdanie nových zručností. V rámci širšieho úsilia o hlbší prienik kultúry celoživotného vzdelávania a ľahšieho prechodu na nové profesie, navrhuje EK implementáciu individuálnych vzdelávacích účtov s cieľom umožniť jednotlivcom vykonávanie adekvátnej odbornej prípravy, aby tak efektívne riadili vlastnú kariéru. Cieľom je stanoviť európsky prístup k </w:t>
            </w:r>
            <w:proofErr w:type="spellStart"/>
            <w:r w:rsidRPr="00E47756">
              <w:rPr>
                <w:sz w:val="20"/>
              </w:rPr>
              <w:t>mikroosvedčeniam</w:t>
            </w:r>
            <w:proofErr w:type="spellEnd"/>
            <w:r w:rsidRPr="00E47756">
              <w:rPr>
                <w:sz w:val="20"/>
              </w:rPr>
              <w:t xml:space="preserve"> a rozšíriť </w:t>
            </w:r>
            <w:proofErr w:type="spellStart"/>
            <w:r w:rsidRPr="00E47756">
              <w:rPr>
                <w:sz w:val="20"/>
              </w:rPr>
              <w:t>personalizované</w:t>
            </w:r>
            <w:proofErr w:type="spellEnd"/>
            <w:r w:rsidRPr="00E47756">
              <w:rPr>
                <w:sz w:val="20"/>
              </w:rPr>
              <w:t>, respektíve cielené možnosti vzdelávania pre všetkých. Obe iniciatívy Európsky prístup k </w:t>
            </w:r>
            <w:proofErr w:type="spellStart"/>
            <w:r w:rsidRPr="00E47756">
              <w:rPr>
                <w:sz w:val="20"/>
              </w:rPr>
              <w:t>mikroosvedčeniam</w:t>
            </w:r>
            <w:proofErr w:type="spellEnd"/>
            <w:r w:rsidRPr="00E47756">
              <w:rPr>
                <w:sz w:val="20"/>
              </w:rPr>
              <w:t xml:space="preserve"> a Individuálne vzdelávacie účty sa budú implementovať v zmysle oznámení EK o EEA a Aktualizovaného programu v oblasti zručností.</w:t>
            </w:r>
          </w:p>
        </w:tc>
      </w:tr>
      <w:tr w:rsidR="00E47756" w:rsidRPr="00E47756" w14:paraId="2E45475F" w14:textId="77777777" w:rsidTr="001A4016">
        <w:trPr>
          <w:trHeight w:val="298"/>
        </w:trPr>
        <w:tc>
          <w:tcPr>
            <w:tcW w:w="457" w:type="dxa"/>
            <w:tcBorders>
              <w:top w:val="single" w:sz="4" w:space="0" w:color="000000"/>
              <w:left w:val="single" w:sz="4" w:space="0" w:color="000000"/>
              <w:bottom w:val="single" w:sz="4" w:space="0" w:color="auto"/>
              <w:right w:val="single" w:sz="4" w:space="0" w:color="000000"/>
            </w:tcBorders>
          </w:tcPr>
          <w:p w14:paraId="773E7250" w14:textId="77777777" w:rsidR="00E47756" w:rsidRPr="00E47756" w:rsidRDefault="00E47756" w:rsidP="00E47756">
            <w:pPr>
              <w:spacing w:after="0" w:line="240" w:lineRule="auto"/>
              <w:ind w:left="57" w:right="57"/>
            </w:pPr>
            <w:r w:rsidRPr="00E47756">
              <w:rPr>
                <w:sz w:val="20"/>
              </w:rPr>
              <w:t>37.</w:t>
            </w:r>
            <w:r w:rsidRPr="00E47756">
              <w:rPr>
                <w:rFonts w:ascii="Arial" w:hAnsi="Arial" w:cs="Arial"/>
                <w:sz w:val="20"/>
              </w:rPr>
              <w:t xml:space="preserve"> </w:t>
            </w:r>
            <w:r w:rsidRPr="00E47756">
              <w:rPr>
                <w:sz w:val="20"/>
              </w:rPr>
              <w:t xml:space="preserve"> </w:t>
            </w:r>
          </w:p>
        </w:tc>
        <w:tc>
          <w:tcPr>
            <w:tcW w:w="2857" w:type="dxa"/>
            <w:tcBorders>
              <w:top w:val="single" w:sz="4" w:space="0" w:color="000000"/>
              <w:left w:val="single" w:sz="4" w:space="0" w:color="000000"/>
              <w:bottom w:val="single" w:sz="4" w:space="0" w:color="auto"/>
              <w:right w:val="single" w:sz="4" w:space="0" w:color="000000"/>
            </w:tcBorders>
          </w:tcPr>
          <w:p w14:paraId="31B46C96" w14:textId="77777777" w:rsidR="00E47756" w:rsidRPr="00E47756" w:rsidRDefault="00E47756" w:rsidP="00E47756">
            <w:pPr>
              <w:spacing w:after="0" w:line="240" w:lineRule="auto"/>
              <w:ind w:left="57" w:right="57"/>
            </w:pPr>
            <w:r w:rsidRPr="00E47756">
              <w:rPr>
                <w:b/>
                <w:sz w:val="20"/>
              </w:rPr>
              <w:t xml:space="preserve">Stratégia EÚ v oblasti boja proti antisemitizmu </w:t>
            </w:r>
          </w:p>
        </w:tc>
        <w:tc>
          <w:tcPr>
            <w:tcW w:w="3557" w:type="dxa"/>
            <w:gridSpan w:val="2"/>
            <w:tcBorders>
              <w:top w:val="single" w:sz="4" w:space="0" w:color="000000"/>
              <w:left w:val="single" w:sz="4" w:space="0" w:color="000000"/>
              <w:bottom w:val="single" w:sz="4" w:space="0" w:color="auto"/>
              <w:right w:val="single" w:sz="4" w:space="0" w:color="000000"/>
            </w:tcBorders>
          </w:tcPr>
          <w:p w14:paraId="71B68457" w14:textId="77777777" w:rsidR="00E47756" w:rsidRPr="00E47756" w:rsidRDefault="00E47756" w:rsidP="00E47756">
            <w:pPr>
              <w:spacing w:after="0" w:line="240" w:lineRule="auto"/>
              <w:ind w:left="57" w:right="57"/>
            </w:pPr>
            <w:r w:rsidRPr="00E47756">
              <w:rPr>
                <w:b/>
                <w:sz w:val="20"/>
              </w:rPr>
              <w:t>oznámenie o stratégii EÚ v oblasti boja proti antisemitizmu</w:t>
            </w:r>
            <w:r w:rsidRPr="00E47756">
              <w:rPr>
                <w:sz w:val="20"/>
              </w:rPr>
              <w:t xml:space="preserve"> (nelegislatívna iniciatíva, 4. štvrťrok 2021)</w:t>
            </w:r>
            <w:r w:rsidRPr="00E47756">
              <w:rPr>
                <w:b/>
                <w:sz w:val="20"/>
              </w:rPr>
              <w:t xml:space="preserve"> </w:t>
            </w:r>
          </w:p>
        </w:tc>
        <w:tc>
          <w:tcPr>
            <w:tcW w:w="1975" w:type="dxa"/>
            <w:tcBorders>
              <w:top w:val="single" w:sz="4" w:space="0" w:color="000000"/>
              <w:left w:val="single" w:sz="4" w:space="0" w:color="000000"/>
              <w:bottom w:val="single" w:sz="4" w:space="0" w:color="auto"/>
              <w:right w:val="single" w:sz="4" w:space="0" w:color="000000"/>
            </w:tcBorders>
          </w:tcPr>
          <w:p w14:paraId="01FFF33F" w14:textId="77777777" w:rsidR="00E47756" w:rsidRPr="00E47756" w:rsidRDefault="00E47756" w:rsidP="00E47756">
            <w:pPr>
              <w:spacing w:after="0" w:line="240" w:lineRule="auto"/>
              <w:ind w:left="57" w:right="57"/>
              <w:jc w:val="center"/>
              <w:rPr>
                <w:b/>
                <w:sz w:val="20"/>
              </w:rPr>
            </w:pPr>
            <w:r w:rsidRPr="00E47756">
              <w:rPr>
                <w:b/>
                <w:sz w:val="20"/>
              </w:rPr>
              <w:t>MV SR</w:t>
            </w:r>
          </w:p>
          <w:p w14:paraId="53237241" w14:textId="77777777" w:rsidR="00E47756" w:rsidRPr="00E47756" w:rsidRDefault="00E47756" w:rsidP="00E47756">
            <w:pPr>
              <w:spacing w:after="0" w:line="240" w:lineRule="auto"/>
              <w:ind w:left="57" w:right="57"/>
              <w:jc w:val="center"/>
              <w:rPr>
                <w:b/>
                <w:sz w:val="20"/>
              </w:rPr>
            </w:pPr>
            <w:r w:rsidRPr="00E47756">
              <w:rPr>
                <w:b/>
                <w:sz w:val="20"/>
              </w:rPr>
              <w:t>MS SR</w:t>
            </w:r>
          </w:p>
        </w:tc>
        <w:tc>
          <w:tcPr>
            <w:tcW w:w="5776" w:type="dxa"/>
            <w:tcBorders>
              <w:top w:val="single" w:sz="4" w:space="0" w:color="000000"/>
              <w:left w:val="single" w:sz="4" w:space="0" w:color="000000"/>
              <w:bottom w:val="single" w:sz="4" w:space="0" w:color="auto"/>
              <w:right w:val="single" w:sz="4" w:space="0" w:color="000000"/>
            </w:tcBorders>
          </w:tcPr>
          <w:p w14:paraId="11E31491" w14:textId="311B6A2B" w:rsidR="00E47756" w:rsidRPr="00E47756" w:rsidRDefault="00E47756" w:rsidP="00E47756">
            <w:pPr>
              <w:spacing w:after="0" w:line="240" w:lineRule="auto"/>
              <w:ind w:left="57" w:right="57"/>
              <w:rPr>
                <w:bCs/>
                <w:sz w:val="20"/>
              </w:rPr>
            </w:pPr>
            <w:r w:rsidRPr="00E47756">
              <w:rPr>
                <w:b/>
                <w:sz w:val="20"/>
                <w:u w:val="single"/>
              </w:rPr>
              <w:t>Nízka priorita</w:t>
            </w:r>
            <w:r w:rsidRPr="00E47756">
              <w:rPr>
                <w:sz w:val="20"/>
              </w:rPr>
              <w:t xml:space="preserve"> – Komisia predstaví súbor opatrení v oblasti boja proti antisemitizmu. Nepredpokladá sa problematický obsah, </w:t>
            </w:r>
            <w:r w:rsidRPr="00E47756">
              <w:rPr>
                <w:bCs/>
                <w:sz w:val="20"/>
              </w:rPr>
              <w:t>ide o pokračovanie zabezpečenia témy ako integrálnej súčast</w:t>
            </w:r>
            <w:r w:rsidR="00853890">
              <w:rPr>
                <w:bCs/>
                <w:sz w:val="20"/>
              </w:rPr>
              <w:t>i antidiskriminačných politík E</w:t>
            </w:r>
            <w:r w:rsidR="00853890" w:rsidRPr="00853890">
              <w:rPr>
                <w:bCs/>
                <w:sz w:val="20"/>
              </w:rPr>
              <w:t>Ú</w:t>
            </w:r>
            <w:r w:rsidRPr="00853890">
              <w:rPr>
                <w:bCs/>
                <w:sz w:val="20"/>
              </w:rPr>
              <w:t>.</w:t>
            </w:r>
          </w:p>
          <w:p w14:paraId="4F98A6D6" w14:textId="77777777" w:rsidR="00E47756" w:rsidRPr="00E47756" w:rsidRDefault="00E47756" w:rsidP="00E47756">
            <w:pPr>
              <w:spacing w:after="0" w:line="240" w:lineRule="auto"/>
              <w:ind w:left="57" w:right="57"/>
              <w:rPr>
                <w:bCs/>
                <w:sz w:val="20"/>
              </w:rPr>
            </w:pPr>
          </w:p>
        </w:tc>
      </w:tr>
      <w:tr w:rsidR="00E47756" w:rsidRPr="00E47756" w14:paraId="79BE103C" w14:textId="77777777" w:rsidTr="001A4016">
        <w:trPr>
          <w:trHeight w:val="403"/>
        </w:trPr>
        <w:tc>
          <w:tcPr>
            <w:tcW w:w="6871" w:type="dxa"/>
            <w:gridSpan w:val="4"/>
            <w:tcBorders>
              <w:top w:val="single" w:sz="4" w:space="0" w:color="auto"/>
              <w:left w:val="single" w:sz="4" w:space="0" w:color="000000"/>
              <w:bottom w:val="single" w:sz="4" w:space="0" w:color="000000"/>
              <w:right w:val="single" w:sz="4" w:space="0" w:color="000000"/>
            </w:tcBorders>
            <w:shd w:val="clear" w:color="auto" w:fill="00ADDC"/>
          </w:tcPr>
          <w:p w14:paraId="32CFC302" w14:textId="77777777" w:rsidR="00E47756" w:rsidRPr="00E47756" w:rsidRDefault="00E47756" w:rsidP="00E47756">
            <w:pPr>
              <w:spacing w:after="0"/>
              <w:ind w:left="26"/>
            </w:pPr>
            <w:r w:rsidRPr="00E47756">
              <w:rPr>
                <w:b/>
                <w:color w:val="FFFFFF"/>
                <w:sz w:val="20"/>
              </w:rPr>
              <w:t>Nový impulz pre európsku demokraciu</w:t>
            </w:r>
            <w:r w:rsidRPr="00E47756">
              <w:rPr>
                <w:b/>
                <w:sz w:val="20"/>
              </w:rPr>
              <w:t xml:space="preserve"> </w:t>
            </w:r>
          </w:p>
        </w:tc>
        <w:tc>
          <w:tcPr>
            <w:tcW w:w="1975" w:type="dxa"/>
            <w:tcBorders>
              <w:top w:val="single" w:sz="4" w:space="0" w:color="auto"/>
              <w:left w:val="single" w:sz="4" w:space="0" w:color="000000"/>
              <w:bottom w:val="single" w:sz="4" w:space="0" w:color="000000"/>
              <w:right w:val="single" w:sz="4" w:space="0" w:color="000000"/>
            </w:tcBorders>
            <w:shd w:val="clear" w:color="auto" w:fill="00ADDC"/>
          </w:tcPr>
          <w:p w14:paraId="6778DFBE" w14:textId="77777777" w:rsidR="00E47756" w:rsidRPr="00E47756" w:rsidRDefault="00E47756" w:rsidP="00E47756">
            <w:pPr>
              <w:spacing w:after="0"/>
              <w:ind w:left="26"/>
              <w:rPr>
                <w:b/>
                <w:color w:val="FFFFFF"/>
                <w:sz w:val="20"/>
              </w:rPr>
            </w:pPr>
          </w:p>
        </w:tc>
        <w:tc>
          <w:tcPr>
            <w:tcW w:w="5776" w:type="dxa"/>
            <w:tcBorders>
              <w:top w:val="single" w:sz="4" w:space="0" w:color="auto"/>
              <w:left w:val="single" w:sz="4" w:space="0" w:color="000000"/>
              <w:bottom w:val="single" w:sz="4" w:space="0" w:color="000000"/>
              <w:right w:val="single" w:sz="4" w:space="0" w:color="000000"/>
            </w:tcBorders>
            <w:shd w:val="clear" w:color="auto" w:fill="00ADDC"/>
          </w:tcPr>
          <w:p w14:paraId="232C68D2" w14:textId="77777777" w:rsidR="00E47756" w:rsidRPr="00E47756" w:rsidRDefault="00E47756" w:rsidP="00E47756">
            <w:pPr>
              <w:spacing w:after="0"/>
              <w:ind w:left="26"/>
              <w:rPr>
                <w:b/>
                <w:color w:val="FFFFFF"/>
                <w:sz w:val="20"/>
              </w:rPr>
            </w:pPr>
          </w:p>
        </w:tc>
      </w:tr>
      <w:tr w:rsidR="00E47756" w:rsidRPr="00E47756" w14:paraId="2CDEF20D" w14:textId="77777777" w:rsidTr="001A4016">
        <w:trPr>
          <w:trHeight w:val="310"/>
        </w:trPr>
        <w:tc>
          <w:tcPr>
            <w:tcW w:w="457" w:type="dxa"/>
            <w:tcBorders>
              <w:top w:val="single" w:sz="4" w:space="0" w:color="000000"/>
              <w:left w:val="single" w:sz="4" w:space="0" w:color="000000"/>
              <w:bottom w:val="single" w:sz="4" w:space="0" w:color="000000"/>
              <w:right w:val="single" w:sz="4" w:space="0" w:color="000000"/>
            </w:tcBorders>
          </w:tcPr>
          <w:p w14:paraId="0B81C6BC" w14:textId="77777777" w:rsidR="00E47756" w:rsidRPr="00E47756" w:rsidRDefault="00E47756" w:rsidP="00E47756">
            <w:pPr>
              <w:spacing w:after="0" w:line="240" w:lineRule="auto"/>
              <w:ind w:left="57" w:right="57"/>
            </w:pPr>
            <w:r w:rsidRPr="00E47756">
              <w:rPr>
                <w:sz w:val="20"/>
              </w:rPr>
              <w:t>38.</w:t>
            </w:r>
            <w:r w:rsidRPr="00E47756">
              <w:rPr>
                <w:rFonts w:ascii="Arial" w:hAnsi="Arial" w:cs="Arial"/>
                <w:sz w:val="20"/>
              </w:rPr>
              <w:t xml:space="preserve"> </w:t>
            </w:r>
            <w:r w:rsidRPr="00E47756">
              <w:rPr>
                <w:sz w:val="2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CB1D45F" w14:textId="77777777" w:rsidR="00E47756" w:rsidRPr="00E47756" w:rsidRDefault="00E47756" w:rsidP="00E47756">
            <w:pPr>
              <w:spacing w:after="0" w:line="240" w:lineRule="auto"/>
              <w:ind w:left="57" w:right="57"/>
            </w:pPr>
            <w:r w:rsidRPr="00E47756">
              <w:rPr>
                <w:b/>
                <w:sz w:val="20"/>
              </w:rPr>
              <w:t xml:space="preserve">Práva detí </w:t>
            </w:r>
          </w:p>
        </w:tc>
        <w:tc>
          <w:tcPr>
            <w:tcW w:w="3557" w:type="dxa"/>
            <w:gridSpan w:val="2"/>
            <w:tcBorders>
              <w:top w:val="single" w:sz="4" w:space="0" w:color="000000"/>
              <w:left w:val="single" w:sz="4" w:space="0" w:color="000000"/>
              <w:bottom w:val="single" w:sz="4" w:space="0" w:color="000000"/>
              <w:right w:val="single" w:sz="4" w:space="0" w:color="000000"/>
            </w:tcBorders>
          </w:tcPr>
          <w:p w14:paraId="1D2CEB39" w14:textId="77777777" w:rsidR="00E47756" w:rsidRPr="00E47756" w:rsidRDefault="00E47756" w:rsidP="00E47756">
            <w:pPr>
              <w:spacing w:after="0" w:line="240" w:lineRule="auto"/>
              <w:ind w:left="57" w:right="57"/>
            </w:pPr>
            <w:r w:rsidRPr="00E47756">
              <w:rPr>
                <w:b/>
                <w:sz w:val="20"/>
              </w:rPr>
              <w:t xml:space="preserve">stratégia EÚ v oblasti práv dieťaťa </w:t>
            </w:r>
            <w:r w:rsidRPr="00E47756">
              <w:rPr>
                <w:sz w:val="20"/>
              </w:rPr>
              <w:t xml:space="preserve">(nelegislatívna iniciatíva, 1. štvrťrok 2021)  </w:t>
            </w:r>
          </w:p>
        </w:tc>
        <w:tc>
          <w:tcPr>
            <w:tcW w:w="1975" w:type="dxa"/>
            <w:tcBorders>
              <w:top w:val="single" w:sz="4" w:space="0" w:color="000000"/>
              <w:left w:val="single" w:sz="4" w:space="0" w:color="000000"/>
              <w:bottom w:val="single" w:sz="4" w:space="0" w:color="000000"/>
              <w:right w:val="single" w:sz="4" w:space="0" w:color="000000"/>
            </w:tcBorders>
          </w:tcPr>
          <w:p w14:paraId="5F48B1B6" w14:textId="77777777" w:rsidR="00E47756" w:rsidRPr="00E47756" w:rsidRDefault="00E47756" w:rsidP="00E47756">
            <w:pPr>
              <w:spacing w:after="0" w:line="240" w:lineRule="auto"/>
              <w:ind w:left="57" w:right="57"/>
              <w:jc w:val="center"/>
              <w:rPr>
                <w:b/>
                <w:sz w:val="20"/>
              </w:rPr>
            </w:pPr>
            <w:r w:rsidRPr="00E47756">
              <w:rPr>
                <w:b/>
                <w:sz w:val="20"/>
              </w:rPr>
              <w:t>MPSVaR SR</w:t>
            </w:r>
          </w:p>
          <w:p w14:paraId="02D68251" w14:textId="77777777" w:rsidR="00E47756" w:rsidRPr="00E47756" w:rsidRDefault="00E47756" w:rsidP="00E47756">
            <w:pPr>
              <w:spacing w:after="0" w:line="240" w:lineRule="auto"/>
              <w:ind w:left="57" w:right="57"/>
              <w:jc w:val="center"/>
              <w:rPr>
                <w:b/>
                <w:sz w:val="20"/>
              </w:rPr>
            </w:pPr>
            <w:r w:rsidRPr="00E47756">
              <w:rPr>
                <w:b/>
                <w:sz w:val="20"/>
              </w:rPr>
              <w:t xml:space="preserve"> MS SR</w:t>
            </w:r>
          </w:p>
          <w:p w14:paraId="7A51FFD1" w14:textId="77777777" w:rsidR="00E47756" w:rsidRPr="00E47756" w:rsidRDefault="00E47756" w:rsidP="00E47756">
            <w:pPr>
              <w:spacing w:after="0" w:line="240" w:lineRule="auto"/>
              <w:ind w:left="57" w:right="57"/>
              <w:jc w:val="center"/>
              <w:rPr>
                <w:b/>
                <w:sz w:val="20"/>
              </w:rPr>
            </w:pPr>
            <w:r w:rsidRPr="00E47756">
              <w:rPr>
                <w:b/>
                <w:sz w:val="20"/>
              </w:rPr>
              <w:t>ŠÚ SR</w:t>
            </w:r>
            <w:r w:rsidRPr="00E47756">
              <w:rPr>
                <w:sz w:val="20"/>
              </w:rPr>
              <w:t xml:space="preserve"> </w:t>
            </w:r>
          </w:p>
        </w:tc>
        <w:tc>
          <w:tcPr>
            <w:tcW w:w="5776" w:type="dxa"/>
            <w:tcBorders>
              <w:top w:val="single" w:sz="4" w:space="0" w:color="000000"/>
              <w:left w:val="single" w:sz="4" w:space="0" w:color="000000"/>
              <w:bottom w:val="single" w:sz="4" w:space="0" w:color="000000"/>
              <w:right w:val="single" w:sz="4" w:space="0" w:color="000000"/>
            </w:tcBorders>
          </w:tcPr>
          <w:p w14:paraId="36CFDD14" w14:textId="77777777" w:rsidR="00E47756" w:rsidRPr="00E47756" w:rsidRDefault="00E47756" w:rsidP="00E47756">
            <w:pPr>
              <w:spacing w:after="0" w:line="240" w:lineRule="auto"/>
              <w:ind w:left="57" w:right="57"/>
              <w:rPr>
                <w:bCs/>
                <w:sz w:val="20"/>
                <w:szCs w:val="20"/>
              </w:rPr>
            </w:pPr>
            <w:r w:rsidRPr="00E47756">
              <w:rPr>
                <w:b/>
                <w:bCs/>
                <w:sz w:val="20"/>
                <w:szCs w:val="20"/>
                <w:u w:val="single"/>
              </w:rPr>
              <w:t>Stredná priorita</w:t>
            </w:r>
            <w:r w:rsidRPr="00E47756">
              <w:rPr>
                <w:sz w:val="20"/>
              </w:rPr>
              <w:t xml:space="preserve"> – </w:t>
            </w:r>
            <w:r w:rsidRPr="00E47756">
              <w:rPr>
                <w:bCs/>
                <w:sz w:val="20"/>
                <w:szCs w:val="20"/>
              </w:rPr>
              <w:t xml:space="preserve">Malo by ísť o nekontroverznú iniciatívu, pozitívne vnímanú aj z pohľadu SR. Pôjde o hlavný strategický dokument EÚ v oblasti práv detí. Počas DE PRES sa prijali závery Rady k boju s detskou chudobou. </w:t>
            </w:r>
          </w:p>
          <w:p w14:paraId="5F612540" w14:textId="77777777" w:rsidR="00E47756" w:rsidRPr="00E47756" w:rsidRDefault="00E47756" w:rsidP="00E47756">
            <w:pPr>
              <w:spacing w:after="0" w:line="240" w:lineRule="auto"/>
              <w:ind w:left="57" w:right="57"/>
              <w:rPr>
                <w:b/>
                <w:sz w:val="20"/>
                <w:szCs w:val="20"/>
              </w:rPr>
            </w:pPr>
          </w:p>
        </w:tc>
      </w:tr>
      <w:tr w:rsidR="00E47756" w:rsidRPr="00E47756" w14:paraId="30E986F8" w14:textId="77777777" w:rsidTr="001A4016">
        <w:trPr>
          <w:trHeight w:val="526"/>
        </w:trPr>
        <w:tc>
          <w:tcPr>
            <w:tcW w:w="457" w:type="dxa"/>
            <w:tcBorders>
              <w:top w:val="single" w:sz="4" w:space="0" w:color="000000"/>
              <w:left w:val="single" w:sz="4" w:space="0" w:color="000000"/>
              <w:bottom w:val="single" w:sz="4" w:space="0" w:color="000000"/>
              <w:right w:val="single" w:sz="4" w:space="0" w:color="000000"/>
            </w:tcBorders>
          </w:tcPr>
          <w:p w14:paraId="7FF8A27A" w14:textId="77777777" w:rsidR="00E47756" w:rsidRPr="00E47756" w:rsidRDefault="00E47756" w:rsidP="00E47756">
            <w:pPr>
              <w:spacing w:after="0" w:line="240" w:lineRule="auto"/>
              <w:ind w:left="57" w:right="57"/>
            </w:pPr>
            <w:r w:rsidRPr="00E47756">
              <w:rPr>
                <w:sz w:val="20"/>
              </w:rPr>
              <w:t>39.</w:t>
            </w:r>
            <w:r w:rsidRPr="00E47756">
              <w:rPr>
                <w:rFonts w:ascii="Arial" w:hAnsi="Arial" w:cs="Arial"/>
                <w:sz w:val="20"/>
              </w:rPr>
              <w:t xml:space="preserve"> </w:t>
            </w:r>
            <w:r w:rsidRPr="00E47756">
              <w:rPr>
                <w:sz w:val="2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07E26A6" w14:textId="77777777" w:rsidR="00E47756" w:rsidRPr="00E47756" w:rsidRDefault="00E47756" w:rsidP="00E47756">
            <w:pPr>
              <w:spacing w:after="0" w:line="240" w:lineRule="auto"/>
              <w:ind w:left="57" w:right="57"/>
            </w:pPr>
            <w:r w:rsidRPr="00E47756">
              <w:rPr>
                <w:b/>
                <w:sz w:val="20"/>
              </w:rPr>
              <w:t xml:space="preserve">Predchádzanie a boj proti osobitným formám rodovo motivovaného násilia </w:t>
            </w:r>
          </w:p>
        </w:tc>
        <w:tc>
          <w:tcPr>
            <w:tcW w:w="3557" w:type="dxa"/>
            <w:gridSpan w:val="2"/>
            <w:tcBorders>
              <w:top w:val="single" w:sz="4" w:space="0" w:color="000000"/>
              <w:left w:val="single" w:sz="4" w:space="0" w:color="000000"/>
              <w:bottom w:val="single" w:sz="4" w:space="0" w:color="000000"/>
              <w:right w:val="single" w:sz="4" w:space="0" w:color="000000"/>
            </w:tcBorders>
          </w:tcPr>
          <w:p w14:paraId="029D5964" w14:textId="77777777" w:rsidR="00E47756" w:rsidRPr="00E47756" w:rsidRDefault="00E47756" w:rsidP="00E47756">
            <w:pPr>
              <w:spacing w:after="0" w:line="240" w:lineRule="auto"/>
              <w:ind w:left="57" w:right="57"/>
            </w:pPr>
            <w:r w:rsidRPr="00E47756">
              <w:rPr>
                <w:b/>
                <w:sz w:val="20"/>
              </w:rPr>
              <w:t>návrh týkajúci sa predchádzania a boja proti osobitným formám rodovo motivovaného násilia</w:t>
            </w:r>
            <w:r w:rsidRPr="00E47756">
              <w:rPr>
                <w:sz w:val="20"/>
              </w:rPr>
              <w:t xml:space="preserve"> (legislatívna iniciatíva vrátane posúdenia vplyvu, článok 82 ods. 2, články 83 a 84 ZFEÚ, 4. štvrťrok 2021)</w:t>
            </w:r>
            <w:r w:rsidRPr="00E47756">
              <w:rPr>
                <w:b/>
                <w:sz w:val="20"/>
              </w:rPr>
              <w:t xml:space="preserve"> </w:t>
            </w:r>
          </w:p>
        </w:tc>
        <w:tc>
          <w:tcPr>
            <w:tcW w:w="1975" w:type="dxa"/>
            <w:tcBorders>
              <w:top w:val="single" w:sz="4" w:space="0" w:color="000000"/>
              <w:left w:val="single" w:sz="4" w:space="0" w:color="000000"/>
              <w:bottom w:val="single" w:sz="4" w:space="0" w:color="000000"/>
              <w:right w:val="single" w:sz="4" w:space="0" w:color="000000"/>
            </w:tcBorders>
          </w:tcPr>
          <w:p w14:paraId="697B15D0" w14:textId="77777777" w:rsidR="00E47756" w:rsidRPr="00E47756" w:rsidRDefault="00E47756" w:rsidP="00E47756">
            <w:pPr>
              <w:spacing w:after="0" w:line="240" w:lineRule="auto"/>
              <w:ind w:left="57" w:right="57"/>
              <w:rPr>
                <w:b/>
                <w:color w:val="auto"/>
                <w:sz w:val="20"/>
              </w:rPr>
            </w:pPr>
            <w:r w:rsidRPr="00E47756">
              <w:rPr>
                <w:b/>
                <w:color w:val="auto"/>
                <w:sz w:val="20"/>
              </w:rPr>
              <w:t xml:space="preserve">              MS SR</w:t>
            </w:r>
          </w:p>
          <w:p w14:paraId="3200B2A7" w14:textId="77777777" w:rsidR="00E47756" w:rsidRPr="00E47756" w:rsidRDefault="00E47756" w:rsidP="00E47756">
            <w:pPr>
              <w:spacing w:after="0" w:line="240" w:lineRule="auto"/>
              <w:ind w:left="57" w:right="57"/>
              <w:jc w:val="center"/>
              <w:rPr>
                <w:b/>
                <w:sz w:val="20"/>
              </w:rPr>
            </w:pPr>
            <w:r w:rsidRPr="00E47756">
              <w:rPr>
                <w:b/>
                <w:sz w:val="20"/>
              </w:rPr>
              <w:t>MPSVaR SR</w:t>
            </w:r>
          </w:p>
          <w:p w14:paraId="5FD272FA" w14:textId="77777777" w:rsidR="00E47756" w:rsidRPr="00E47756" w:rsidRDefault="00E47756" w:rsidP="00E47756">
            <w:pPr>
              <w:spacing w:after="0" w:line="240" w:lineRule="auto"/>
              <w:ind w:left="57" w:right="57"/>
              <w:jc w:val="center"/>
              <w:rPr>
                <w:b/>
                <w:sz w:val="20"/>
              </w:rPr>
            </w:pPr>
          </w:p>
          <w:p w14:paraId="2791D782" w14:textId="77777777" w:rsidR="00E47756" w:rsidRPr="00E47756" w:rsidRDefault="00E47756" w:rsidP="00E47756">
            <w:pPr>
              <w:spacing w:after="0" w:line="240" w:lineRule="auto"/>
              <w:ind w:left="57" w:right="57"/>
              <w:rPr>
                <w:b/>
                <w:color w:val="auto"/>
                <w:sz w:val="20"/>
              </w:rPr>
            </w:pPr>
          </w:p>
          <w:p w14:paraId="21056547" w14:textId="77777777" w:rsidR="00E47756" w:rsidRPr="00E47756" w:rsidRDefault="00E47756" w:rsidP="00E47756">
            <w:pPr>
              <w:spacing w:after="0" w:line="240" w:lineRule="auto"/>
              <w:ind w:left="57" w:right="57"/>
              <w:jc w:val="center"/>
              <w:rPr>
                <w:b/>
                <w:sz w:val="20"/>
              </w:rPr>
            </w:pPr>
          </w:p>
        </w:tc>
        <w:tc>
          <w:tcPr>
            <w:tcW w:w="5776" w:type="dxa"/>
            <w:tcBorders>
              <w:top w:val="single" w:sz="4" w:space="0" w:color="000000"/>
              <w:left w:val="single" w:sz="4" w:space="0" w:color="000000"/>
              <w:bottom w:val="single" w:sz="4" w:space="0" w:color="000000"/>
              <w:right w:val="single" w:sz="4" w:space="0" w:color="000000"/>
            </w:tcBorders>
          </w:tcPr>
          <w:p w14:paraId="670B2078" w14:textId="2023F792" w:rsidR="00E47756" w:rsidRPr="00E47756" w:rsidRDefault="00E47756" w:rsidP="00E47756">
            <w:pPr>
              <w:spacing w:after="0" w:line="240" w:lineRule="auto"/>
              <w:ind w:left="57" w:right="57"/>
              <w:rPr>
                <w:b/>
                <w:bCs/>
                <w:sz w:val="20"/>
                <w:szCs w:val="20"/>
                <w:u w:val="single"/>
              </w:rPr>
            </w:pPr>
            <w:r w:rsidRPr="00E47756">
              <w:rPr>
                <w:b/>
                <w:bCs/>
                <w:sz w:val="20"/>
                <w:szCs w:val="20"/>
                <w:u w:val="single"/>
              </w:rPr>
              <w:t>Stredná priorita</w:t>
            </w:r>
            <w:r w:rsidRPr="00E47756">
              <w:rPr>
                <w:sz w:val="20"/>
              </w:rPr>
              <w:t xml:space="preserve"> – </w:t>
            </w:r>
            <w:r w:rsidRPr="00E47756">
              <w:rPr>
                <w:bCs/>
                <w:sz w:val="20"/>
                <w:szCs w:val="20"/>
              </w:rPr>
              <w:t>vychádza z Istanbulského dohovoru, predpokladáme že môže ísť o trestné činy - manželstvo z donútenia; mrzačenie ženských pohlavných orgánov; sexuálne násilie vrátane znásilnenia; nútené umelé prerušenie tehotenstva a násilná sterilizá</w:t>
            </w:r>
            <w:r w:rsidR="00853890">
              <w:rPr>
                <w:bCs/>
                <w:sz w:val="20"/>
                <w:szCs w:val="20"/>
              </w:rPr>
              <w:t>cia; nebezpečné prenasledovanie.</w:t>
            </w:r>
          </w:p>
        </w:tc>
      </w:tr>
      <w:tr w:rsidR="00E47756" w:rsidRPr="00E47756" w14:paraId="19AC543B" w14:textId="77777777" w:rsidTr="001A4016">
        <w:trPr>
          <w:trHeight w:val="526"/>
        </w:trPr>
        <w:tc>
          <w:tcPr>
            <w:tcW w:w="457" w:type="dxa"/>
            <w:tcBorders>
              <w:top w:val="single" w:sz="4" w:space="0" w:color="000000"/>
              <w:left w:val="single" w:sz="4" w:space="0" w:color="000000"/>
              <w:bottom w:val="single" w:sz="4" w:space="0" w:color="000000"/>
              <w:right w:val="single" w:sz="4" w:space="0" w:color="000000"/>
            </w:tcBorders>
          </w:tcPr>
          <w:p w14:paraId="09EB96BD" w14:textId="77777777" w:rsidR="00E47756" w:rsidRPr="00E47756" w:rsidRDefault="00E47756" w:rsidP="00E47756">
            <w:pPr>
              <w:spacing w:after="0" w:line="240" w:lineRule="auto"/>
              <w:ind w:left="57" w:right="57"/>
            </w:pPr>
            <w:r w:rsidRPr="00E47756">
              <w:rPr>
                <w:sz w:val="20"/>
              </w:rPr>
              <w:lastRenderedPageBreak/>
              <w:t>40.</w:t>
            </w:r>
            <w:r w:rsidRPr="00E47756">
              <w:rPr>
                <w:rFonts w:ascii="Arial" w:hAnsi="Arial" w:cs="Arial"/>
                <w:sz w:val="20"/>
              </w:rPr>
              <w:t xml:space="preserve"> </w:t>
            </w:r>
            <w:r w:rsidRPr="00E47756">
              <w:rPr>
                <w:sz w:val="2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E027E71" w14:textId="77777777" w:rsidR="00E47756" w:rsidRPr="00E47756" w:rsidRDefault="00E47756" w:rsidP="00E47756">
            <w:pPr>
              <w:spacing w:after="0" w:line="240" w:lineRule="auto"/>
              <w:ind w:left="57" w:right="57"/>
            </w:pPr>
            <w:r w:rsidRPr="00E47756">
              <w:rPr>
                <w:b/>
                <w:sz w:val="20"/>
              </w:rPr>
              <w:t>Boj proti trestným činom z nenávisti a nenávistným prejavom</w:t>
            </w:r>
            <w:r w:rsidRPr="00E47756">
              <w:rPr>
                <w:sz w:val="20"/>
              </w:rPr>
              <w:t xml:space="preserve"> </w:t>
            </w:r>
          </w:p>
        </w:tc>
        <w:tc>
          <w:tcPr>
            <w:tcW w:w="3557" w:type="dxa"/>
            <w:gridSpan w:val="2"/>
            <w:tcBorders>
              <w:top w:val="single" w:sz="4" w:space="0" w:color="000000"/>
              <w:left w:val="single" w:sz="4" w:space="0" w:color="000000"/>
              <w:bottom w:val="single" w:sz="4" w:space="0" w:color="000000"/>
              <w:right w:val="single" w:sz="4" w:space="0" w:color="000000"/>
            </w:tcBorders>
          </w:tcPr>
          <w:p w14:paraId="30B98E37" w14:textId="77777777" w:rsidR="00E47756" w:rsidRPr="00E47756" w:rsidRDefault="00E47756" w:rsidP="00E47756">
            <w:pPr>
              <w:spacing w:after="0" w:line="240" w:lineRule="auto"/>
              <w:ind w:left="57" w:right="57"/>
            </w:pPr>
            <w:r w:rsidRPr="00E47756">
              <w:rPr>
                <w:b/>
                <w:sz w:val="20"/>
              </w:rPr>
              <w:t>iniciatíva zameraná na rozšírenie zoznamu trestných činov EÚ na všetky formy trestných činov z nenávisti a nenávistných prejavov</w:t>
            </w:r>
            <w:r w:rsidRPr="00E47756">
              <w:rPr>
                <w:sz w:val="20"/>
              </w:rPr>
              <w:t xml:space="preserve"> (legislatívna iniciatíva vrátane posúdenia vplyvu, článok 83 ZFEÚ, 4. štvrťrok 2021) </w:t>
            </w:r>
          </w:p>
        </w:tc>
        <w:tc>
          <w:tcPr>
            <w:tcW w:w="1975" w:type="dxa"/>
            <w:tcBorders>
              <w:top w:val="single" w:sz="4" w:space="0" w:color="000000"/>
              <w:left w:val="single" w:sz="4" w:space="0" w:color="000000"/>
              <w:bottom w:val="single" w:sz="4" w:space="0" w:color="000000"/>
              <w:right w:val="single" w:sz="4" w:space="0" w:color="000000"/>
            </w:tcBorders>
          </w:tcPr>
          <w:p w14:paraId="6BB89D57" w14:textId="77777777" w:rsidR="00E47756" w:rsidRDefault="00E47756" w:rsidP="00E47756">
            <w:pPr>
              <w:spacing w:after="0" w:line="240" w:lineRule="auto"/>
              <w:ind w:left="57" w:right="57"/>
              <w:jc w:val="center"/>
              <w:rPr>
                <w:b/>
                <w:sz w:val="20"/>
              </w:rPr>
            </w:pPr>
            <w:r w:rsidRPr="00E47756">
              <w:rPr>
                <w:b/>
                <w:sz w:val="20"/>
              </w:rPr>
              <w:t>MS SR</w:t>
            </w:r>
          </w:p>
          <w:p w14:paraId="354B5465" w14:textId="77777777" w:rsidR="00A705AC" w:rsidRDefault="00A705AC" w:rsidP="00E47756">
            <w:pPr>
              <w:spacing w:after="0" w:line="240" w:lineRule="auto"/>
              <w:ind w:left="57" w:right="57"/>
              <w:jc w:val="center"/>
              <w:rPr>
                <w:b/>
                <w:sz w:val="20"/>
              </w:rPr>
            </w:pPr>
            <w:r>
              <w:rPr>
                <w:b/>
                <w:sz w:val="20"/>
              </w:rPr>
              <w:t>MV SR</w:t>
            </w:r>
          </w:p>
          <w:p w14:paraId="5991B3AA" w14:textId="141FBDF5" w:rsidR="00A705AC" w:rsidRPr="00E47756" w:rsidRDefault="00A705AC" w:rsidP="00E47756">
            <w:pPr>
              <w:spacing w:after="0" w:line="240" w:lineRule="auto"/>
              <w:ind w:left="57" w:right="57"/>
              <w:jc w:val="center"/>
              <w:rPr>
                <w:b/>
                <w:sz w:val="20"/>
              </w:rPr>
            </w:pPr>
            <w:r>
              <w:rPr>
                <w:b/>
                <w:sz w:val="20"/>
              </w:rPr>
              <w:t>GP SR</w:t>
            </w:r>
          </w:p>
        </w:tc>
        <w:tc>
          <w:tcPr>
            <w:tcW w:w="5776" w:type="dxa"/>
            <w:tcBorders>
              <w:top w:val="single" w:sz="4" w:space="0" w:color="000000"/>
              <w:left w:val="single" w:sz="4" w:space="0" w:color="000000"/>
              <w:bottom w:val="single" w:sz="4" w:space="0" w:color="000000"/>
              <w:right w:val="single" w:sz="4" w:space="0" w:color="000000"/>
            </w:tcBorders>
          </w:tcPr>
          <w:p w14:paraId="45A658E0" w14:textId="47CFA824" w:rsidR="00E47756" w:rsidRPr="00E47756" w:rsidRDefault="00E47756" w:rsidP="00E47756">
            <w:pPr>
              <w:spacing w:after="0" w:line="240" w:lineRule="auto"/>
              <w:ind w:left="57" w:right="57"/>
              <w:rPr>
                <w:sz w:val="20"/>
                <w:szCs w:val="20"/>
              </w:rPr>
            </w:pPr>
            <w:r w:rsidRPr="00E47756">
              <w:rPr>
                <w:b/>
                <w:sz w:val="20"/>
                <w:szCs w:val="20"/>
                <w:u w:val="single"/>
              </w:rPr>
              <w:t>Stredná priorita</w:t>
            </w:r>
            <w:r w:rsidR="00853890">
              <w:rPr>
                <w:sz w:val="20"/>
              </w:rPr>
              <w:t xml:space="preserve"> – </w:t>
            </w:r>
            <w:r w:rsidRPr="00E47756">
              <w:rPr>
                <w:sz w:val="20"/>
                <w:szCs w:val="20"/>
              </w:rPr>
              <w:t>Predpokladaný harmonizačný efekt právneho nástroja by sa mal prejaviť v zvýšení účinnosti jednotného chápania a postihovania nenávistných prejavov, vrátane tých realizovaných online.</w:t>
            </w:r>
            <w:r w:rsidR="00853890">
              <w:rPr>
                <w:sz w:val="20"/>
                <w:szCs w:val="20"/>
              </w:rPr>
              <w:t xml:space="preserve"> </w:t>
            </w:r>
            <w:r w:rsidRPr="00E47756">
              <w:rPr>
                <w:bCs/>
                <w:sz w:val="20"/>
                <w:szCs w:val="20"/>
              </w:rPr>
              <w:t>Iniciatívu vítame aj vzhľadom na potrebu spoločnej politiky osobitne vo vzťahu k nenávistnému obsahu online, pri ktorom sú malé štáty v náročnejšej pozícii vynucovať opatrenia od veľkých spoločností</w:t>
            </w:r>
            <w:r w:rsidR="00853890">
              <w:rPr>
                <w:bCs/>
                <w:sz w:val="20"/>
                <w:szCs w:val="20"/>
              </w:rPr>
              <w:t>.</w:t>
            </w:r>
          </w:p>
        </w:tc>
      </w:tr>
      <w:tr w:rsidR="00E47756" w:rsidRPr="00E47756" w14:paraId="5FE5EA25" w14:textId="77777777" w:rsidTr="001A4016">
        <w:trPr>
          <w:trHeight w:val="519"/>
        </w:trPr>
        <w:tc>
          <w:tcPr>
            <w:tcW w:w="457" w:type="dxa"/>
            <w:tcBorders>
              <w:top w:val="single" w:sz="4" w:space="0" w:color="000000"/>
              <w:left w:val="single" w:sz="4" w:space="0" w:color="000000"/>
              <w:bottom w:val="single" w:sz="4" w:space="0" w:color="auto"/>
              <w:right w:val="single" w:sz="4" w:space="0" w:color="000000"/>
            </w:tcBorders>
          </w:tcPr>
          <w:p w14:paraId="03282086" w14:textId="77777777" w:rsidR="00E47756" w:rsidRPr="00E47756" w:rsidRDefault="00E47756" w:rsidP="00E47756">
            <w:pPr>
              <w:spacing w:after="0" w:line="240" w:lineRule="auto"/>
              <w:ind w:left="57" w:right="57"/>
            </w:pPr>
            <w:r w:rsidRPr="00E47756">
              <w:rPr>
                <w:sz w:val="20"/>
              </w:rPr>
              <w:t>41.</w:t>
            </w:r>
            <w:r w:rsidRPr="00E47756">
              <w:rPr>
                <w:rFonts w:ascii="Arial" w:hAnsi="Arial" w:cs="Arial"/>
                <w:sz w:val="20"/>
              </w:rPr>
              <w:t xml:space="preserve"> </w:t>
            </w:r>
            <w:r w:rsidRPr="00E47756">
              <w:rPr>
                <w:sz w:val="20"/>
              </w:rPr>
              <w:t xml:space="preserve"> </w:t>
            </w:r>
          </w:p>
        </w:tc>
        <w:tc>
          <w:tcPr>
            <w:tcW w:w="2857" w:type="dxa"/>
            <w:tcBorders>
              <w:top w:val="single" w:sz="4" w:space="0" w:color="000000"/>
              <w:left w:val="single" w:sz="4" w:space="0" w:color="000000"/>
              <w:bottom w:val="single" w:sz="4" w:space="0" w:color="auto"/>
              <w:right w:val="single" w:sz="4" w:space="0" w:color="000000"/>
            </w:tcBorders>
          </w:tcPr>
          <w:p w14:paraId="357453ED" w14:textId="77777777" w:rsidR="00E47756" w:rsidRPr="00E47756" w:rsidRDefault="00E47756" w:rsidP="00E47756">
            <w:pPr>
              <w:spacing w:after="0" w:line="240" w:lineRule="auto"/>
              <w:ind w:left="57" w:right="57"/>
            </w:pPr>
            <w:r w:rsidRPr="00E47756">
              <w:rPr>
                <w:b/>
                <w:sz w:val="20"/>
              </w:rPr>
              <w:t xml:space="preserve">Balík opatrení v oblasti digitálnej justičnej spolupráce </w:t>
            </w:r>
          </w:p>
        </w:tc>
        <w:tc>
          <w:tcPr>
            <w:tcW w:w="286" w:type="dxa"/>
            <w:tcBorders>
              <w:top w:val="single" w:sz="4" w:space="0" w:color="000000"/>
              <w:left w:val="single" w:sz="4" w:space="0" w:color="000000"/>
              <w:bottom w:val="single" w:sz="4" w:space="0" w:color="auto"/>
              <w:right w:val="nil"/>
            </w:tcBorders>
          </w:tcPr>
          <w:p w14:paraId="4AC47B20" w14:textId="77777777" w:rsidR="00E47756" w:rsidRPr="00E47756" w:rsidRDefault="00E47756" w:rsidP="00E47756">
            <w:pPr>
              <w:spacing w:after="0" w:line="240" w:lineRule="auto"/>
              <w:ind w:left="57" w:right="57"/>
            </w:pPr>
            <w:r w:rsidRPr="00E47756">
              <w:rPr>
                <w:sz w:val="20"/>
              </w:rPr>
              <w:t>a)</w:t>
            </w:r>
            <w:r w:rsidRPr="00E47756">
              <w:rPr>
                <w:rFonts w:ascii="Arial" w:hAnsi="Arial" w:cs="Arial"/>
                <w:sz w:val="20"/>
              </w:rPr>
              <w:t xml:space="preserve"> </w:t>
            </w:r>
          </w:p>
        </w:tc>
        <w:tc>
          <w:tcPr>
            <w:tcW w:w="3271" w:type="dxa"/>
            <w:tcBorders>
              <w:top w:val="single" w:sz="4" w:space="0" w:color="000000"/>
              <w:left w:val="nil"/>
              <w:bottom w:val="single" w:sz="4" w:space="0" w:color="auto"/>
              <w:right w:val="single" w:sz="4" w:space="0" w:color="000000"/>
            </w:tcBorders>
          </w:tcPr>
          <w:p w14:paraId="6EB444CD" w14:textId="77777777" w:rsidR="00E47756" w:rsidRPr="00E47756" w:rsidRDefault="00E47756" w:rsidP="00E47756">
            <w:pPr>
              <w:spacing w:after="0" w:line="240" w:lineRule="auto"/>
              <w:ind w:left="57" w:right="57"/>
              <w:rPr>
                <w:sz w:val="20"/>
              </w:rPr>
            </w:pPr>
            <w:r w:rsidRPr="00E47756">
              <w:rPr>
                <w:b/>
                <w:sz w:val="20"/>
              </w:rPr>
              <w:t>výmena digitálnych informácií týkajúcich sa prípadov cezhraničného terorizmu</w:t>
            </w:r>
            <w:r w:rsidRPr="00E47756">
              <w:rPr>
                <w:sz w:val="20"/>
              </w:rPr>
              <w:t xml:space="preserve"> (legislatívna iniciatíva vrátane posúdenia vplyvu. články 85 a 88 ZFEÚ, 4. štvrťrok 2021);</w:t>
            </w:r>
          </w:p>
          <w:p w14:paraId="14C065EF" w14:textId="77777777" w:rsidR="00E47756" w:rsidRPr="00E47756" w:rsidRDefault="00E47756" w:rsidP="00E47756">
            <w:pPr>
              <w:spacing w:after="0" w:line="240" w:lineRule="auto"/>
              <w:ind w:left="57" w:right="57"/>
              <w:rPr>
                <w:sz w:val="20"/>
              </w:rPr>
            </w:pPr>
          </w:p>
          <w:p w14:paraId="3413463C" w14:textId="77777777" w:rsidR="00E47756" w:rsidRPr="00E47756" w:rsidRDefault="00E47756" w:rsidP="00E47756">
            <w:pPr>
              <w:spacing w:after="0" w:line="240" w:lineRule="auto"/>
              <w:ind w:left="57" w:right="57"/>
              <w:rPr>
                <w:sz w:val="20"/>
              </w:rPr>
            </w:pPr>
          </w:p>
        </w:tc>
        <w:tc>
          <w:tcPr>
            <w:tcW w:w="1975" w:type="dxa"/>
            <w:tcBorders>
              <w:top w:val="single" w:sz="4" w:space="0" w:color="000000"/>
              <w:left w:val="nil"/>
              <w:bottom w:val="single" w:sz="4" w:space="0" w:color="auto"/>
              <w:right w:val="single" w:sz="4" w:space="0" w:color="000000"/>
            </w:tcBorders>
          </w:tcPr>
          <w:p w14:paraId="627A3F6A" w14:textId="77777777" w:rsidR="00E47756" w:rsidRDefault="001C3297" w:rsidP="00E47756">
            <w:pPr>
              <w:spacing w:after="0" w:line="240" w:lineRule="auto"/>
              <w:ind w:left="57" w:right="57"/>
              <w:jc w:val="center"/>
              <w:rPr>
                <w:b/>
                <w:sz w:val="20"/>
              </w:rPr>
            </w:pPr>
            <w:r>
              <w:rPr>
                <w:b/>
                <w:sz w:val="20"/>
              </w:rPr>
              <w:t>MS</w:t>
            </w:r>
            <w:r w:rsidR="00E47756" w:rsidRPr="00E47756">
              <w:rPr>
                <w:b/>
                <w:sz w:val="20"/>
              </w:rPr>
              <w:t xml:space="preserve"> SR</w:t>
            </w:r>
          </w:p>
          <w:p w14:paraId="06DFBAA0" w14:textId="77777777" w:rsidR="001C3297" w:rsidRPr="00E47756" w:rsidRDefault="001C3297" w:rsidP="00E47756">
            <w:pPr>
              <w:spacing w:after="0" w:line="240" w:lineRule="auto"/>
              <w:ind w:left="57" w:right="57"/>
              <w:jc w:val="center"/>
              <w:rPr>
                <w:b/>
                <w:sz w:val="20"/>
              </w:rPr>
            </w:pPr>
            <w:r>
              <w:rPr>
                <w:b/>
                <w:sz w:val="20"/>
              </w:rPr>
              <w:t>MV SR</w:t>
            </w:r>
          </w:p>
        </w:tc>
        <w:tc>
          <w:tcPr>
            <w:tcW w:w="5776" w:type="dxa"/>
            <w:tcBorders>
              <w:top w:val="single" w:sz="4" w:space="0" w:color="000000"/>
              <w:left w:val="nil"/>
              <w:bottom w:val="single" w:sz="4" w:space="0" w:color="auto"/>
              <w:right w:val="single" w:sz="4" w:space="0" w:color="000000"/>
            </w:tcBorders>
          </w:tcPr>
          <w:p w14:paraId="50073BEE" w14:textId="1C46EB2D" w:rsidR="00E47756" w:rsidRPr="00E47756" w:rsidRDefault="00A705AC" w:rsidP="00E47756">
            <w:pPr>
              <w:spacing w:after="0" w:line="240" w:lineRule="auto"/>
              <w:ind w:left="57" w:right="57"/>
              <w:rPr>
                <w:sz w:val="20"/>
              </w:rPr>
            </w:pPr>
            <w:r>
              <w:rPr>
                <w:b/>
                <w:sz w:val="20"/>
                <w:u w:val="single"/>
              </w:rPr>
              <w:t>Stredná</w:t>
            </w:r>
            <w:r w:rsidR="00E47756" w:rsidRPr="00E47756">
              <w:rPr>
                <w:b/>
                <w:sz w:val="20"/>
                <w:u w:val="single"/>
              </w:rPr>
              <w:t xml:space="preserve"> priorita</w:t>
            </w:r>
            <w:r w:rsidR="00E47756" w:rsidRPr="00E47756">
              <w:rPr>
                <w:sz w:val="20"/>
              </w:rPr>
              <w:t xml:space="preserve"> – agenda digitalizácie justície je kľúčovým prvkom diskusií už dlhšie obdobie. Je žiaduce pristúpiť do ďalšie</w:t>
            </w:r>
            <w:r w:rsidR="001C3297">
              <w:rPr>
                <w:sz w:val="20"/>
              </w:rPr>
              <w:t>ho štádia legislatívneho proces</w:t>
            </w:r>
            <w:r w:rsidR="00E47756" w:rsidRPr="00E47756">
              <w:rPr>
                <w:sz w:val="20"/>
              </w:rPr>
              <w:t>u. Osobitne digitalizácia cezhraničnej justičnej spolupráce prinesie zefektívnenie činnosti v EÚ kontexte.</w:t>
            </w:r>
          </w:p>
          <w:p w14:paraId="4092EEF4" w14:textId="77777777" w:rsidR="00E47756" w:rsidRPr="00E47756" w:rsidRDefault="00E47756" w:rsidP="00E47756">
            <w:pPr>
              <w:spacing w:after="0" w:line="240" w:lineRule="auto"/>
              <w:ind w:left="57" w:right="57"/>
              <w:rPr>
                <w:sz w:val="20"/>
              </w:rPr>
            </w:pPr>
          </w:p>
        </w:tc>
      </w:tr>
      <w:tr w:rsidR="00E47756" w:rsidRPr="00E47756" w14:paraId="699785C6" w14:textId="77777777" w:rsidTr="001A4016">
        <w:trPr>
          <w:trHeight w:val="480"/>
        </w:trPr>
        <w:tc>
          <w:tcPr>
            <w:tcW w:w="457" w:type="dxa"/>
            <w:tcBorders>
              <w:top w:val="single" w:sz="4" w:space="0" w:color="auto"/>
              <w:left w:val="single" w:sz="4" w:space="0" w:color="000000"/>
              <w:bottom w:val="nil"/>
              <w:right w:val="single" w:sz="4" w:space="0" w:color="000000"/>
            </w:tcBorders>
          </w:tcPr>
          <w:p w14:paraId="12546FAD" w14:textId="77777777" w:rsidR="00E47756" w:rsidRPr="00E47756" w:rsidRDefault="00E47756" w:rsidP="00E47756">
            <w:pPr>
              <w:spacing w:after="0" w:line="240" w:lineRule="auto"/>
              <w:ind w:left="57" w:right="57"/>
            </w:pPr>
          </w:p>
        </w:tc>
        <w:tc>
          <w:tcPr>
            <w:tcW w:w="2857" w:type="dxa"/>
            <w:tcBorders>
              <w:top w:val="single" w:sz="4" w:space="0" w:color="auto"/>
              <w:left w:val="single" w:sz="4" w:space="0" w:color="000000"/>
              <w:bottom w:val="nil"/>
              <w:right w:val="single" w:sz="4" w:space="0" w:color="000000"/>
            </w:tcBorders>
          </w:tcPr>
          <w:p w14:paraId="4C4CF858" w14:textId="77777777" w:rsidR="00E47756" w:rsidRPr="00E47756" w:rsidRDefault="00E47756" w:rsidP="00E47756">
            <w:pPr>
              <w:spacing w:after="0" w:line="240" w:lineRule="auto"/>
              <w:ind w:left="57" w:right="57"/>
            </w:pPr>
          </w:p>
        </w:tc>
        <w:tc>
          <w:tcPr>
            <w:tcW w:w="286" w:type="dxa"/>
            <w:tcBorders>
              <w:top w:val="single" w:sz="4" w:space="0" w:color="auto"/>
              <w:left w:val="single" w:sz="4" w:space="0" w:color="000000"/>
              <w:bottom w:val="nil"/>
              <w:right w:val="nil"/>
            </w:tcBorders>
          </w:tcPr>
          <w:p w14:paraId="3FE02029" w14:textId="77777777" w:rsidR="00E47756" w:rsidRPr="00E47756" w:rsidRDefault="00E47756" w:rsidP="00E47756">
            <w:pPr>
              <w:spacing w:after="0" w:line="240" w:lineRule="auto"/>
              <w:ind w:left="57" w:right="57"/>
            </w:pPr>
            <w:r w:rsidRPr="00E47756">
              <w:rPr>
                <w:sz w:val="20"/>
              </w:rPr>
              <w:t>b)</w:t>
            </w:r>
            <w:r w:rsidRPr="00E47756">
              <w:rPr>
                <w:rFonts w:ascii="Arial" w:hAnsi="Arial" w:cs="Arial"/>
                <w:sz w:val="20"/>
              </w:rPr>
              <w:t xml:space="preserve"> </w:t>
            </w:r>
          </w:p>
        </w:tc>
        <w:tc>
          <w:tcPr>
            <w:tcW w:w="3271" w:type="dxa"/>
            <w:tcBorders>
              <w:top w:val="single" w:sz="4" w:space="0" w:color="auto"/>
              <w:left w:val="nil"/>
              <w:bottom w:val="nil"/>
              <w:right w:val="single" w:sz="4" w:space="0" w:color="000000"/>
            </w:tcBorders>
          </w:tcPr>
          <w:p w14:paraId="143E96B8" w14:textId="77777777" w:rsidR="00E47756" w:rsidRPr="00E47756" w:rsidRDefault="00E47756" w:rsidP="00E47756">
            <w:pPr>
              <w:spacing w:after="0" w:line="240" w:lineRule="auto"/>
              <w:ind w:left="57" w:right="57"/>
              <w:rPr>
                <w:sz w:val="20"/>
              </w:rPr>
            </w:pPr>
            <w:r w:rsidRPr="00E47756">
              <w:rPr>
                <w:b/>
                <w:sz w:val="20"/>
              </w:rPr>
              <w:t>platforma pre spoluprácu spoločných vyšetrovacích tímov</w:t>
            </w:r>
            <w:r w:rsidRPr="00E47756">
              <w:rPr>
                <w:sz w:val="20"/>
              </w:rPr>
              <w:t xml:space="preserve"> (legislatívna iniciatíva vrátane posúdenia vplyvu, článok 82 ods. 1 písm. d) ZFEÚ, 4. štvrťrok 2021); </w:t>
            </w:r>
          </w:p>
          <w:p w14:paraId="4028D1CF" w14:textId="77777777" w:rsidR="00E47756" w:rsidRPr="00E47756" w:rsidRDefault="00E47756" w:rsidP="00E47756">
            <w:pPr>
              <w:spacing w:after="0" w:line="240" w:lineRule="auto"/>
              <w:ind w:left="57" w:right="57"/>
            </w:pPr>
          </w:p>
        </w:tc>
        <w:tc>
          <w:tcPr>
            <w:tcW w:w="1975" w:type="dxa"/>
            <w:tcBorders>
              <w:top w:val="single" w:sz="4" w:space="0" w:color="auto"/>
              <w:left w:val="nil"/>
              <w:bottom w:val="nil"/>
              <w:right w:val="single" w:sz="4" w:space="0" w:color="000000"/>
            </w:tcBorders>
          </w:tcPr>
          <w:p w14:paraId="7905B82E" w14:textId="77777777" w:rsidR="00E47756" w:rsidRPr="00E47756" w:rsidRDefault="00E47756" w:rsidP="00E47756">
            <w:pPr>
              <w:spacing w:after="0" w:line="240" w:lineRule="auto"/>
              <w:ind w:left="57" w:right="57"/>
              <w:jc w:val="center"/>
              <w:rPr>
                <w:b/>
                <w:sz w:val="20"/>
              </w:rPr>
            </w:pPr>
            <w:r w:rsidRPr="00E47756">
              <w:rPr>
                <w:b/>
                <w:sz w:val="20"/>
              </w:rPr>
              <w:t>MS SR</w:t>
            </w:r>
          </w:p>
        </w:tc>
        <w:tc>
          <w:tcPr>
            <w:tcW w:w="5776" w:type="dxa"/>
            <w:tcBorders>
              <w:top w:val="single" w:sz="4" w:space="0" w:color="auto"/>
              <w:left w:val="nil"/>
              <w:bottom w:val="nil"/>
              <w:right w:val="single" w:sz="4" w:space="0" w:color="000000"/>
            </w:tcBorders>
          </w:tcPr>
          <w:p w14:paraId="6B77AF93" w14:textId="77777777" w:rsidR="00E47756" w:rsidRPr="00E47756" w:rsidRDefault="00E47756" w:rsidP="00E47756">
            <w:pPr>
              <w:spacing w:after="0" w:line="240" w:lineRule="auto"/>
              <w:ind w:left="57" w:right="57"/>
              <w:rPr>
                <w:b/>
                <w:sz w:val="20"/>
                <w:u w:val="single"/>
              </w:rPr>
            </w:pPr>
            <w:r w:rsidRPr="00E47756">
              <w:rPr>
                <w:b/>
                <w:sz w:val="20"/>
                <w:u w:val="single"/>
              </w:rPr>
              <w:t>Stredná priorita</w:t>
            </w:r>
            <w:r w:rsidRPr="00E47756">
              <w:rPr>
                <w:sz w:val="20"/>
              </w:rPr>
              <w:t xml:space="preserve"> – </w:t>
            </w:r>
            <w:r w:rsidRPr="00E47756">
              <w:rPr>
                <w:bCs/>
                <w:sz w:val="20"/>
              </w:rPr>
              <w:t>(bližší obsah nie je známy; JIT patria medzi najefektívnejšie nástroje spolupráce). V závislosti od obsahu môže byť dôležitosť návrhu následne upravená.</w:t>
            </w:r>
          </w:p>
        </w:tc>
      </w:tr>
      <w:tr w:rsidR="00E47756" w:rsidRPr="00E47756" w14:paraId="64A4A8A7" w14:textId="77777777" w:rsidTr="001A4016">
        <w:trPr>
          <w:trHeight w:val="506"/>
        </w:trPr>
        <w:tc>
          <w:tcPr>
            <w:tcW w:w="457" w:type="dxa"/>
            <w:tcBorders>
              <w:top w:val="nil"/>
              <w:left w:val="single" w:sz="4" w:space="0" w:color="000000"/>
              <w:bottom w:val="single" w:sz="4" w:space="0" w:color="000000"/>
              <w:right w:val="single" w:sz="4" w:space="0" w:color="000000"/>
            </w:tcBorders>
          </w:tcPr>
          <w:p w14:paraId="74F3E201" w14:textId="77777777" w:rsidR="00E47756" w:rsidRPr="00E47756" w:rsidRDefault="00E47756" w:rsidP="00E47756">
            <w:pPr>
              <w:spacing w:after="0" w:line="240" w:lineRule="auto"/>
              <w:ind w:left="57" w:right="57"/>
            </w:pPr>
          </w:p>
        </w:tc>
        <w:tc>
          <w:tcPr>
            <w:tcW w:w="2857" w:type="dxa"/>
            <w:tcBorders>
              <w:top w:val="nil"/>
              <w:left w:val="single" w:sz="4" w:space="0" w:color="000000"/>
              <w:bottom w:val="single" w:sz="4" w:space="0" w:color="000000"/>
              <w:right w:val="single" w:sz="4" w:space="0" w:color="000000"/>
            </w:tcBorders>
          </w:tcPr>
          <w:p w14:paraId="4B3241D7" w14:textId="77777777" w:rsidR="00E47756" w:rsidRPr="00E47756" w:rsidRDefault="00E47756" w:rsidP="00E47756">
            <w:pPr>
              <w:spacing w:after="0" w:line="240" w:lineRule="auto"/>
              <w:ind w:left="57" w:right="57"/>
            </w:pPr>
          </w:p>
        </w:tc>
        <w:tc>
          <w:tcPr>
            <w:tcW w:w="286" w:type="dxa"/>
            <w:tcBorders>
              <w:top w:val="nil"/>
              <w:left w:val="single" w:sz="4" w:space="0" w:color="000000"/>
              <w:bottom w:val="single" w:sz="4" w:space="0" w:color="000000"/>
              <w:right w:val="nil"/>
            </w:tcBorders>
          </w:tcPr>
          <w:p w14:paraId="6214AA26" w14:textId="77777777" w:rsidR="00E47756" w:rsidRPr="00E47756" w:rsidRDefault="00E47756" w:rsidP="00E47756">
            <w:pPr>
              <w:spacing w:after="0" w:line="240" w:lineRule="auto"/>
              <w:ind w:left="57" w:right="57"/>
            </w:pPr>
            <w:r w:rsidRPr="00E47756">
              <w:rPr>
                <w:sz w:val="20"/>
              </w:rPr>
              <w:t>c)</w:t>
            </w:r>
            <w:r w:rsidRPr="00E47756">
              <w:rPr>
                <w:rFonts w:ascii="Arial" w:hAnsi="Arial" w:cs="Arial"/>
                <w:sz w:val="20"/>
              </w:rPr>
              <w:t xml:space="preserve"> </w:t>
            </w:r>
          </w:p>
        </w:tc>
        <w:tc>
          <w:tcPr>
            <w:tcW w:w="3271" w:type="dxa"/>
            <w:tcBorders>
              <w:top w:val="nil"/>
              <w:left w:val="nil"/>
              <w:bottom w:val="single" w:sz="4" w:space="0" w:color="000000"/>
              <w:right w:val="single" w:sz="4" w:space="0" w:color="000000"/>
            </w:tcBorders>
          </w:tcPr>
          <w:p w14:paraId="4DD053DD" w14:textId="77777777" w:rsidR="00E47756" w:rsidRPr="00E47756" w:rsidRDefault="00E47756" w:rsidP="00E47756">
            <w:pPr>
              <w:spacing w:after="0" w:line="240" w:lineRule="auto"/>
              <w:ind w:left="57" w:right="57"/>
            </w:pPr>
            <w:r w:rsidRPr="00E47756">
              <w:rPr>
                <w:b/>
                <w:sz w:val="20"/>
              </w:rPr>
              <w:t>digitalizácia cezhraničnej justičnej spolupráce</w:t>
            </w:r>
            <w:r w:rsidRPr="00E47756">
              <w:rPr>
                <w:sz w:val="20"/>
              </w:rPr>
              <w:t xml:space="preserve"> (legislatívna iniciatíva vrátane posúdenia vplyvu, články 81 a 82 ZFEÚ, 4. štvrťrok 2021). </w:t>
            </w:r>
          </w:p>
        </w:tc>
        <w:tc>
          <w:tcPr>
            <w:tcW w:w="1975" w:type="dxa"/>
            <w:tcBorders>
              <w:top w:val="nil"/>
              <w:left w:val="nil"/>
              <w:bottom w:val="single" w:sz="4" w:space="0" w:color="000000"/>
              <w:right w:val="single" w:sz="4" w:space="0" w:color="000000"/>
            </w:tcBorders>
          </w:tcPr>
          <w:p w14:paraId="4C2E19E1" w14:textId="77777777" w:rsidR="00E47756" w:rsidRPr="00E47756" w:rsidRDefault="00E47756" w:rsidP="00E47756">
            <w:pPr>
              <w:spacing w:after="0" w:line="240" w:lineRule="auto"/>
              <w:ind w:left="57" w:right="57"/>
              <w:jc w:val="center"/>
              <w:rPr>
                <w:b/>
                <w:sz w:val="20"/>
              </w:rPr>
            </w:pPr>
            <w:r w:rsidRPr="00E47756">
              <w:rPr>
                <w:b/>
                <w:sz w:val="20"/>
              </w:rPr>
              <w:t>MS SR</w:t>
            </w:r>
          </w:p>
        </w:tc>
        <w:tc>
          <w:tcPr>
            <w:tcW w:w="5776" w:type="dxa"/>
            <w:tcBorders>
              <w:top w:val="nil"/>
              <w:left w:val="nil"/>
              <w:bottom w:val="single" w:sz="4" w:space="0" w:color="000000"/>
              <w:right w:val="single" w:sz="4" w:space="0" w:color="000000"/>
            </w:tcBorders>
          </w:tcPr>
          <w:p w14:paraId="1FA3A95A" w14:textId="77777777" w:rsidR="00E47756" w:rsidRPr="00E47756" w:rsidRDefault="00E47756" w:rsidP="00E47756">
            <w:pPr>
              <w:spacing w:after="0" w:line="240" w:lineRule="auto"/>
              <w:ind w:left="57" w:right="57"/>
              <w:rPr>
                <w:b/>
                <w:sz w:val="20"/>
              </w:rPr>
            </w:pPr>
            <w:r w:rsidRPr="00E47756">
              <w:rPr>
                <w:b/>
                <w:sz w:val="20"/>
                <w:u w:val="single"/>
              </w:rPr>
              <w:t>Stredná priorita</w:t>
            </w:r>
            <w:r w:rsidRPr="00E47756">
              <w:rPr>
                <w:sz w:val="20"/>
              </w:rPr>
              <w:t xml:space="preserve"> – </w:t>
            </w:r>
            <w:r w:rsidRPr="00E47756">
              <w:rPr>
                <w:bCs/>
                <w:sz w:val="20"/>
              </w:rPr>
              <w:t xml:space="preserve">(bližší obsah nie je známy; význam digitalizácie cezhraničnej justičnej spolupráce je vysoký čo sa potvrdilo aj v čase pandémie </w:t>
            </w:r>
            <w:r w:rsidR="00C00726">
              <w:rPr>
                <w:bCs/>
                <w:sz w:val="20"/>
              </w:rPr>
              <w:t>COVID</w:t>
            </w:r>
            <w:r w:rsidRPr="00E47756">
              <w:rPr>
                <w:bCs/>
                <w:sz w:val="20"/>
              </w:rPr>
              <w:t>-19</w:t>
            </w:r>
          </w:p>
        </w:tc>
      </w:tr>
      <w:tr w:rsidR="00E47756" w:rsidRPr="00E47756" w14:paraId="0611F868" w14:textId="77777777" w:rsidTr="004D5EB4">
        <w:trPr>
          <w:trHeight w:val="518"/>
        </w:trPr>
        <w:tc>
          <w:tcPr>
            <w:tcW w:w="457" w:type="dxa"/>
            <w:tcBorders>
              <w:top w:val="single" w:sz="4" w:space="0" w:color="000000"/>
              <w:left w:val="single" w:sz="4" w:space="0" w:color="000000"/>
              <w:right w:val="single" w:sz="4" w:space="0" w:color="000000"/>
            </w:tcBorders>
          </w:tcPr>
          <w:p w14:paraId="1BE6E909" w14:textId="77777777" w:rsidR="00E47756" w:rsidRPr="00E47756" w:rsidRDefault="00E47756" w:rsidP="00E47756">
            <w:pPr>
              <w:spacing w:after="0" w:line="240" w:lineRule="auto"/>
              <w:ind w:left="57" w:right="57"/>
            </w:pPr>
            <w:r w:rsidRPr="00E47756">
              <w:rPr>
                <w:sz w:val="20"/>
              </w:rPr>
              <w:t>42.</w:t>
            </w:r>
            <w:r w:rsidRPr="00E47756">
              <w:rPr>
                <w:rFonts w:ascii="Arial" w:hAnsi="Arial" w:cs="Arial"/>
                <w:sz w:val="20"/>
              </w:rPr>
              <w:t xml:space="preserve"> </w:t>
            </w:r>
            <w:r w:rsidRPr="00E47756">
              <w:rPr>
                <w:sz w:val="20"/>
              </w:rPr>
              <w:t xml:space="preserve"> </w:t>
            </w:r>
          </w:p>
        </w:tc>
        <w:tc>
          <w:tcPr>
            <w:tcW w:w="2857" w:type="dxa"/>
            <w:tcBorders>
              <w:top w:val="single" w:sz="4" w:space="0" w:color="000000"/>
              <w:left w:val="single" w:sz="4" w:space="0" w:color="000000"/>
              <w:right w:val="single" w:sz="4" w:space="0" w:color="000000"/>
            </w:tcBorders>
          </w:tcPr>
          <w:p w14:paraId="0486B3FF" w14:textId="77777777" w:rsidR="00E47756" w:rsidRPr="00E47756" w:rsidRDefault="00E47756" w:rsidP="00E47756">
            <w:pPr>
              <w:spacing w:after="0" w:line="240" w:lineRule="auto"/>
              <w:ind w:left="57" w:right="57"/>
            </w:pPr>
            <w:r w:rsidRPr="00E47756">
              <w:rPr>
                <w:b/>
                <w:sz w:val="20"/>
              </w:rPr>
              <w:t xml:space="preserve">Balík </w:t>
            </w:r>
            <w:r w:rsidRPr="00E47756">
              <w:rPr>
                <w:b/>
                <w:sz w:val="20"/>
              </w:rPr>
              <w:tab/>
              <w:t xml:space="preserve">opatrení </w:t>
            </w:r>
            <w:r w:rsidRPr="00E47756">
              <w:rPr>
                <w:b/>
                <w:sz w:val="20"/>
              </w:rPr>
              <w:tab/>
              <w:t>v oblasti transparentnosti a demokracie</w:t>
            </w:r>
            <w:r w:rsidRPr="00E47756">
              <w:rPr>
                <w:sz w:val="20"/>
              </w:rPr>
              <w:t xml:space="preserve"> </w:t>
            </w:r>
          </w:p>
        </w:tc>
        <w:tc>
          <w:tcPr>
            <w:tcW w:w="286" w:type="dxa"/>
            <w:tcBorders>
              <w:top w:val="single" w:sz="4" w:space="0" w:color="000000"/>
              <w:left w:val="single" w:sz="4" w:space="0" w:color="000000"/>
              <w:right w:val="nil"/>
            </w:tcBorders>
          </w:tcPr>
          <w:p w14:paraId="3EB3FA2E" w14:textId="77777777" w:rsidR="00E47756" w:rsidRPr="00E47756" w:rsidRDefault="00E47756" w:rsidP="00E47756">
            <w:pPr>
              <w:spacing w:after="0" w:line="240" w:lineRule="auto"/>
              <w:ind w:left="57" w:right="57"/>
            </w:pPr>
            <w:r w:rsidRPr="00E47756">
              <w:rPr>
                <w:sz w:val="20"/>
              </w:rPr>
              <w:t>a)</w:t>
            </w:r>
            <w:r w:rsidRPr="00E47756">
              <w:rPr>
                <w:rFonts w:ascii="Arial" w:hAnsi="Arial" w:cs="Arial"/>
                <w:sz w:val="20"/>
              </w:rPr>
              <w:t xml:space="preserve"> </w:t>
            </w:r>
          </w:p>
        </w:tc>
        <w:tc>
          <w:tcPr>
            <w:tcW w:w="3271" w:type="dxa"/>
            <w:tcBorders>
              <w:top w:val="single" w:sz="4" w:space="0" w:color="000000"/>
              <w:left w:val="nil"/>
              <w:right w:val="single" w:sz="4" w:space="0" w:color="000000"/>
            </w:tcBorders>
          </w:tcPr>
          <w:p w14:paraId="19918790" w14:textId="77777777" w:rsidR="00E47756" w:rsidRPr="00E47756" w:rsidRDefault="00E47756" w:rsidP="00E47756">
            <w:pPr>
              <w:spacing w:after="0" w:line="240" w:lineRule="auto"/>
              <w:ind w:left="57" w:right="57"/>
              <w:rPr>
                <w:sz w:val="20"/>
              </w:rPr>
            </w:pPr>
            <w:r w:rsidRPr="00E47756">
              <w:rPr>
                <w:b/>
                <w:sz w:val="20"/>
              </w:rPr>
              <w:t>revízia štatútu a financovania európskych politických strán a európskych politických nadácií</w:t>
            </w:r>
            <w:r w:rsidRPr="00E47756">
              <w:rPr>
                <w:sz w:val="20"/>
              </w:rPr>
              <w:t xml:space="preserve"> (legislatívna iniciatíva vrátane posúdenia vplyvu, článok 224 ZFEÚ, 3. štvrťrok 2021); </w:t>
            </w:r>
          </w:p>
          <w:p w14:paraId="7F0A5269" w14:textId="77777777" w:rsidR="00E47756" w:rsidRPr="00E47756" w:rsidRDefault="00E47756" w:rsidP="00E47756">
            <w:pPr>
              <w:spacing w:after="0" w:line="240" w:lineRule="auto"/>
              <w:ind w:left="57" w:right="57"/>
            </w:pPr>
          </w:p>
        </w:tc>
        <w:tc>
          <w:tcPr>
            <w:tcW w:w="1975" w:type="dxa"/>
            <w:tcBorders>
              <w:top w:val="single" w:sz="4" w:space="0" w:color="000000"/>
              <w:left w:val="nil"/>
              <w:right w:val="single" w:sz="4" w:space="0" w:color="000000"/>
            </w:tcBorders>
          </w:tcPr>
          <w:p w14:paraId="4A0881B3" w14:textId="77777777" w:rsidR="00E47756" w:rsidRPr="00E47756" w:rsidRDefault="00E47756" w:rsidP="00E47756">
            <w:pPr>
              <w:spacing w:after="0" w:line="240" w:lineRule="auto"/>
              <w:ind w:left="57" w:right="57"/>
              <w:jc w:val="center"/>
              <w:rPr>
                <w:b/>
                <w:sz w:val="20"/>
              </w:rPr>
            </w:pPr>
            <w:r w:rsidRPr="00E47756">
              <w:rPr>
                <w:b/>
                <w:sz w:val="20"/>
              </w:rPr>
              <w:t>MV SR</w:t>
            </w:r>
          </w:p>
        </w:tc>
        <w:tc>
          <w:tcPr>
            <w:tcW w:w="5776" w:type="dxa"/>
            <w:tcBorders>
              <w:top w:val="single" w:sz="4" w:space="0" w:color="000000"/>
              <w:left w:val="nil"/>
              <w:right w:val="single" w:sz="4" w:space="0" w:color="000000"/>
            </w:tcBorders>
          </w:tcPr>
          <w:p w14:paraId="43649E19" w14:textId="77777777" w:rsidR="00E47756" w:rsidRPr="00E47756" w:rsidRDefault="00E47756" w:rsidP="00E47756">
            <w:pPr>
              <w:spacing w:after="0" w:line="240" w:lineRule="auto"/>
              <w:ind w:left="57" w:right="57"/>
              <w:rPr>
                <w:b/>
                <w:sz w:val="20"/>
              </w:rPr>
            </w:pPr>
            <w:r w:rsidRPr="00E47756">
              <w:rPr>
                <w:b/>
                <w:sz w:val="20"/>
                <w:u w:val="single"/>
              </w:rPr>
              <w:t>Stredná priorita</w:t>
            </w:r>
            <w:r w:rsidRPr="00E47756">
              <w:rPr>
                <w:sz w:val="20"/>
              </w:rPr>
              <w:t xml:space="preserve"> – Komisia navrhne navrhneme jasnejšie pravidlá financovania európskych politických strán. Z pohľadu SR aktuálne nepredpokladáme problematický obsah, konečné stanovisko bude známe po predložení návrhov.</w:t>
            </w:r>
          </w:p>
        </w:tc>
      </w:tr>
      <w:tr w:rsidR="00E47756" w:rsidRPr="00E47756" w14:paraId="4BDEF0DC" w14:textId="77777777" w:rsidTr="004D5EB4">
        <w:trPr>
          <w:trHeight w:val="483"/>
        </w:trPr>
        <w:tc>
          <w:tcPr>
            <w:tcW w:w="457" w:type="dxa"/>
            <w:tcBorders>
              <w:top w:val="nil"/>
              <w:left w:val="single" w:sz="4" w:space="0" w:color="000000"/>
              <w:bottom w:val="single" w:sz="4" w:space="0" w:color="auto"/>
              <w:right w:val="single" w:sz="4" w:space="0" w:color="000000"/>
            </w:tcBorders>
          </w:tcPr>
          <w:p w14:paraId="7A7360A8" w14:textId="77777777" w:rsidR="00E47756" w:rsidRPr="00E47756" w:rsidRDefault="00E47756" w:rsidP="00E47756">
            <w:pPr>
              <w:spacing w:after="0" w:line="240" w:lineRule="auto"/>
              <w:ind w:left="57" w:right="57"/>
            </w:pPr>
          </w:p>
        </w:tc>
        <w:tc>
          <w:tcPr>
            <w:tcW w:w="2857" w:type="dxa"/>
            <w:tcBorders>
              <w:top w:val="nil"/>
              <w:left w:val="single" w:sz="4" w:space="0" w:color="000000"/>
              <w:bottom w:val="single" w:sz="4" w:space="0" w:color="auto"/>
              <w:right w:val="single" w:sz="4" w:space="0" w:color="000000"/>
            </w:tcBorders>
          </w:tcPr>
          <w:p w14:paraId="374FF3AF" w14:textId="77777777" w:rsidR="00E47756" w:rsidRPr="00E47756" w:rsidRDefault="00E47756" w:rsidP="00E47756">
            <w:pPr>
              <w:spacing w:after="0" w:line="240" w:lineRule="auto"/>
              <w:ind w:left="57" w:right="57"/>
            </w:pPr>
          </w:p>
        </w:tc>
        <w:tc>
          <w:tcPr>
            <w:tcW w:w="286" w:type="dxa"/>
            <w:tcBorders>
              <w:top w:val="nil"/>
              <w:left w:val="single" w:sz="4" w:space="0" w:color="000000"/>
              <w:bottom w:val="single" w:sz="4" w:space="0" w:color="auto"/>
              <w:right w:val="nil"/>
            </w:tcBorders>
          </w:tcPr>
          <w:p w14:paraId="114454B9" w14:textId="77777777" w:rsidR="00E47756" w:rsidRPr="00E47756" w:rsidRDefault="00E47756" w:rsidP="00E47756">
            <w:pPr>
              <w:spacing w:after="0" w:line="240" w:lineRule="auto"/>
              <w:ind w:left="57" w:right="57"/>
            </w:pPr>
            <w:r w:rsidRPr="00E47756">
              <w:rPr>
                <w:sz w:val="20"/>
              </w:rPr>
              <w:t>b)</w:t>
            </w:r>
            <w:r w:rsidRPr="00E47756">
              <w:rPr>
                <w:rFonts w:ascii="Arial" w:hAnsi="Arial" w:cs="Arial"/>
                <w:sz w:val="20"/>
              </w:rPr>
              <w:t xml:space="preserve"> </w:t>
            </w:r>
          </w:p>
        </w:tc>
        <w:tc>
          <w:tcPr>
            <w:tcW w:w="3271" w:type="dxa"/>
            <w:tcBorders>
              <w:top w:val="nil"/>
              <w:left w:val="nil"/>
              <w:bottom w:val="single" w:sz="4" w:space="0" w:color="auto"/>
              <w:right w:val="single" w:sz="4" w:space="0" w:color="000000"/>
            </w:tcBorders>
          </w:tcPr>
          <w:p w14:paraId="0572F003" w14:textId="77777777" w:rsidR="00E47756" w:rsidRPr="00E47756" w:rsidRDefault="00E47756" w:rsidP="00E47756">
            <w:pPr>
              <w:spacing w:after="0" w:line="240" w:lineRule="auto"/>
              <w:ind w:left="57" w:right="57"/>
              <w:rPr>
                <w:sz w:val="20"/>
              </w:rPr>
            </w:pPr>
            <w:r w:rsidRPr="00E47756">
              <w:rPr>
                <w:b/>
                <w:sz w:val="20"/>
              </w:rPr>
              <w:t>väčšia transparentnosť v oblasti platenej politickej reklamy</w:t>
            </w:r>
            <w:r w:rsidRPr="00E47756">
              <w:rPr>
                <w:sz w:val="20"/>
              </w:rPr>
              <w:t xml:space="preserve"> (legislatívna iniciatíva vrátane </w:t>
            </w:r>
            <w:r w:rsidRPr="00E47756">
              <w:rPr>
                <w:sz w:val="20"/>
              </w:rPr>
              <w:lastRenderedPageBreak/>
              <w:t xml:space="preserve">posúdenia vplyvu, články 114 a 224 ZFEÚ, 3. štvrťrok 2021); </w:t>
            </w:r>
          </w:p>
          <w:p w14:paraId="256E5C69" w14:textId="77777777" w:rsidR="00E47756" w:rsidRPr="00E47756" w:rsidRDefault="00E47756" w:rsidP="00E47756">
            <w:pPr>
              <w:spacing w:after="0" w:line="240" w:lineRule="auto"/>
              <w:ind w:left="57" w:right="57"/>
            </w:pPr>
          </w:p>
        </w:tc>
        <w:tc>
          <w:tcPr>
            <w:tcW w:w="1975" w:type="dxa"/>
            <w:tcBorders>
              <w:top w:val="nil"/>
              <w:left w:val="nil"/>
              <w:bottom w:val="single" w:sz="4" w:space="0" w:color="auto"/>
              <w:right w:val="single" w:sz="4" w:space="0" w:color="000000"/>
            </w:tcBorders>
          </w:tcPr>
          <w:p w14:paraId="15DC0043" w14:textId="77777777" w:rsidR="00E47756" w:rsidRPr="00E47756" w:rsidRDefault="00E47756" w:rsidP="00E47756">
            <w:pPr>
              <w:spacing w:after="0" w:line="240" w:lineRule="auto"/>
              <w:ind w:left="57" w:right="57"/>
              <w:jc w:val="center"/>
              <w:rPr>
                <w:b/>
                <w:sz w:val="20"/>
              </w:rPr>
            </w:pPr>
            <w:r w:rsidRPr="00E47756">
              <w:rPr>
                <w:b/>
                <w:sz w:val="20"/>
              </w:rPr>
              <w:lastRenderedPageBreak/>
              <w:t>MV SR</w:t>
            </w:r>
          </w:p>
        </w:tc>
        <w:tc>
          <w:tcPr>
            <w:tcW w:w="5776" w:type="dxa"/>
            <w:tcBorders>
              <w:top w:val="nil"/>
              <w:left w:val="nil"/>
              <w:bottom w:val="single" w:sz="4" w:space="0" w:color="auto"/>
              <w:right w:val="single" w:sz="4" w:space="0" w:color="000000"/>
            </w:tcBorders>
          </w:tcPr>
          <w:p w14:paraId="3402D532" w14:textId="77777777" w:rsidR="00E47756" w:rsidRPr="00E47756" w:rsidRDefault="00E47756" w:rsidP="00E47756">
            <w:pPr>
              <w:spacing w:after="0" w:line="240" w:lineRule="auto"/>
              <w:ind w:left="57" w:right="57"/>
              <w:rPr>
                <w:b/>
                <w:sz w:val="20"/>
              </w:rPr>
            </w:pPr>
            <w:r w:rsidRPr="00E47756">
              <w:rPr>
                <w:b/>
                <w:sz w:val="20"/>
                <w:u w:val="single"/>
              </w:rPr>
              <w:t>Stredná priorita</w:t>
            </w:r>
            <w:r w:rsidRPr="00E47756">
              <w:rPr>
                <w:sz w:val="20"/>
              </w:rPr>
              <w:t xml:space="preserve"> – Komisia navrhne opatrenia na zabezpečenie väčšej transparentnosti platenej politickej reklamy. Z pohľadu SR aktuálne nepredpokladáme problematický obsah, konečné stanovisko bude známe po predložení návrhov.</w:t>
            </w:r>
          </w:p>
          <w:p w14:paraId="6BB9A43F" w14:textId="77777777" w:rsidR="00E47756" w:rsidRPr="00E47756" w:rsidRDefault="00E47756" w:rsidP="00E47756">
            <w:pPr>
              <w:spacing w:after="0" w:line="240" w:lineRule="auto"/>
              <w:ind w:left="57" w:right="57"/>
              <w:rPr>
                <w:b/>
                <w:sz w:val="20"/>
              </w:rPr>
            </w:pPr>
          </w:p>
        </w:tc>
      </w:tr>
      <w:tr w:rsidR="00E47756" w:rsidRPr="00E47756" w14:paraId="7F4D86C4" w14:textId="77777777" w:rsidTr="004D5EB4">
        <w:trPr>
          <w:trHeight w:val="720"/>
        </w:trPr>
        <w:tc>
          <w:tcPr>
            <w:tcW w:w="457" w:type="dxa"/>
            <w:tcBorders>
              <w:top w:val="single" w:sz="4" w:space="0" w:color="auto"/>
              <w:left w:val="single" w:sz="4" w:space="0" w:color="000000"/>
              <w:bottom w:val="single" w:sz="4" w:space="0" w:color="auto"/>
              <w:right w:val="single" w:sz="4" w:space="0" w:color="000000"/>
            </w:tcBorders>
          </w:tcPr>
          <w:p w14:paraId="42CAF805" w14:textId="77777777" w:rsidR="00E47756" w:rsidRPr="00E47756" w:rsidRDefault="00E47756" w:rsidP="00E47756">
            <w:pPr>
              <w:spacing w:after="0" w:line="240" w:lineRule="auto"/>
              <w:ind w:left="57" w:right="57"/>
            </w:pPr>
          </w:p>
        </w:tc>
        <w:tc>
          <w:tcPr>
            <w:tcW w:w="2857" w:type="dxa"/>
            <w:tcBorders>
              <w:top w:val="single" w:sz="4" w:space="0" w:color="auto"/>
              <w:left w:val="single" w:sz="4" w:space="0" w:color="000000"/>
              <w:bottom w:val="single" w:sz="4" w:space="0" w:color="auto"/>
              <w:right w:val="single" w:sz="4" w:space="0" w:color="000000"/>
            </w:tcBorders>
          </w:tcPr>
          <w:p w14:paraId="7F99B852" w14:textId="77777777" w:rsidR="00E47756" w:rsidRPr="00E47756" w:rsidRDefault="00E47756" w:rsidP="00E47756">
            <w:pPr>
              <w:spacing w:after="0" w:line="240" w:lineRule="auto"/>
              <w:ind w:left="57" w:right="57"/>
            </w:pPr>
          </w:p>
        </w:tc>
        <w:tc>
          <w:tcPr>
            <w:tcW w:w="286" w:type="dxa"/>
            <w:tcBorders>
              <w:top w:val="single" w:sz="4" w:space="0" w:color="auto"/>
              <w:left w:val="single" w:sz="4" w:space="0" w:color="000000"/>
              <w:bottom w:val="single" w:sz="4" w:space="0" w:color="auto"/>
              <w:right w:val="nil"/>
            </w:tcBorders>
          </w:tcPr>
          <w:p w14:paraId="47412031" w14:textId="77777777" w:rsidR="00E47756" w:rsidRPr="00E47756" w:rsidRDefault="00E47756" w:rsidP="00E47756">
            <w:pPr>
              <w:spacing w:after="0" w:line="240" w:lineRule="auto"/>
              <w:ind w:left="57" w:right="57"/>
            </w:pPr>
            <w:r w:rsidRPr="00E47756">
              <w:rPr>
                <w:sz w:val="20"/>
              </w:rPr>
              <w:t>c)</w:t>
            </w:r>
            <w:r w:rsidRPr="00E47756">
              <w:rPr>
                <w:rFonts w:ascii="Arial" w:hAnsi="Arial" w:cs="Arial"/>
                <w:sz w:val="20"/>
              </w:rPr>
              <w:t xml:space="preserve"> </w:t>
            </w:r>
          </w:p>
        </w:tc>
        <w:tc>
          <w:tcPr>
            <w:tcW w:w="3271" w:type="dxa"/>
            <w:tcBorders>
              <w:top w:val="single" w:sz="4" w:space="0" w:color="auto"/>
              <w:left w:val="nil"/>
              <w:bottom w:val="single" w:sz="4" w:space="0" w:color="auto"/>
              <w:right w:val="single" w:sz="4" w:space="0" w:color="000000"/>
            </w:tcBorders>
          </w:tcPr>
          <w:p w14:paraId="287CE220" w14:textId="77777777" w:rsidR="00E47756" w:rsidRPr="00E47756" w:rsidRDefault="00E47756" w:rsidP="00E47756">
            <w:pPr>
              <w:spacing w:after="0" w:line="240" w:lineRule="auto"/>
              <w:ind w:left="57" w:right="57"/>
              <w:rPr>
                <w:sz w:val="20"/>
              </w:rPr>
            </w:pPr>
            <w:r w:rsidRPr="00E47756">
              <w:rPr>
                <w:b/>
                <w:sz w:val="20"/>
              </w:rPr>
              <w:t>revízia smernice Rady, ktorou sa stanovujú podrobnosti uplatňovania volebného práva a práva byť volený do Európskeho parlamentu pre občanov Únie s bydliskom v členskom štáte, ktorého nie sú štátnymi príslušníkmi</w:t>
            </w:r>
            <w:r w:rsidRPr="00E47756">
              <w:rPr>
                <w:sz w:val="20"/>
              </w:rPr>
              <w:t xml:space="preserve"> (legislatívna iniciatíva vrátane posúdenia vplyvu. článok 22 ZFEÚ, 4. štvrťrok 2021); </w:t>
            </w:r>
          </w:p>
          <w:p w14:paraId="59FBB5CC" w14:textId="77777777" w:rsidR="00E47756" w:rsidRPr="00E47756" w:rsidRDefault="00E47756" w:rsidP="00E47756">
            <w:pPr>
              <w:spacing w:after="0" w:line="240" w:lineRule="auto"/>
              <w:ind w:left="57" w:right="57"/>
            </w:pPr>
          </w:p>
        </w:tc>
        <w:tc>
          <w:tcPr>
            <w:tcW w:w="1975" w:type="dxa"/>
            <w:tcBorders>
              <w:top w:val="single" w:sz="4" w:space="0" w:color="auto"/>
              <w:left w:val="nil"/>
              <w:bottom w:val="single" w:sz="4" w:space="0" w:color="auto"/>
              <w:right w:val="single" w:sz="4" w:space="0" w:color="000000"/>
            </w:tcBorders>
          </w:tcPr>
          <w:p w14:paraId="287A3A96" w14:textId="77777777" w:rsidR="00E47756" w:rsidRPr="00E47756" w:rsidRDefault="00E47756" w:rsidP="00E47756">
            <w:pPr>
              <w:spacing w:after="0" w:line="240" w:lineRule="auto"/>
              <w:ind w:left="57" w:right="57"/>
              <w:jc w:val="center"/>
              <w:rPr>
                <w:b/>
                <w:sz w:val="20"/>
              </w:rPr>
            </w:pPr>
            <w:r w:rsidRPr="00E47756">
              <w:rPr>
                <w:b/>
                <w:sz w:val="20"/>
              </w:rPr>
              <w:t>MV SR</w:t>
            </w:r>
          </w:p>
        </w:tc>
        <w:tc>
          <w:tcPr>
            <w:tcW w:w="5776" w:type="dxa"/>
            <w:tcBorders>
              <w:top w:val="single" w:sz="4" w:space="0" w:color="auto"/>
              <w:left w:val="nil"/>
              <w:bottom w:val="single" w:sz="4" w:space="0" w:color="auto"/>
              <w:right w:val="single" w:sz="4" w:space="0" w:color="000000"/>
            </w:tcBorders>
          </w:tcPr>
          <w:p w14:paraId="74266069" w14:textId="77777777" w:rsidR="00E47756" w:rsidRPr="00E47756" w:rsidRDefault="00E47756" w:rsidP="00E47756">
            <w:pPr>
              <w:spacing w:after="0" w:line="240" w:lineRule="auto"/>
              <w:ind w:left="57" w:right="57"/>
              <w:rPr>
                <w:b/>
                <w:sz w:val="20"/>
              </w:rPr>
            </w:pPr>
            <w:r w:rsidRPr="00E47756">
              <w:rPr>
                <w:b/>
                <w:sz w:val="20"/>
                <w:u w:val="single"/>
              </w:rPr>
              <w:t>Stredná priorita</w:t>
            </w:r>
            <w:r w:rsidRPr="00E47756">
              <w:rPr>
                <w:sz w:val="20"/>
              </w:rPr>
              <w:t xml:space="preserve"> – Komisia navrhne zlepšenie volebných práv mobilných Európanov. Z pohľadu SR aktuálne nepredpokladáme problematický obsah, konečné stanovisko bude známe po predložení návrhov.</w:t>
            </w:r>
          </w:p>
        </w:tc>
      </w:tr>
      <w:tr w:rsidR="00E47756" w:rsidRPr="00E47756" w14:paraId="795817B2" w14:textId="77777777" w:rsidTr="001A4016">
        <w:trPr>
          <w:trHeight w:val="718"/>
        </w:trPr>
        <w:tc>
          <w:tcPr>
            <w:tcW w:w="457" w:type="dxa"/>
            <w:tcBorders>
              <w:top w:val="single" w:sz="4" w:space="0" w:color="auto"/>
              <w:left w:val="single" w:sz="4" w:space="0" w:color="000000"/>
              <w:bottom w:val="nil"/>
              <w:right w:val="single" w:sz="4" w:space="0" w:color="000000"/>
            </w:tcBorders>
          </w:tcPr>
          <w:p w14:paraId="5C37F953" w14:textId="77777777" w:rsidR="00E47756" w:rsidRPr="00E47756" w:rsidRDefault="00E47756" w:rsidP="00E47756">
            <w:pPr>
              <w:spacing w:after="0" w:line="240" w:lineRule="auto"/>
              <w:ind w:left="57" w:right="57"/>
            </w:pPr>
          </w:p>
        </w:tc>
        <w:tc>
          <w:tcPr>
            <w:tcW w:w="2857" w:type="dxa"/>
            <w:tcBorders>
              <w:top w:val="single" w:sz="4" w:space="0" w:color="auto"/>
              <w:left w:val="single" w:sz="4" w:space="0" w:color="000000"/>
              <w:bottom w:val="nil"/>
              <w:right w:val="single" w:sz="4" w:space="0" w:color="000000"/>
            </w:tcBorders>
          </w:tcPr>
          <w:p w14:paraId="6A64C32F" w14:textId="77777777" w:rsidR="00E47756" w:rsidRPr="00E47756" w:rsidRDefault="00E47756" w:rsidP="00E47756">
            <w:pPr>
              <w:spacing w:after="0" w:line="240" w:lineRule="auto"/>
              <w:ind w:left="57" w:right="57"/>
            </w:pPr>
          </w:p>
        </w:tc>
        <w:tc>
          <w:tcPr>
            <w:tcW w:w="286" w:type="dxa"/>
            <w:tcBorders>
              <w:top w:val="single" w:sz="4" w:space="0" w:color="auto"/>
              <w:left w:val="single" w:sz="4" w:space="0" w:color="000000"/>
              <w:bottom w:val="nil"/>
              <w:right w:val="nil"/>
            </w:tcBorders>
          </w:tcPr>
          <w:p w14:paraId="36A0E0B4" w14:textId="77777777" w:rsidR="00E47756" w:rsidRPr="00E47756" w:rsidRDefault="00E47756" w:rsidP="00E47756">
            <w:pPr>
              <w:spacing w:after="0" w:line="240" w:lineRule="auto"/>
              <w:ind w:left="57" w:right="57"/>
            </w:pPr>
            <w:r w:rsidRPr="00E47756">
              <w:rPr>
                <w:sz w:val="20"/>
              </w:rPr>
              <w:t>d)</w:t>
            </w:r>
            <w:r w:rsidRPr="00E47756">
              <w:rPr>
                <w:rFonts w:ascii="Arial" w:hAnsi="Arial" w:cs="Arial"/>
                <w:sz w:val="20"/>
              </w:rPr>
              <w:t xml:space="preserve"> </w:t>
            </w:r>
          </w:p>
        </w:tc>
        <w:tc>
          <w:tcPr>
            <w:tcW w:w="3271" w:type="dxa"/>
            <w:tcBorders>
              <w:top w:val="single" w:sz="4" w:space="0" w:color="auto"/>
              <w:left w:val="nil"/>
              <w:bottom w:val="nil"/>
              <w:right w:val="single" w:sz="4" w:space="0" w:color="000000"/>
            </w:tcBorders>
          </w:tcPr>
          <w:p w14:paraId="54D9322E" w14:textId="77777777" w:rsidR="00E47756" w:rsidRPr="00E47756" w:rsidRDefault="00E47756" w:rsidP="00E47756">
            <w:pPr>
              <w:spacing w:after="0" w:line="240" w:lineRule="auto"/>
              <w:ind w:left="57" w:right="57"/>
              <w:rPr>
                <w:sz w:val="20"/>
              </w:rPr>
            </w:pPr>
            <w:r w:rsidRPr="00E47756">
              <w:rPr>
                <w:b/>
                <w:sz w:val="20"/>
              </w:rPr>
              <w:t>revízia smernice Rady, ktorou sa ustanovujú podrobnosti uplatňovania volebného práva občanov Únie v komunálnych voľbách v členskom štáte, ktorého nie sú štátnymi príslušníkmi</w:t>
            </w:r>
            <w:r w:rsidRPr="00E47756">
              <w:rPr>
                <w:sz w:val="20"/>
              </w:rPr>
              <w:t xml:space="preserve"> (legislatívna iniciatíva vrátane posúdenia vplyvu, článok 22 ZFEÚ, 4. štvrťrok 2021); </w:t>
            </w:r>
          </w:p>
          <w:p w14:paraId="2B66F1EB" w14:textId="77777777" w:rsidR="00E47756" w:rsidRPr="00E47756" w:rsidRDefault="00E47756" w:rsidP="00E47756">
            <w:pPr>
              <w:spacing w:after="0" w:line="240" w:lineRule="auto"/>
              <w:ind w:left="57" w:right="57"/>
            </w:pPr>
          </w:p>
        </w:tc>
        <w:tc>
          <w:tcPr>
            <w:tcW w:w="1975" w:type="dxa"/>
            <w:tcBorders>
              <w:top w:val="single" w:sz="4" w:space="0" w:color="auto"/>
              <w:left w:val="nil"/>
              <w:bottom w:val="nil"/>
              <w:right w:val="single" w:sz="4" w:space="0" w:color="000000"/>
            </w:tcBorders>
          </w:tcPr>
          <w:p w14:paraId="275B8ABB" w14:textId="77777777" w:rsidR="00E47756" w:rsidRPr="00E47756" w:rsidRDefault="00E47756" w:rsidP="00E47756">
            <w:pPr>
              <w:spacing w:after="0" w:line="240" w:lineRule="auto"/>
              <w:ind w:left="57" w:right="57"/>
              <w:jc w:val="center"/>
              <w:rPr>
                <w:b/>
                <w:sz w:val="20"/>
              </w:rPr>
            </w:pPr>
            <w:r w:rsidRPr="00E47756">
              <w:rPr>
                <w:b/>
                <w:sz w:val="20"/>
              </w:rPr>
              <w:t>MV SR</w:t>
            </w:r>
          </w:p>
        </w:tc>
        <w:tc>
          <w:tcPr>
            <w:tcW w:w="5776" w:type="dxa"/>
            <w:tcBorders>
              <w:top w:val="single" w:sz="4" w:space="0" w:color="auto"/>
              <w:left w:val="nil"/>
              <w:bottom w:val="nil"/>
              <w:right w:val="single" w:sz="4" w:space="0" w:color="000000"/>
            </w:tcBorders>
          </w:tcPr>
          <w:p w14:paraId="7DE5F0E9" w14:textId="77777777" w:rsidR="00E47756" w:rsidRPr="00E47756" w:rsidRDefault="00E47756" w:rsidP="00E47756">
            <w:pPr>
              <w:spacing w:after="0" w:line="240" w:lineRule="auto"/>
              <w:ind w:left="57" w:right="57"/>
              <w:rPr>
                <w:b/>
                <w:sz w:val="20"/>
              </w:rPr>
            </w:pPr>
            <w:r w:rsidRPr="00E47756">
              <w:rPr>
                <w:b/>
                <w:sz w:val="20"/>
                <w:u w:val="single"/>
              </w:rPr>
              <w:t>Stredná priorita</w:t>
            </w:r>
            <w:r w:rsidRPr="00E47756">
              <w:rPr>
                <w:sz w:val="20"/>
              </w:rPr>
              <w:t xml:space="preserve"> – Komisia navrhne zlepšenie volebných práv mobilných Európanov. Z pohľadu SR aktuálne nepredpokladáme problematický obsah, konečné stanovisko bude známe po predložení návrhov.</w:t>
            </w:r>
          </w:p>
        </w:tc>
      </w:tr>
      <w:tr w:rsidR="00E47756" w:rsidRPr="00E47756" w14:paraId="20E66102" w14:textId="77777777" w:rsidTr="00A4393C">
        <w:trPr>
          <w:trHeight w:val="509"/>
        </w:trPr>
        <w:tc>
          <w:tcPr>
            <w:tcW w:w="457" w:type="dxa"/>
            <w:tcBorders>
              <w:top w:val="nil"/>
              <w:left w:val="single" w:sz="4" w:space="0" w:color="000000"/>
              <w:bottom w:val="single" w:sz="4" w:space="0" w:color="000000"/>
              <w:right w:val="single" w:sz="4" w:space="0" w:color="000000"/>
            </w:tcBorders>
          </w:tcPr>
          <w:p w14:paraId="43920E03" w14:textId="77777777" w:rsidR="00E47756" w:rsidRPr="00E47756" w:rsidRDefault="00E47756" w:rsidP="00E47756">
            <w:pPr>
              <w:spacing w:after="0" w:line="240" w:lineRule="auto"/>
              <w:ind w:left="57" w:right="57"/>
            </w:pPr>
          </w:p>
        </w:tc>
        <w:tc>
          <w:tcPr>
            <w:tcW w:w="2857" w:type="dxa"/>
            <w:tcBorders>
              <w:top w:val="nil"/>
              <w:left w:val="single" w:sz="4" w:space="0" w:color="000000"/>
              <w:bottom w:val="single" w:sz="4" w:space="0" w:color="000000"/>
              <w:right w:val="single" w:sz="4" w:space="0" w:color="000000"/>
            </w:tcBorders>
          </w:tcPr>
          <w:p w14:paraId="553056CA" w14:textId="77777777" w:rsidR="00E47756" w:rsidRPr="00E47756" w:rsidRDefault="00E47756" w:rsidP="00E47756">
            <w:pPr>
              <w:spacing w:after="0" w:line="240" w:lineRule="auto"/>
              <w:ind w:left="57" w:right="57"/>
            </w:pPr>
          </w:p>
        </w:tc>
        <w:tc>
          <w:tcPr>
            <w:tcW w:w="286" w:type="dxa"/>
            <w:tcBorders>
              <w:top w:val="nil"/>
              <w:left w:val="single" w:sz="4" w:space="0" w:color="000000"/>
              <w:bottom w:val="single" w:sz="4" w:space="0" w:color="000000"/>
              <w:right w:val="nil"/>
            </w:tcBorders>
          </w:tcPr>
          <w:p w14:paraId="3A7E6B16" w14:textId="77777777" w:rsidR="00E47756" w:rsidRPr="00E47756" w:rsidRDefault="00E47756" w:rsidP="00E47756">
            <w:pPr>
              <w:spacing w:after="0" w:line="240" w:lineRule="auto"/>
              <w:ind w:left="57" w:right="57"/>
            </w:pPr>
            <w:r w:rsidRPr="00E47756">
              <w:rPr>
                <w:sz w:val="20"/>
              </w:rPr>
              <w:t>e)</w:t>
            </w:r>
            <w:r w:rsidRPr="00E47756">
              <w:rPr>
                <w:rFonts w:ascii="Arial" w:hAnsi="Arial" w:cs="Arial"/>
                <w:sz w:val="20"/>
              </w:rPr>
              <w:t xml:space="preserve"> </w:t>
            </w:r>
          </w:p>
        </w:tc>
        <w:tc>
          <w:tcPr>
            <w:tcW w:w="3271" w:type="dxa"/>
            <w:tcBorders>
              <w:top w:val="nil"/>
              <w:left w:val="nil"/>
              <w:bottom w:val="single" w:sz="4" w:space="0" w:color="000000"/>
              <w:right w:val="single" w:sz="4" w:space="0" w:color="000000"/>
            </w:tcBorders>
          </w:tcPr>
          <w:p w14:paraId="1EDEED75" w14:textId="77777777" w:rsidR="00E47756" w:rsidRPr="00E47756" w:rsidRDefault="00E47756" w:rsidP="00E47756">
            <w:pPr>
              <w:spacing w:after="0" w:line="240" w:lineRule="auto"/>
              <w:ind w:left="57" w:right="57"/>
            </w:pPr>
            <w:r w:rsidRPr="00E47756">
              <w:rPr>
                <w:b/>
                <w:sz w:val="20"/>
              </w:rPr>
              <w:t>iniciatíva proti zneužitiu konania zameraného na novinárov a obhajcov ľudských práv</w:t>
            </w:r>
            <w:r w:rsidRPr="00E47756">
              <w:rPr>
                <w:sz w:val="20"/>
              </w:rPr>
              <w:t xml:space="preserve"> (legislatívna alebo nelegislatívna iniciatíva, 4. štvrťrok 2021). </w:t>
            </w:r>
          </w:p>
        </w:tc>
        <w:tc>
          <w:tcPr>
            <w:tcW w:w="1975" w:type="dxa"/>
            <w:tcBorders>
              <w:top w:val="nil"/>
              <w:left w:val="nil"/>
              <w:bottom w:val="single" w:sz="4" w:space="0" w:color="000000"/>
              <w:right w:val="single" w:sz="4" w:space="0" w:color="000000"/>
            </w:tcBorders>
            <w:shd w:val="clear" w:color="auto" w:fill="auto"/>
          </w:tcPr>
          <w:p w14:paraId="69485966" w14:textId="77777777" w:rsidR="00A4393C" w:rsidRDefault="00A4393C" w:rsidP="00A4393C">
            <w:pPr>
              <w:spacing w:after="0" w:line="240" w:lineRule="auto"/>
              <w:ind w:left="57" w:right="57"/>
              <w:jc w:val="center"/>
              <w:rPr>
                <w:b/>
                <w:sz w:val="20"/>
              </w:rPr>
            </w:pPr>
            <w:r w:rsidRPr="00A4393C">
              <w:rPr>
                <w:b/>
                <w:color w:val="auto"/>
                <w:sz w:val="20"/>
              </w:rPr>
              <w:t>MS SR</w:t>
            </w:r>
            <w:r w:rsidRPr="00A4393C">
              <w:rPr>
                <w:b/>
                <w:sz w:val="20"/>
              </w:rPr>
              <w:t xml:space="preserve"> </w:t>
            </w:r>
          </w:p>
          <w:p w14:paraId="179A8B3A" w14:textId="7871B21A" w:rsidR="00E47756" w:rsidRDefault="00E47756" w:rsidP="00A4393C">
            <w:pPr>
              <w:spacing w:after="0" w:line="240" w:lineRule="auto"/>
              <w:ind w:left="57" w:right="57"/>
              <w:jc w:val="center"/>
              <w:rPr>
                <w:b/>
                <w:sz w:val="20"/>
              </w:rPr>
            </w:pPr>
            <w:r w:rsidRPr="00A4393C">
              <w:rPr>
                <w:b/>
                <w:sz w:val="20"/>
              </w:rPr>
              <w:t>MV SR</w:t>
            </w:r>
          </w:p>
          <w:p w14:paraId="3CCA7653" w14:textId="1E639EDA" w:rsidR="00C944DC" w:rsidRPr="00A4393C" w:rsidRDefault="00C944DC" w:rsidP="00A4393C">
            <w:pPr>
              <w:spacing w:after="0" w:line="240" w:lineRule="auto"/>
              <w:ind w:left="57" w:right="57"/>
              <w:jc w:val="center"/>
              <w:rPr>
                <w:b/>
                <w:sz w:val="20"/>
              </w:rPr>
            </w:pPr>
            <w:r>
              <w:rPr>
                <w:b/>
                <w:sz w:val="20"/>
              </w:rPr>
              <w:t>MK SR</w:t>
            </w:r>
          </w:p>
          <w:p w14:paraId="1EDBFC80" w14:textId="77777777" w:rsidR="00E47756" w:rsidRPr="00291238" w:rsidRDefault="00E47756" w:rsidP="00A4393C">
            <w:pPr>
              <w:spacing w:after="0" w:line="240" w:lineRule="auto"/>
              <w:ind w:left="57" w:right="57"/>
              <w:jc w:val="center"/>
              <w:rPr>
                <w:b/>
                <w:sz w:val="20"/>
                <w:highlight w:val="yellow"/>
              </w:rPr>
            </w:pPr>
          </w:p>
        </w:tc>
        <w:tc>
          <w:tcPr>
            <w:tcW w:w="5776" w:type="dxa"/>
            <w:tcBorders>
              <w:top w:val="nil"/>
              <w:left w:val="nil"/>
              <w:bottom w:val="single" w:sz="4" w:space="0" w:color="000000"/>
              <w:right w:val="single" w:sz="4" w:space="0" w:color="000000"/>
            </w:tcBorders>
          </w:tcPr>
          <w:p w14:paraId="1E747A63" w14:textId="77777777" w:rsidR="00C944DC" w:rsidRDefault="00C944DC" w:rsidP="00E47756">
            <w:pPr>
              <w:spacing w:after="0" w:line="240" w:lineRule="auto"/>
              <w:ind w:left="57" w:right="57"/>
              <w:rPr>
                <w:sz w:val="20"/>
              </w:rPr>
            </w:pPr>
            <w:r w:rsidRPr="00E47756">
              <w:rPr>
                <w:b/>
                <w:sz w:val="20"/>
                <w:u w:val="single"/>
              </w:rPr>
              <w:t>Stredná priorita</w:t>
            </w:r>
            <w:r w:rsidRPr="00E47756">
              <w:rPr>
                <w:sz w:val="20"/>
              </w:rPr>
              <w:t xml:space="preserve"> </w:t>
            </w:r>
          </w:p>
          <w:p w14:paraId="78727876" w14:textId="0E52EDAB" w:rsidR="00E47756" w:rsidRPr="00A4393C" w:rsidRDefault="00A4393C" w:rsidP="00E47756">
            <w:pPr>
              <w:spacing w:after="0" w:line="240" w:lineRule="auto"/>
              <w:ind w:left="57" w:right="57"/>
              <w:rPr>
                <w:sz w:val="20"/>
              </w:rPr>
            </w:pPr>
            <w:r w:rsidRPr="00A4393C">
              <w:rPr>
                <w:sz w:val="20"/>
              </w:rPr>
              <w:t>Konečné</w:t>
            </w:r>
            <w:r>
              <w:rPr>
                <w:sz w:val="20"/>
              </w:rPr>
              <w:t xml:space="preserve"> stanovisko ohľadom </w:t>
            </w:r>
            <w:proofErr w:type="spellStart"/>
            <w:r>
              <w:rPr>
                <w:sz w:val="20"/>
              </w:rPr>
              <w:t>gestorstva</w:t>
            </w:r>
            <w:proofErr w:type="spellEnd"/>
            <w:r>
              <w:rPr>
                <w:sz w:val="20"/>
              </w:rPr>
              <w:t xml:space="preserve"> bude určené po predložení danej inici</w:t>
            </w:r>
            <w:r w:rsidR="00C944DC">
              <w:rPr>
                <w:sz w:val="20"/>
              </w:rPr>
              <w:t>atívy, v závislosti od jej obsahu.</w:t>
            </w:r>
          </w:p>
          <w:p w14:paraId="5A844F63" w14:textId="77777777" w:rsidR="00E47756" w:rsidRPr="00291238" w:rsidRDefault="00E47756" w:rsidP="00E47756">
            <w:pPr>
              <w:spacing w:after="0" w:line="240" w:lineRule="auto"/>
              <w:ind w:right="57"/>
              <w:rPr>
                <w:b/>
                <w:sz w:val="20"/>
                <w:highlight w:val="yellow"/>
              </w:rPr>
            </w:pPr>
          </w:p>
        </w:tc>
      </w:tr>
      <w:tr w:rsidR="00E47756" w:rsidRPr="00E47756" w14:paraId="267795E8" w14:textId="77777777" w:rsidTr="001A4016">
        <w:trPr>
          <w:trHeight w:val="295"/>
        </w:trPr>
        <w:tc>
          <w:tcPr>
            <w:tcW w:w="457" w:type="dxa"/>
            <w:tcBorders>
              <w:top w:val="single" w:sz="4" w:space="0" w:color="000000"/>
              <w:left w:val="single" w:sz="4" w:space="0" w:color="000000"/>
              <w:bottom w:val="single" w:sz="4" w:space="0" w:color="000000"/>
              <w:right w:val="single" w:sz="4" w:space="0" w:color="000000"/>
            </w:tcBorders>
          </w:tcPr>
          <w:p w14:paraId="41244D9D" w14:textId="77777777" w:rsidR="00E47756" w:rsidRPr="00E47756" w:rsidRDefault="00E47756" w:rsidP="00E47756">
            <w:pPr>
              <w:spacing w:after="0" w:line="240" w:lineRule="auto"/>
              <w:ind w:left="57" w:right="57"/>
            </w:pPr>
            <w:r w:rsidRPr="00E47756">
              <w:rPr>
                <w:sz w:val="20"/>
              </w:rPr>
              <w:t>43.</w:t>
            </w:r>
            <w:r w:rsidRPr="00E47756">
              <w:rPr>
                <w:rFonts w:ascii="Arial" w:hAnsi="Arial" w:cs="Arial"/>
                <w:sz w:val="20"/>
              </w:rPr>
              <w:t xml:space="preserve"> </w:t>
            </w:r>
            <w:r w:rsidRPr="00E47756">
              <w:rPr>
                <w:sz w:val="2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8C2493E" w14:textId="77777777" w:rsidR="00E47756" w:rsidRPr="00E47756" w:rsidRDefault="00E47756" w:rsidP="00E47756">
            <w:pPr>
              <w:spacing w:after="0" w:line="240" w:lineRule="auto"/>
              <w:ind w:left="57" w:right="57"/>
            </w:pPr>
            <w:r w:rsidRPr="00E47756">
              <w:rPr>
                <w:b/>
                <w:sz w:val="20"/>
              </w:rPr>
              <w:t xml:space="preserve">Dlhodobá vízia pre vidiecke oblasti </w:t>
            </w:r>
          </w:p>
        </w:tc>
        <w:tc>
          <w:tcPr>
            <w:tcW w:w="3557" w:type="dxa"/>
            <w:gridSpan w:val="2"/>
            <w:tcBorders>
              <w:top w:val="single" w:sz="4" w:space="0" w:color="000000"/>
              <w:left w:val="single" w:sz="4" w:space="0" w:color="000000"/>
              <w:bottom w:val="single" w:sz="4" w:space="0" w:color="000000"/>
              <w:right w:val="single" w:sz="4" w:space="0" w:color="000000"/>
            </w:tcBorders>
          </w:tcPr>
          <w:p w14:paraId="408094C2" w14:textId="77777777" w:rsidR="00E47756" w:rsidRPr="00E47756" w:rsidRDefault="00E47756" w:rsidP="00E47756">
            <w:pPr>
              <w:spacing w:after="0" w:line="240" w:lineRule="auto"/>
              <w:ind w:left="57" w:right="57"/>
            </w:pPr>
            <w:r w:rsidRPr="00E47756">
              <w:rPr>
                <w:b/>
                <w:sz w:val="20"/>
              </w:rPr>
              <w:t>oznámenie o dlhodobej vízii pre vidiecke oblasti</w:t>
            </w:r>
            <w:r w:rsidRPr="00E47756">
              <w:rPr>
                <w:sz w:val="20"/>
              </w:rPr>
              <w:t xml:space="preserve"> (nelegislatívna iniciatíva, 2. štvrťrok 2021) </w:t>
            </w:r>
          </w:p>
        </w:tc>
        <w:tc>
          <w:tcPr>
            <w:tcW w:w="1975" w:type="dxa"/>
            <w:tcBorders>
              <w:top w:val="single" w:sz="4" w:space="0" w:color="000000"/>
              <w:left w:val="single" w:sz="4" w:space="0" w:color="000000"/>
              <w:bottom w:val="single" w:sz="4" w:space="0" w:color="000000"/>
              <w:right w:val="single" w:sz="4" w:space="0" w:color="000000"/>
            </w:tcBorders>
          </w:tcPr>
          <w:p w14:paraId="1FD7AA06" w14:textId="77777777" w:rsidR="00E47756" w:rsidRPr="00E47756" w:rsidRDefault="00E47756" w:rsidP="00E47756">
            <w:pPr>
              <w:spacing w:after="0" w:line="240" w:lineRule="auto"/>
              <w:ind w:left="57" w:right="57"/>
              <w:jc w:val="center"/>
              <w:rPr>
                <w:b/>
                <w:sz w:val="20"/>
              </w:rPr>
            </w:pPr>
            <w:r w:rsidRPr="00E47756">
              <w:rPr>
                <w:b/>
                <w:color w:val="auto"/>
                <w:sz w:val="20"/>
              </w:rPr>
              <w:t>MPRV SR</w:t>
            </w:r>
          </w:p>
        </w:tc>
        <w:tc>
          <w:tcPr>
            <w:tcW w:w="5776" w:type="dxa"/>
            <w:tcBorders>
              <w:top w:val="single" w:sz="4" w:space="0" w:color="000000"/>
              <w:left w:val="single" w:sz="4" w:space="0" w:color="000000"/>
              <w:bottom w:val="single" w:sz="4" w:space="0" w:color="000000"/>
              <w:right w:val="single" w:sz="4" w:space="0" w:color="000000"/>
            </w:tcBorders>
          </w:tcPr>
          <w:p w14:paraId="081EF3B2" w14:textId="0AAFE622" w:rsidR="00E47756" w:rsidRPr="00893518" w:rsidRDefault="00E47756" w:rsidP="00893518">
            <w:pPr>
              <w:spacing w:after="0" w:line="240" w:lineRule="auto"/>
              <w:ind w:left="57" w:right="57"/>
              <w:rPr>
                <w:sz w:val="20"/>
              </w:rPr>
            </w:pPr>
            <w:r w:rsidRPr="00E47756">
              <w:rPr>
                <w:b/>
                <w:sz w:val="20"/>
                <w:u w:val="single"/>
              </w:rPr>
              <w:t>Stredná priorita</w:t>
            </w:r>
            <w:r w:rsidRPr="00E47756">
              <w:rPr>
                <w:sz w:val="20"/>
              </w:rPr>
              <w:t xml:space="preserve"> – Podpora a rozvoj vidieckych oblastí je pre nás dlhodobou prioritou.  Z pohľadu SR je však nevyhnutné pripomenúť, že pokiaľ ide o rozvoj vidieckych oblastí a stanovenie dlhodobej vízie pre tieto oblasti, jedná sa o prierezovú iniciatívu, kde je nevyhnutná podpora a spolupráca viacerých politík EÚ („Rôzne politiky EÚ v súčasnosti podporujú a zohrávajú dôležitú úlohu vo vidieckych oblastiach, a preto budú kľúčové aj pre rozvoj dlhodobej vízie pre vidiek. Patria sem spoločná poľnohospodárska politika, regionálna </w:t>
            </w:r>
            <w:r w:rsidRPr="00E47756">
              <w:rPr>
                <w:sz w:val="20"/>
              </w:rPr>
              <w:lastRenderedPageBreak/>
              <w:t>politika, politika súdržnosti, sociálna politika i politiky EÚ v oblasti energetiky, dopravy, prepojiteľnosti, životného prostredia prostredím alebo klímy.“)</w:t>
            </w:r>
          </w:p>
        </w:tc>
      </w:tr>
      <w:tr w:rsidR="00E47756" w:rsidRPr="00E47756" w14:paraId="543FA30B" w14:textId="77777777" w:rsidTr="001A4016">
        <w:trPr>
          <w:trHeight w:val="430"/>
        </w:trPr>
        <w:tc>
          <w:tcPr>
            <w:tcW w:w="457" w:type="dxa"/>
            <w:tcBorders>
              <w:top w:val="single" w:sz="4" w:space="0" w:color="000000"/>
              <w:left w:val="single" w:sz="4" w:space="0" w:color="000000"/>
              <w:bottom w:val="single" w:sz="4" w:space="0" w:color="000000"/>
              <w:right w:val="single" w:sz="4" w:space="0" w:color="000000"/>
            </w:tcBorders>
          </w:tcPr>
          <w:p w14:paraId="54BEBF7E" w14:textId="77777777" w:rsidR="00E47756" w:rsidRPr="00E47756" w:rsidRDefault="00E47756" w:rsidP="00E47756">
            <w:pPr>
              <w:spacing w:after="0" w:line="240" w:lineRule="auto"/>
              <w:ind w:left="57" w:right="57"/>
            </w:pPr>
            <w:r w:rsidRPr="00E47756">
              <w:rPr>
                <w:sz w:val="20"/>
              </w:rPr>
              <w:lastRenderedPageBreak/>
              <w:t>44.</w:t>
            </w:r>
            <w:r w:rsidRPr="00E47756">
              <w:rPr>
                <w:rFonts w:ascii="Arial" w:hAnsi="Arial" w:cs="Arial"/>
                <w:sz w:val="20"/>
              </w:rPr>
              <w:t xml:space="preserve"> </w:t>
            </w:r>
            <w:r w:rsidRPr="00E47756">
              <w:rPr>
                <w:sz w:val="2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4C5394A" w14:textId="77777777" w:rsidR="00E47756" w:rsidRPr="00E47756" w:rsidRDefault="00E47756" w:rsidP="00E47756">
            <w:pPr>
              <w:spacing w:after="0" w:line="240" w:lineRule="auto"/>
              <w:ind w:left="57" w:right="57"/>
            </w:pPr>
            <w:r w:rsidRPr="00E47756">
              <w:rPr>
                <w:b/>
                <w:sz w:val="20"/>
              </w:rPr>
              <w:t xml:space="preserve">Stratégia EÚ pre oblasť zdravotného postihnutia </w:t>
            </w:r>
          </w:p>
        </w:tc>
        <w:tc>
          <w:tcPr>
            <w:tcW w:w="3557" w:type="dxa"/>
            <w:gridSpan w:val="2"/>
            <w:tcBorders>
              <w:top w:val="single" w:sz="4" w:space="0" w:color="000000"/>
              <w:left w:val="single" w:sz="4" w:space="0" w:color="000000"/>
              <w:bottom w:val="single" w:sz="4" w:space="0" w:color="000000"/>
              <w:right w:val="single" w:sz="4" w:space="0" w:color="000000"/>
            </w:tcBorders>
          </w:tcPr>
          <w:p w14:paraId="0D3390AC" w14:textId="77777777" w:rsidR="00E47756" w:rsidRPr="00E47756" w:rsidRDefault="00E47756" w:rsidP="00E47756">
            <w:pPr>
              <w:spacing w:after="0" w:line="240" w:lineRule="auto"/>
              <w:ind w:left="57" w:right="57"/>
            </w:pPr>
            <w:r w:rsidRPr="00E47756">
              <w:rPr>
                <w:b/>
                <w:sz w:val="20"/>
              </w:rPr>
              <w:t xml:space="preserve">stratégia v oblasti práv osôb so zdravotným postihnutím </w:t>
            </w:r>
            <w:r w:rsidRPr="00E47756">
              <w:rPr>
                <w:sz w:val="20"/>
              </w:rPr>
              <w:t xml:space="preserve">(nelegislatívna iniciatíva, 1. štvrťrok 2021) </w:t>
            </w:r>
          </w:p>
        </w:tc>
        <w:tc>
          <w:tcPr>
            <w:tcW w:w="1975" w:type="dxa"/>
            <w:tcBorders>
              <w:top w:val="single" w:sz="4" w:space="0" w:color="000000"/>
              <w:left w:val="single" w:sz="4" w:space="0" w:color="000000"/>
              <w:bottom w:val="single" w:sz="4" w:space="0" w:color="000000"/>
              <w:right w:val="single" w:sz="4" w:space="0" w:color="000000"/>
            </w:tcBorders>
          </w:tcPr>
          <w:p w14:paraId="0E41C039" w14:textId="77777777" w:rsidR="00E47756" w:rsidRPr="00E47756" w:rsidRDefault="00E47756" w:rsidP="00E47756">
            <w:pPr>
              <w:spacing w:after="0" w:line="240" w:lineRule="auto"/>
              <w:ind w:left="57" w:right="57"/>
              <w:jc w:val="center"/>
              <w:rPr>
                <w:b/>
                <w:sz w:val="20"/>
                <w:szCs w:val="20"/>
              </w:rPr>
            </w:pPr>
            <w:r w:rsidRPr="00E47756">
              <w:rPr>
                <w:b/>
                <w:sz w:val="20"/>
                <w:szCs w:val="20"/>
              </w:rPr>
              <w:t xml:space="preserve">MPSVR SR </w:t>
            </w:r>
          </w:p>
          <w:p w14:paraId="0B7804DB" w14:textId="77777777" w:rsidR="00E47756" w:rsidRPr="00E47756" w:rsidRDefault="00E47756" w:rsidP="00E47756">
            <w:pPr>
              <w:spacing w:after="0" w:line="240" w:lineRule="auto"/>
              <w:ind w:left="57" w:right="57"/>
              <w:jc w:val="center"/>
              <w:rPr>
                <w:sz w:val="20"/>
              </w:rPr>
            </w:pPr>
            <w:r w:rsidRPr="00E47756">
              <w:rPr>
                <w:b/>
                <w:sz w:val="20"/>
                <w:szCs w:val="20"/>
              </w:rPr>
              <w:t>ŠÚ SR</w:t>
            </w:r>
            <w:r w:rsidRPr="00E47756">
              <w:rPr>
                <w:sz w:val="20"/>
              </w:rPr>
              <w:t xml:space="preserve"> </w:t>
            </w:r>
          </w:p>
        </w:tc>
        <w:tc>
          <w:tcPr>
            <w:tcW w:w="5776" w:type="dxa"/>
            <w:tcBorders>
              <w:top w:val="single" w:sz="4" w:space="0" w:color="000000"/>
              <w:left w:val="single" w:sz="4" w:space="0" w:color="000000"/>
              <w:bottom w:val="single" w:sz="4" w:space="0" w:color="000000"/>
              <w:right w:val="single" w:sz="4" w:space="0" w:color="000000"/>
            </w:tcBorders>
          </w:tcPr>
          <w:p w14:paraId="165EF73D" w14:textId="77777777" w:rsidR="00E47756" w:rsidRPr="00E47756" w:rsidRDefault="00E47756" w:rsidP="00E47756">
            <w:pPr>
              <w:spacing w:after="0" w:line="240" w:lineRule="auto"/>
              <w:ind w:left="57" w:right="57"/>
              <w:rPr>
                <w:bCs/>
                <w:sz w:val="20"/>
                <w:szCs w:val="20"/>
              </w:rPr>
            </w:pPr>
            <w:r w:rsidRPr="00E47756">
              <w:rPr>
                <w:b/>
                <w:bCs/>
                <w:sz w:val="20"/>
                <w:szCs w:val="20"/>
                <w:u w:val="single"/>
              </w:rPr>
              <w:t>Stredná priorita</w:t>
            </w:r>
            <w:r w:rsidRPr="00E47756">
              <w:rPr>
                <w:sz w:val="20"/>
              </w:rPr>
              <w:t xml:space="preserve"> – </w:t>
            </w:r>
            <w:r w:rsidRPr="00E47756">
              <w:rPr>
                <w:bCs/>
                <w:sz w:val="20"/>
                <w:szCs w:val="20"/>
              </w:rPr>
              <w:t xml:space="preserve">Hlavný strategický dokument EÚ v oblasti </w:t>
            </w:r>
            <w:r w:rsidRPr="00E47756">
              <w:rPr>
                <w:sz w:val="20"/>
                <w:szCs w:val="20"/>
              </w:rPr>
              <w:t>práv osôb so zdravotným postihnutím</w:t>
            </w:r>
            <w:r w:rsidRPr="00E47756">
              <w:rPr>
                <w:bCs/>
                <w:sz w:val="20"/>
                <w:szCs w:val="20"/>
              </w:rPr>
              <w:t>, ktorý nadviaže na dobiehajúcu stratégiu rámcovanú rokmi 2010 – 2020.Nová stratégia z dielne EK na roky 2021 – 2030 by mala byť predlohou na vypracovanie národných stratégií ČŠ a jej akčných programov. Malo by ísť o nekontroverznú iniciatívu, pozitívne vnímanú aj z pohľadu SR. PT PRES pripraví k téme novej EÚ stratégie zdravotného postihnutia aj svoje závery Rady a takisto aj konferenciu na vysokej úrovni.</w:t>
            </w:r>
          </w:p>
        </w:tc>
      </w:tr>
    </w:tbl>
    <w:p w14:paraId="285ECC91" w14:textId="77777777" w:rsidR="00E47756" w:rsidRPr="00E47756" w:rsidRDefault="00E47756" w:rsidP="00E47756">
      <w:pPr>
        <w:spacing w:after="0"/>
        <w:rPr>
          <w:rFonts w:cs="Times New Roman"/>
        </w:rPr>
      </w:pPr>
      <w:r w:rsidRPr="00E47756">
        <w:rPr>
          <w:rFonts w:cs="Times New Roman"/>
        </w:rPr>
        <w:t xml:space="preserve"> </w:t>
      </w:r>
      <w:r w:rsidRPr="00E47756">
        <w:rPr>
          <w:rFonts w:cs="Times New Roman"/>
        </w:rPr>
        <w:tab/>
        <w:t xml:space="preserve"> </w:t>
      </w:r>
    </w:p>
    <w:p w14:paraId="57DA9BE9" w14:textId="77777777" w:rsidR="00E47756" w:rsidRPr="00E47756" w:rsidRDefault="00E47756" w:rsidP="00E47756">
      <w:pPr>
        <w:spacing w:after="0"/>
        <w:rPr>
          <w:rFonts w:cs="Times New Roman"/>
        </w:rPr>
      </w:pPr>
    </w:p>
    <w:p w14:paraId="789C0D30" w14:textId="77777777" w:rsidR="00E47756" w:rsidRPr="00E47756" w:rsidRDefault="00E47756" w:rsidP="00E47756">
      <w:pPr>
        <w:spacing w:after="0"/>
      </w:pPr>
    </w:p>
    <w:p w14:paraId="15B2D896" w14:textId="77777777" w:rsidR="00E47756" w:rsidRPr="00E47756" w:rsidRDefault="00E47756" w:rsidP="00E47756">
      <w:pPr>
        <w:spacing w:after="318"/>
        <w:ind w:left="10" w:right="253" w:hanging="10"/>
        <w:jc w:val="center"/>
        <w:rPr>
          <w:rFonts w:cs="Times New Roman"/>
          <w:b/>
          <w:sz w:val="28"/>
          <w:u w:val="single" w:color="000000"/>
        </w:rPr>
      </w:pPr>
    </w:p>
    <w:p w14:paraId="092BA692" w14:textId="77777777" w:rsidR="00E47756" w:rsidRDefault="00E47756" w:rsidP="00E47756">
      <w:pPr>
        <w:spacing w:after="318"/>
        <w:ind w:left="10" w:right="253" w:hanging="10"/>
        <w:jc w:val="center"/>
        <w:rPr>
          <w:rFonts w:cs="Times New Roman"/>
          <w:b/>
          <w:sz w:val="28"/>
          <w:u w:val="single" w:color="000000"/>
        </w:rPr>
      </w:pPr>
    </w:p>
    <w:p w14:paraId="6AA1EBBB" w14:textId="38200622" w:rsidR="00A41E9A" w:rsidRDefault="00A41E9A" w:rsidP="00E47756">
      <w:pPr>
        <w:spacing w:after="318"/>
        <w:ind w:left="10" w:right="253" w:hanging="10"/>
        <w:jc w:val="center"/>
        <w:rPr>
          <w:rFonts w:cs="Times New Roman"/>
          <w:b/>
          <w:sz w:val="28"/>
          <w:u w:val="single" w:color="000000"/>
        </w:rPr>
      </w:pPr>
    </w:p>
    <w:p w14:paraId="3F980B36" w14:textId="2D1DAA7A" w:rsidR="0032116D" w:rsidRDefault="0032116D" w:rsidP="00E47756">
      <w:pPr>
        <w:spacing w:after="318"/>
        <w:ind w:left="10" w:right="253" w:hanging="10"/>
        <w:jc w:val="center"/>
        <w:rPr>
          <w:rFonts w:cs="Times New Roman"/>
          <w:b/>
          <w:sz w:val="28"/>
          <w:u w:val="single" w:color="000000"/>
        </w:rPr>
      </w:pPr>
    </w:p>
    <w:p w14:paraId="6621C656" w14:textId="77777777" w:rsidR="0032116D" w:rsidRDefault="0032116D" w:rsidP="00E47756">
      <w:pPr>
        <w:spacing w:after="318"/>
        <w:ind w:left="10" w:right="253" w:hanging="10"/>
        <w:jc w:val="center"/>
        <w:rPr>
          <w:rFonts w:cs="Times New Roman"/>
          <w:b/>
          <w:sz w:val="28"/>
          <w:u w:val="single" w:color="000000"/>
        </w:rPr>
      </w:pPr>
    </w:p>
    <w:p w14:paraId="60DD43B7" w14:textId="205D9332" w:rsidR="00A41E9A" w:rsidRPr="00E47756" w:rsidRDefault="00A41E9A" w:rsidP="00BE3FD1">
      <w:pPr>
        <w:spacing w:after="318"/>
        <w:ind w:right="253"/>
        <w:rPr>
          <w:rFonts w:cs="Times New Roman"/>
          <w:b/>
          <w:sz w:val="28"/>
          <w:u w:val="single" w:color="000000"/>
        </w:rPr>
      </w:pPr>
    </w:p>
    <w:p w14:paraId="237BBB11" w14:textId="77777777" w:rsidR="00E47756" w:rsidRPr="00E47756" w:rsidRDefault="00E47756" w:rsidP="00E47756">
      <w:pPr>
        <w:spacing w:after="318"/>
        <w:ind w:left="10" w:right="253" w:hanging="10"/>
        <w:jc w:val="center"/>
      </w:pPr>
      <w:r w:rsidRPr="00E47756">
        <w:rPr>
          <w:rFonts w:cs="Times New Roman"/>
          <w:b/>
          <w:sz w:val="28"/>
          <w:u w:val="single" w:color="000000"/>
        </w:rPr>
        <w:lastRenderedPageBreak/>
        <w:t>Príloha II: Iniciatívy v rámci programu REFIT</w:t>
      </w:r>
      <w:r w:rsidRPr="00E47756">
        <w:rPr>
          <w:rFonts w:cs="Times New Roman"/>
          <w:b/>
          <w:sz w:val="28"/>
          <w:vertAlign w:val="superscript"/>
        </w:rPr>
        <w:footnoteReference w:id="2"/>
      </w:r>
      <w:r w:rsidRPr="00E47756">
        <w:rPr>
          <w:rFonts w:cs="Times New Roman"/>
          <w:b/>
          <w:sz w:val="28"/>
        </w:rPr>
        <w:t xml:space="preserve"> </w:t>
      </w:r>
    </w:p>
    <w:tbl>
      <w:tblPr>
        <w:tblStyle w:val="TableGrid1"/>
        <w:tblW w:w="14622" w:type="dxa"/>
        <w:tblInd w:w="-26" w:type="dxa"/>
        <w:tblCellMar>
          <w:top w:w="33" w:type="dxa"/>
          <w:left w:w="26" w:type="dxa"/>
        </w:tblCellMar>
        <w:tblLook w:val="04A0" w:firstRow="1" w:lastRow="0" w:firstColumn="1" w:lastColumn="0" w:noHBand="0" w:noVBand="1"/>
      </w:tblPr>
      <w:tblGrid>
        <w:gridCol w:w="368"/>
        <w:gridCol w:w="3197"/>
        <w:gridCol w:w="3260"/>
        <w:gridCol w:w="2127"/>
        <w:gridCol w:w="5670"/>
      </w:tblGrid>
      <w:tr w:rsidR="00E47756" w:rsidRPr="00E47756" w14:paraId="79B91A40" w14:textId="77777777" w:rsidTr="001A4016">
        <w:trPr>
          <w:trHeight w:val="583"/>
          <w:tblHeader/>
        </w:trPr>
        <w:tc>
          <w:tcPr>
            <w:tcW w:w="368" w:type="dxa"/>
            <w:tcBorders>
              <w:top w:val="single" w:sz="4" w:space="0" w:color="000000"/>
              <w:left w:val="single" w:sz="4" w:space="0" w:color="000000"/>
              <w:bottom w:val="single" w:sz="4" w:space="0" w:color="auto"/>
              <w:right w:val="single" w:sz="4" w:space="0" w:color="000000"/>
            </w:tcBorders>
            <w:shd w:val="clear" w:color="auto" w:fill="99CCFF"/>
            <w:vAlign w:val="center"/>
          </w:tcPr>
          <w:p w14:paraId="5CC4511E" w14:textId="77777777" w:rsidR="00E47756" w:rsidRPr="00E47756" w:rsidRDefault="00E47756" w:rsidP="00E47756">
            <w:pPr>
              <w:ind w:right="32"/>
              <w:jc w:val="center"/>
            </w:pPr>
            <w:r w:rsidRPr="00E47756">
              <w:rPr>
                <w:b/>
                <w:sz w:val="20"/>
              </w:rPr>
              <w:t xml:space="preserve">Č. </w:t>
            </w:r>
          </w:p>
        </w:tc>
        <w:tc>
          <w:tcPr>
            <w:tcW w:w="3197" w:type="dxa"/>
            <w:tcBorders>
              <w:top w:val="single" w:sz="4" w:space="0" w:color="000000"/>
              <w:left w:val="single" w:sz="4" w:space="0" w:color="000000"/>
              <w:bottom w:val="single" w:sz="4" w:space="0" w:color="auto"/>
              <w:right w:val="single" w:sz="4" w:space="0" w:color="000000"/>
            </w:tcBorders>
            <w:shd w:val="clear" w:color="auto" w:fill="99CCFF"/>
            <w:vAlign w:val="center"/>
          </w:tcPr>
          <w:p w14:paraId="7268D2D9" w14:textId="77777777" w:rsidR="00E47756" w:rsidRPr="00E47756" w:rsidRDefault="00E47756" w:rsidP="00E47756">
            <w:pPr>
              <w:ind w:right="26"/>
              <w:jc w:val="center"/>
            </w:pPr>
            <w:r w:rsidRPr="00E47756">
              <w:rPr>
                <w:b/>
                <w:sz w:val="20"/>
              </w:rPr>
              <w:t xml:space="preserve">Názov </w:t>
            </w:r>
          </w:p>
        </w:tc>
        <w:tc>
          <w:tcPr>
            <w:tcW w:w="3260" w:type="dxa"/>
            <w:tcBorders>
              <w:top w:val="single" w:sz="4" w:space="0" w:color="000000"/>
              <w:left w:val="single" w:sz="4" w:space="0" w:color="000000"/>
              <w:bottom w:val="single" w:sz="4" w:space="0" w:color="auto"/>
              <w:right w:val="single" w:sz="4" w:space="0" w:color="000000"/>
            </w:tcBorders>
            <w:shd w:val="clear" w:color="auto" w:fill="99CCFF"/>
          </w:tcPr>
          <w:p w14:paraId="3A6DBEB3" w14:textId="77777777" w:rsidR="00E47756" w:rsidRPr="00E47756" w:rsidRDefault="00E47756" w:rsidP="00E47756">
            <w:pPr>
              <w:jc w:val="center"/>
            </w:pPr>
            <w:r w:rsidRPr="00E47756">
              <w:rPr>
                <w:b/>
                <w:sz w:val="20"/>
              </w:rPr>
              <w:t>Cieľ/potenciál zjednodušenia</w:t>
            </w:r>
            <w:r w:rsidRPr="00E47756">
              <w:rPr>
                <w:sz w:val="20"/>
              </w:rPr>
              <w:t xml:space="preserve"> (stručné vysvetlenie cieľa programu REFIT, pokiaľ ide o revízie, a potenciálu zjednodušenia pre hodnotenia a kontroly vhodnosti)</w:t>
            </w:r>
            <w:r w:rsidRPr="00E47756">
              <w:rPr>
                <w:b/>
                <w:sz w:val="20"/>
              </w:rPr>
              <w:t xml:space="preserve"> </w:t>
            </w:r>
          </w:p>
        </w:tc>
        <w:tc>
          <w:tcPr>
            <w:tcW w:w="2127" w:type="dxa"/>
            <w:tcBorders>
              <w:top w:val="single" w:sz="4" w:space="0" w:color="000000"/>
              <w:left w:val="single" w:sz="4" w:space="0" w:color="000000"/>
              <w:bottom w:val="single" w:sz="4" w:space="0" w:color="auto"/>
              <w:right w:val="single" w:sz="4" w:space="0" w:color="000000"/>
            </w:tcBorders>
            <w:shd w:val="clear" w:color="auto" w:fill="99CCFF"/>
          </w:tcPr>
          <w:p w14:paraId="1F39BA36" w14:textId="77777777" w:rsidR="00E47756" w:rsidRPr="00E47756" w:rsidRDefault="00E47756" w:rsidP="00E47756">
            <w:pPr>
              <w:ind w:right="355"/>
              <w:rPr>
                <w:b/>
                <w:sz w:val="20"/>
              </w:rPr>
            </w:pPr>
          </w:p>
          <w:p w14:paraId="04A973A6" w14:textId="77777777" w:rsidR="00E47756" w:rsidRPr="00E47756" w:rsidRDefault="00E47756" w:rsidP="00E47756">
            <w:pPr>
              <w:ind w:right="355"/>
              <w:jc w:val="center"/>
              <w:rPr>
                <w:b/>
                <w:sz w:val="20"/>
              </w:rPr>
            </w:pPr>
            <w:r w:rsidRPr="00E47756">
              <w:rPr>
                <w:b/>
                <w:sz w:val="20"/>
              </w:rPr>
              <w:t>Gestor</w:t>
            </w:r>
          </w:p>
        </w:tc>
        <w:tc>
          <w:tcPr>
            <w:tcW w:w="5670" w:type="dxa"/>
            <w:tcBorders>
              <w:top w:val="single" w:sz="4" w:space="0" w:color="000000"/>
              <w:left w:val="single" w:sz="4" w:space="0" w:color="000000"/>
              <w:bottom w:val="single" w:sz="4" w:space="0" w:color="auto"/>
              <w:right w:val="single" w:sz="4" w:space="0" w:color="000000"/>
            </w:tcBorders>
            <w:shd w:val="clear" w:color="auto" w:fill="99CCFF"/>
          </w:tcPr>
          <w:p w14:paraId="73C66C76" w14:textId="77777777" w:rsidR="00E47756" w:rsidRPr="00E47756" w:rsidRDefault="00E47756" w:rsidP="00E47756">
            <w:pPr>
              <w:rPr>
                <w:b/>
                <w:sz w:val="20"/>
              </w:rPr>
            </w:pPr>
          </w:p>
          <w:p w14:paraId="1E3BDDCF" w14:textId="77777777" w:rsidR="00E47756" w:rsidRPr="00E47756" w:rsidRDefault="00E47756" w:rsidP="00E47756">
            <w:pPr>
              <w:jc w:val="center"/>
              <w:rPr>
                <w:b/>
                <w:sz w:val="20"/>
              </w:rPr>
            </w:pPr>
            <w:r w:rsidRPr="00E47756">
              <w:rPr>
                <w:b/>
                <w:sz w:val="20"/>
              </w:rPr>
              <w:t>Stupeň priority a pozíciu SR</w:t>
            </w:r>
          </w:p>
        </w:tc>
      </w:tr>
      <w:tr w:rsidR="00E47756" w:rsidRPr="00E47756" w14:paraId="0ECC0CC0" w14:textId="77777777" w:rsidTr="001A4016">
        <w:trPr>
          <w:trHeight w:val="403"/>
        </w:trPr>
        <w:tc>
          <w:tcPr>
            <w:tcW w:w="6825" w:type="dxa"/>
            <w:gridSpan w:val="3"/>
            <w:tcBorders>
              <w:top w:val="single" w:sz="4" w:space="0" w:color="auto"/>
              <w:left w:val="single" w:sz="4" w:space="0" w:color="000000"/>
              <w:bottom w:val="single" w:sz="4" w:space="0" w:color="000000"/>
              <w:right w:val="single" w:sz="4" w:space="0" w:color="000000"/>
            </w:tcBorders>
            <w:shd w:val="clear" w:color="auto" w:fill="9ACA3C"/>
          </w:tcPr>
          <w:p w14:paraId="4D30F11A" w14:textId="77777777" w:rsidR="00E47756" w:rsidRPr="00E47756" w:rsidRDefault="00E47756" w:rsidP="00E47756">
            <w:r w:rsidRPr="00E47756">
              <w:rPr>
                <w:b/>
                <w:color w:val="FFFFFF"/>
                <w:sz w:val="20"/>
              </w:rPr>
              <w:t>Európska zelená dohoda</w:t>
            </w:r>
            <w:r w:rsidRPr="00E47756">
              <w:rPr>
                <w:b/>
                <w:sz w:val="20"/>
              </w:rPr>
              <w:t xml:space="preserve"> </w:t>
            </w:r>
          </w:p>
        </w:tc>
        <w:tc>
          <w:tcPr>
            <w:tcW w:w="2127" w:type="dxa"/>
            <w:tcBorders>
              <w:top w:val="single" w:sz="4" w:space="0" w:color="auto"/>
              <w:left w:val="single" w:sz="4" w:space="0" w:color="000000"/>
              <w:bottom w:val="single" w:sz="4" w:space="0" w:color="000000"/>
              <w:right w:val="single" w:sz="4" w:space="0" w:color="000000"/>
            </w:tcBorders>
            <w:shd w:val="clear" w:color="auto" w:fill="9ACA3C"/>
          </w:tcPr>
          <w:p w14:paraId="699E42FE" w14:textId="77777777" w:rsidR="00E47756" w:rsidRPr="00E47756" w:rsidRDefault="00E47756" w:rsidP="00E47756">
            <w:pPr>
              <w:rPr>
                <w:b/>
                <w:color w:val="FFFFFF"/>
                <w:sz w:val="20"/>
              </w:rPr>
            </w:pPr>
          </w:p>
        </w:tc>
        <w:tc>
          <w:tcPr>
            <w:tcW w:w="5670" w:type="dxa"/>
            <w:tcBorders>
              <w:top w:val="single" w:sz="4" w:space="0" w:color="auto"/>
              <w:left w:val="single" w:sz="4" w:space="0" w:color="000000"/>
              <w:bottom w:val="single" w:sz="4" w:space="0" w:color="000000"/>
              <w:right w:val="single" w:sz="4" w:space="0" w:color="000000"/>
            </w:tcBorders>
            <w:shd w:val="clear" w:color="auto" w:fill="9ACA3C"/>
          </w:tcPr>
          <w:p w14:paraId="777CEE3A" w14:textId="77777777" w:rsidR="00E47756" w:rsidRPr="00E47756" w:rsidRDefault="00E47756" w:rsidP="00E47756">
            <w:pPr>
              <w:rPr>
                <w:b/>
                <w:color w:val="FFFFFF"/>
                <w:sz w:val="20"/>
              </w:rPr>
            </w:pPr>
          </w:p>
        </w:tc>
      </w:tr>
      <w:tr w:rsidR="00E47756" w:rsidRPr="00E47756" w14:paraId="021190DA" w14:textId="77777777" w:rsidTr="000A3081">
        <w:trPr>
          <w:trHeight w:val="241"/>
        </w:trPr>
        <w:tc>
          <w:tcPr>
            <w:tcW w:w="368" w:type="dxa"/>
            <w:tcBorders>
              <w:top w:val="single" w:sz="4" w:space="0" w:color="000000"/>
              <w:left w:val="single" w:sz="4" w:space="0" w:color="000000"/>
              <w:bottom w:val="single" w:sz="4" w:space="0" w:color="000000"/>
              <w:right w:val="single" w:sz="4" w:space="0" w:color="000000"/>
            </w:tcBorders>
          </w:tcPr>
          <w:p w14:paraId="4511E7F5" w14:textId="77777777" w:rsidR="00E47756" w:rsidRPr="00E47756" w:rsidRDefault="00E47756" w:rsidP="00E47756">
            <w:pPr>
              <w:spacing w:after="0" w:line="240" w:lineRule="auto"/>
              <w:ind w:left="57" w:right="57"/>
              <w:jc w:val="center"/>
            </w:pPr>
            <w:r w:rsidRPr="00E47756">
              <w:rPr>
                <w:sz w:val="20"/>
              </w:rPr>
              <w:t>1.</w:t>
            </w:r>
          </w:p>
        </w:tc>
        <w:tc>
          <w:tcPr>
            <w:tcW w:w="3197" w:type="dxa"/>
            <w:tcBorders>
              <w:top w:val="single" w:sz="4" w:space="0" w:color="000000"/>
              <w:left w:val="single" w:sz="4" w:space="0" w:color="000000"/>
              <w:bottom w:val="single" w:sz="4" w:space="0" w:color="000000"/>
              <w:right w:val="single" w:sz="4" w:space="0" w:color="000000"/>
            </w:tcBorders>
          </w:tcPr>
          <w:p w14:paraId="5AFC8369" w14:textId="77777777" w:rsidR="00E47756" w:rsidRPr="00E47756" w:rsidRDefault="00E47756" w:rsidP="00E47756">
            <w:pPr>
              <w:spacing w:after="0" w:line="240" w:lineRule="auto"/>
              <w:ind w:left="57" w:right="57"/>
            </w:pPr>
            <w:r w:rsidRPr="00E47756">
              <w:rPr>
                <w:b/>
                <w:sz w:val="20"/>
              </w:rPr>
              <w:t xml:space="preserve">Revízia zemepisných označení  </w:t>
            </w:r>
          </w:p>
        </w:tc>
        <w:tc>
          <w:tcPr>
            <w:tcW w:w="3260" w:type="dxa"/>
            <w:tcBorders>
              <w:top w:val="single" w:sz="4" w:space="0" w:color="000000"/>
              <w:left w:val="single" w:sz="4" w:space="0" w:color="000000"/>
              <w:bottom w:val="single" w:sz="4" w:space="0" w:color="000000"/>
              <w:right w:val="single" w:sz="4" w:space="0" w:color="000000"/>
            </w:tcBorders>
          </w:tcPr>
          <w:p w14:paraId="244A3215" w14:textId="77777777" w:rsidR="00E47756" w:rsidRPr="00E47756" w:rsidRDefault="00E47756" w:rsidP="00E47756">
            <w:pPr>
              <w:spacing w:after="0" w:line="240" w:lineRule="auto"/>
              <w:ind w:left="57" w:right="57"/>
            </w:pPr>
            <w:r w:rsidRPr="00E47756">
              <w:rPr>
                <w:sz w:val="20"/>
              </w:rPr>
              <w:t xml:space="preserve">Táto revízia posilní zemepisné označenia pre všetky odvetvia poľnohospodárstva, pričom zachová špecifickosti zemepisných označení v sektore vinohradníctva a vinárstva, ako aj sektore liehovín. Základná štruktúra systému zemepisných označení EÚ je spoľahlivá. Návrh: zvýši uplatniteľnosť zemepisných označení pre poľnohospodárov a výrobcov udržateľných výrobkov; zvýši príťažlivosť zemepisných označení najmä pre poľnohospodárov v členských štátoch s „nízkym použitím“; vyplní legislatívne medzery vrátane rozsahu pôsobnosti; zlepší ochranu a presadzovanie, najmä na internete; posilní postavenie skupín výrobcov so zemepisným označením; lepšie zhodnotí systém zemepisného označenia, najmä prostredníctvom používania log zemepisného označenia; zmodernizuje správu registrov zemepisného označenia. </w:t>
            </w:r>
            <w:r w:rsidRPr="00E47756">
              <w:rPr>
                <w:sz w:val="20"/>
              </w:rPr>
              <w:lastRenderedPageBreak/>
              <w:t xml:space="preserve">Systém zaručených tradičných špecialít (ZTŠ), ktorý ani po 28 rokoch nepriniesol výrobcom a spotrebiteľom očakávané výhody, bude nahradený účinnejším a pružnejším mechanizmom označovania spravovaným najmä členskými štátmi, pričom bude poskytovať ochranu na úrovni EÚ prostredníctvom vhodných nástrojov tam, kde to bude potrebné. Navrhovaná iniciatíva zlúči, pokiaľ to bude možné, technické a procesné pravidlá týkajúce sa zemepisných označení, ustanoví jednotný postup registrácie zemepisných označení a digitálne podávanie žiadostí žiadateľmi z krajín EÚ a mimo EÚ s cieľom skrátiť registračné lehoty. Zjednodušený systém sa stane príťažlivejším pre výrobcov, bude zrozumiteľnejší pre spotrebiteľov, a bude sa ľahšie podporovať a viesť k vyšším predajom, keďže sa koncepcia zemepisného označenia stane známejšou. Hodnotenie stále prebieha. </w:t>
            </w:r>
          </w:p>
          <w:p w14:paraId="4D70086D" w14:textId="77777777" w:rsidR="00E47756" w:rsidRPr="00E47756" w:rsidRDefault="00E47756" w:rsidP="00E47756">
            <w:pPr>
              <w:spacing w:after="0" w:line="240" w:lineRule="auto"/>
              <w:ind w:left="57" w:right="57"/>
            </w:pPr>
            <w:r w:rsidRPr="00E47756">
              <w:rPr>
                <w:sz w:val="20"/>
              </w:rPr>
              <w:t xml:space="preserve">Plánované prijatie: 4. štvrťrok 2021; legislatívna iniciatíva; právny základ: články 43 a 118 ZFEÚ. Posúdenie vplyvu sa predpokladá. </w:t>
            </w:r>
          </w:p>
        </w:tc>
        <w:tc>
          <w:tcPr>
            <w:tcW w:w="2127" w:type="dxa"/>
            <w:tcBorders>
              <w:top w:val="single" w:sz="4" w:space="0" w:color="000000"/>
              <w:left w:val="single" w:sz="4" w:space="0" w:color="000000"/>
              <w:bottom w:val="single" w:sz="4" w:space="0" w:color="000000"/>
              <w:right w:val="single" w:sz="4" w:space="0" w:color="000000"/>
            </w:tcBorders>
          </w:tcPr>
          <w:p w14:paraId="5E000B4C" w14:textId="77777777" w:rsidR="00E47756" w:rsidRPr="00E47756" w:rsidRDefault="00E47756" w:rsidP="00E47756">
            <w:pPr>
              <w:spacing w:after="0" w:line="240" w:lineRule="auto"/>
              <w:ind w:left="57" w:right="57"/>
              <w:jc w:val="center"/>
              <w:rPr>
                <w:b/>
                <w:color w:val="auto"/>
                <w:sz w:val="20"/>
              </w:rPr>
            </w:pPr>
            <w:r w:rsidRPr="00E47756">
              <w:rPr>
                <w:b/>
                <w:color w:val="auto"/>
                <w:sz w:val="20"/>
              </w:rPr>
              <w:lastRenderedPageBreak/>
              <w:t>MPRV SR</w:t>
            </w:r>
          </w:p>
          <w:p w14:paraId="42BE4A4F" w14:textId="77777777" w:rsidR="00E47756" w:rsidRPr="00E47756" w:rsidRDefault="00E47756" w:rsidP="00E47756">
            <w:pPr>
              <w:spacing w:after="0" w:line="240" w:lineRule="auto"/>
              <w:ind w:left="57" w:right="57"/>
              <w:jc w:val="center"/>
              <w:rPr>
                <w:b/>
                <w:color w:val="auto"/>
                <w:sz w:val="20"/>
              </w:rPr>
            </w:pPr>
            <w:r w:rsidRPr="00E47756">
              <w:rPr>
                <w:b/>
                <w:color w:val="auto"/>
                <w:sz w:val="20"/>
              </w:rPr>
              <w:t>ÚPV SR</w:t>
            </w:r>
          </w:p>
          <w:p w14:paraId="1935A187" w14:textId="77777777" w:rsidR="00E47756" w:rsidRPr="00E47756" w:rsidRDefault="00E47756" w:rsidP="00E47756">
            <w:pPr>
              <w:spacing w:after="0" w:line="240" w:lineRule="auto"/>
              <w:ind w:left="57" w:right="57"/>
              <w:jc w:val="center"/>
              <w:rPr>
                <w:b/>
                <w:color w:val="auto"/>
                <w:sz w:val="20"/>
              </w:rPr>
            </w:pPr>
          </w:p>
        </w:tc>
        <w:tc>
          <w:tcPr>
            <w:tcW w:w="5670" w:type="dxa"/>
            <w:tcBorders>
              <w:top w:val="single" w:sz="4" w:space="0" w:color="000000"/>
              <w:left w:val="single" w:sz="4" w:space="0" w:color="000000"/>
              <w:bottom w:val="single" w:sz="4" w:space="0" w:color="000000"/>
              <w:right w:val="single" w:sz="4" w:space="0" w:color="000000"/>
            </w:tcBorders>
          </w:tcPr>
          <w:p w14:paraId="39826FF1" w14:textId="2661B71A" w:rsidR="00E47756" w:rsidRPr="00E47756" w:rsidRDefault="00E47756" w:rsidP="00E47756">
            <w:pPr>
              <w:spacing w:after="0" w:line="240" w:lineRule="auto"/>
              <w:ind w:left="57" w:right="57"/>
              <w:rPr>
                <w:b/>
                <w:bCs/>
                <w:sz w:val="20"/>
                <w:szCs w:val="20"/>
                <w:u w:val="single"/>
              </w:rPr>
            </w:pPr>
            <w:r w:rsidRPr="00E47756">
              <w:rPr>
                <w:b/>
                <w:bCs/>
                <w:sz w:val="20"/>
                <w:szCs w:val="20"/>
                <w:u w:val="single"/>
              </w:rPr>
              <w:t>Vysoká priorita</w:t>
            </w:r>
            <w:r w:rsidRPr="00E47756">
              <w:rPr>
                <w:sz w:val="20"/>
              </w:rPr>
              <w:t xml:space="preserve"> – </w:t>
            </w:r>
            <w:r w:rsidRPr="00E47756">
              <w:rPr>
                <w:bCs/>
                <w:sz w:val="20"/>
                <w:szCs w:val="20"/>
              </w:rPr>
              <w:t>Za oblasť vinohradníctva a vinárstva uvedené návrhy  plne  podporujeme. Revízia zemepisných označení v sektore vína bude po schválení zapracovaná</w:t>
            </w:r>
            <w:r w:rsidRPr="00E47756">
              <w:rPr>
                <w:color w:val="auto"/>
                <w:sz w:val="20"/>
              </w:rPr>
              <w:t xml:space="preserve"> do národnej legislatívy v potrebnom rozsahu.</w:t>
            </w:r>
            <w:r w:rsidR="00A52782">
              <w:rPr>
                <w:color w:val="auto"/>
                <w:sz w:val="20"/>
              </w:rPr>
              <w:t xml:space="preserve"> </w:t>
            </w:r>
            <w:r w:rsidR="00A52782" w:rsidRPr="00A52782">
              <w:rPr>
                <w:color w:val="auto"/>
                <w:sz w:val="20"/>
              </w:rPr>
              <w:t>Rovnako podporujeme aj posilnenie zemepisných označení v sektore liehovín, s nevyhnutnosťou zachovania špecifickosti zemepisných označení v tomto sektore. V rámci systému ZTŠ bude finálne stanovisko stanovené až po predložení návrhu mechanizmu označovania pre tento druh chráneného označenia.</w:t>
            </w:r>
          </w:p>
          <w:p w14:paraId="5C0D375B" w14:textId="77777777" w:rsidR="00E47756" w:rsidRPr="00E47756" w:rsidRDefault="00E47756" w:rsidP="00E47756">
            <w:pPr>
              <w:spacing w:after="0" w:line="240" w:lineRule="auto"/>
              <w:ind w:left="57" w:right="57"/>
              <w:rPr>
                <w:color w:val="auto"/>
                <w:sz w:val="20"/>
              </w:rPr>
            </w:pPr>
          </w:p>
        </w:tc>
      </w:tr>
      <w:tr w:rsidR="00E47756" w:rsidRPr="00E47756" w14:paraId="2A8ECEE4" w14:textId="77777777" w:rsidTr="001A4016">
        <w:trPr>
          <w:trHeight w:val="1225"/>
        </w:trPr>
        <w:tc>
          <w:tcPr>
            <w:tcW w:w="368" w:type="dxa"/>
            <w:tcBorders>
              <w:top w:val="single" w:sz="4" w:space="0" w:color="000000"/>
              <w:left w:val="single" w:sz="4" w:space="0" w:color="000000"/>
              <w:bottom w:val="single" w:sz="4" w:space="0" w:color="000000"/>
              <w:right w:val="single" w:sz="4" w:space="0" w:color="000000"/>
            </w:tcBorders>
          </w:tcPr>
          <w:p w14:paraId="76EEB928" w14:textId="77777777" w:rsidR="00E47756" w:rsidRPr="00E47756" w:rsidRDefault="00E47756" w:rsidP="00E47756">
            <w:pPr>
              <w:spacing w:after="0"/>
              <w:ind w:left="57" w:right="57"/>
              <w:jc w:val="center"/>
            </w:pPr>
            <w:r w:rsidRPr="00E47756">
              <w:rPr>
                <w:sz w:val="20"/>
              </w:rPr>
              <w:lastRenderedPageBreak/>
              <w:t>2.</w:t>
            </w:r>
          </w:p>
        </w:tc>
        <w:tc>
          <w:tcPr>
            <w:tcW w:w="3197" w:type="dxa"/>
            <w:tcBorders>
              <w:top w:val="single" w:sz="4" w:space="0" w:color="000000"/>
              <w:left w:val="single" w:sz="4" w:space="0" w:color="000000"/>
              <w:bottom w:val="single" w:sz="4" w:space="0" w:color="000000"/>
              <w:right w:val="single" w:sz="4" w:space="0" w:color="000000"/>
            </w:tcBorders>
          </w:tcPr>
          <w:p w14:paraId="3F423C0E" w14:textId="77777777" w:rsidR="00E47756" w:rsidRPr="00E47756" w:rsidRDefault="00E47756" w:rsidP="00E47756">
            <w:pPr>
              <w:spacing w:after="0"/>
              <w:ind w:left="57" w:right="57"/>
            </w:pPr>
            <w:r w:rsidRPr="00E47756">
              <w:rPr>
                <w:b/>
                <w:sz w:val="20"/>
              </w:rPr>
              <w:t xml:space="preserve">Ochrana ozónovej vrstvy – revízia pravidiel EÚ </w:t>
            </w:r>
          </w:p>
        </w:tc>
        <w:tc>
          <w:tcPr>
            <w:tcW w:w="3260" w:type="dxa"/>
            <w:tcBorders>
              <w:top w:val="single" w:sz="4" w:space="0" w:color="000000"/>
              <w:left w:val="single" w:sz="4" w:space="0" w:color="000000"/>
              <w:bottom w:val="single" w:sz="4" w:space="0" w:color="000000"/>
              <w:right w:val="single" w:sz="4" w:space="0" w:color="000000"/>
            </w:tcBorders>
          </w:tcPr>
          <w:p w14:paraId="6B06ADB0" w14:textId="77777777" w:rsidR="00E47756" w:rsidRPr="00E47756" w:rsidRDefault="00E47756" w:rsidP="00E47756">
            <w:pPr>
              <w:spacing w:after="0" w:line="240" w:lineRule="auto"/>
              <w:ind w:left="57" w:right="57"/>
            </w:pPr>
            <w:r w:rsidRPr="00E47756">
              <w:rPr>
                <w:sz w:val="20"/>
              </w:rPr>
              <w:t xml:space="preserve">Z výsledkov hodnotenia nariadenia o ozónovej vrstve vyplýva, že existuje priestor pre zjednodušenie, zrozumiteľnosť a lepšiu súdržnosť. Nariadenie by sa takisto mohlo aktualizovať na základe najnovšieho technologického vývoja. </w:t>
            </w:r>
          </w:p>
          <w:p w14:paraId="7A423983" w14:textId="77777777" w:rsidR="00E47756" w:rsidRPr="00E47756" w:rsidRDefault="00E47756" w:rsidP="00E47756">
            <w:pPr>
              <w:spacing w:after="0" w:line="240" w:lineRule="auto"/>
              <w:ind w:left="57" w:right="57"/>
            </w:pPr>
            <w:r w:rsidRPr="00E47756">
              <w:rPr>
                <w:sz w:val="20"/>
              </w:rPr>
              <w:t xml:space="preserve">Plánované prijatie: 4. štvrťrok 2021; legislatívna iniciatíva; právny základ: článok 192 ZFEÚ. Posúdenie vplyvu sa predpokladá. </w:t>
            </w:r>
          </w:p>
        </w:tc>
        <w:tc>
          <w:tcPr>
            <w:tcW w:w="2127" w:type="dxa"/>
            <w:tcBorders>
              <w:top w:val="single" w:sz="4" w:space="0" w:color="000000"/>
              <w:left w:val="single" w:sz="4" w:space="0" w:color="000000"/>
              <w:bottom w:val="single" w:sz="4" w:space="0" w:color="000000"/>
              <w:right w:val="single" w:sz="4" w:space="0" w:color="000000"/>
            </w:tcBorders>
          </w:tcPr>
          <w:p w14:paraId="59A54B1A" w14:textId="77777777" w:rsidR="00E47756" w:rsidRPr="00E47756" w:rsidRDefault="00E47756" w:rsidP="00E47756">
            <w:pPr>
              <w:spacing w:after="0" w:line="240" w:lineRule="auto"/>
              <w:ind w:left="57" w:right="57"/>
              <w:jc w:val="center"/>
              <w:rPr>
                <w:b/>
                <w:sz w:val="20"/>
              </w:rPr>
            </w:pPr>
            <w:r w:rsidRPr="00E47756">
              <w:rPr>
                <w:b/>
                <w:sz w:val="20"/>
              </w:rPr>
              <w:t>MŽP SR</w:t>
            </w:r>
          </w:p>
        </w:tc>
        <w:tc>
          <w:tcPr>
            <w:tcW w:w="5670" w:type="dxa"/>
            <w:tcBorders>
              <w:top w:val="single" w:sz="4" w:space="0" w:color="000000"/>
              <w:left w:val="single" w:sz="4" w:space="0" w:color="000000"/>
              <w:bottom w:val="single" w:sz="4" w:space="0" w:color="000000"/>
              <w:right w:val="single" w:sz="4" w:space="0" w:color="000000"/>
            </w:tcBorders>
          </w:tcPr>
          <w:p w14:paraId="353F0FAB" w14:textId="77777777" w:rsidR="00E47756" w:rsidRDefault="00E47756" w:rsidP="00E47756">
            <w:pPr>
              <w:spacing w:after="0" w:line="240" w:lineRule="auto"/>
              <w:ind w:left="57" w:right="57"/>
              <w:rPr>
                <w:sz w:val="20"/>
              </w:rPr>
            </w:pPr>
            <w:r w:rsidRPr="00E47756">
              <w:rPr>
                <w:b/>
                <w:sz w:val="20"/>
                <w:u w:val="single"/>
              </w:rPr>
              <w:t>Stredná priorita</w:t>
            </w:r>
            <w:r w:rsidRPr="00E47756">
              <w:rPr>
                <w:sz w:val="20"/>
              </w:rPr>
              <w:t xml:space="preserve"> – Nariadenie (EÚ) č. 1005/2009 je základný právny nástroj EÚ na plnenie záväzkov vyplývajúcich z medzinárodných záväzkov na ochranu ozónovej vrstvy – Viedenský dohovor o ochrane ozónovej vrstvy Zeme a Montrealský protokol vrátane jeho dodatkov. Povinnosti ustanovené nariadením sú  prísnejšie ako záväzky Montrealského protokolu. Je zakázaná výroba, dovoz, vývoz a vylúčená spotreba látok poškodzujúcich ozónovú vrstvu, okrem presne stanovených výnimiek. Vzhľadom na veľký pokrok dosiahnutý v tomto smere ako aj vzhľadom na najnovšie vedecké poznatky a technologický vývoj je na mieste uvedené nariadenie zrevidovať v nadväznosti na aktuálny stav, zjednodušiť a sprehľadniť jednotlivé ustanovenia. Slovenská republika nevyrába tieto látky, vylúčila ich používanie; používajú sa len látky v rámci výnimky na laboratórne a analytické účely a </w:t>
            </w:r>
            <w:proofErr w:type="spellStart"/>
            <w:r w:rsidRPr="00E47756">
              <w:rPr>
                <w:sz w:val="20"/>
              </w:rPr>
              <w:t>halóny</w:t>
            </w:r>
            <w:proofErr w:type="spellEnd"/>
            <w:r w:rsidRPr="00E47756">
              <w:rPr>
                <w:sz w:val="20"/>
              </w:rPr>
              <w:t xml:space="preserve"> na kritické použitie. SR plní všetky záväzky vyplývajúce pre ňu z medzinárodných záväzkov.</w:t>
            </w:r>
          </w:p>
          <w:p w14:paraId="4F48EA30" w14:textId="77777777" w:rsidR="000A3081" w:rsidRDefault="000A3081" w:rsidP="00E47756">
            <w:pPr>
              <w:spacing w:after="0" w:line="240" w:lineRule="auto"/>
              <w:ind w:left="57" w:right="57"/>
              <w:rPr>
                <w:b/>
                <w:sz w:val="20"/>
                <w:u w:val="single"/>
              </w:rPr>
            </w:pPr>
          </w:p>
          <w:p w14:paraId="3B4D0FD3" w14:textId="77777777" w:rsidR="000A3081" w:rsidRDefault="000A3081" w:rsidP="00E47756">
            <w:pPr>
              <w:spacing w:after="0" w:line="240" w:lineRule="auto"/>
              <w:ind w:left="57" w:right="57"/>
              <w:rPr>
                <w:b/>
                <w:sz w:val="20"/>
                <w:u w:val="single"/>
              </w:rPr>
            </w:pPr>
          </w:p>
          <w:p w14:paraId="1664EA12" w14:textId="77777777" w:rsidR="000A3081" w:rsidRDefault="000A3081" w:rsidP="00E47756">
            <w:pPr>
              <w:spacing w:after="0" w:line="240" w:lineRule="auto"/>
              <w:ind w:left="57" w:right="57"/>
              <w:rPr>
                <w:b/>
                <w:sz w:val="20"/>
                <w:u w:val="single"/>
              </w:rPr>
            </w:pPr>
          </w:p>
          <w:p w14:paraId="387474E7" w14:textId="77777777" w:rsidR="000A3081" w:rsidRDefault="000A3081" w:rsidP="00E47756">
            <w:pPr>
              <w:spacing w:after="0" w:line="240" w:lineRule="auto"/>
              <w:ind w:left="57" w:right="57"/>
              <w:rPr>
                <w:b/>
                <w:sz w:val="20"/>
                <w:u w:val="single"/>
              </w:rPr>
            </w:pPr>
          </w:p>
          <w:p w14:paraId="66B59CE1" w14:textId="77777777" w:rsidR="000A3081" w:rsidRDefault="000A3081" w:rsidP="00E47756">
            <w:pPr>
              <w:spacing w:after="0" w:line="240" w:lineRule="auto"/>
              <w:ind w:left="57" w:right="57"/>
              <w:rPr>
                <w:b/>
                <w:sz w:val="20"/>
                <w:u w:val="single"/>
              </w:rPr>
            </w:pPr>
          </w:p>
          <w:p w14:paraId="60505135" w14:textId="77777777" w:rsidR="000A3081" w:rsidRDefault="000A3081" w:rsidP="00E47756">
            <w:pPr>
              <w:spacing w:after="0" w:line="240" w:lineRule="auto"/>
              <w:ind w:left="57" w:right="57"/>
              <w:rPr>
                <w:b/>
                <w:sz w:val="20"/>
                <w:u w:val="single"/>
              </w:rPr>
            </w:pPr>
          </w:p>
          <w:p w14:paraId="0448468F" w14:textId="77777777" w:rsidR="000A3081" w:rsidRDefault="000A3081" w:rsidP="00E47756">
            <w:pPr>
              <w:spacing w:after="0" w:line="240" w:lineRule="auto"/>
              <w:ind w:left="57" w:right="57"/>
              <w:rPr>
                <w:b/>
                <w:sz w:val="20"/>
                <w:u w:val="single"/>
              </w:rPr>
            </w:pPr>
          </w:p>
          <w:p w14:paraId="63C7896E" w14:textId="77777777" w:rsidR="000A3081" w:rsidRDefault="000A3081" w:rsidP="00E47756">
            <w:pPr>
              <w:spacing w:after="0" w:line="240" w:lineRule="auto"/>
              <w:ind w:left="57" w:right="57"/>
              <w:rPr>
                <w:b/>
                <w:sz w:val="20"/>
                <w:u w:val="single"/>
              </w:rPr>
            </w:pPr>
          </w:p>
          <w:p w14:paraId="78F0249D" w14:textId="77777777" w:rsidR="000A3081" w:rsidRDefault="000A3081" w:rsidP="00E47756">
            <w:pPr>
              <w:spacing w:after="0" w:line="240" w:lineRule="auto"/>
              <w:ind w:left="57" w:right="57"/>
              <w:rPr>
                <w:b/>
                <w:sz w:val="20"/>
                <w:u w:val="single"/>
              </w:rPr>
            </w:pPr>
          </w:p>
          <w:p w14:paraId="2FB98B34" w14:textId="77777777" w:rsidR="00653E13" w:rsidRDefault="00653E13" w:rsidP="00E47756">
            <w:pPr>
              <w:spacing w:after="0" w:line="240" w:lineRule="auto"/>
              <w:ind w:left="57" w:right="57"/>
              <w:rPr>
                <w:b/>
                <w:sz w:val="20"/>
                <w:u w:val="single"/>
              </w:rPr>
            </w:pPr>
          </w:p>
          <w:p w14:paraId="7C1E2094" w14:textId="77777777" w:rsidR="00653E13" w:rsidRDefault="00653E13" w:rsidP="00E47756">
            <w:pPr>
              <w:spacing w:after="0" w:line="240" w:lineRule="auto"/>
              <w:ind w:left="57" w:right="57"/>
              <w:rPr>
                <w:b/>
                <w:sz w:val="20"/>
                <w:u w:val="single"/>
              </w:rPr>
            </w:pPr>
          </w:p>
          <w:p w14:paraId="2AD4D40A" w14:textId="77777777" w:rsidR="00653E13" w:rsidRDefault="00653E13" w:rsidP="00E47756">
            <w:pPr>
              <w:spacing w:after="0" w:line="240" w:lineRule="auto"/>
              <w:ind w:left="57" w:right="57"/>
              <w:rPr>
                <w:b/>
                <w:sz w:val="20"/>
                <w:u w:val="single"/>
              </w:rPr>
            </w:pPr>
          </w:p>
          <w:p w14:paraId="41D74A4A" w14:textId="77777777" w:rsidR="00653E13" w:rsidRDefault="00653E13" w:rsidP="00E47756">
            <w:pPr>
              <w:spacing w:after="0" w:line="240" w:lineRule="auto"/>
              <w:ind w:left="57" w:right="57"/>
              <w:rPr>
                <w:b/>
                <w:sz w:val="20"/>
                <w:u w:val="single"/>
              </w:rPr>
            </w:pPr>
          </w:p>
          <w:p w14:paraId="7B49DDBC" w14:textId="77777777" w:rsidR="00653E13" w:rsidRDefault="00653E13" w:rsidP="00E47756">
            <w:pPr>
              <w:spacing w:after="0" w:line="240" w:lineRule="auto"/>
              <w:ind w:left="57" w:right="57"/>
              <w:rPr>
                <w:b/>
                <w:sz w:val="20"/>
                <w:u w:val="single"/>
              </w:rPr>
            </w:pPr>
          </w:p>
          <w:p w14:paraId="5BCC61DE" w14:textId="77777777" w:rsidR="000A3081" w:rsidRDefault="000A3081" w:rsidP="00E47756">
            <w:pPr>
              <w:spacing w:after="0" w:line="240" w:lineRule="auto"/>
              <w:ind w:left="57" w:right="57"/>
              <w:rPr>
                <w:b/>
                <w:sz w:val="20"/>
                <w:u w:val="single"/>
              </w:rPr>
            </w:pPr>
          </w:p>
          <w:p w14:paraId="4AD36321" w14:textId="77777777" w:rsidR="000A3081" w:rsidRPr="00E47756" w:rsidRDefault="000A3081" w:rsidP="00E47756">
            <w:pPr>
              <w:spacing w:after="0" w:line="240" w:lineRule="auto"/>
              <w:ind w:left="57" w:right="57"/>
              <w:rPr>
                <w:b/>
                <w:sz w:val="20"/>
                <w:u w:val="single"/>
              </w:rPr>
            </w:pPr>
          </w:p>
        </w:tc>
      </w:tr>
      <w:tr w:rsidR="00E47756" w:rsidRPr="00E47756" w14:paraId="2D70C06D" w14:textId="77777777" w:rsidTr="001A4016">
        <w:trPr>
          <w:trHeight w:val="817"/>
        </w:trPr>
        <w:tc>
          <w:tcPr>
            <w:tcW w:w="368" w:type="dxa"/>
            <w:tcBorders>
              <w:top w:val="single" w:sz="4" w:space="0" w:color="000000"/>
              <w:left w:val="single" w:sz="4" w:space="0" w:color="000000"/>
              <w:bottom w:val="single" w:sz="4" w:space="0" w:color="000000"/>
              <w:right w:val="single" w:sz="4" w:space="0" w:color="000000"/>
            </w:tcBorders>
          </w:tcPr>
          <w:p w14:paraId="43A3DBDE" w14:textId="77777777" w:rsidR="00E47756" w:rsidRPr="00E47756" w:rsidRDefault="00E47756" w:rsidP="00E47756">
            <w:pPr>
              <w:spacing w:after="0"/>
              <w:ind w:left="57" w:right="57"/>
              <w:jc w:val="center"/>
            </w:pPr>
            <w:r w:rsidRPr="00E47756">
              <w:rPr>
                <w:sz w:val="20"/>
              </w:rPr>
              <w:lastRenderedPageBreak/>
              <w:t>3.</w:t>
            </w:r>
          </w:p>
        </w:tc>
        <w:tc>
          <w:tcPr>
            <w:tcW w:w="3197" w:type="dxa"/>
            <w:tcBorders>
              <w:top w:val="single" w:sz="4" w:space="0" w:color="000000"/>
              <w:left w:val="single" w:sz="4" w:space="0" w:color="000000"/>
              <w:bottom w:val="single" w:sz="4" w:space="0" w:color="000000"/>
              <w:right w:val="single" w:sz="4" w:space="0" w:color="000000"/>
            </w:tcBorders>
          </w:tcPr>
          <w:p w14:paraId="0036A1BA" w14:textId="77777777" w:rsidR="00E47756" w:rsidRPr="00E47756" w:rsidRDefault="00E47756" w:rsidP="00E47756">
            <w:pPr>
              <w:spacing w:after="0" w:line="240" w:lineRule="auto"/>
              <w:ind w:left="57" w:right="57"/>
            </w:pPr>
            <w:r w:rsidRPr="00E47756">
              <w:rPr>
                <w:b/>
                <w:sz w:val="20"/>
              </w:rPr>
              <w:t xml:space="preserve">Revízia nariadenia (ES) č. 1013/2006 o preprave odpadu  </w:t>
            </w:r>
          </w:p>
        </w:tc>
        <w:tc>
          <w:tcPr>
            <w:tcW w:w="3260" w:type="dxa"/>
            <w:tcBorders>
              <w:top w:val="single" w:sz="4" w:space="0" w:color="000000"/>
              <w:left w:val="single" w:sz="4" w:space="0" w:color="000000"/>
              <w:bottom w:val="single" w:sz="4" w:space="0" w:color="000000"/>
              <w:right w:val="single" w:sz="4" w:space="0" w:color="000000"/>
            </w:tcBorders>
          </w:tcPr>
          <w:p w14:paraId="4AE71A63" w14:textId="77777777" w:rsidR="00E47756" w:rsidRPr="00E47756" w:rsidRDefault="00E47756" w:rsidP="00E47756">
            <w:pPr>
              <w:spacing w:after="0" w:line="240" w:lineRule="auto"/>
              <w:ind w:left="57" w:right="57"/>
            </w:pPr>
            <w:r w:rsidRPr="00E47756">
              <w:rPr>
                <w:sz w:val="20"/>
              </w:rPr>
              <w:t xml:space="preserve">Táto iniciatíva reaguje na priority vyhlásené v Európskej zelenej dohode a novom akčnom pláne pre obehové hospodárstvo. Komisia navrhne revíziu nariadenia o preprave odpadu na základe svojho hodnotenia s cieľom znížiť prepravu problematického odpadu mimo EÚ, aktualizovať prepravné postupy, aby odrážali ciele obehového hospodárstva a zlepšilo sa presadzovanie. </w:t>
            </w:r>
          </w:p>
          <w:p w14:paraId="1EEC1C30" w14:textId="77777777" w:rsidR="00E47756" w:rsidRPr="00E47756" w:rsidRDefault="00E47756" w:rsidP="00E47756">
            <w:pPr>
              <w:spacing w:after="0" w:line="240" w:lineRule="auto"/>
              <w:ind w:left="57" w:right="57"/>
            </w:pPr>
            <w:r w:rsidRPr="00E47756">
              <w:rPr>
                <w:sz w:val="20"/>
              </w:rPr>
              <w:t xml:space="preserve">Plánovaný dátum prijatia: 2. štvrťrok 2021; legislatívna iniciatíva; právny základ: článok 192 ZFEÚ. Posúdenie vplyvu sa predpokladá. </w:t>
            </w:r>
          </w:p>
        </w:tc>
        <w:tc>
          <w:tcPr>
            <w:tcW w:w="2127" w:type="dxa"/>
            <w:tcBorders>
              <w:top w:val="single" w:sz="4" w:space="0" w:color="000000"/>
              <w:left w:val="single" w:sz="4" w:space="0" w:color="000000"/>
              <w:bottom w:val="single" w:sz="4" w:space="0" w:color="000000"/>
              <w:right w:val="single" w:sz="4" w:space="0" w:color="000000"/>
            </w:tcBorders>
          </w:tcPr>
          <w:p w14:paraId="63022597" w14:textId="77777777" w:rsidR="00E47756" w:rsidRPr="00E47756" w:rsidRDefault="00E47756" w:rsidP="00E47756">
            <w:pPr>
              <w:spacing w:after="0" w:line="240" w:lineRule="auto"/>
              <w:ind w:left="57" w:right="57"/>
              <w:jc w:val="center"/>
              <w:rPr>
                <w:b/>
                <w:sz w:val="20"/>
              </w:rPr>
            </w:pPr>
            <w:r w:rsidRPr="00E47756">
              <w:rPr>
                <w:b/>
                <w:sz w:val="20"/>
              </w:rPr>
              <w:t>MŽP SR</w:t>
            </w:r>
          </w:p>
        </w:tc>
        <w:tc>
          <w:tcPr>
            <w:tcW w:w="5670" w:type="dxa"/>
            <w:tcBorders>
              <w:top w:val="single" w:sz="4" w:space="0" w:color="000000"/>
              <w:left w:val="single" w:sz="4" w:space="0" w:color="000000"/>
              <w:bottom w:val="single" w:sz="4" w:space="0" w:color="000000"/>
              <w:right w:val="single" w:sz="4" w:space="0" w:color="000000"/>
            </w:tcBorders>
          </w:tcPr>
          <w:p w14:paraId="64690EFC" w14:textId="77777777" w:rsidR="00E47756" w:rsidRPr="00E47756" w:rsidRDefault="00E47756" w:rsidP="00E47756">
            <w:pPr>
              <w:spacing w:after="0" w:line="240" w:lineRule="auto"/>
              <w:ind w:left="57" w:right="57"/>
              <w:rPr>
                <w:b/>
                <w:sz w:val="20"/>
                <w:u w:val="single"/>
              </w:rPr>
            </w:pPr>
            <w:r w:rsidRPr="00E47756">
              <w:rPr>
                <w:b/>
                <w:sz w:val="20"/>
                <w:u w:val="single"/>
              </w:rPr>
              <w:t>Vysoká priorita</w:t>
            </w:r>
            <w:r w:rsidRPr="00E47756">
              <w:rPr>
                <w:sz w:val="20"/>
              </w:rPr>
              <w:t xml:space="preserve"> – SR podporuje kroky EK zamerané na prijatie úpravy Nariadenia (ES) č. 1013/2006 o preprave odpadu (ďalej len „nariadenie o preprave odpadu“).  Z pohľadu SR je dôležité prijať zmeny v legislatíve, ktorá upravuje prepravu odpadu, hlavne v nadväznosti na vývoj politiky EÚ, predovšetkým vo vzťahu k obehovému hospodárstvu, nakoľko nariadenie o preprave odpadu bolo prijaté skôr ako zahrnutie princípov obehového hospodárstva do politiky EÚ. Zároveň je dôležité odstrániť problémy, ktoré vyplynuli z praxe pri vykonávaní nariadenia o preprave odpadu, a ktoré je potrebné aktuálne riešiť.  </w:t>
            </w:r>
          </w:p>
        </w:tc>
      </w:tr>
    </w:tbl>
    <w:p w14:paraId="5992D822" w14:textId="77777777" w:rsidR="00E47756" w:rsidRDefault="00E47756" w:rsidP="00E47756">
      <w:pPr>
        <w:spacing w:after="0"/>
        <w:ind w:right="24"/>
      </w:pPr>
    </w:p>
    <w:p w14:paraId="717A7594" w14:textId="77777777" w:rsidR="000A3081" w:rsidRDefault="000A3081" w:rsidP="00E47756">
      <w:pPr>
        <w:spacing w:after="0"/>
        <w:ind w:right="24"/>
      </w:pPr>
    </w:p>
    <w:p w14:paraId="01FD97D2" w14:textId="77777777" w:rsidR="000A3081" w:rsidRDefault="000A3081" w:rsidP="00E47756">
      <w:pPr>
        <w:spacing w:after="0"/>
        <w:ind w:right="24"/>
      </w:pPr>
    </w:p>
    <w:p w14:paraId="78B5F9E0" w14:textId="77777777" w:rsidR="000A3081" w:rsidRDefault="000A3081" w:rsidP="00E47756">
      <w:pPr>
        <w:spacing w:after="0"/>
        <w:ind w:right="24"/>
      </w:pPr>
    </w:p>
    <w:p w14:paraId="783FF51E" w14:textId="77777777" w:rsidR="000A3081" w:rsidRDefault="000A3081" w:rsidP="00E47756">
      <w:pPr>
        <w:spacing w:after="0"/>
        <w:ind w:right="24"/>
      </w:pPr>
    </w:p>
    <w:p w14:paraId="48AB82A6" w14:textId="77777777" w:rsidR="000A3081" w:rsidRDefault="000A3081" w:rsidP="00E47756">
      <w:pPr>
        <w:spacing w:after="0"/>
        <w:ind w:right="24"/>
      </w:pPr>
    </w:p>
    <w:p w14:paraId="76BFF2CB" w14:textId="77777777" w:rsidR="000A3081" w:rsidRDefault="000A3081" w:rsidP="00E47756">
      <w:pPr>
        <w:spacing w:after="0"/>
        <w:ind w:right="24"/>
      </w:pPr>
    </w:p>
    <w:p w14:paraId="3CD24371" w14:textId="77777777" w:rsidR="000A3081" w:rsidRPr="00E47756" w:rsidRDefault="000A3081" w:rsidP="00E47756">
      <w:pPr>
        <w:spacing w:after="0"/>
        <w:ind w:right="24"/>
      </w:pPr>
    </w:p>
    <w:p w14:paraId="69721CE4" w14:textId="77777777" w:rsidR="00E47756" w:rsidRPr="00E47756" w:rsidRDefault="00E47756" w:rsidP="00E47756">
      <w:pPr>
        <w:spacing w:after="0"/>
        <w:ind w:left="-1133" w:right="24"/>
      </w:pPr>
    </w:p>
    <w:tbl>
      <w:tblPr>
        <w:tblStyle w:val="TableGrid1"/>
        <w:tblW w:w="14622" w:type="dxa"/>
        <w:tblInd w:w="-26" w:type="dxa"/>
        <w:tblLayout w:type="fixed"/>
        <w:tblCellMar>
          <w:top w:w="33" w:type="dxa"/>
          <w:left w:w="26" w:type="dxa"/>
        </w:tblCellMar>
        <w:tblLook w:val="04A0" w:firstRow="1" w:lastRow="0" w:firstColumn="1" w:lastColumn="0" w:noHBand="0" w:noVBand="1"/>
      </w:tblPr>
      <w:tblGrid>
        <w:gridCol w:w="447"/>
        <w:gridCol w:w="2976"/>
        <w:gridCol w:w="42"/>
        <w:gridCol w:w="3360"/>
        <w:gridCol w:w="2127"/>
        <w:gridCol w:w="5670"/>
      </w:tblGrid>
      <w:tr w:rsidR="00E47756" w:rsidRPr="00E47756" w14:paraId="447176AC" w14:textId="77777777" w:rsidTr="001A4016">
        <w:trPr>
          <w:trHeight w:val="569"/>
          <w:tblHeader/>
        </w:trPr>
        <w:tc>
          <w:tcPr>
            <w:tcW w:w="447"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9CB44AC" w14:textId="77777777" w:rsidR="00E47756" w:rsidRPr="00E47756" w:rsidRDefault="00E47756" w:rsidP="00E47756">
            <w:pPr>
              <w:spacing w:after="0"/>
              <w:ind w:right="32"/>
              <w:jc w:val="center"/>
            </w:pPr>
            <w:r w:rsidRPr="00E47756">
              <w:rPr>
                <w:b/>
                <w:sz w:val="20"/>
              </w:rPr>
              <w:lastRenderedPageBreak/>
              <w:t xml:space="preserve">Č. </w:t>
            </w:r>
          </w:p>
        </w:tc>
        <w:tc>
          <w:tcPr>
            <w:tcW w:w="2976"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6165F43" w14:textId="77777777" w:rsidR="00E47756" w:rsidRPr="00E47756" w:rsidRDefault="00E47756" w:rsidP="00E47756">
            <w:pPr>
              <w:spacing w:after="0"/>
              <w:ind w:right="26"/>
              <w:jc w:val="center"/>
            </w:pPr>
            <w:r w:rsidRPr="00E47756">
              <w:rPr>
                <w:b/>
                <w:sz w:val="20"/>
              </w:rPr>
              <w:t xml:space="preserve">Názov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99CCFF"/>
          </w:tcPr>
          <w:p w14:paraId="035172F2" w14:textId="77777777" w:rsidR="00E47756" w:rsidRPr="00E47756" w:rsidRDefault="00E47756" w:rsidP="00E47756">
            <w:pPr>
              <w:spacing w:after="0"/>
              <w:jc w:val="center"/>
            </w:pPr>
            <w:r w:rsidRPr="00E47756">
              <w:rPr>
                <w:b/>
                <w:sz w:val="20"/>
              </w:rPr>
              <w:t>Cieľ/potenciál zjednodušenia</w:t>
            </w:r>
            <w:r w:rsidRPr="00E47756">
              <w:rPr>
                <w:sz w:val="20"/>
              </w:rPr>
              <w:t xml:space="preserve"> (stručné vysvetlenie cieľa programu REFIT, pokiaľ ide o revízie, a potenciálu zjednodušenia pre hodnotenia a kontroly vhodnosti)</w:t>
            </w:r>
            <w:r w:rsidRPr="00E47756">
              <w:rPr>
                <w:b/>
                <w:sz w:val="20"/>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99CCFF"/>
          </w:tcPr>
          <w:p w14:paraId="66B36D14" w14:textId="77777777" w:rsidR="00E47756" w:rsidRPr="00E47756" w:rsidRDefault="00E47756" w:rsidP="00E47756">
            <w:pPr>
              <w:spacing w:after="0"/>
              <w:ind w:right="355"/>
              <w:jc w:val="center"/>
              <w:rPr>
                <w:b/>
                <w:sz w:val="20"/>
              </w:rPr>
            </w:pPr>
          </w:p>
          <w:p w14:paraId="0C6C76D5" w14:textId="77777777" w:rsidR="00E47756" w:rsidRPr="00E47756" w:rsidRDefault="00E47756" w:rsidP="00E47756">
            <w:pPr>
              <w:spacing w:after="0"/>
              <w:ind w:right="355"/>
              <w:jc w:val="center"/>
              <w:rPr>
                <w:b/>
                <w:sz w:val="20"/>
              </w:rPr>
            </w:pPr>
          </w:p>
          <w:p w14:paraId="38177656" w14:textId="77777777" w:rsidR="00E47756" w:rsidRPr="00E47756" w:rsidRDefault="00E47756" w:rsidP="00E47756">
            <w:pPr>
              <w:spacing w:after="0"/>
              <w:ind w:right="355"/>
              <w:jc w:val="center"/>
              <w:rPr>
                <w:b/>
                <w:sz w:val="20"/>
              </w:rPr>
            </w:pPr>
            <w:r w:rsidRPr="00E47756">
              <w:rPr>
                <w:b/>
                <w:sz w:val="20"/>
              </w:rPr>
              <w:t>Gestor</w:t>
            </w:r>
          </w:p>
          <w:p w14:paraId="77239A7B" w14:textId="77777777" w:rsidR="00E47756" w:rsidRPr="00E47756" w:rsidRDefault="00E47756" w:rsidP="00E47756">
            <w:pPr>
              <w:spacing w:after="0"/>
              <w:ind w:right="355"/>
              <w:jc w:val="center"/>
              <w:rPr>
                <w:b/>
                <w:sz w:val="20"/>
              </w:rPr>
            </w:pPr>
          </w:p>
        </w:tc>
        <w:tc>
          <w:tcPr>
            <w:tcW w:w="5670" w:type="dxa"/>
            <w:tcBorders>
              <w:top w:val="single" w:sz="4" w:space="0" w:color="000000"/>
              <w:left w:val="single" w:sz="4" w:space="0" w:color="000000"/>
              <w:bottom w:val="single" w:sz="4" w:space="0" w:color="000000"/>
              <w:right w:val="single" w:sz="4" w:space="0" w:color="000000"/>
            </w:tcBorders>
            <w:shd w:val="clear" w:color="auto" w:fill="99CCFF"/>
          </w:tcPr>
          <w:p w14:paraId="2BEA4756" w14:textId="77777777" w:rsidR="00E47756" w:rsidRPr="00E47756" w:rsidRDefault="00E47756" w:rsidP="00E47756">
            <w:pPr>
              <w:spacing w:after="0"/>
              <w:jc w:val="center"/>
              <w:rPr>
                <w:b/>
                <w:sz w:val="20"/>
              </w:rPr>
            </w:pPr>
          </w:p>
          <w:p w14:paraId="55BF8263" w14:textId="77777777" w:rsidR="00E47756" w:rsidRPr="00E47756" w:rsidRDefault="00E47756" w:rsidP="00E47756">
            <w:pPr>
              <w:spacing w:after="0"/>
              <w:jc w:val="center"/>
              <w:rPr>
                <w:b/>
                <w:sz w:val="20"/>
              </w:rPr>
            </w:pPr>
          </w:p>
          <w:p w14:paraId="2EF9E922" w14:textId="77777777" w:rsidR="00E47756" w:rsidRPr="00E47756" w:rsidRDefault="00E47756" w:rsidP="00E47756">
            <w:pPr>
              <w:spacing w:after="0"/>
              <w:jc w:val="center"/>
              <w:rPr>
                <w:b/>
                <w:sz w:val="20"/>
              </w:rPr>
            </w:pPr>
            <w:r w:rsidRPr="00E47756">
              <w:rPr>
                <w:b/>
                <w:sz w:val="20"/>
              </w:rPr>
              <w:t>Stupeň priority a pozíciu SR</w:t>
            </w:r>
          </w:p>
        </w:tc>
      </w:tr>
      <w:tr w:rsidR="00E47756" w:rsidRPr="00E47756" w14:paraId="3029C1DC" w14:textId="77777777" w:rsidTr="001A4016">
        <w:trPr>
          <w:trHeight w:val="1469"/>
        </w:trPr>
        <w:tc>
          <w:tcPr>
            <w:tcW w:w="447" w:type="dxa"/>
            <w:tcBorders>
              <w:top w:val="single" w:sz="4" w:space="0" w:color="000000"/>
              <w:left w:val="single" w:sz="4" w:space="0" w:color="000000"/>
              <w:bottom w:val="single" w:sz="4" w:space="0" w:color="000000"/>
              <w:right w:val="single" w:sz="4" w:space="0" w:color="000000"/>
            </w:tcBorders>
          </w:tcPr>
          <w:p w14:paraId="4FE27C99" w14:textId="77777777" w:rsidR="00E47756" w:rsidRPr="00E47756" w:rsidRDefault="00E47756" w:rsidP="00E47756">
            <w:pPr>
              <w:spacing w:after="0" w:line="240" w:lineRule="auto"/>
              <w:ind w:left="57" w:right="57"/>
              <w:jc w:val="center"/>
            </w:pPr>
            <w:r w:rsidRPr="00E47756">
              <w:rPr>
                <w:sz w:val="20"/>
              </w:rPr>
              <w:t>4.</w:t>
            </w:r>
          </w:p>
        </w:tc>
        <w:tc>
          <w:tcPr>
            <w:tcW w:w="2976" w:type="dxa"/>
            <w:tcBorders>
              <w:top w:val="single" w:sz="4" w:space="0" w:color="000000"/>
              <w:left w:val="single" w:sz="4" w:space="0" w:color="000000"/>
              <w:bottom w:val="single" w:sz="4" w:space="0" w:color="000000"/>
              <w:right w:val="single" w:sz="4" w:space="0" w:color="000000"/>
            </w:tcBorders>
          </w:tcPr>
          <w:p w14:paraId="3ED2EACD" w14:textId="77777777" w:rsidR="00E47756" w:rsidRPr="00E47756" w:rsidRDefault="00E47756" w:rsidP="00E47756">
            <w:pPr>
              <w:spacing w:after="0" w:line="240" w:lineRule="auto"/>
              <w:ind w:left="57" w:right="57"/>
            </w:pPr>
            <w:r w:rsidRPr="00E47756">
              <w:rPr>
                <w:b/>
                <w:sz w:val="20"/>
              </w:rPr>
              <w:t xml:space="preserve">Revízia – aktualizácia hraničných hodnôt koncentrácie </w:t>
            </w:r>
            <w:proofErr w:type="spellStart"/>
            <w:r w:rsidRPr="00E47756">
              <w:rPr>
                <w:b/>
                <w:sz w:val="20"/>
              </w:rPr>
              <w:t>perzistentných</w:t>
            </w:r>
            <w:proofErr w:type="spellEnd"/>
            <w:r w:rsidRPr="00E47756">
              <w:rPr>
                <w:b/>
                <w:sz w:val="20"/>
              </w:rPr>
              <w:t xml:space="preserve"> organických látok v odpade – zmeny príloh IV a V o odpade k nariadeniu o </w:t>
            </w:r>
            <w:proofErr w:type="spellStart"/>
            <w:r w:rsidRPr="00E47756">
              <w:rPr>
                <w:b/>
                <w:sz w:val="20"/>
              </w:rPr>
              <w:t>perzistentných</w:t>
            </w:r>
            <w:proofErr w:type="spellEnd"/>
            <w:r w:rsidRPr="00E47756">
              <w:rPr>
                <w:b/>
                <w:sz w:val="20"/>
              </w:rPr>
              <w:t xml:space="preserve"> organických látkach v odpade </w:t>
            </w:r>
          </w:p>
        </w:tc>
        <w:tc>
          <w:tcPr>
            <w:tcW w:w="3402" w:type="dxa"/>
            <w:gridSpan w:val="2"/>
            <w:tcBorders>
              <w:top w:val="single" w:sz="4" w:space="0" w:color="000000"/>
              <w:left w:val="single" w:sz="4" w:space="0" w:color="000000"/>
              <w:bottom w:val="single" w:sz="4" w:space="0" w:color="000000"/>
              <w:right w:val="single" w:sz="4" w:space="0" w:color="000000"/>
            </w:tcBorders>
          </w:tcPr>
          <w:p w14:paraId="3C867F8F" w14:textId="77777777" w:rsidR="00E47756" w:rsidRPr="00E47756" w:rsidRDefault="00E47756" w:rsidP="00E47756">
            <w:pPr>
              <w:spacing w:after="0" w:line="240" w:lineRule="auto"/>
              <w:ind w:left="57" w:right="57"/>
            </w:pPr>
            <w:r w:rsidRPr="00E47756">
              <w:rPr>
                <w:sz w:val="20"/>
              </w:rPr>
              <w:t xml:space="preserve">Táto iniciatíva reaguje na priority vyhlásené v novom akčnom pláne pre obehové hospodárstvo. Komisia navrhne revíziu príloh IV a V o odpade k nariadeniu o </w:t>
            </w:r>
            <w:proofErr w:type="spellStart"/>
            <w:r w:rsidRPr="00E47756">
              <w:rPr>
                <w:sz w:val="20"/>
              </w:rPr>
              <w:t>perzistentných</w:t>
            </w:r>
            <w:proofErr w:type="spellEnd"/>
            <w:r w:rsidRPr="00E47756">
              <w:rPr>
                <w:sz w:val="20"/>
              </w:rPr>
              <w:t xml:space="preserve"> organických látkach v odpade s cieľom zaistiť, aby sa takýto odpad spravoval spôsobom šetrným k životnému prostrediu, a dosiahnuť bezpečnejšiu recykláciu. </w:t>
            </w:r>
          </w:p>
          <w:p w14:paraId="0ED85690" w14:textId="77777777" w:rsidR="00E47756" w:rsidRPr="00E47756" w:rsidRDefault="00E47756" w:rsidP="00E47756">
            <w:pPr>
              <w:spacing w:after="0" w:line="240" w:lineRule="auto"/>
              <w:ind w:left="57" w:right="57"/>
            </w:pPr>
            <w:r w:rsidRPr="00E47756">
              <w:rPr>
                <w:sz w:val="20"/>
              </w:rPr>
              <w:t xml:space="preserve">Plánovaný dátum prijatia: 2. štvrťrok 2021; legislatívna iniciatíva; právny základ: článok 192 ZFEÚ. Posúdenie vplyvu sa predpokladá. </w:t>
            </w:r>
          </w:p>
        </w:tc>
        <w:tc>
          <w:tcPr>
            <w:tcW w:w="2127" w:type="dxa"/>
            <w:tcBorders>
              <w:top w:val="single" w:sz="4" w:space="0" w:color="000000"/>
              <w:left w:val="single" w:sz="4" w:space="0" w:color="000000"/>
              <w:bottom w:val="single" w:sz="4" w:space="0" w:color="000000"/>
              <w:right w:val="single" w:sz="4" w:space="0" w:color="000000"/>
            </w:tcBorders>
          </w:tcPr>
          <w:p w14:paraId="1C7D7BFA" w14:textId="77777777" w:rsidR="00E47756" w:rsidRPr="00E47756" w:rsidRDefault="00E47756" w:rsidP="00E47756">
            <w:pPr>
              <w:spacing w:after="0" w:line="240" w:lineRule="auto"/>
              <w:ind w:left="57" w:right="57"/>
              <w:jc w:val="center"/>
              <w:rPr>
                <w:sz w:val="20"/>
              </w:rPr>
            </w:pPr>
            <w:r w:rsidRPr="00E47756">
              <w:rPr>
                <w:b/>
                <w:sz w:val="20"/>
              </w:rPr>
              <w:t>MŽP SR</w:t>
            </w:r>
          </w:p>
        </w:tc>
        <w:tc>
          <w:tcPr>
            <w:tcW w:w="5670" w:type="dxa"/>
            <w:tcBorders>
              <w:top w:val="single" w:sz="4" w:space="0" w:color="000000"/>
              <w:left w:val="single" w:sz="4" w:space="0" w:color="000000"/>
              <w:bottom w:val="single" w:sz="4" w:space="0" w:color="000000"/>
              <w:right w:val="single" w:sz="4" w:space="0" w:color="000000"/>
            </w:tcBorders>
          </w:tcPr>
          <w:p w14:paraId="1509D900" w14:textId="77777777" w:rsidR="00E47756" w:rsidRPr="00E47756" w:rsidRDefault="00E47756" w:rsidP="00E47756">
            <w:pPr>
              <w:spacing w:after="0" w:line="240" w:lineRule="auto"/>
              <w:ind w:left="57" w:right="57"/>
              <w:rPr>
                <w:sz w:val="20"/>
              </w:rPr>
            </w:pPr>
            <w:r w:rsidRPr="00E47756">
              <w:rPr>
                <w:b/>
                <w:sz w:val="20"/>
                <w:u w:val="single"/>
              </w:rPr>
              <w:t>Vysoká priorita</w:t>
            </w:r>
            <w:r w:rsidRPr="00E47756">
              <w:rPr>
                <w:sz w:val="20"/>
              </w:rPr>
              <w:t xml:space="preserve"> – Nariadenia (EÚ) 2019/1021 o </w:t>
            </w:r>
            <w:proofErr w:type="spellStart"/>
            <w:r w:rsidRPr="00E47756">
              <w:rPr>
                <w:sz w:val="20"/>
              </w:rPr>
              <w:t>perzistentných</w:t>
            </w:r>
            <w:proofErr w:type="spellEnd"/>
            <w:r w:rsidRPr="00E47756">
              <w:rPr>
                <w:sz w:val="20"/>
              </w:rPr>
              <w:t xml:space="preserve"> organických látkach (</w:t>
            </w:r>
            <w:proofErr w:type="spellStart"/>
            <w:r w:rsidRPr="00E47756">
              <w:rPr>
                <w:sz w:val="20"/>
              </w:rPr>
              <w:t>POPs</w:t>
            </w:r>
            <w:proofErr w:type="spellEnd"/>
            <w:r w:rsidRPr="00E47756">
              <w:rPr>
                <w:sz w:val="20"/>
              </w:rPr>
              <w:t>) má za cieľ ochraňovať ľudské zdravie a životné prostredie pred týmito látkami. Princípy obehového hospodárstva vyžadujú zvýšiť produkciu a absorpciu druhotných surovín a zabezpečiť, aby boli aj druhotné materiály a výrobky bezpečné a udržateľné, s cieľom zabezpečiť minimalizovanie obsahu nebezpečných látok vo výrobkoch a v recyklovaných materiáloch, čím by sa prispelo k menšej produkcii nebezpečných odpadov. Revízia príloh IV a V k nariadeniu o </w:t>
            </w:r>
            <w:proofErr w:type="spellStart"/>
            <w:r w:rsidRPr="00E47756">
              <w:rPr>
                <w:sz w:val="20"/>
              </w:rPr>
              <w:t>POPs</w:t>
            </w:r>
            <w:proofErr w:type="spellEnd"/>
            <w:r w:rsidRPr="00E47756">
              <w:rPr>
                <w:sz w:val="20"/>
              </w:rPr>
              <w:t xml:space="preserve"> má za cieľ, aby sa rovnaká limitná hodnota pre nebezpečné látky vzťahovala na čistý aj recyklovaný materiál. Môžu však existovať nevyhnutné výnimky z tejto zásady za podmienky, že použitie recyklovaného materiálu sa obmedzí na jasne definované aplikácie, pri ktorých nedochádza k negatívnemu vplyvu na zdravie spotrebiteľa a životné prostredie a kde je použitie recyklovaného materiálu v porovnaní s pôvodným materiálom odôvodnené na základe analýzy jednotlivých prípadov. Z pohľadu SR bude kľúčové, aby boli akékoľvek zmeny podrobne analyzované, nakoľko regulačné opatrenia budú vyžadovať vyššie investície do inovatívnych technológií na riešenie prítomnosti záujmových látok v tokoch odpadu, čo by zase mohlo umožniť recykláciu väčšieho množstva odpadu.</w:t>
            </w:r>
          </w:p>
          <w:p w14:paraId="35D68ACD" w14:textId="77777777" w:rsidR="00E47756" w:rsidRPr="00E47756" w:rsidRDefault="00E47756" w:rsidP="00E47756">
            <w:pPr>
              <w:spacing w:after="0" w:line="240" w:lineRule="auto"/>
              <w:ind w:left="57" w:right="57"/>
              <w:rPr>
                <w:b/>
                <w:sz w:val="20"/>
                <w:u w:val="single"/>
              </w:rPr>
            </w:pPr>
          </w:p>
          <w:p w14:paraId="02979DFD" w14:textId="77777777" w:rsidR="00E47756" w:rsidRPr="00E47756" w:rsidRDefault="00E47756" w:rsidP="00E47756">
            <w:pPr>
              <w:spacing w:after="0" w:line="240" w:lineRule="auto"/>
              <w:ind w:left="57" w:right="57"/>
              <w:rPr>
                <w:b/>
                <w:sz w:val="20"/>
                <w:u w:val="single"/>
              </w:rPr>
            </w:pPr>
          </w:p>
          <w:p w14:paraId="0D949947" w14:textId="77777777" w:rsidR="00E47756" w:rsidRPr="00E47756" w:rsidRDefault="00E47756" w:rsidP="00E47756">
            <w:pPr>
              <w:spacing w:after="0" w:line="240" w:lineRule="auto"/>
              <w:ind w:left="57" w:right="57"/>
              <w:rPr>
                <w:b/>
                <w:sz w:val="20"/>
                <w:u w:val="single"/>
              </w:rPr>
            </w:pPr>
          </w:p>
          <w:p w14:paraId="18C8EC46" w14:textId="77777777" w:rsidR="00E47756" w:rsidRDefault="00E47756" w:rsidP="00E47756">
            <w:pPr>
              <w:spacing w:after="0" w:line="240" w:lineRule="auto"/>
              <w:ind w:left="57" w:right="57"/>
              <w:rPr>
                <w:b/>
                <w:sz w:val="20"/>
                <w:u w:val="single"/>
              </w:rPr>
            </w:pPr>
          </w:p>
          <w:p w14:paraId="6F1CFBBD" w14:textId="77777777" w:rsidR="000A3081" w:rsidRDefault="000A3081" w:rsidP="00E47756">
            <w:pPr>
              <w:spacing w:after="0" w:line="240" w:lineRule="auto"/>
              <w:ind w:left="57" w:right="57"/>
              <w:rPr>
                <w:b/>
                <w:sz w:val="20"/>
                <w:u w:val="single"/>
              </w:rPr>
            </w:pPr>
          </w:p>
          <w:p w14:paraId="45F27859" w14:textId="77777777" w:rsidR="000A3081" w:rsidRPr="00E47756" w:rsidRDefault="000A3081" w:rsidP="00E47756">
            <w:pPr>
              <w:spacing w:after="0" w:line="240" w:lineRule="auto"/>
              <w:ind w:left="57" w:right="57"/>
              <w:rPr>
                <w:b/>
                <w:sz w:val="20"/>
                <w:u w:val="single"/>
              </w:rPr>
            </w:pPr>
          </w:p>
          <w:p w14:paraId="01FFBD63" w14:textId="77777777" w:rsidR="00E47756" w:rsidRDefault="00E47756" w:rsidP="00E47756">
            <w:pPr>
              <w:spacing w:after="0" w:line="240" w:lineRule="auto"/>
              <w:ind w:right="57"/>
              <w:rPr>
                <w:b/>
                <w:sz w:val="20"/>
                <w:u w:val="single"/>
              </w:rPr>
            </w:pPr>
          </w:p>
          <w:p w14:paraId="4B112447" w14:textId="77777777" w:rsidR="00653E13" w:rsidRDefault="00653E13" w:rsidP="00E47756">
            <w:pPr>
              <w:spacing w:after="0" w:line="240" w:lineRule="auto"/>
              <w:ind w:right="57"/>
              <w:rPr>
                <w:b/>
                <w:sz w:val="20"/>
                <w:u w:val="single"/>
              </w:rPr>
            </w:pPr>
          </w:p>
          <w:p w14:paraId="6BA9A32A" w14:textId="77777777" w:rsidR="00653E13" w:rsidRDefault="00653E13" w:rsidP="00E47756">
            <w:pPr>
              <w:spacing w:after="0" w:line="240" w:lineRule="auto"/>
              <w:ind w:right="57"/>
              <w:rPr>
                <w:b/>
                <w:sz w:val="20"/>
                <w:u w:val="single"/>
              </w:rPr>
            </w:pPr>
          </w:p>
          <w:p w14:paraId="65E57E43" w14:textId="77777777" w:rsidR="00653E13" w:rsidRPr="00E47756" w:rsidRDefault="00653E13" w:rsidP="00E47756">
            <w:pPr>
              <w:spacing w:after="0" w:line="240" w:lineRule="auto"/>
              <w:ind w:right="57"/>
              <w:rPr>
                <w:b/>
                <w:sz w:val="20"/>
                <w:u w:val="single"/>
              </w:rPr>
            </w:pPr>
          </w:p>
        </w:tc>
      </w:tr>
      <w:tr w:rsidR="00E47756" w:rsidRPr="00E47756" w14:paraId="4538C8E1" w14:textId="77777777" w:rsidTr="001A4016">
        <w:trPr>
          <w:trHeight w:val="959"/>
        </w:trPr>
        <w:tc>
          <w:tcPr>
            <w:tcW w:w="447" w:type="dxa"/>
            <w:tcBorders>
              <w:top w:val="single" w:sz="4" w:space="0" w:color="000000"/>
              <w:left w:val="single" w:sz="4" w:space="0" w:color="000000"/>
              <w:bottom w:val="single" w:sz="4" w:space="0" w:color="000000"/>
              <w:right w:val="single" w:sz="4" w:space="0" w:color="000000"/>
            </w:tcBorders>
          </w:tcPr>
          <w:p w14:paraId="4CFECF84" w14:textId="77777777" w:rsidR="00E47756" w:rsidRPr="00E47756" w:rsidRDefault="00E47756" w:rsidP="00E47756">
            <w:pPr>
              <w:spacing w:after="0" w:line="240" w:lineRule="auto"/>
              <w:ind w:left="57" w:right="57"/>
              <w:jc w:val="center"/>
            </w:pPr>
            <w:r w:rsidRPr="00E47756">
              <w:rPr>
                <w:sz w:val="20"/>
              </w:rPr>
              <w:lastRenderedPageBreak/>
              <w:t>5.</w:t>
            </w:r>
          </w:p>
        </w:tc>
        <w:tc>
          <w:tcPr>
            <w:tcW w:w="2976" w:type="dxa"/>
            <w:tcBorders>
              <w:top w:val="single" w:sz="4" w:space="0" w:color="000000"/>
              <w:left w:val="single" w:sz="4" w:space="0" w:color="000000"/>
              <w:bottom w:val="single" w:sz="4" w:space="0" w:color="000000"/>
              <w:right w:val="single" w:sz="4" w:space="0" w:color="000000"/>
            </w:tcBorders>
          </w:tcPr>
          <w:p w14:paraId="666BD670" w14:textId="77777777" w:rsidR="00E47756" w:rsidRPr="00E47756" w:rsidRDefault="00E47756" w:rsidP="00E47756">
            <w:pPr>
              <w:spacing w:after="0" w:line="240" w:lineRule="auto"/>
              <w:ind w:left="57" w:right="57"/>
            </w:pPr>
            <w:r w:rsidRPr="00E47756">
              <w:rPr>
                <w:b/>
                <w:sz w:val="20"/>
              </w:rPr>
              <w:t xml:space="preserve">Revízia smernice 94/62/ES o obaloch a odpadoch z obalov s cieľom sprísniť základné požiadavky na obaly, ktoré budú uvádzané na trh EÚ  </w:t>
            </w:r>
          </w:p>
        </w:tc>
        <w:tc>
          <w:tcPr>
            <w:tcW w:w="3402" w:type="dxa"/>
            <w:gridSpan w:val="2"/>
            <w:tcBorders>
              <w:top w:val="single" w:sz="4" w:space="0" w:color="000000"/>
              <w:left w:val="single" w:sz="4" w:space="0" w:color="000000"/>
              <w:bottom w:val="single" w:sz="4" w:space="0" w:color="000000"/>
              <w:right w:val="single" w:sz="4" w:space="0" w:color="000000"/>
            </w:tcBorders>
          </w:tcPr>
          <w:p w14:paraId="520E7E92" w14:textId="77777777" w:rsidR="00E47756" w:rsidRPr="00E47756" w:rsidRDefault="00E47756" w:rsidP="00E47756">
            <w:pPr>
              <w:spacing w:after="0" w:line="240" w:lineRule="auto"/>
              <w:ind w:left="57" w:right="57"/>
            </w:pPr>
            <w:r w:rsidRPr="00E47756">
              <w:rPr>
                <w:sz w:val="20"/>
              </w:rPr>
              <w:t xml:space="preserve">Táto iniciatíva reaguje na priority vyhlásené v Európskej zelenej dohode, novom akčnom pláne pre obehové hospodárstvo a osobitný zákonný mandát v smernici o obaloch a odpadoch z obalov. Komisia navrhne revíziu základných požiadaviek na obaly s cieľom zabezpečiť ich opätovné použitie a recykláciu, využívanie recyklovaného obsahu a zlepšiť ich vykonateľnosť. Iniciatíva takisto predpokladá opatrenia na boj proti nadbytočným obalom a zníženie odpadu z obalov. </w:t>
            </w:r>
          </w:p>
          <w:p w14:paraId="111A98DC" w14:textId="77777777" w:rsidR="00E47756" w:rsidRPr="00E47756" w:rsidRDefault="00E47756" w:rsidP="00E47756">
            <w:pPr>
              <w:spacing w:after="0" w:line="240" w:lineRule="auto"/>
              <w:ind w:left="57" w:right="57"/>
            </w:pPr>
            <w:r w:rsidRPr="00E47756">
              <w:rPr>
                <w:sz w:val="20"/>
              </w:rPr>
              <w:t xml:space="preserve">Plánovaný dátum prijatia: 4. štvrťrok 2021; legislatívna iniciatíva; právny základ: článok 114 ZFEÚ. Posúdenie vplyvu sa predpokladá. </w:t>
            </w:r>
          </w:p>
        </w:tc>
        <w:tc>
          <w:tcPr>
            <w:tcW w:w="2127" w:type="dxa"/>
            <w:tcBorders>
              <w:top w:val="single" w:sz="4" w:space="0" w:color="000000"/>
              <w:left w:val="single" w:sz="4" w:space="0" w:color="000000"/>
              <w:bottom w:val="single" w:sz="4" w:space="0" w:color="000000"/>
              <w:right w:val="single" w:sz="4" w:space="0" w:color="000000"/>
            </w:tcBorders>
          </w:tcPr>
          <w:p w14:paraId="4466E007" w14:textId="77777777" w:rsidR="00E47756" w:rsidRPr="00E47756" w:rsidRDefault="00E47756" w:rsidP="00E47756">
            <w:pPr>
              <w:spacing w:after="0" w:line="240" w:lineRule="auto"/>
              <w:ind w:left="57" w:right="57"/>
              <w:jc w:val="center"/>
              <w:rPr>
                <w:sz w:val="20"/>
              </w:rPr>
            </w:pPr>
            <w:r w:rsidRPr="00E47756">
              <w:rPr>
                <w:b/>
                <w:sz w:val="20"/>
              </w:rPr>
              <w:t>MŽP SR</w:t>
            </w:r>
          </w:p>
        </w:tc>
        <w:tc>
          <w:tcPr>
            <w:tcW w:w="5670" w:type="dxa"/>
            <w:tcBorders>
              <w:top w:val="single" w:sz="4" w:space="0" w:color="000000"/>
              <w:left w:val="single" w:sz="4" w:space="0" w:color="000000"/>
              <w:bottom w:val="single" w:sz="4" w:space="0" w:color="000000"/>
              <w:right w:val="single" w:sz="4" w:space="0" w:color="000000"/>
            </w:tcBorders>
          </w:tcPr>
          <w:p w14:paraId="39AD378C" w14:textId="77777777" w:rsidR="00E47756" w:rsidRPr="00E47756" w:rsidRDefault="00E47756" w:rsidP="00E47756">
            <w:pPr>
              <w:spacing w:after="0" w:line="240" w:lineRule="auto"/>
              <w:ind w:left="57" w:right="57"/>
              <w:rPr>
                <w:b/>
                <w:sz w:val="20"/>
                <w:u w:val="single"/>
              </w:rPr>
            </w:pPr>
            <w:r w:rsidRPr="00E47756">
              <w:rPr>
                <w:b/>
                <w:sz w:val="20"/>
                <w:u w:val="single"/>
              </w:rPr>
              <w:t>Vysoká priorita</w:t>
            </w:r>
            <w:r w:rsidRPr="00E47756">
              <w:rPr>
                <w:sz w:val="20"/>
              </w:rPr>
              <w:t xml:space="preserve"> – Redukcia nadbytočne používaných obalových materiálov pomôže znížiť množstvo vzniknutých odpadov z obalov. Revízia smernice 94/62/ES o obaloch a odpadoch z obalov si bude vyžadovať spoluprácu rôznych odvetví, keďže revíziou budú dotknuté aj podnikateľské subjekty, ktoré uvádzajú obaly na trh SR. Z pohľadu životného prostredia má ísť o výrazný krok k prechodu na obehové hospodárstvo s podporou opätovného používania obalov, využívaním recyklácie, využívania </w:t>
            </w:r>
            <w:proofErr w:type="spellStart"/>
            <w:r w:rsidRPr="00E47756">
              <w:rPr>
                <w:sz w:val="20"/>
              </w:rPr>
              <w:t>recyklátu</w:t>
            </w:r>
            <w:proofErr w:type="spellEnd"/>
            <w:r w:rsidRPr="00E47756">
              <w:rPr>
                <w:sz w:val="20"/>
              </w:rPr>
              <w:t xml:space="preserve"> do nových obalov a znížením vzniku odpadov z obalov</w:t>
            </w:r>
          </w:p>
        </w:tc>
      </w:tr>
      <w:tr w:rsidR="00E47756" w:rsidRPr="00E47756" w14:paraId="659EFC16" w14:textId="77777777" w:rsidTr="000A3081">
        <w:trPr>
          <w:trHeight w:val="1117"/>
        </w:trPr>
        <w:tc>
          <w:tcPr>
            <w:tcW w:w="447" w:type="dxa"/>
            <w:tcBorders>
              <w:top w:val="single" w:sz="4" w:space="0" w:color="000000"/>
              <w:left w:val="single" w:sz="4" w:space="0" w:color="000000"/>
              <w:bottom w:val="single" w:sz="4" w:space="0" w:color="000000"/>
              <w:right w:val="single" w:sz="4" w:space="0" w:color="000000"/>
            </w:tcBorders>
          </w:tcPr>
          <w:p w14:paraId="2E7F4378" w14:textId="77777777" w:rsidR="00E47756" w:rsidRPr="00E47756" w:rsidRDefault="00E47756" w:rsidP="00E47756">
            <w:pPr>
              <w:spacing w:after="0" w:line="240" w:lineRule="auto"/>
              <w:ind w:left="57" w:right="57"/>
              <w:jc w:val="center"/>
            </w:pPr>
            <w:r w:rsidRPr="00E47756">
              <w:rPr>
                <w:sz w:val="20"/>
              </w:rPr>
              <w:t>6.</w:t>
            </w:r>
          </w:p>
        </w:tc>
        <w:tc>
          <w:tcPr>
            <w:tcW w:w="2976" w:type="dxa"/>
            <w:tcBorders>
              <w:top w:val="single" w:sz="4" w:space="0" w:color="000000"/>
              <w:left w:val="single" w:sz="4" w:space="0" w:color="000000"/>
              <w:bottom w:val="single" w:sz="4" w:space="0" w:color="000000"/>
              <w:right w:val="single" w:sz="4" w:space="0" w:color="000000"/>
            </w:tcBorders>
          </w:tcPr>
          <w:p w14:paraId="634C235D" w14:textId="77777777" w:rsidR="00E47756" w:rsidRPr="00E47756" w:rsidRDefault="00E47756" w:rsidP="00E47756">
            <w:pPr>
              <w:spacing w:after="0" w:line="240" w:lineRule="auto"/>
              <w:ind w:left="57" w:right="57"/>
            </w:pPr>
            <w:r w:rsidRPr="00E47756">
              <w:rPr>
                <w:b/>
                <w:sz w:val="20"/>
              </w:rPr>
              <w:t xml:space="preserve">Revízia </w:t>
            </w:r>
            <w:r w:rsidRPr="00E47756">
              <w:rPr>
                <w:b/>
                <w:sz w:val="20"/>
              </w:rPr>
              <w:tab/>
              <w:t xml:space="preserve">smernice 2010/75/EÚ o priemyselných emisiách  </w:t>
            </w:r>
          </w:p>
        </w:tc>
        <w:tc>
          <w:tcPr>
            <w:tcW w:w="3402" w:type="dxa"/>
            <w:gridSpan w:val="2"/>
            <w:tcBorders>
              <w:top w:val="single" w:sz="4" w:space="0" w:color="000000"/>
              <w:left w:val="single" w:sz="4" w:space="0" w:color="000000"/>
              <w:bottom w:val="single" w:sz="4" w:space="0" w:color="000000"/>
              <w:right w:val="single" w:sz="4" w:space="0" w:color="000000"/>
            </w:tcBorders>
          </w:tcPr>
          <w:p w14:paraId="7AF59FA4" w14:textId="77777777" w:rsidR="00E47756" w:rsidRPr="00E47756" w:rsidRDefault="00E47756" w:rsidP="00E47756">
            <w:pPr>
              <w:spacing w:after="0" w:line="240" w:lineRule="auto"/>
              <w:ind w:left="57" w:right="57"/>
            </w:pPr>
            <w:r w:rsidRPr="00E47756">
              <w:rPr>
                <w:sz w:val="20"/>
              </w:rPr>
              <w:t xml:space="preserve">Revízia smernice o priemyselných emisiách je súčasťou revízie opatrení EÚ v oblasti znečisťovania z veľkých priemyselných zariadení, ktoré boli ohlásené v Európskej zelenej dohode. Cieľom revízie je zvýšiť prínos smernice k cieľu nulového znečistenia a jej súlad s politikami v oblasti klímy, energetiky a obehového hospodárstva. Zabezpečí, aby bola uvedená smernica vhodná na účel toho sprevádzania pripravovanej priemyselnej transformácie. </w:t>
            </w:r>
          </w:p>
          <w:p w14:paraId="3BFA5642" w14:textId="77777777" w:rsidR="00E47756" w:rsidRPr="00E47756" w:rsidRDefault="00E47756" w:rsidP="00E47756">
            <w:pPr>
              <w:spacing w:after="0" w:line="240" w:lineRule="auto"/>
              <w:ind w:left="57" w:right="57"/>
            </w:pPr>
            <w:r w:rsidRPr="00E47756">
              <w:rPr>
                <w:sz w:val="20"/>
              </w:rPr>
              <w:t xml:space="preserve">Plánovaný dátum prijatia: 4. štvrťrok 2021; legislatívna iniciatíva; právny základ: článok 192 ZFEÚ; Posúdenie vplyvu sa predpokladá.  </w:t>
            </w:r>
          </w:p>
        </w:tc>
        <w:tc>
          <w:tcPr>
            <w:tcW w:w="2127" w:type="dxa"/>
            <w:tcBorders>
              <w:top w:val="single" w:sz="4" w:space="0" w:color="000000"/>
              <w:left w:val="single" w:sz="4" w:space="0" w:color="000000"/>
              <w:bottom w:val="single" w:sz="4" w:space="0" w:color="000000"/>
              <w:right w:val="single" w:sz="4" w:space="0" w:color="000000"/>
            </w:tcBorders>
          </w:tcPr>
          <w:p w14:paraId="0DCBE93D" w14:textId="77777777" w:rsidR="00E47756" w:rsidRPr="00E47756" w:rsidRDefault="00E47756" w:rsidP="00E47756">
            <w:pPr>
              <w:spacing w:after="0" w:line="240" w:lineRule="auto"/>
              <w:ind w:left="57" w:right="57"/>
              <w:jc w:val="center"/>
              <w:rPr>
                <w:sz w:val="20"/>
              </w:rPr>
            </w:pPr>
            <w:r w:rsidRPr="00E47756">
              <w:rPr>
                <w:b/>
                <w:sz w:val="20"/>
              </w:rPr>
              <w:t>MŽP SR</w:t>
            </w:r>
          </w:p>
        </w:tc>
        <w:tc>
          <w:tcPr>
            <w:tcW w:w="5670" w:type="dxa"/>
            <w:tcBorders>
              <w:top w:val="single" w:sz="4" w:space="0" w:color="000000"/>
              <w:left w:val="single" w:sz="4" w:space="0" w:color="000000"/>
              <w:bottom w:val="single" w:sz="4" w:space="0" w:color="000000"/>
              <w:right w:val="single" w:sz="4" w:space="0" w:color="000000"/>
            </w:tcBorders>
          </w:tcPr>
          <w:p w14:paraId="62BF72AB" w14:textId="77777777" w:rsidR="00E47756" w:rsidRPr="00E47756" w:rsidRDefault="00E47756" w:rsidP="000A3081">
            <w:pPr>
              <w:spacing w:after="0" w:line="240" w:lineRule="auto"/>
              <w:ind w:left="57" w:right="57"/>
              <w:rPr>
                <w:sz w:val="20"/>
              </w:rPr>
            </w:pPr>
            <w:r w:rsidRPr="00E47756">
              <w:rPr>
                <w:b/>
                <w:sz w:val="20"/>
                <w:u w:val="single"/>
              </w:rPr>
              <w:t>Vysoká priorita</w:t>
            </w:r>
            <w:r w:rsidRPr="00E47756">
              <w:rPr>
                <w:sz w:val="20"/>
              </w:rPr>
              <w:t xml:space="preserve"> – Priemyselné činnosti zohrávajú dôležitú úlohu v ekonomickom blahobyte Európy a prispievajú k udržateľnému rastu, ale môžu mať tiež významný vplyv na životné prostredie. Najväčšie priemyselné prevádzky tvoria značný podiel na celkových emisiách kľúčových znečisťujúcich látok do ovzdušia a majú aj ďalšie dôležité vplyvy na životné prostredie vrátane emisií do vody a pôdy, tvorbu odpadu a využívania energie a surovín.BAT sú najefektívnejšie techniky na dosiahnutie vysokej úrovne ochrany životného prostredia, berúc do úvahy náklady a prínosy. EK navrhuje revíziu opatrení EÚ týkajúcich sa znečistenia z veľkých priemyselných prevádzok v roku 2021, ako sa uvádza v Európskej zelenej dohode. Cieľom revízie je dosiahnuť pokrok v dosahovaní ambícií EÚ v oblasti nulového znečistenia životného prostredia bez toxických látok a podporovať politiky v oblasti klímy, energetiky a obehového hospodárstva.</w:t>
            </w:r>
            <w:r w:rsidRPr="00E47756">
              <w:rPr>
                <w:b/>
                <w:sz w:val="20"/>
                <w:u w:val="single"/>
              </w:rPr>
              <w:t xml:space="preserve"> </w:t>
            </w:r>
            <w:r w:rsidRPr="00E47756">
              <w:rPr>
                <w:sz w:val="20"/>
              </w:rPr>
              <w:t xml:space="preserve">IED zohrávala dôležitú úlohu pri znižovaní emisií znečisťujúcich látok z </w:t>
            </w:r>
            <w:r w:rsidRPr="00E47756">
              <w:rPr>
                <w:sz w:val="20"/>
              </w:rPr>
              <w:lastRenderedPageBreak/>
              <w:t>priemyslu, najmä do ovzdušia, ale v menšej miere prispieva k dekarboni</w:t>
            </w:r>
            <w:r w:rsidR="000A3081">
              <w:rPr>
                <w:sz w:val="20"/>
              </w:rPr>
              <w:t>zácii a obehovému hospodárstvu.</w:t>
            </w:r>
          </w:p>
        </w:tc>
      </w:tr>
      <w:tr w:rsidR="00E47756" w:rsidRPr="00E47756" w14:paraId="3C642B7F" w14:textId="77777777" w:rsidTr="001A4016">
        <w:trPr>
          <w:trHeight w:val="959"/>
        </w:trPr>
        <w:tc>
          <w:tcPr>
            <w:tcW w:w="447" w:type="dxa"/>
            <w:tcBorders>
              <w:top w:val="single" w:sz="4" w:space="0" w:color="000000"/>
              <w:left w:val="single" w:sz="4" w:space="0" w:color="000000"/>
              <w:bottom w:val="single" w:sz="4" w:space="0" w:color="000000"/>
              <w:right w:val="single" w:sz="4" w:space="0" w:color="000000"/>
            </w:tcBorders>
          </w:tcPr>
          <w:p w14:paraId="1F39BC66" w14:textId="77777777" w:rsidR="00E47756" w:rsidRPr="00E47756" w:rsidRDefault="00E47756" w:rsidP="00E47756">
            <w:pPr>
              <w:spacing w:after="0" w:line="240" w:lineRule="auto"/>
              <w:ind w:left="57" w:right="57"/>
              <w:jc w:val="center"/>
            </w:pPr>
            <w:r w:rsidRPr="00E47756">
              <w:rPr>
                <w:sz w:val="20"/>
              </w:rPr>
              <w:lastRenderedPageBreak/>
              <w:t>7.</w:t>
            </w:r>
          </w:p>
        </w:tc>
        <w:tc>
          <w:tcPr>
            <w:tcW w:w="2976" w:type="dxa"/>
            <w:tcBorders>
              <w:top w:val="single" w:sz="4" w:space="0" w:color="000000"/>
              <w:left w:val="single" w:sz="4" w:space="0" w:color="000000"/>
              <w:bottom w:val="single" w:sz="4" w:space="0" w:color="000000"/>
              <w:right w:val="single" w:sz="4" w:space="0" w:color="000000"/>
            </w:tcBorders>
          </w:tcPr>
          <w:p w14:paraId="04FD57D2" w14:textId="77777777" w:rsidR="00E47756" w:rsidRPr="00E47756" w:rsidRDefault="00E47756" w:rsidP="00E47756">
            <w:pPr>
              <w:spacing w:after="0" w:line="240" w:lineRule="auto"/>
              <w:ind w:left="57" w:right="57"/>
            </w:pPr>
            <w:r w:rsidRPr="00E47756">
              <w:rPr>
                <w:b/>
                <w:sz w:val="20"/>
              </w:rPr>
              <w:t xml:space="preserve">Revízia nariadenia Európskeho parlamentu a Rady o štatistikách poľnohospodárskych vstupov a výstupov (SAIO) </w:t>
            </w:r>
          </w:p>
        </w:tc>
        <w:tc>
          <w:tcPr>
            <w:tcW w:w="3402" w:type="dxa"/>
            <w:gridSpan w:val="2"/>
            <w:tcBorders>
              <w:top w:val="single" w:sz="4" w:space="0" w:color="000000"/>
              <w:left w:val="single" w:sz="4" w:space="0" w:color="000000"/>
              <w:bottom w:val="single" w:sz="4" w:space="0" w:color="000000"/>
              <w:right w:val="single" w:sz="4" w:space="0" w:color="000000"/>
            </w:tcBorders>
          </w:tcPr>
          <w:p w14:paraId="061EC0B3" w14:textId="77777777" w:rsidR="00E47756" w:rsidRPr="00E47756" w:rsidRDefault="00E47756" w:rsidP="00E47756">
            <w:pPr>
              <w:spacing w:after="0" w:line="240" w:lineRule="auto"/>
              <w:ind w:left="57" w:right="57"/>
              <w:rPr>
                <w:sz w:val="20"/>
              </w:rPr>
            </w:pPr>
            <w:r w:rsidRPr="00E47756">
              <w:rPr>
                <w:sz w:val="20"/>
              </w:rPr>
              <w:t xml:space="preserve">Úlohou štatistík SAIO je uspokojiť potreby vyplývajúce zo spoločnej poľnohospodárskej politiky po roku 2020 a Európskej zelenej dohody, najmä zo stratégie „z farmy na stôl“. Cieľom je aktualizovať právne predpisy v oblasti poľnohospodárskych štatistík, znížiť záťaž v súvislosti s poskytovaním údajov, zohľadniť potreby nových údajov a zabezpečiť lepšiu porovnateľnosť zozbieraných údajov. V spoločnom integrovanom právnom rámci sa spájajú: </w:t>
            </w:r>
          </w:p>
          <w:p w14:paraId="64D34959" w14:textId="77777777" w:rsidR="00E47756" w:rsidRPr="00E47756" w:rsidRDefault="00E47756" w:rsidP="00E47756">
            <w:pPr>
              <w:spacing w:after="0" w:line="240" w:lineRule="auto"/>
              <w:ind w:left="57" w:right="57"/>
              <w:rPr>
                <w:sz w:val="20"/>
              </w:rPr>
            </w:pPr>
            <w:r w:rsidRPr="00E47756">
              <w:rPr>
                <w:sz w:val="20"/>
              </w:rPr>
              <w:t xml:space="preserve">o štatistiky poľnohospodárskej výroby vrátane štatistík ekologického poľnohospodárstva o poľnohospodárska cenová štatistika a o štatistika prípravkov na ochranu rastlín a štatistika živín. </w:t>
            </w:r>
          </w:p>
          <w:p w14:paraId="18B1CFA0" w14:textId="77777777" w:rsidR="00E47756" w:rsidRPr="00E47756" w:rsidRDefault="00E47756" w:rsidP="00E47756">
            <w:pPr>
              <w:spacing w:after="0" w:line="240" w:lineRule="auto"/>
              <w:ind w:left="57" w:right="57"/>
              <w:rPr>
                <w:sz w:val="20"/>
              </w:rPr>
            </w:pPr>
          </w:p>
          <w:p w14:paraId="7876DD00" w14:textId="77777777" w:rsidR="00E47756" w:rsidRPr="00E47756" w:rsidRDefault="00E47756" w:rsidP="00E47756">
            <w:pPr>
              <w:spacing w:after="0" w:line="240" w:lineRule="auto"/>
              <w:ind w:left="57" w:right="57"/>
            </w:pPr>
            <w:r w:rsidRPr="00E47756">
              <w:rPr>
                <w:sz w:val="20"/>
              </w:rPr>
              <w:t xml:space="preserve">Plánovaný dátum prijatia: 1. štvrťrok 2021; legislatívna iniciatíva; právny základ: článok 338 ods. 1 ZFEÚ. Posúdenie vplyvu sa nepredpokladá. </w:t>
            </w:r>
          </w:p>
        </w:tc>
        <w:tc>
          <w:tcPr>
            <w:tcW w:w="2127" w:type="dxa"/>
            <w:tcBorders>
              <w:top w:val="single" w:sz="4" w:space="0" w:color="000000"/>
              <w:left w:val="single" w:sz="4" w:space="0" w:color="000000"/>
              <w:bottom w:val="single" w:sz="4" w:space="0" w:color="000000"/>
              <w:right w:val="single" w:sz="4" w:space="0" w:color="000000"/>
            </w:tcBorders>
          </w:tcPr>
          <w:p w14:paraId="03094BD4" w14:textId="77777777" w:rsidR="00E47756" w:rsidRPr="00E47756" w:rsidRDefault="00E47756" w:rsidP="00E47756">
            <w:pPr>
              <w:spacing w:after="0" w:line="240" w:lineRule="auto"/>
              <w:ind w:left="57" w:right="57"/>
              <w:jc w:val="center"/>
              <w:rPr>
                <w:b/>
                <w:sz w:val="20"/>
              </w:rPr>
            </w:pPr>
            <w:r w:rsidRPr="00E47756">
              <w:rPr>
                <w:b/>
                <w:sz w:val="20"/>
              </w:rPr>
              <w:t>ŠÚ SR</w:t>
            </w:r>
          </w:p>
          <w:p w14:paraId="16AEBD30" w14:textId="77777777" w:rsidR="00E47756" w:rsidRPr="00E47756" w:rsidRDefault="00E47756" w:rsidP="00E47756">
            <w:pPr>
              <w:spacing w:after="0" w:line="240" w:lineRule="auto"/>
              <w:ind w:left="57" w:right="57"/>
              <w:jc w:val="center"/>
              <w:rPr>
                <w:sz w:val="20"/>
              </w:rPr>
            </w:pPr>
            <w:r w:rsidRPr="00E47756">
              <w:rPr>
                <w:b/>
                <w:sz w:val="20"/>
              </w:rPr>
              <w:t>MPRV SR</w:t>
            </w:r>
          </w:p>
        </w:tc>
        <w:tc>
          <w:tcPr>
            <w:tcW w:w="5670" w:type="dxa"/>
            <w:tcBorders>
              <w:top w:val="single" w:sz="4" w:space="0" w:color="000000"/>
              <w:left w:val="single" w:sz="4" w:space="0" w:color="000000"/>
              <w:bottom w:val="single" w:sz="4" w:space="0" w:color="000000"/>
              <w:right w:val="single" w:sz="4" w:space="0" w:color="000000"/>
            </w:tcBorders>
          </w:tcPr>
          <w:p w14:paraId="489CA49E" w14:textId="77777777" w:rsidR="00E47756" w:rsidRPr="00E47756" w:rsidRDefault="00E47756" w:rsidP="00E47756">
            <w:pPr>
              <w:spacing w:after="0" w:line="240" w:lineRule="auto"/>
              <w:ind w:left="57" w:right="57"/>
              <w:rPr>
                <w:sz w:val="20"/>
              </w:rPr>
            </w:pPr>
            <w:r w:rsidRPr="00E47756">
              <w:rPr>
                <w:b/>
                <w:sz w:val="20"/>
                <w:u w:val="single"/>
              </w:rPr>
              <w:t>Vysoká priorita</w:t>
            </w:r>
            <w:r w:rsidRPr="00E47756">
              <w:rPr>
                <w:sz w:val="20"/>
              </w:rPr>
              <w:t xml:space="preserve"> – Návrh nariadenia predstavuje integráciu viacerých parciálnych štatistík, ktoré boli doteraz legislatívne upravené v rámci samostatných nariadení EÚ. Ide o štatistiku rastlinnej výroby, štatistiku živočíšnej výroby, </w:t>
            </w:r>
            <w:proofErr w:type="spellStart"/>
            <w:r w:rsidRPr="00E47756">
              <w:rPr>
                <w:sz w:val="20"/>
              </w:rPr>
              <w:t>agroenvironmentálne</w:t>
            </w:r>
            <w:proofErr w:type="spellEnd"/>
            <w:r w:rsidRPr="00E47756">
              <w:rPr>
                <w:sz w:val="20"/>
              </w:rPr>
              <w:t xml:space="preserve"> štatistiky, štatistika ekologickej poľnohospodárskej výroby, štatistika o mlieku. Okrem v súčasnosti legislatívne upravených štatistík obsahuje aj časti, ktoré sú momentálne pokryté nelegislatívne – </w:t>
            </w:r>
            <w:proofErr w:type="spellStart"/>
            <w:r w:rsidRPr="00E47756">
              <w:rPr>
                <w:sz w:val="20"/>
              </w:rPr>
              <w:t>t.j</w:t>
            </w:r>
            <w:proofErr w:type="spellEnd"/>
            <w:r w:rsidRPr="00E47756">
              <w:rPr>
                <w:sz w:val="20"/>
              </w:rPr>
              <w:t>. ESS dohodami. Časť poľnohospodárskych štatistík je zabezpečovaná prostredníctvom ŠÚ SR. Pokiaľ ide o </w:t>
            </w:r>
            <w:proofErr w:type="spellStart"/>
            <w:r w:rsidRPr="00E47756">
              <w:rPr>
                <w:sz w:val="20"/>
              </w:rPr>
              <w:t>agronevironmentálne</w:t>
            </w:r>
            <w:proofErr w:type="spellEnd"/>
            <w:r w:rsidRPr="00E47756">
              <w:rPr>
                <w:sz w:val="20"/>
              </w:rPr>
              <w:t xml:space="preserve"> štatistiky a štatistiky ekologickej poľnohospodárskej produkcie, tie sú v </w:t>
            </w:r>
            <w:proofErr w:type="spellStart"/>
            <w:r w:rsidRPr="00E47756">
              <w:rPr>
                <w:sz w:val="20"/>
              </w:rPr>
              <w:t>gestorstve</w:t>
            </w:r>
            <w:proofErr w:type="spellEnd"/>
            <w:r w:rsidRPr="00E47756">
              <w:rPr>
                <w:sz w:val="20"/>
              </w:rPr>
              <w:t xml:space="preserve"> Ministerstva pôdohospodárstva a rozvoja vidieka SR – konkrétne zabezpečované Ústredným kontrolným a skúšobným ústavom poľnohospodárskym. Pozícia SR bude postavená na princípe nezvyšovania administratívnej záťaže spravodajských jednotiek ako aj gestorov štatistických zisťovaní, nezvyšovania počtu štatistických premenných ako aj frekvencie spracovávania a zasielania údajov a na zodpovedajúcom finančnom krytí ad-hoc údajov zo strany Komisie.</w:t>
            </w:r>
          </w:p>
        </w:tc>
      </w:tr>
      <w:tr w:rsidR="00E47756" w:rsidRPr="00E47756" w14:paraId="2EDE0C7F" w14:textId="77777777" w:rsidTr="001A4016">
        <w:trPr>
          <w:trHeight w:val="1916"/>
        </w:trPr>
        <w:tc>
          <w:tcPr>
            <w:tcW w:w="447" w:type="dxa"/>
            <w:tcBorders>
              <w:top w:val="single" w:sz="4" w:space="0" w:color="000000"/>
              <w:left w:val="single" w:sz="4" w:space="0" w:color="000000"/>
              <w:bottom w:val="single" w:sz="4" w:space="0" w:color="000000"/>
              <w:right w:val="single" w:sz="4" w:space="0" w:color="000000"/>
            </w:tcBorders>
          </w:tcPr>
          <w:p w14:paraId="69E588C4" w14:textId="77777777" w:rsidR="00E47756" w:rsidRPr="00E47756" w:rsidRDefault="00E47756" w:rsidP="00E47756">
            <w:pPr>
              <w:spacing w:after="0" w:line="240" w:lineRule="auto"/>
              <w:ind w:left="57" w:right="57"/>
              <w:jc w:val="center"/>
            </w:pPr>
            <w:r w:rsidRPr="00E47756">
              <w:rPr>
                <w:sz w:val="20"/>
              </w:rPr>
              <w:lastRenderedPageBreak/>
              <w:t>8.</w:t>
            </w:r>
          </w:p>
        </w:tc>
        <w:tc>
          <w:tcPr>
            <w:tcW w:w="2976" w:type="dxa"/>
            <w:tcBorders>
              <w:top w:val="single" w:sz="4" w:space="0" w:color="000000"/>
              <w:left w:val="single" w:sz="4" w:space="0" w:color="000000"/>
              <w:bottom w:val="single" w:sz="4" w:space="0" w:color="000000"/>
              <w:right w:val="single" w:sz="4" w:space="0" w:color="000000"/>
            </w:tcBorders>
          </w:tcPr>
          <w:p w14:paraId="25BCBB0B" w14:textId="77777777" w:rsidR="00E47756" w:rsidRPr="00E47756" w:rsidRDefault="00E47756" w:rsidP="00E47756">
            <w:pPr>
              <w:spacing w:after="0" w:line="240" w:lineRule="auto"/>
              <w:ind w:left="57" w:right="57"/>
            </w:pPr>
            <w:r w:rsidRPr="00E47756">
              <w:rPr>
                <w:b/>
                <w:sz w:val="20"/>
              </w:rPr>
              <w:t xml:space="preserve">Revízia nariadenia Európskeho parlamentu a Rady o štatistikách európskeho rybolovu, ktorým sa zrušujú nariadenia (ES) č. 1921/2006, (ES) č. 762/2008, (ES) č. 216/2009, (ES) č. 217/2009 a (ES) č. 218/2009 </w:t>
            </w:r>
          </w:p>
        </w:tc>
        <w:tc>
          <w:tcPr>
            <w:tcW w:w="3402" w:type="dxa"/>
            <w:gridSpan w:val="2"/>
            <w:tcBorders>
              <w:top w:val="single" w:sz="4" w:space="0" w:color="000000"/>
              <w:left w:val="single" w:sz="4" w:space="0" w:color="000000"/>
              <w:bottom w:val="single" w:sz="4" w:space="0" w:color="000000"/>
              <w:right w:val="single" w:sz="4" w:space="0" w:color="000000"/>
            </w:tcBorders>
          </w:tcPr>
          <w:p w14:paraId="546067CA" w14:textId="77777777" w:rsidR="00E47756" w:rsidRPr="00E47756" w:rsidRDefault="00E47756" w:rsidP="00E47756">
            <w:pPr>
              <w:spacing w:after="0" w:line="240" w:lineRule="auto"/>
              <w:ind w:left="57" w:right="57"/>
            </w:pPr>
            <w:r w:rsidRPr="00E47756">
              <w:rPr>
                <w:sz w:val="20"/>
              </w:rPr>
              <w:t xml:space="preserve">Cieľom revízie je zefektívniť a zjednodušiť zbery údajov, ktoré sú potrebné na vytvorenie štatistík európskeho rybolovu. Revízia takisto zosúladí štatistiky európskeho rybolovu s údajmi a informačnými potrebami reformovanej spoločnej rybárskej politiky. Vzťahuje sa na štatistiky výlovu, vyloďovania produktov rybolovu a </w:t>
            </w:r>
            <w:proofErr w:type="spellStart"/>
            <w:r w:rsidRPr="00E47756">
              <w:rPr>
                <w:sz w:val="20"/>
              </w:rPr>
              <w:t>akvakultúry</w:t>
            </w:r>
            <w:proofErr w:type="spellEnd"/>
            <w:r w:rsidRPr="00E47756">
              <w:rPr>
                <w:sz w:val="20"/>
              </w:rPr>
              <w:t xml:space="preserve">. Hlavným cieľom je využiť v maximálnej možnej miere zhromaždené administratívne údaje na spoločnú rybársku politiku a znížiť zaťaženie členských štátov. </w:t>
            </w:r>
          </w:p>
          <w:p w14:paraId="117AA593" w14:textId="77777777" w:rsidR="00E47756" w:rsidRPr="00E47756" w:rsidRDefault="00E47756" w:rsidP="00E47756">
            <w:pPr>
              <w:spacing w:after="0" w:line="240" w:lineRule="auto"/>
              <w:ind w:left="57" w:right="57"/>
              <w:rPr>
                <w:sz w:val="20"/>
              </w:rPr>
            </w:pPr>
            <w:r w:rsidRPr="00E47756">
              <w:rPr>
                <w:sz w:val="20"/>
              </w:rPr>
              <w:t xml:space="preserve">Plánovaný dátum prijatia: 4. štvrťrok 2021; legislatívna iniciatíva; právny základ: článok 338 ZFEÚ. Posúdenie vplyvu sa predpokladá. </w:t>
            </w:r>
          </w:p>
          <w:p w14:paraId="292EAF2D" w14:textId="77777777" w:rsidR="00E47756" w:rsidRPr="00E47756" w:rsidRDefault="00E47756" w:rsidP="00E47756">
            <w:pPr>
              <w:spacing w:after="0" w:line="240" w:lineRule="auto"/>
              <w:ind w:left="57" w:right="57"/>
              <w:rPr>
                <w:sz w:val="20"/>
              </w:rPr>
            </w:pPr>
          </w:p>
          <w:p w14:paraId="7F0322B7" w14:textId="77777777" w:rsidR="00E47756" w:rsidRPr="00E47756" w:rsidRDefault="00E47756" w:rsidP="00E47756">
            <w:pPr>
              <w:spacing w:after="0" w:line="240" w:lineRule="auto"/>
              <w:ind w:left="57" w:right="57"/>
            </w:pPr>
          </w:p>
        </w:tc>
        <w:tc>
          <w:tcPr>
            <w:tcW w:w="2127" w:type="dxa"/>
            <w:tcBorders>
              <w:top w:val="single" w:sz="4" w:space="0" w:color="000000"/>
              <w:left w:val="single" w:sz="4" w:space="0" w:color="000000"/>
              <w:bottom w:val="single" w:sz="4" w:space="0" w:color="000000"/>
              <w:right w:val="single" w:sz="4" w:space="0" w:color="000000"/>
            </w:tcBorders>
          </w:tcPr>
          <w:p w14:paraId="3657D0B9" w14:textId="77777777" w:rsidR="00E47756" w:rsidRPr="00E47756" w:rsidRDefault="00E47756" w:rsidP="00E47756">
            <w:pPr>
              <w:spacing w:after="0" w:line="240" w:lineRule="auto"/>
              <w:ind w:left="57" w:right="57"/>
              <w:jc w:val="center"/>
              <w:rPr>
                <w:b/>
                <w:sz w:val="20"/>
              </w:rPr>
            </w:pPr>
            <w:r w:rsidRPr="00E47756">
              <w:rPr>
                <w:b/>
                <w:sz w:val="20"/>
              </w:rPr>
              <w:t>ŠÚ SR</w:t>
            </w:r>
          </w:p>
        </w:tc>
        <w:tc>
          <w:tcPr>
            <w:tcW w:w="5670" w:type="dxa"/>
            <w:tcBorders>
              <w:top w:val="single" w:sz="4" w:space="0" w:color="000000"/>
              <w:left w:val="single" w:sz="4" w:space="0" w:color="000000"/>
              <w:bottom w:val="single" w:sz="4" w:space="0" w:color="000000"/>
              <w:right w:val="single" w:sz="4" w:space="0" w:color="000000"/>
            </w:tcBorders>
          </w:tcPr>
          <w:p w14:paraId="61EF27FD" w14:textId="77777777" w:rsidR="00E47756" w:rsidRPr="00E47756" w:rsidRDefault="00E47756" w:rsidP="00E47756">
            <w:pPr>
              <w:spacing w:after="0" w:line="240" w:lineRule="auto"/>
              <w:ind w:left="57" w:right="57"/>
              <w:rPr>
                <w:sz w:val="20"/>
              </w:rPr>
            </w:pPr>
            <w:r w:rsidRPr="00E47756">
              <w:rPr>
                <w:b/>
                <w:sz w:val="20"/>
                <w:u w:val="single"/>
              </w:rPr>
              <w:t>Stredná priorita</w:t>
            </w:r>
            <w:r w:rsidRPr="00E47756">
              <w:rPr>
                <w:sz w:val="20"/>
              </w:rPr>
              <w:t xml:space="preserve"> – Návrh nariadenia je pre SR dôležitý najmä z hľadiska štatistiky </w:t>
            </w:r>
            <w:proofErr w:type="spellStart"/>
            <w:r w:rsidRPr="00E47756">
              <w:rPr>
                <w:sz w:val="20"/>
              </w:rPr>
              <w:t>akvakultúry</w:t>
            </w:r>
            <w:proofErr w:type="spellEnd"/>
            <w:r w:rsidRPr="00E47756">
              <w:rPr>
                <w:sz w:val="20"/>
              </w:rPr>
              <w:t xml:space="preserve"> – </w:t>
            </w:r>
            <w:proofErr w:type="spellStart"/>
            <w:r w:rsidRPr="00E47756">
              <w:rPr>
                <w:sz w:val="20"/>
              </w:rPr>
              <w:t>t.j</w:t>
            </w:r>
            <w:proofErr w:type="spellEnd"/>
            <w:r w:rsidRPr="00E47756">
              <w:rPr>
                <w:sz w:val="20"/>
              </w:rPr>
              <w:t>. chovu rýb. Z pohľadu SR je potrebné sa zamerať na nezvyšovanie administratívnej záťaže respondentov a ŠÚ SR.</w:t>
            </w:r>
          </w:p>
        </w:tc>
      </w:tr>
      <w:tr w:rsidR="00E47756" w:rsidRPr="00E47756" w14:paraId="64BB4FBC" w14:textId="77777777" w:rsidTr="001A4016">
        <w:tblPrEx>
          <w:tblCellMar>
            <w:top w:w="40" w:type="dxa"/>
          </w:tblCellMar>
        </w:tblPrEx>
        <w:trPr>
          <w:trHeight w:val="3220"/>
        </w:trPr>
        <w:tc>
          <w:tcPr>
            <w:tcW w:w="447" w:type="dxa"/>
            <w:tcBorders>
              <w:top w:val="single" w:sz="4" w:space="0" w:color="000000"/>
              <w:left w:val="single" w:sz="4" w:space="0" w:color="000000"/>
              <w:bottom w:val="single" w:sz="4" w:space="0" w:color="000000"/>
              <w:right w:val="single" w:sz="4" w:space="0" w:color="000000"/>
            </w:tcBorders>
          </w:tcPr>
          <w:p w14:paraId="17923A15" w14:textId="77777777" w:rsidR="00E47756" w:rsidRPr="00E47756" w:rsidRDefault="00E47756" w:rsidP="00E47756">
            <w:pPr>
              <w:spacing w:after="0" w:line="240" w:lineRule="auto"/>
              <w:ind w:left="57" w:right="57"/>
              <w:jc w:val="center"/>
            </w:pPr>
            <w:r w:rsidRPr="00E47756">
              <w:rPr>
                <w:sz w:val="20"/>
              </w:rPr>
              <w:lastRenderedPageBreak/>
              <w:t>9.</w:t>
            </w:r>
          </w:p>
        </w:tc>
        <w:tc>
          <w:tcPr>
            <w:tcW w:w="2976" w:type="dxa"/>
            <w:tcBorders>
              <w:top w:val="single" w:sz="4" w:space="0" w:color="000000"/>
              <w:left w:val="single" w:sz="4" w:space="0" w:color="000000"/>
              <w:bottom w:val="single" w:sz="4" w:space="0" w:color="000000"/>
              <w:right w:val="single" w:sz="4" w:space="0" w:color="000000"/>
            </w:tcBorders>
          </w:tcPr>
          <w:p w14:paraId="5FCAF837" w14:textId="77777777" w:rsidR="00E47756" w:rsidRPr="00E47756" w:rsidRDefault="00E47756" w:rsidP="00E47756">
            <w:pPr>
              <w:spacing w:after="0" w:line="240" w:lineRule="auto"/>
              <w:ind w:left="57" w:right="57"/>
            </w:pPr>
            <w:r w:rsidRPr="00E47756">
              <w:rPr>
                <w:b/>
                <w:sz w:val="20"/>
              </w:rPr>
              <w:t xml:space="preserve">Revízia nariadenia (EÚ) č. 305/2011 o stavebných výrobkoch  </w:t>
            </w:r>
          </w:p>
        </w:tc>
        <w:tc>
          <w:tcPr>
            <w:tcW w:w="3402" w:type="dxa"/>
            <w:gridSpan w:val="2"/>
            <w:tcBorders>
              <w:top w:val="single" w:sz="4" w:space="0" w:color="000000"/>
              <w:left w:val="single" w:sz="4" w:space="0" w:color="000000"/>
              <w:bottom w:val="single" w:sz="4" w:space="0" w:color="000000"/>
              <w:right w:val="single" w:sz="4" w:space="0" w:color="000000"/>
            </w:tcBorders>
          </w:tcPr>
          <w:p w14:paraId="08A145DA" w14:textId="77777777" w:rsidR="00E47756" w:rsidRPr="00E47756" w:rsidRDefault="00E47756" w:rsidP="00E47756">
            <w:pPr>
              <w:spacing w:after="0" w:line="240" w:lineRule="auto"/>
              <w:ind w:left="57" w:right="57"/>
              <w:rPr>
                <w:sz w:val="20"/>
              </w:rPr>
            </w:pPr>
            <w:r w:rsidRPr="00E47756">
              <w:rPr>
                <w:sz w:val="20"/>
              </w:rPr>
              <w:t>Stavebníctvo je jedným zo 14 hlavných priemyselných ekosystémov, ktoré majú ústrednú pozíciu v pláne obnovy. Revízia, ktorá sa spomína v Európskej zelenej dohode a akčnom pláne pre obehové hospodárstvo, pridá rámec pre environmentálne a obehové požiadavky na stavebné výrobky; a prispeje tak k väčšej energetickej a materiálovej účinnosti budov. Uvedená iniciatíva bude riešiť hlavné problémy zistené pri hodnotení, najmä problémy spojené s vypracovaním harmonizovaných technických špecifikácií a najmä s blokovaním normalizácie s cieľom zlepšiť dohľad nad trhom a riešiť pretrvávajúce problémy s národnými ochrannými známkami a národnými dodatočnými požiadavkami/testami.</w:t>
            </w:r>
          </w:p>
          <w:p w14:paraId="2E0176F1" w14:textId="77777777" w:rsidR="00E47756" w:rsidRPr="00E47756" w:rsidRDefault="00E47756" w:rsidP="00E47756">
            <w:pPr>
              <w:spacing w:after="0" w:line="240" w:lineRule="auto"/>
              <w:ind w:left="57" w:right="57"/>
              <w:rPr>
                <w:sz w:val="20"/>
              </w:rPr>
            </w:pPr>
            <w:r w:rsidRPr="00E47756">
              <w:rPr>
                <w:sz w:val="20"/>
              </w:rPr>
              <w:t xml:space="preserve">Výsledkom bude zlepšenie fungovania vnútorného trhu so stavebnými výrobkami. Ďalej poskytne rámec s cieľom vytvoriť a vykonávať kritériá v oblasti životného prostredia a udržateľnosti pre stavebné výrobky. Z hodnotenia nariadenia o stavebných výrobkoch vyplynulo, že náklady na dodržiavanie nariadenia o stavebných výrobkoch predstavujú 0,6 % až 1,1 % obratu odvetvia a sú znášané najmä výrobcami. Analýza potvrdzuje existenciu úspor z rozsahu činností na dodržiavanie a vyplýva z nej, že náklady </w:t>
            </w:r>
            <w:r w:rsidRPr="00E47756">
              <w:rPr>
                <w:sz w:val="20"/>
              </w:rPr>
              <w:lastRenderedPageBreak/>
              <w:t xml:space="preserve">môžu byť pre malé a stredné podniky, najmä pre </w:t>
            </w:r>
            <w:proofErr w:type="spellStart"/>
            <w:r w:rsidRPr="00E47756">
              <w:rPr>
                <w:sz w:val="20"/>
              </w:rPr>
              <w:t>mikropodniky</w:t>
            </w:r>
            <w:proofErr w:type="spellEnd"/>
            <w:r w:rsidRPr="00E47756">
              <w:rPr>
                <w:sz w:val="20"/>
              </w:rPr>
              <w:t xml:space="preserve">, pomerne vysoké. Napriek nedostatku presvedčivých dôkazov o vplyvoch nariadenia o stavebných výrobkoch na vnútorný trh, zainteresované strany všeobecne vnímajú pozitívny vplyv nariadenia o stavebných výrobkoch na cezhraničný obchod. </w:t>
            </w:r>
          </w:p>
          <w:p w14:paraId="093CBE9E" w14:textId="77777777" w:rsidR="00E47756" w:rsidRPr="00E47756" w:rsidRDefault="00E47756" w:rsidP="00E47756">
            <w:pPr>
              <w:spacing w:after="0" w:line="240" w:lineRule="auto"/>
              <w:ind w:left="57" w:right="57"/>
              <w:rPr>
                <w:sz w:val="20"/>
              </w:rPr>
            </w:pPr>
            <w:r w:rsidRPr="00E47756">
              <w:rPr>
                <w:sz w:val="20"/>
              </w:rPr>
              <w:t>Plánovaný dátum prijatia: 3. štvrťrok 2021; legislatívna iniciatíva; právny základ: článok 114 ZFEÚ. Posúdenie vplyvu sa predpokladá.</w:t>
            </w:r>
          </w:p>
          <w:p w14:paraId="7A695650" w14:textId="77777777" w:rsidR="00E47756" w:rsidRPr="00E47756" w:rsidRDefault="00E47756" w:rsidP="00E47756">
            <w:pPr>
              <w:spacing w:after="0" w:line="240" w:lineRule="auto"/>
              <w:ind w:left="57" w:right="57"/>
              <w:rPr>
                <w:sz w:val="20"/>
              </w:rPr>
            </w:pPr>
          </w:p>
          <w:p w14:paraId="36212DA1" w14:textId="77777777" w:rsidR="00E47756" w:rsidRPr="00E47756" w:rsidRDefault="00E47756" w:rsidP="00E47756">
            <w:pPr>
              <w:spacing w:after="0" w:line="240" w:lineRule="auto"/>
              <w:ind w:left="57" w:right="57"/>
              <w:rPr>
                <w:sz w:val="20"/>
              </w:rPr>
            </w:pPr>
          </w:p>
          <w:p w14:paraId="31E048FD" w14:textId="77777777" w:rsidR="00E47756" w:rsidRPr="00E47756" w:rsidRDefault="00E47756" w:rsidP="00E47756">
            <w:pPr>
              <w:spacing w:after="0" w:line="240" w:lineRule="auto"/>
              <w:ind w:left="57" w:right="57"/>
              <w:rPr>
                <w:sz w:val="20"/>
              </w:rPr>
            </w:pPr>
          </w:p>
          <w:p w14:paraId="045CE10A" w14:textId="77777777" w:rsidR="00E47756" w:rsidRPr="00E47756" w:rsidRDefault="00E47756" w:rsidP="00E47756">
            <w:pPr>
              <w:spacing w:after="0" w:line="240" w:lineRule="auto"/>
              <w:ind w:left="57" w:right="57"/>
              <w:rPr>
                <w:sz w:val="20"/>
              </w:rPr>
            </w:pPr>
          </w:p>
          <w:p w14:paraId="7A31E8EA" w14:textId="77777777" w:rsidR="00E47756" w:rsidRPr="00E47756" w:rsidRDefault="00E47756" w:rsidP="00E47756">
            <w:pPr>
              <w:spacing w:after="0" w:line="240" w:lineRule="auto"/>
              <w:ind w:left="57" w:right="57"/>
              <w:rPr>
                <w:sz w:val="20"/>
              </w:rPr>
            </w:pPr>
          </w:p>
          <w:p w14:paraId="67C14042" w14:textId="77777777" w:rsidR="00E47756" w:rsidRPr="00E47756" w:rsidRDefault="00E47756" w:rsidP="00E47756">
            <w:pPr>
              <w:spacing w:after="0" w:line="240" w:lineRule="auto"/>
              <w:ind w:left="57" w:right="57"/>
              <w:rPr>
                <w:sz w:val="20"/>
              </w:rPr>
            </w:pPr>
          </w:p>
          <w:p w14:paraId="7BCB0980" w14:textId="77777777" w:rsidR="00E47756" w:rsidRPr="00E47756" w:rsidRDefault="00E47756" w:rsidP="00E47756">
            <w:pPr>
              <w:spacing w:after="0" w:line="240" w:lineRule="auto"/>
              <w:ind w:left="57" w:right="57"/>
              <w:rPr>
                <w:sz w:val="20"/>
              </w:rPr>
            </w:pPr>
          </w:p>
          <w:p w14:paraId="3738786C" w14:textId="77777777" w:rsidR="00E47756" w:rsidRPr="00E47756" w:rsidRDefault="00E47756" w:rsidP="00E47756">
            <w:pPr>
              <w:spacing w:after="0" w:line="240" w:lineRule="auto"/>
              <w:ind w:left="57" w:right="57"/>
              <w:rPr>
                <w:sz w:val="20"/>
              </w:rPr>
            </w:pPr>
          </w:p>
          <w:p w14:paraId="0C70AA11" w14:textId="77777777" w:rsidR="00E47756" w:rsidRPr="00E47756" w:rsidRDefault="00E47756" w:rsidP="00E47756">
            <w:pPr>
              <w:spacing w:after="0" w:line="240" w:lineRule="auto"/>
              <w:ind w:left="57" w:right="57"/>
              <w:rPr>
                <w:sz w:val="20"/>
              </w:rPr>
            </w:pPr>
          </w:p>
          <w:p w14:paraId="5939180E" w14:textId="77777777" w:rsidR="00E47756" w:rsidRPr="00E47756" w:rsidRDefault="00E47756" w:rsidP="00E47756">
            <w:pPr>
              <w:spacing w:after="0" w:line="240" w:lineRule="auto"/>
              <w:ind w:left="57" w:right="57"/>
              <w:rPr>
                <w:sz w:val="20"/>
              </w:rPr>
            </w:pPr>
          </w:p>
          <w:p w14:paraId="7E5CAEAB" w14:textId="77777777" w:rsidR="00E47756" w:rsidRPr="00E47756" w:rsidRDefault="00E47756" w:rsidP="00E47756">
            <w:pPr>
              <w:spacing w:after="0" w:line="240" w:lineRule="auto"/>
              <w:ind w:right="57"/>
            </w:pPr>
          </w:p>
        </w:tc>
        <w:tc>
          <w:tcPr>
            <w:tcW w:w="2127" w:type="dxa"/>
            <w:tcBorders>
              <w:top w:val="single" w:sz="4" w:space="0" w:color="000000"/>
              <w:left w:val="single" w:sz="4" w:space="0" w:color="000000"/>
              <w:bottom w:val="single" w:sz="4" w:space="0" w:color="000000"/>
              <w:right w:val="single" w:sz="4" w:space="0" w:color="000000"/>
            </w:tcBorders>
          </w:tcPr>
          <w:p w14:paraId="44A5D14E" w14:textId="77777777" w:rsidR="00E47756" w:rsidRPr="00E47756" w:rsidRDefault="00E47756" w:rsidP="00E47756">
            <w:pPr>
              <w:spacing w:after="0" w:line="240" w:lineRule="auto"/>
              <w:ind w:left="57" w:right="57"/>
              <w:jc w:val="center"/>
              <w:rPr>
                <w:b/>
                <w:sz w:val="20"/>
              </w:rPr>
            </w:pPr>
            <w:r w:rsidRPr="00E47756">
              <w:rPr>
                <w:b/>
                <w:sz w:val="20"/>
              </w:rPr>
              <w:lastRenderedPageBreak/>
              <w:t>MDV SR</w:t>
            </w:r>
          </w:p>
          <w:p w14:paraId="285B687E" w14:textId="77777777" w:rsidR="00E47756" w:rsidRPr="00E47756" w:rsidRDefault="00E47756" w:rsidP="00E47756">
            <w:pPr>
              <w:spacing w:after="0" w:line="240" w:lineRule="auto"/>
              <w:ind w:left="57" w:right="57"/>
              <w:jc w:val="center"/>
              <w:rPr>
                <w:b/>
                <w:sz w:val="20"/>
              </w:rPr>
            </w:pPr>
            <w:r w:rsidRPr="00E47756">
              <w:rPr>
                <w:b/>
                <w:sz w:val="20"/>
              </w:rPr>
              <w:t>MŽP SR</w:t>
            </w:r>
          </w:p>
        </w:tc>
        <w:tc>
          <w:tcPr>
            <w:tcW w:w="5670" w:type="dxa"/>
            <w:tcBorders>
              <w:top w:val="single" w:sz="4" w:space="0" w:color="000000"/>
              <w:left w:val="single" w:sz="4" w:space="0" w:color="000000"/>
              <w:bottom w:val="single" w:sz="4" w:space="0" w:color="000000"/>
              <w:right w:val="single" w:sz="4" w:space="0" w:color="000000"/>
            </w:tcBorders>
          </w:tcPr>
          <w:p w14:paraId="55C4645E" w14:textId="77777777" w:rsidR="00E47756" w:rsidRPr="00E47756" w:rsidRDefault="00E47756" w:rsidP="00E47756">
            <w:pPr>
              <w:spacing w:after="0" w:line="240" w:lineRule="auto"/>
              <w:ind w:left="57" w:right="57"/>
              <w:rPr>
                <w:sz w:val="20"/>
              </w:rPr>
            </w:pPr>
            <w:r w:rsidRPr="00E47756">
              <w:rPr>
                <w:b/>
                <w:sz w:val="20"/>
                <w:u w:val="single"/>
              </w:rPr>
              <w:t>Stredná priorita</w:t>
            </w:r>
            <w:r w:rsidRPr="00E47756">
              <w:rPr>
                <w:sz w:val="20"/>
              </w:rPr>
              <w:t xml:space="preserve"> – Plánovaná revízia nariadenia (EU) č. 305/2011 o stavebných výrobkoch má reflektovať o. i. najmä požiadavky, ktoré by mali stavebné výrobky spĺňať s ohľadom na životné prostredie (trvalo udržateľné využívanie prírodných zdrojov, obehové hospodárstvo), ako aj zlepšenie a sfunkčnenie momentálneho stavu ohľadom harmonizovaných technických špecifikácií. Boli vedené rozsiahle diskusie ohľadom problematík, ktorým sa má revízia nariadenia venovať a SK vníma krok EK spraviť revíziu nariadenia, ako nutný a opodstatnený, keďže je potrebné reflektovať dôležité zmeny, ktoré sa za posledných 9 rokov v stavebníctve udiali.</w:t>
            </w:r>
          </w:p>
          <w:p w14:paraId="6A4B45A2" w14:textId="77777777" w:rsidR="00E47756" w:rsidRPr="00E47756" w:rsidRDefault="00E47756" w:rsidP="00E47756">
            <w:pPr>
              <w:spacing w:after="0" w:line="240" w:lineRule="auto"/>
              <w:ind w:left="57" w:right="57"/>
              <w:rPr>
                <w:sz w:val="20"/>
              </w:rPr>
            </w:pPr>
          </w:p>
        </w:tc>
      </w:tr>
      <w:tr w:rsidR="00E47756" w:rsidRPr="00E47756" w14:paraId="122C5955" w14:textId="77777777" w:rsidTr="001A4016">
        <w:tblPrEx>
          <w:tblCellMar>
            <w:top w:w="40" w:type="dxa"/>
          </w:tblCellMar>
        </w:tblPrEx>
        <w:trPr>
          <w:trHeight w:val="1394"/>
        </w:trPr>
        <w:tc>
          <w:tcPr>
            <w:tcW w:w="447" w:type="dxa"/>
            <w:tcBorders>
              <w:top w:val="single" w:sz="4" w:space="0" w:color="000000"/>
              <w:left w:val="single" w:sz="4" w:space="0" w:color="000000"/>
              <w:bottom w:val="single" w:sz="4" w:space="0" w:color="000000"/>
              <w:right w:val="single" w:sz="4" w:space="0" w:color="000000"/>
            </w:tcBorders>
          </w:tcPr>
          <w:p w14:paraId="00EED11E" w14:textId="77777777" w:rsidR="00E47756" w:rsidRPr="00E47756" w:rsidRDefault="00E47756" w:rsidP="00E47756">
            <w:pPr>
              <w:spacing w:after="0" w:line="240" w:lineRule="auto"/>
              <w:ind w:left="57" w:right="57"/>
              <w:jc w:val="center"/>
            </w:pPr>
            <w:r w:rsidRPr="00E47756">
              <w:rPr>
                <w:sz w:val="20"/>
              </w:rPr>
              <w:t>10.</w:t>
            </w:r>
          </w:p>
        </w:tc>
        <w:tc>
          <w:tcPr>
            <w:tcW w:w="2976" w:type="dxa"/>
            <w:tcBorders>
              <w:top w:val="single" w:sz="4" w:space="0" w:color="000000"/>
              <w:left w:val="single" w:sz="4" w:space="0" w:color="000000"/>
              <w:bottom w:val="single" w:sz="4" w:space="0" w:color="000000"/>
              <w:right w:val="single" w:sz="4" w:space="0" w:color="000000"/>
            </w:tcBorders>
          </w:tcPr>
          <w:p w14:paraId="64D91C00" w14:textId="77777777" w:rsidR="00E47756" w:rsidRPr="00E47756" w:rsidRDefault="00E47756" w:rsidP="00E47756">
            <w:pPr>
              <w:spacing w:after="0" w:line="240" w:lineRule="auto"/>
              <w:ind w:left="57" w:right="57"/>
            </w:pPr>
            <w:r w:rsidRPr="00E47756">
              <w:rPr>
                <w:b/>
                <w:sz w:val="20"/>
              </w:rPr>
              <w:t xml:space="preserve">Revízia nariadenia (ES) č. 1831/2003 </w:t>
            </w:r>
          </w:p>
          <w:p w14:paraId="78141D5D" w14:textId="77777777" w:rsidR="00E47756" w:rsidRPr="00E47756" w:rsidRDefault="00E47756" w:rsidP="00E47756">
            <w:pPr>
              <w:spacing w:after="0" w:line="240" w:lineRule="auto"/>
              <w:ind w:left="57" w:right="57"/>
            </w:pPr>
            <w:r w:rsidRPr="00E47756">
              <w:rPr>
                <w:b/>
                <w:sz w:val="20"/>
              </w:rPr>
              <w:t xml:space="preserve">o doplnkových látkach určených na používanie vo výžive zvierat </w:t>
            </w:r>
          </w:p>
        </w:tc>
        <w:tc>
          <w:tcPr>
            <w:tcW w:w="3402" w:type="dxa"/>
            <w:gridSpan w:val="2"/>
            <w:tcBorders>
              <w:top w:val="single" w:sz="4" w:space="0" w:color="000000"/>
              <w:left w:val="single" w:sz="4" w:space="0" w:color="000000"/>
              <w:bottom w:val="single" w:sz="4" w:space="0" w:color="000000"/>
              <w:right w:val="single" w:sz="4" w:space="0" w:color="000000"/>
            </w:tcBorders>
          </w:tcPr>
          <w:p w14:paraId="36B77DA2" w14:textId="77777777" w:rsidR="00E47756" w:rsidRPr="00E47756" w:rsidRDefault="00E47756" w:rsidP="00E47756">
            <w:pPr>
              <w:spacing w:after="0" w:line="240" w:lineRule="auto"/>
              <w:ind w:left="57" w:right="57"/>
            </w:pPr>
            <w:r w:rsidRPr="00E47756">
              <w:rPr>
                <w:sz w:val="20"/>
              </w:rPr>
              <w:t xml:space="preserve">Nariadenie o kŕmnych doplnkových látkach, ktoré bolo prijaté v roku 2003, stanovuje pravidlá schvaľovania kŕmnych doplnkových látok a ich uvádzania na trh. Na základe uskutočneného hodnotenia boli identifikované faktory, ktoré bránili dosiahnutiu niektorých cieľov, a preto je potrebná revízia. V súlade s akčným </w:t>
            </w:r>
            <w:r w:rsidRPr="00E47756">
              <w:rPr>
                <w:sz w:val="20"/>
              </w:rPr>
              <w:lastRenderedPageBreak/>
              <w:t xml:space="preserve">plánom pre stratégiu „z farmy na stôl“ je hlavným cieľom návrhu prispieť k udržateľnejšiemu systému potravinárskej výroby vytvorením nových kritérií s cieľom podporiť schvaľovanie kŕmnych doplnkových látok s kladným vplyvom na dobré životné podmienky zvierat a životné prostredie. Vybuduje sa ním aj mechanizmus na podporu inovácie v kŕmnych doplnkových látkach, najmä v tých, ktoré prispievajú k znižovaniu používania antibiotík, zlepšovaniu dobrých životných podmienok zvierat a zmierňovaniu vplyvu zmeny klímy. Jeho cieľom je takisto zjednodušiť postupy zvýšenia účinnosti pri posudzovaní rizík s cieľom priniesť inovatívne kŕmne doplnkové látky na trh skôr a znížiť administratívnu záťaž súvisiacu so žiadosťami držiteľov povolenia. </w:t>
            </w:r>
          </w:p>
          <w:p w14:paraId="385B8BA4" w14:textId="77777777" w:rsidR="00E47756" w:rsidRPr="00E47756" w:rsidRDefault="00E47756" w:rsidP="00E47756">
            <w:pPr>
              <w:spacing w:after="0" w:line="240" w:lineRule="auto"/>
              <w:ind w:left="57" w:right="57"/>
              <w:rPr>
                <w:sz w:val="20"/>
              </w:rPr>
            </w:pPr>
            <w:r w:rsidRPr="00E47756">
              <w:rPr>
                <w:sz w:val="20"/>
              </w:rPr>
              <w:t>Plánovaný dátum prijatia: 4. štvrťrok 2021; legislatívna iniciatíva; právny základ: článok 43 a článok 168 ods. 4 písm. b) ZFEÚ. Posúdenie vplyvu sa predpokladá.</w:t>
            </w:r>
          </w:p>
        </w:tc>
        <w:tc>
          <w:tcPr>
            <w:tcW w:w="2127" w:type="dxa"/>
            <w:tcBorders>
              <w:top w:val="single" w:sz="4" w:space="0" w:color="000000"/>
              <w:left w:val="single" w:sz="4" w:space="0" w:color="000000"/>
              <w:bottom w:val="single" w:sz="4" w:space="0" w:color="000000"/>
              <w:right w:val="single" w:sz="4" w:space="0" w:color="000000"/>
            </w:tcBorders>
          </w:tcPr>
          <w:p w14:paraId="2B08D99D" w14:textId="77777777" w:rsidR="00E47756" w:rsidRPr="00E47756" w:rsidRDefault="00E47756" w:rsidP="00E47756">
            <w:pPr>
              <w:spacing w:after="0" w:line="240" w:lineRule="auto"/>
              <w:ind w:left="57" w:right="57"/>
              <w:jc w:val="center"/>
              <w:rPr>
                <w:b/>
                <w:sz w:val="20"/>
              </w:rPr>
            </w:pPr>
            <w:r w:rsidRPr="00E47756">
              <w:rPr>
                <w:b/>
                <w:sz w:val="20"/>
              </w:rPr>
              <w:lastRenderedPageBreak/>
              <w:t>MPRV SR</w:t>
            </w:r>
          </w:p>
        </w:tc>
        <w:tc>
          <w:tcPr>
            <w:tcW w:w="5670" w:type="dxa"/>
            <w:tcBorders>
              <w:top w:val="single" w:sz="4" w:space="0" w:color="000000"/>
              <w:left w:val="single" w:sz="4" w:space="0" w:color="000000"/>
              <w:bottom w:val="single" w:sz="4" w:space="0" w:color="000000"/>
              <w:right w:val="single" w:sz="4" w:space="0" w:color="000000"/>
            </w:tcBorders>
          </w:tcPr>
          <w:p w14:paraId="0D911702" w14:textId="77777777" w:rsidR="00E47756" w:rsidRPr="00E47756" w:rsidRDefault="00E47756" w:rsidP="00E47756">
            <w:pPr>
              <w:spacing w:after="0" w:line="240" w:lineRule="auto"/>
              <w:ind w:left="57" w:right="57"/>
              <w:rPr>
                <w:b/>
                <w:sz w:val="20"/>
                <w:u w:val="single"/>
              </w:rPr>
            </w:pPr>
            <w:r w:rsidRPr="00E47756">
              <w:rPr>
                <w:b/>
                <w:sz w:val="20"/>
                <w:u w:val="single"/>
              </w:rPr>
              <w:t>Stredná priorita</w:t>
            </w:r>
            <w:r w:rsidRPr="00E47756">
              <w:rPr>
                <w:sz w:val="20"/>
              </w:rPr>
              <w:t xml:space="preserve"> – Nariadenie je záväzné a je priamo uplatniteľné vo všetkých členských štátoch.</w:t>
            </w:r>
          </w:p>
        </w:tc>
      </w:tr>
      <w:tr w:rsidR="00E47756" w:rsidRPr="00E47756" w14:paraId="493F6C76" w14:textId="77777777" w:rsidTr="001A4016">
        <w:tblPrEx>
          <w:tblCellMar>
            <w:top w:w="40" w:type="dxa"/>
          </w:tblCellMar>
        </w:tblPrEx>
        <w:trPr>
          <w:trHeight w:val="525"/>
        </w:trPr>
        <w:tc>
          <w:tcPr>
            <w:tcW w:w="447" w:type="dxa"/>
            <w:tcBorders>
              <w:top w:val="single" w:sz="4" w:space="0" w:color="000000"/>
              <w:left w:val="single" w:sz="4" w:space="0" w:color="000000"/>
              <w:bottom w:val="single" w:sz="4" w:space="0" w:color="000000"/>
              <w:right w:val="single" w:sz="4" w:space="0" w:color="000000"/>
            </w:tcBorders>
          </w:tcPr>
          <w:p w14:paraId="4A6BCECC" w14:textId="77777777" w:rsidR="00E47756" w:rsidRPr="00E47756" w:rsidRDefault="00E47756" w:rsidP="00E47756">
            <w:pPr>
              <w:spacing w:after="0" w:line="240" w:lineRule="auto"/>
              <w:ind w:left="57" w:right="57"/>
              <w:jc w:val="center"/>
            </w:pPr>
            <w:r w:rsidRPr="00E47756">
              <w:rPr>
                <w:sz w:val="20"/>
              </w:rPr>
              <w:t>11.</w:t>
            </w:r>
          </w:p>
        </w:tc>
        <w:tc>
          <w:tcPr>
            <w:tcW w:w="2976" w:type="dxa"/>
            <w:tcBorders>
              <w:top w:val="single" w:sz="4" w:space="0" w:color="000000"/>
              <w:left w:val="single" w:sz="4" w:space="0" w:color="000000"/>
              <w:bottom w:val="single" w:sz="4" w:space="0" w:color="000000"/>
              <w:right w:val="single" w:sz="4" w:space="0" w:color="000000"/>
            </w:tcBorders>
          </w:tcPr>
          <w:p w14:paraId="24E93570" w14:textId="77777777" w:rsidR="00E47756" w:rsidRPr="00E47756" w:rsidRDefault="00E47756" w:rsidP="00E47756">
            <w:pPr>
              <w:spacing w:after="0" w:line="240" w:lineRule="auto"/>
              <w:ind w:left="57" w:right="57"/>
            </w:pPr>
            <w:r w:rsidRPr="00E47756">
              <w:rPr>
                <w:b/>
                <w:sz w:val="20"/>
              </w:rPr>
              <w:t xml:space="preserve">Hodnotenie smernice 86/278/EHS o splaškových kaloch  </w:t>
            </w:r>
          </w:p>
        </w:tc>
        <w:tc>
          <w:tcPr>
            <w:tcW w:w="3402" w:type="dxa"/>
            <w:gridSpan w:val="2"/>
            <w:tcBorders>
              <w:top w:val="single" w:sz="4" w:space="0" w:color="000000"/>
              <w:left w:val="single" w:sz="4" w:space="0" w:color="000000"/>
              <w:bottom w:val="single" w:sz="4" w:space="0" w:color="000000"/>
              <w:right w:val="single" w:sz="4" w:space="0" w:color="000000"/>
            </w:tcBorders>
          </w:tcPr>
          <w:p w14:paraId="21B3CE8C" w14:textId="77777777" w:rsidR="00E47756" w:rsidRPr="00E47756" w:rsidRDefault="00E47756" w:rsidP="00E47756">
            <w:pPr>
              <w:spacing w:after="0" w:line="240" w:lineRule="auto"/>
              <w:ind w:left="57" w:right="57"/>
            </w:pPr>
            <w:r w:rsidRPr="00E47756">
              <w:rPr>
                <w:sz w:val="20"/>
              </w:rPr>
              <w:t xml:space="preserve">Cieľom smernice 86/278/EHS o splaškových kaloch je podporiť správne využívanie splaškových kalov v poľnohospodárstve a regulovať ich používanie s cieľom zabrániť škodlivému vplyvu na pôdu, vegetáciu, zvieratá a ľudí. Keďže smernica bola </w:t>
            </w:r>
            <w:r w:rsidRPr="00E47756">
              <w:rPr>
                <w:sz w:val="20"/>
              </w:rPr>
              <w:lastRenderedPageBreak/>
              <w:t xml:space="preserve">prijatá pred 30 rokmi, v plnej miere nezodpovedá súčasným potrebám a očakávaniam, napr. v súvislosti s reguláciou nových kontaminantov, akými sú lieky a </w:t>
            </w:r>
            <w:proofErr w:type="spellStart"/>
            <w:r w:rsidRPr="00E47756">
              <w:rPr>
                <w:sz w:val="20"/>
              </w:rPr>
              <w:t>mikroplasty</w:t>
            </w:r>
            <w:proofErr w:type="spellEnd"/>
            <w:r w:rsidRPr="00E47756">
              <w:rPr>
                <w:sz w:val="20"/>
              </w:rPr>
              <w:t xml:space="preserve">. Toto hodnotenie posúdi vykonávanie uvedenej smernice a vykoná analýzu rizík a príležitostí súvisiacich s nakladaním so splaškovými kalmi. Bude sa vzťahovať na kritéria štandardného hodnotenia v oblasti efektívnosti, účinnosti, súdržnosti, relevantnosti a pridanej hodnoty EÚ. Posúdia sa administratívne náklady a osobitá pozornosť sa bude venovať vplyvu na malé a stredné podniky a </w:t>
            </w:r>
            <w:proofErr w:type="spellStart"/>
            <w:r w:rsidRPr="00E47756">
              <w:rPr>
                <w:sz w:val="20"/>
              </w:rPr>
              <w:t>mikropodniky</w:t>
            </w:r>
            <w:proofErr w:type="spellEnd"/>
            <w:r w:rsidRPr="00E47756">
              <w:rPr>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A07A7EE" w14:textId="77777777" w:rsidR="00E47756" w:rsidRPr="00E47756" w:rsidRDefault="00E47756" w:rsidP="00E47756">
            <w:pPr>
              <w:spacing w:after="0" w:line="240" w:lineRule="auto"/>
              <w:ind w:left="57" w:right="57"/>
              <w:jc w:val="center"/>
              <w:rPr>
                <w:b/>
                <w:sz w:val="20"/>
              </w:rPr>
            </w:pPr>
            <w:r w:rsidRPr="00E47756">
              <w:rPr>
                <w:b/>
                <w:sz w:val="20"/>
              </w:rPr>
              <w:lastRenderedPageBreak/>
              <w:t>MPRV SR</w:t>
            </w:r>
          </w:p>
        </w:tc>
        <w:tc>
          <w:tcPr>
            <w:tcW w:w="5670" w:type="dxa"/>
            <w:tcBorders>
              <w:top w:val="single" w:sz="4" w:space="0" w:color="000000"/>
              <w:left w:val="single" w:sz="4" w:space="0" w:color="000000"/>
              <w:bottom w:val="single" w:sz="4" w:space="0" w:color="000000"/>
              <w:right w:val="single" w:sz="4" w:space="0" w:color="000000"/>
            </w:tcBorders>
          </w:tcPr>
          <w:p w14:paraId="62C20B7C" w14:textId="77777777" w:rsidR="00E47756" w:rsidRPr="00E47756" w:rsidRDefault="00E47756" w:rsidP="00E47756">
            <w:pPr>
              <w:spacing w:after="0" w:line="240" w:lineRule="auto"/>
              <w:ind w:left="57" w:right="57"/>
              <w:rPr>
                <w:b/>
                <w:sz w:val="20"/>
                <w:u w:val="single"/>
              </w:rPr>
            </w:pPr>
            <w:r w:rsidRPr="00E47756">
              <w:rPr>
                <w:b/>
                <w:sz w:val="20"/>
                <w:u w:val="single"/>
              </w:rPr>
              <w:t>Vysoká priorita</w:t>
            </w:r>
            <w:r w:rsidRPr="00E47756">
              <w:rPr>
                <w:sz w:val="20"/>
              </w:rPr>
              <w:t xml:space="preserve"> – SR víta predložený návrh na hodnotenia smernice 86/278/EHS o splaškových kaloch. Cieľom  je podporiť správne využívanie splaškových kalov v poľnohospodárstve a regulovať ich používanie s cieľom zabrániť škodlivému vplyvu na pôdu, vegetáciu, zvieratá a ľudí. Smernica bola prijatá pred 30 rokmi, v plnej miere nezodpovedá súčasným potrebám a očakávaniam, napr. v súvislosti s </w:t>
            </w:r>
            <w:r w:rsidRPr="00E47756">
              <w:rPr>
                <w:sz w:val="20"/>
              </w:rPr>
              <w:lastRenderedPageBreak/>
              <w:t xml:space="preserve">reguláciou nových kontaminantov, napr. akými sú obsahy farmaceutík, narkotík, </w:t>
            </w:r>
            <w:proofErr w:type="spellStart"/>
            <w:r w:rsidRPr="00E47756">
              <w:rPr>
                <w:sz w:val="20"/>
              </w:rPr>
              <w:t>mikroplastov</w:t>
            </w:r>
            <w:proofErr w:type="spellEnd"/>
            <w:r w:rsidRPr="00E47756">
              <w:rPr>
                <w:sz w:val="20"/>
              </w:rPr>
              <w:t xml:space="preserve"> a iných </w:t>
            </w:r>
            <w:proofErr w:type="spellStart"/>
            <w:r w:rsidRPr="00E47756">
              <w:rPr>
                <w:sz w:val="20"/>
              </w:rPr>
              <w:t>polutantov</w:t>
            </w:r>
            <w:proofErr w:type="spellEnd"/>
            <w:r w:rsidRPr="00E47756">
              <w:rPr>
                <w:sz w:val="20"/>
              </w:rPr>
              <w:t>.</w:t>
            </w:r>
          </w:p>
        </w:tc>
      </w:tr>
      <w:tr w:rsidR="00E47756" w:rsidRPr="00E47756" w14:paraId="37EE3AD3" w14:textId="77777777" w:rsidTr="001A4016">
        <w:tblPrEx>
          <w:tblCellMar>
            <w:top w:w="39" w:type="dxa"/>
          </w:tblCellMar>
        </w:tblPrEx>
        <w:trPr>
          <w:trHeight w:val="1130"/>
        </w:trPr>
        <w:tc>
          <w:tcPr>
            <w:tcW w:w="447" w:type="dxa"/>
            <w:tcBorders>
              <w:top w:val="single" w:sz="4" w:space="0" w:color="000000"/>
              <w:left w:val="single" w:sz="4" w:space="0" w:color="000000"/>
              <w:bottom w:val="single" w:sz="4" w:space="0" w:color="auto"/>
              <w:right w:val="single" w:sz="4" w:space="0" w:color="000000"/>
            </w:tcBorders>
          </w:tcPr>
          <w:p w14:paraId="2130D199" w14:textId="77777777" w:rsidR="00E47756" w:rsidRPr="00E47756" w:rsidRDefault="00E47756" w:rsidP="00E47756">
            <w:pPr>
              <w:spacing w:after="0" w:line="240" w:lineRule="auto"/>
              <w:ind w:left="57" w:right="57"/>
              <w:jc w:val="center"/>
            </w:pPr>
            <w:r w:rsidRPr="00E47756">
              <w:rPr>
                <w:sz w:val="20"/>
              </w:rPr>
              <w:lastRenderedPageBreak/>
              <w:t>12.</w:t>
            </w:r>
          </w:p>
        </w:tc>
        <w:tc>
          <w:tcPr>
            <w:tcW w:w="2976" w:type="dxa"/>
            <w:tcBorders>
              <w:top w:val="single" w:sz="4" w:space="0" w:color="000000"/>
              <w:left w:val="single" w:sz="4" w:space="0" w:color="000000"/>
              <w:bottom w:val="single" w:sz="4" w:space="0" w:color="auto"/>
              <w:right w:val="single" w:sz="4" w:space="0" w:color="000000"/>
            </w:tcBorders>
          </w:tcPr>
          <w:p w14:paraId="68E58F2E" w14:textId="77777777" w:rsidR="00E47756" w:rsidRPr="00E47756" w:rsidRDefault="00E47756" w:rsidP="00E47756">
            <w:pPr>
              <w:spacing w:after="0" w:line="240" w:lineRule="auto"/>
              <w:ind w:left="57" w:right="57"/>
            </w:pPr>
            <w:r w:rsidRPr="00E47756">
              <w:rPr>
                <w:b/>
                <w:sz w:val="20"/>
              </w:rPr>
              <w:t>Hodnotenie smernice 2007/2/ES, ktorou sa zriaďuje Infraštruktúra pre priestorové informácie v Európskom spoločenstve (</w:t>
            </w:r>
            <w:proofErr w:type="spellStart"/>
            <w:r w:rsidRPr="00E47756">
              <w:rPr>
                <w:b/>
                <w:sz w:val="20"/>
              </w:rPr>
              <w:t>Inspire</w:t>
            </w:r>
            <w:proofErr w:type="spellEnd"/>
            <w:r w:rsidRPr="00E47756">
              <w:rPr>
                <w:b/>
                <w:sz w:val="20"/>
              </w:rPr>
              <w:t xml:space="preserve">)  </w:t>
            </w:r>
          </w:p>
        </w:tc>
        <w:tc>
          <w:tcPr>
            <w:tcW w:w="3402" w:type="dxa"/>
            <w:gridSpan w:val="2"/>
            <w:tcBorders>
              <w:top w:val="single" w:sz="4" w:space="0" w:color="000000"/>
              <w:left w:val="single" w:sz="4" w:space="0" w:color="000000"/>
              <w:bottom w:val="single" w:sz="4" w:space="0" w:color="auto"/>
              <w:right w:val="single" w:sz="4" w:space="0" w:color="000000"/>
            </w:tcBorders>
          </w:tcPr>
          <w:p w14:paraId="49B2C52E" w14:textId="77777777" w:rsidR="00E47756" w:rsidRPr="00E47756" w:rsidRDefault="00E47756" w:rsidP="00E47756">
            <w:pPr>
              <w:spacing w:after="0" w:line="240" w:lineRule="auto"/>
              <w:ind w:left="57" w:right="57"/>
              <w:rPr>
                <w:sz w:val="20"/>
              </w:rPr>
            </w:pPr>
            <w:r w:rsidRPr="00E47756">
              <w:rPr>
                <w:sz w:val="20"/>
              </w:rPr>
              <w:t xml:space="preserve">Smernica </w:t>
            </w:r>
            <w:proofErr w:type="spellStart"/>
            <w:r w:rsidRPr="00E47756">
              <w:rPr>
                <w:sz w:val="20"/>
              </w:rPr>
              <w:t>Inspire</w:t>
            </w:r>
            <w:proofErr w:type="spellEnd"/>
            <w:r w:rsidRPr="00E47756">
              <w:rPr>
                <w:sz w:val="20"/>
              </w:rPr>
              <w:t xml:space="preserve"> stanovuje </w:t>
            </w:r>
            <w:proofErr w:type="spellStart"/>
            <w:r w:rsidRPr="00E47756">
              <w:rPr>
                <w:sz w:val="20"/>
              </w:rPr>
              <w:t>celoúnijný</w:t>
            </w:r>
            <w:proofErr w:type="spellEnd"/>
            <w:r w:rsidRPr="00E47756">
              <w:rPr>
                <w:sz w:val="20"/>
              </w:rPr>
              <w:t xml:space="preserve"> digitálny priestor pre zdieľanie priestorových údajov na ochranu životného prostredia. V uvedenom hodnotení sa posúdi, či smernica prispela k zlepšeniu efektívnosti a účinnosti opatrení na ochranu životného prostredia. Posúdi sa aj to, či má smernica naďalej význam pre zainteresované strany, a či je v súlade s ostatnými právnymi predpismi, najmä v súvislosti s novou iniciatívou zelenej dohody v oblasti dátového priestoru.  </w:t>
            </w:r>
          </w:p>
          <w:p w14:paraId="6A435E02" w14:textId="77777777" w:rsidR="00E47756" w:rsidRPr="00E47756" w:rsidRDefault="00E47756" w:rsidP="00E47756">
            <w:pPr>
              <w:spacing w:after="0" w:line="240" w:lineRule="auto"/>
              <w:ind w:left="57" w:right="57"/>
              <w:rPr>
                <w:sz w:val="20"/>
              </w:rPr>
            </w:pPr>
          </w:p>
          <w:p w14:paraId="357A6CF0" w14:textId="77777777" w:rsidR="00E47756" w:rsidRPr="00E47756" w:rsidRDefault="00E47756" w:rsidP="00E47756">
            <w:pPr>
              <w:spacing w:after="0" w:line="240" w:lineRule="auto"/>
              <w:ind w:left="57" w:right="57"/>
              <w:rPr>
                <w:sz w:val="20"/>
              </w:rPr>
            </w:pPr>
          </w:p>
          <w:p w14:paraId="34B1F07B" w14:textId="77777777" w:rsidR="00E47756" w:rsidRPr="00E47756" w:rsidRDefault="00E47756" w:rsidP="00653E13">
            <w:pPr>
              <w:spacing w:after="0" w:line="240" w:lineRule="auto"/>
              <w:ind w:right="57"/>
              <w:rPr>
                <w:sz w:val="20"/>
              </w:rPr>
            </w:pPr>
          </w:p>
          <w:p w14:paraId="2963687D" w14:textId="77777777" w:rsidR="00E47756" w:rsidRPr="00E47756" w:rsidRDefault="00E47756" w:rsidP="00E47756">
            <w:pPr>
              <w:spacing w:after="0" w:line="240" w:lineRule="auto"/>
              <w:ind w:left="57" w:right="57"/>
            </w:pPr>
          </w:p>
        </w:tc>
        <w:tc>
          <w:tcPr>
            <w:tcW w:w="2127" w:type="dxa"/>
            <w:tcBorders>
              <w:top w:val="single" w:sz="4" w:space="0" w:color="000000"/>
              <w:left w:val="single" w:sz="4" w:space="0" w:color="000000"/>
              <w:bottom w:val="single" w:sz="4" w:space="0" w:color="auto"/>
              <w:right w:val="single" w:sz="4" w:space="0" w:color="000000"/>
            </w:tcBorders>
          </w:tcPr>
          <w:p w14:paraId="65AC5A06" w14:textId="77777777" w:rsidR="00E47756" w:rsidRPr="00E47756" w:rsidRDefault="00E47756" w:rsidP="00E47756">
            <w:pPr>
              <w:spacing w:after="0" w:line="240" w:lineRule="auto"/>
              <w:ind w:left="57" w:right="57"/>
              <w:jc w:val="center"/>
              <w:rPr>
                <w:b/>
                <w:sz w:val="20"/>
              </w:rPr>
            </w:pPr>
            <w:r w:rsidRPr="00E47756">
              <w:rPr>
                <w:b/>
                <w:sz w:val="20"/>
              </w:rPr>
              <w:t>MŽP SR</w:t>
            </w:r>
          </w:p>
        </w:tc>
        <w:tc>
          <w:tcPr>
            <w:tcW w:w="5670" w:type="dxa"/>
            <w:tcBorders>
              <w:top w:val="single" w:sz="4" w:space="0" w:color="000000"/>
              <w:left w:val="single" w:sz="4" w:space="0" w:color="000000"/>
              <w:bottom w:val="single" w:sz="4" w:space="0" w:color="auto"/>
              <w:right w:val="single" w:sz="4" w:space="0" w:color="000000"/>
            </w:tcBorders>
          </w:tcPr>
          <w:p w14:paraId="2006977C" w14:textId="77777777" w:rsidR="00E47756" w:rsidRPr="00E47756" w:rsidRDefault="00E47756" w:rsidP="00E47756">
            <w:pPr>
              <w:spacing w:after="0" w:line="240" w:lineRule="auto"/>
              <w:ind w:left="57" w:right="57"/>
              <w:rPr>
                <w:b/>
                <w:sz w:val="20"/>
                <w:u w:val="single"/>
              </w:rPr>
            </w:pPr>
            <w:r w:rsidRPr="00E47756">
              <w:rPr>
                <w:b/>
                <w:sz w:val="20"/>
                <w:u w:val="single"/>
              </w:rPr>
              <w:t>Vysoká priorita</w:t>
            </w:r>
            <w:r w:rsidRPr="00E47756">
              <w:rPr>
                <w:sz w:val="20"/>
              </w:rPr>
              <w:t xml:space="preserve"> – INSPIRE patrí medzi pionierske legislatívne iniciatívy v nastavovaní jednotných pravidiel pre harmonizované zdieľanie priestorových údajov vo verejnej správe s nesporným prínosom pre oblasť životného prostredia i elektronizácie verejnej správy.  Jeho ambiciózne nastavenie a komplexnosť prinieslo nemalo výziev pri implementácii aj v Slovenskej republike. Medzi prioritné aspekty, ktoré  by mohli napomôcť pri naplnení očakávaní INSPIRE by mali patriť aspekty zjednodušenia komplexnosti technologických požiadaviek a posilnenie možností využitia priestorových údajov v aplikačnej praxi.  </w:t>
            </w:r>
          </w:p>
        </w:tc>
      </w:tr>
      <w:tr w:rsidR="00E47756" w:rsidRPr="00E47756" w14:paraId="6B2FDCDA" w14:textId="77777777" w:rsidTr="001A4016">
        <w:tblPrEx>
          <w:tblCellMar>
            <w:top w:w="39" w:type="dxa"/>
          </w:tblCellMar>
        </w:tblPrEx>
        <w:trPr>
          <w:trHeight w:val="454"/>
        </w:trPr>
        <w:tc>
          <w:tcPr>
            <w:tcW w:w="6825" w:type="dxa"/>
            <w:gridSpan w:val="4"/>
            <w:tcBorders>
              <w:top w:val="single" w:sz="4" w:space="0" w:color="auto"/>
              <w:left w:val="single" w:sz="4" w:space="0" w:color="000000"/>
              <w:bottom w:val="single" w:sz="4" w:space="0" w:color="000000"/>
              <w:right w:val="single" w:sz="4" w:space="0" w:color="000000"/>
            </w:tcBorders>
            <w:shd w:val="clear" w:color="auto" w:fill="18BAA8"/>
          </w:tcPr>
          <w:p w14:paraId="49539522" w14:textId="77777777" w:rsidR="00E47756" w:rsidRPr="00E47756" w:rsidRDefault="00E47756" w:rsidP="00E47756">
            <w:pPr>
              <w:spacing w:after="0"/>
            </w:pPr>
            <w:r w:rsidRPr="00E47756">
              <w:rPr>
                <w:b/>
                <w:color w:val="FFFFFF"/>
                <w:sz w:val="20"/>
              </w:rPr>
              <w:lastRenderedPageBreak/>
              <w:t>Európa pripravená na digitálny vek</w:t>
            </w:r>
            <w:r w:rsidRPr="00E47756">
              <w:rPr>
                <w:b/>
                <w:sz w:val="20"/>
              </w:rPr>
              <w:t xml:space="preserve"> </w:t>
            </w:r>
          </w:p>
        </w:tc>
        <w:tc>
          <w:tcPr>
            <w:tcW w:w="2127" w:type="dxa"/>
            <w:tcBorders>
              <w:top w:val="single" w:sz="4" w:space="0" w:color="auto"/>
              <w:left w:val="single" w:sz="4" w:space="0" w:color="000000"/>
              <w:bottom w:val="single" w:sz="4" w:space="0" w:color="000000"/>
              <w:right w:val="single" w:sz="4" w:space="0" w:color="000000"/>
            </w:tcBorders>
            <w:shd w:val="clear" w:color="auto" w:fill="18BAA8"/>
          </w:tcPr>
          <w:p w14:paraId="268D0315" w14:textId="77777777" w:rsidR="00E47756" w:rsidRPr="00E47756" w:rsidRDefault="00E47756" w:rsidP="00E47756">
            <w:pPr>
              <w:spacing w:after="0"/>
              <w:rPr>
                <w:b/>
                <w:color w:val="FFFFFF"/>
                <w:sz w:val="20"/>
              </w:rPr>
            </w:pPr>
          </w:p>
        </w:tc>
        <w:tc>
          <w:tcPr>
            <w:tcW w:w="5670" w:type="dxa"/>
            <w:tcBorders>
              <w:top w:val="single" w:sz="4" w:space="0" w:color="auto"/>
              <w:left w:val="single" w:sz="4" w:space="0" w:color="000000"/>
              <w:bottom w:val="single" w:sz="4" w:space="0" w:color="000000"/>
              <w:right w:val="single" w:sz="4" w:space="0" w:color="000000"/>
            </w:tcBorders>
            <w:shd w:val="clear" w:color="auto" w:fill="18BAA8"/>
          </w:tcPr>
          <w:p w14:paraId="0ABC0C48" w14:textId="77777777" w:rsidR="00E47756" w:rsidRPr="00E47756" w:rsidRDefault="00E47756" w:rsidP="00E47756">
            <w:pPr>
              <w:spacing w:after="0"/>
              <w:rPr>
                <w:b/>
                <w:color w:val="FFFFFF"/>
                <w:sz w:val="20"/>
              </w:rPr>
            </w:pPr>
          </w:p>
        </w:tc>
      </w:tr>
      <w:tr w:rsidR="00E47756" w:rsidRPr="00E47756" w14:paraId="4DA993B9" w14:textId="77777777" w:rsidTr="001A4016">
        <w:tblPrEx>
          <w:tblCellMar>
            <w:top w:w="39" w:type="dxa"/>
          </w:tblCellMar>
        </w:tblPrEx>
        <w:trPr>
          <w:trHeight w:val="952"/>
        </w:trPr>
        <w:tc>
          <w:tcPr>
            <w:tcW w:w="447" w:type="dxa"/>
            <w:tcBorders>
              <w:top w:val="single" w:sz="4" w:space="0" w:color="000000"/>
              <w:left w:val="single" w:sz="4" w:space="0" w:color="000000"/>
              <w:bottom w:val="single" w:sz="4" w:space="0" w:color="000000"/>
              <w:right w:val="single" w:sz="4" w:space="0" w:color="000000"/>
            </w:tcBorders>
          </w:tcPr>
          <w:p w14:paraId="263887F7" w14:textId="77777777" w:rsidR="00E47756" w:rsidRPr="00E47756" w:rsidRDefault="00E47756" w:rsidP="00E47756">
            <w:pPr>
              <w:spacing w:after="0" w:line="240" w:lineRule="auto"/>
              <w:ind w:left="57" w:right="57"/>
              <w:jc w:val="center"/>
            </w:pPr>
            <w:r w:rsidRPr="00E47756">
              <w:rPr>
                <w:sz w:val="20"/>
              </w:rPr>
              <w:t>13.</w:t>
            </w:r>
          </w:p>
        </w:tc>
        <w:tc>
          <w:tcPr>
            <w:tcW w:w="2976" w:type="dxa"/>
            <w:tcBorders>
              <w:top w:val="single" w:sz="4" w:space="0" w:color="000000"/>
              <w:left w:val="single" w:sz="4" w:space="0" w:color="000000"/>
              <w:bottom w:val="single" w:sz="4" w:space="0" w:color="000000"/>
              <w:right w:val="single" w:sz="4" w:space="0" w:color="000000"/>
            </w:tcBorders>
          </w:tcPr>
          <w:p w14:paraId="61C4D071" w14:textId="77777777" w:rsidR="00E47756" w:rsidRPr="00E47756" w:rsidRDefault="00E47756" w:rsidP="00E47756">
            <w:pPr>
              <w:spacing w:after="0" w:line="240" w:lineRule="auto"/>
              <w:ind w:left="57" w:right="57"/>
            </w:pPr>
            <w:r w:rsidRPr="00E47756">
              <w:rPr>
                <w:b/>
                <w:sz w:val="20"/>
              </w:rPr>
              <w:t xml:space="preserve">Revízia usmernení o regionálnej pomoci </w:t>
            </w:r>
          </w:p>
        </w:tc>
        <w:tc>
          <w:tcPr>
            <w:tcW w:w="3402" w:type="dxa"/>
            <w:gridSpan w:val="2"/>
            <w:tcBorders>
              <w:top w:val="single" w:sz="4" w:space="0" w:color="000000"/>
              <w:left w:val="single" w:sz="4" w:space="0" w:color="000000"/>
              <w:bottom w:val="single" w:sz="4" w:space="0" w:color="000000"/>
              <w:right w:val="single" w:sz="4" w:space="0" w:color="000000"/>
            </w:tcBorders>
          </w:tcPr>
          <w:p w14:paraId="567D645A" w14:textId="77777777" w:rsidR="00E47756" w:rsidRPr="00E47756" w:rsidRDefault="00E47756" w:rsidP="00E47756">
            <w:pPr>
              <w:spacing w:after="0" w:line="240" w:lineRule="auto"/>
              <w:ind w:left="57" w:right="57"/>
            </w:pPr>
            <w:r w:rsidRPr="00E47756">
              <w:rPr>
                <w:sz w:val="20"/>
              </w:rPr>
              <w:t>Cieľom iniciatívy je revízia usmernení o regionálnej štátnej pomoci, ktorých účinnosť sa mala skončiť koncom roka</w:t>
            </w:r>
          </w:p>
          <w:p w14:paraId="237FC0B7" w14:textId="77777777" w:rsidR="00E47756" w:rsidRPr="00E47756" w:rsidRDefault="00E47756" w:rsidP="00E47756">
            <w:pPr>
              <w:spacing w:after="0" w:line="240" w:lineRule="auto"/>
              <w:ind w:left="57" w:right="57"/>
            </w:pPr>
            <w:r w:rsidRPr="00E47756">
              <w:rPr>
                <w:sz w:val="20"/>
              </w:rPr>
              <w:t xml:space="preserve">2020 a predĺžila sa do 31. decembra 2021, aby sa podporil hospodársky rozvoj určitých znevýhodnených oblastí v Európskej únii, ako je zakotvené v článku 107 ods. 3 písm. a) a c) Zmluvy o fungovaní Európskej únie. Usmernenia o regionálnej pomoci predstavujú jeden z nástrojov štátnej pomoci, ktorý podporí plnenie cieľov Európskej zelenej dohody a digitálnej stratégie. Na zmiernenie následkov prechodu na zelené hospodárstvo je potrebná obmedzená úprava súčasných usmernení o regionálnej pomoci. </w:t>
            </w:r>
          </w:p>
          <w:p w14:paraId="7710F528" w14:textId="77777777" w:rsidR="00E47756" w:rsidRPr="00E47756" w:rsidRDefault="00E47756" w:rsidP="00E47756">
            <w:pPr>
              <w:spacing w:after="0" w:line="240" w:lineRule="auto"/>
              <w:ind w:left="57" w:right="57"/>
            </w:pPr>
            <w:r w:rsidRPr="00E47756">
              <w:rPr>
                <w:sz w:val="20"/>
              </w:rPr>
              <w:t xml:space="preserve">Plánovaný dátum prijatia: 1. štvrťrok 2021; nelegislatívna iniciatíva, právny základ: články 107 a 108 ZFEÚ. Posúdenie vplyvu sa nepredpokladá.  </w:t>
            </w:r>
          </w:p>
        </w:tc>
        <w:tc>
          <w:tcPr>
            <w:tcW w:w="2127" w:type="dxa"/>
            <w:tcBorders>
              <w:top w:val="single" w:sz="4" w:space="0" w:color="000000"/>
              <w:left w:val="single" w:sz="4" w:space="0" w:color="000000"/>
              <w:bottom w:val="single" w:sz="4" w:space="0" w:color="000000"/>
              <w:right w:val="single" w:sz="4" w:space="0" w:color="000000"/>
            </w:tcBorders>
          </w:tcPr>
          <w:p w14:paraId="609A0713" w14:textId="77777777" w:rsidR="00E47756" w:rsidRPr="00E47756" w:rsidRDefault="00E47756" w:rsidP="00E47756">
            <w:pPr>
              <w:spacing w:after="0" w:line="240" w:lineRule="auto"/>
              <w:ind w:left="57" w:right="57"/>
              <w:jc w:val="center"/>
              <w:rPr>
                <w:b/>
                <w:sz w:val="20"/>
              </w:rPr>
            </w:pPr>
            <w:r w:rsidRPr="00E47756">
              <w:rPr>
                <w:b/>
                <w:sz w:val="20"/>
              </w:rPr>
              <w:t>MŽP SR</w:t>
            </w:r>
          </w:p>
          <w:p w14:paraId="6E3BE61B" w14:textId="77777777" w:rsidR="00E47756" w:rsidRDefault="00E47756" w:rsidP="00E47756">
            <w:pPr>
              <w:spacing w:after="0" w:line="240" w:lineRule="auto"/>
              <w:ind w:left="57" w:right="57"/>
              <w:jc w:val="center"/>
              <w:rPr>
                <w:b/>
                <w:sz w:val="20"/>
              </w:rPr>
            </w:pPr>
            <w:r w:rsidRPr="00E47756">
              <w:rPr>
                <w:b/>
                <w:sz w:val="20"/>
              </w:rPr>
              <w:t>PMÚ SR</w:t>
            </w:r>
          </w:p>
          <w:p w14:paraId="100E545F" w14:textId="448C149A" w:rsidR="00EC1215" w:rsidRPr="00E47756" w:rsidRDefault="00EC1215" w:rsidP="00E47756">
            <w:pPr>
              <w:spacing w:after="0" w:line="240" w:lineRule="auto"/>
              <w:ind w:left="57" w:right="57"/>
              <w:jc w:val="center"/>
              <w:rPr>
                <w:b/>
                <w:sz w:val="20"/>
              </w:rPr>
            </w:pPr>
            <w:r>
              <w:rPr>
                <w:b/>
                <w:sz w:val="20"/>
              </w:rPr>
              <w:t>MH SR</w:t>
            </w:r>
          </w:p>
        </w:tc>
        <w:tc>
          <w:tcPr>
            <w:tcW w:w="5670" w:type="dxa"/>
            <w:tcBorders>
              <w:top w:val="single" w:sz="4" w:space="0" w:color="000000"/>
              <w:left w:val="single" w:sz="4" w:space="0" w:color="000000"/>
              <w:bottom w:val="single" w:sz="4" w:space="0" w:color="000000"/>
              <w:right w:val="single" w:sz="4" w:space="0" w:color="000000"/>
            </w:tcBorders>
          </w:tcPr>
          <w:p w14:paraId="10C78CA4" w14:textId="77777777" w:rsidR="00E47756" w:rsidRPr="00E47756" w:rsidRDefault="00E47756" w:rsidP="00E47756">
            <w:pPr>
              <w:spacing w:after="0" w:line="240" w:lineRule="auto"/>
              <w:ind w:left="57" w:right="57"/>
              <w:rPr>
                <w:iCs/>
                <w:color w:val="auto"/>
                <w:sz w:val="20"/>
                <w:szCs w:val="20"/>
                <w:lang w:eastAsia="en-US"/>
              </w:rPr>
            </w:pPr>
            <w:r w:rsidRPr="00E47756">
              <w:rPr>
                <w:b/>
                <w:sz w:val="20"/>
                <w:u w:val="single"/>
              </w:rPr>
              <w:t>Vysoká priorita</w:t>
            </w:r>
            <w:r w:rsidRPr="00E47756">
              <w:rPr>
                <w:sz w:val="20"/>
              </w:rPr>
              <w:t xml:space="preserve"> – </w:t>
            </w:r>
            <w:r w:rsidRPr="00E47756">
              <w:rPr>
                <w:iCs/>
                <w:color w:val="auto"/>
                <w:sz w:val="20"/>
                <w:szCs w:val="20"/>
                <w:lang w:eastAsia="en-US"/>
              </w:rPr>
              <w:t xml:space="preserve">V zmysle čl. 216, ods. 2 Zmluvy o fungovaní Európskej únie je Dohovor o prístupe k informáciám, účasti verejnosti na rozhodovacom procese a prístupe k spravodlivosti v oblasti životného prostredia (ďalej len </w:t>
            </w:r>
            <w:proofErr w:type="spellStart"/>
            <w:r w:rsidRPr="00E47756">
              <w:rPr>
                <w:iCs/>
                <w:color w:val="auto"/>
                <w:sz w:val="20"/>
                <w:szCs w:val="20"/>
                <w:lang w:eastAsia="en-US"/>
              </w:rPr>
              <w:t>Aarhuský</w:t>
            </w:r>
            <w:proofErr w:type="spellEnd"/>
            <w:r w:rsidRPr="00E47756">
              <w:rPr>
                <w:iCs/>
                <w:color w:val="auto"/>
                <w:sz w:val="20"/>
                <w:szCs w:val="20"/>
                <w:lang w:eastAsia="en-US"/>
              </w:rPr>
              <w:t xml:space="preserve"> dohovor) záväzný pre inštitúcie Európskej únie a jej členské štáty. Výbor pre súlad s </w:t>
            </w:r>
            <w:proofErr w:type="spellStart"/>
            <w:r w:rsidRPr="00E47756">
              <w:rPr>
                <w:iCs/>
                <w:color w:val="auto"/>
                <w:sz w:val="20"/>
                <w:szCs w:val="20"/>
                <w:lang w:eastAsia="en-US"/>
              </w:rPr>
              <w:t>Aarhuským</w:t>
            </w:r>
            <w:proofErr w:type="spellEnd"/>
            <w:r w:rsidRPr="00E47756">
              <w:rPr>
                <w:iCs/>
                <w:color w:val="auto"/>
                <w:sz w:val="20"/>
                <w:szCs w:val="20"/>
                <w:lang w:eastAsia="en-US"/>
              </w:rPr>
              <w:t xml:space="preserve"> dohovorom (ďalej len ACCC) interpretuje ustanovenia </w:t>
            </w:r>
            <w:proofErr w:type="spellStart"/>
            <w:r w:rsidRPr="00E47756">
              <w:rPr>
                <w:iCs/>
                <w:color w:val="auto"/>
                <w:sz w:val="20"/>
                <w:szCs w:val="20"/>
                <w:lang w:eastAsia="en-US"/>
              </w:rPr>
              <w:t>Aarhuského</w:t>
            </w:r>
            <w:proofErr w:type="spellEnd"/>
            <w:r w:rsidRPr="00E47756">
              <w:rPr>
                <w:iCs/>
                <w:color w:val="auto"/>
                <w:sz w:val="20"/>
                <w:szCs w:val="20"/>
                <w:lang w:eastAsia="en-US"/>
              </w:rPr>
              <w:t xml:space="preserve"> dohovoru a v zmysle jeho zistení a odporúčaní sú zmluvné strany </w:t>
            </w:r>
            <w:proofErr w:type="spellStart"/>
            <w:r w:rsidRPr="00E47756">
              <w:rPr>
                <w:iCs/>
                <w:color w:val="auto"/>
                <w:sz w:val="20"/>
                <w:szCs w:val="20"/>
                <w:lang w:eastAsia="en-US"/>
              </w:rPr>
              <w:t>Aarhuského</w:t>
            </w:r>
            <w:proofErr w:type="spellEnd"/>
            <w:r w:rsidRPr="00E47756">
              <w:rPr>
                <w:iCs/>
                <w:color w:val="auto"/>
                <w:sz w:val="20"/>
                <w:szCs w:val="20"/>
                <w:lang w:eastAsia="en-US"/>
              </w:rPr>
              <w:t xml:space="preserve"> dohovoru povinné podniknúť kroky zamerané na dosiahnutie súladu s </w:t>
            </w:r>
            <w:proofErr w:type="spellStart"/>
            <w:r w:rsidRPr="00E47756">
              <w:rPr>
                <w:iCs/>
                <w:color w:val="auto"/>
                <w:sz w:val="20"/>
                <w:szCs w:val="20"/>
                <w:lang w:eastAsia="en-US"/>
              </w:rPr>
              <w:t>Aarhuským</w:t>
            </w:r>
            <w:proofErr w:type="spellEnd"/>
            <w:r w:rsidRPr="00E47756">
              <w:rPr>
                <w:iCs/>
                <w:color w:val="auto"/>
                <w:sz w:val="20"/>
                <w:szCs w:val="20"/>
                <w:lang w:eastAsia="en-US"/>
              </w:rPr>
              <w:t xml:space="preserve"> dohovorom v kontexte konkrétnych prípadov. Úprava Nariadenia č. 1367/2006 o uplatňovaní ustanovení </w:t>
            </w:r>
            <w:proofErr w:type="spellStart"/>
            <w:r w:rsidRPr="00E47756">
              <w:rPr>
                <w:iCs/>
                <w:color w:val="auto"/>
                <w:sz w:val="20"/>
                <w:szCs w:val="20"/>
                <w:lang w:eastAsia="en-US"/>
              </w:rPr>
              <w:t>Aarhuského</w:t>
            </w:r>
            <w:proofErr w:type="spellEnd"/>
            <w:r w:rsidRPr="00E47756">
              <w:rPr>
                <w:iCs/>
                <w:color w:val="auto"/>
                <w:sz w:val="20"/>
                <w:szCs w:val="20"/>
                <w:lang w:eastAsia="en-US"/>
              </w:rPr>
              <w:t xml:space="preserve"> dohovoru o prístupe k informáciám, účasti verejnosti na rozhodovacom procese a prístupe k spravodlivosti v oblasti životného prostredia na inštitúcie a orgány EÚ (ďalej len </w:t>
            </w:r>
            <w:proofErr w:type="spellStart"/>
            <w:r w:rsidRPr="00E47756">
              <w:rPr>
                <w:iCs/>
                <w:color w:val="auto"/>
                <w:sz w:val="20"/>
                <w:szCs w:val="20"/>
                <w:lang w:eastAsia="en-US"/>
              </w:rPr>
              <w:t>Aarhuské</w:t>
            </w:r>
            <w:proofErr w:type="spellEnd"/>
            <w:r w:rsidRPr="00E47756">
              <w:rPr>
                <w:iCs/>
                <w:color w:val="auto"/>
                <w:sz w:val="20"/>
                <w:szCs w:val="20"/>
                <w:lang w:eastAsia="en-US"/>
              </w:rPr>
              <w:t xml:space="preserve"> nariadenie) reaguje na odporúčania ACCC v kontexte prípadu ACCC/C/2008/32. SR podporuje konštruktívne kroky zamerané na prijatie úprav </w:t>
            </w:r>
            <w:proofErr w:type="spellStart"/>
            <w:r w:rsidRPr="00E47756">
              <w:rPr>
                <w:iCs/>
                <w:color w:val="auto"/>
                <w:sz w:val="20"/>
                <w:szCs w:val="20"/>
                <w:lang w:eastAsia="en-US"/>
              </w:rPr>
              <w:t>Aarhuského</w:t>
            </w:r>
            <w:proofErr w:type="spellEnd"/>
            <w:r w:rsidRPr="00E47756">
              <w:rPr>
                <w:iCs/>
                <w:color w:val="auto"/>
                <w:sz w:val="20"/>
                <w:szCs w:val="20"/>
                <w:lang w:eastAsia="en-US"/>
              </w:rPr>
              <w:t xml:space="preserve"> nariadenia s cieľom reagovať na zistenia a odporúčania ACCC v kontexte vyššie uvedeného prípadu pred stretnutím strán </w:t>
            </w:r>
            <w:proofErr w:type="spellStart"/>
            <w:r w:rsidRPr="00E47756">
              <w:rPr>
                <w:iCs/>
                <w:color w:val="auto"/>
                <w:sz w:val="20"/>
                <w:szCs w:val="20"/>
                <w:lang w:eastAsia="en-US"/>
              </w:rPr>
              <w:t>Aarhuského</w:t>
            </w:r>
            <w:proofErr w:type="spellEnd"/>
            <w:r w:rsidRPr="00E47756">
              <w:rPr>
                <w:iCs/>
                <w:color w:val="auto"/>
                <w:sz w:val="20"/>
                <w:szCs w:val="20"/>
                <w:lang w:eastAsia="en-US"/>
              </w:rPr>
              <w:t xml:space="preserve"> dohovoru, ktorá je plánované na október 2021.</w:t>
            </w:r>
          </w:p>
          <w:p w14:paraId="526B3808" w14:textId="77777777" w:rsidR="00E47756" w:rsidRPr="00E47756" w:rsidRDefault="00E47756" w:rsidP="00E47756">
            <w:pPr>
              <w:spacing w:after="0" w:line="240" w:lineRule="auto"/>
              <w:ind w:left="57" w:right="57"/>
              <w:rPr>
                <w:sz w:val="20"/>
                <w:szCs w:val="20"/>
              </w:rPr>
            </w:pPr>
            <w:r w:rsidRPr="00E47756">
              <w:rPr>
                <w:sz w:val="20"/>
                <w:szCs w:val="20"/>
              </w:rPr>
              <w:t xml:space="preserve">Slovenské orgány vítajú najmä navrhované zmeny intenzít pomoci (podľa aktuálneho návrhu by sa mali zvýšiť intenzity všetkých regiónov aktuálne zaradených do regionálnej mapy štátnej pomoci – Západné Slovensko, Stredné Slovensko a Východné Slovensko). Slovenské orgány tiež vítajú, že v návrhu usmernení o regionálnej štátnej pomoci sú zahrnuté základné princípy </w:t>
            </w:r>
            <w:r w:rsidRPr="00E47756">
              <w:rPr>
                <w:i/>
                <w:sz w:val="20"/>
                <w:szCs w:val="20"/>
              </w:rPr>
              <w:t>„</w:t>
            </w:r>
            <w:proofErr w:type="spellStart"/>
            <w:r w:rsidRPr="00E47756">
              <w:rPr>
                <w:i/>
                <w:sz w:val="20"/>
                <w:szCs w:val="20"/>
              </w:rPr>
              <w:t>Green</w:t>
            </w:r>
            <w:proofErr w:type="spellEnd"/>
            <w:r w:rsidRPr="00E47756">
              <w:rPr>
                <w:i/>
                <w:sz w:val="20"/>
                <w:szCs w:val="20"/>
              </w:rPr>
              <w:t xml:space="preserve"> and </w:t>
            </w:r>
            <w:proofErr w:type="spellStart"/>
            <w:r w:rsidRPr="00E47756">
              <w:rPr>
                <w:i/>
                <w:sz w:val="20"/>
                <w:szCs w:val="20"/>
              </w:rPr>
              <w:t>Digital</w:t>
            </w:r>
            <w:proofErr w:type="spellEnd"/>
            <w:r w:rsidRPr="00E47756">
              <w:rPr>
                <w:i/>
                <w:sz w:val="20"/>
                <w:szCs w:val="20"/>
              </w:rPr>
              <w:t xml:space="preserve"> </w:t>
            </w:r>
            <w:proofErr w:type="spellStart"/>
            <w:r w:rsidRPr="00E47756">
              <w:rPr>
                <w:i/>
                <w:sz w:val="20"/>
                <w:szCs w:val="20"/>
              </w:rPr>
              <w:t>Recovery</w:t>
            </w:r>
            <w:proofErr w:type="spellEnd"/>
            <w:r w:rsidRPr="00E47756">
              <w:rPr>
                <w:i/>
                <w:sz w:val="20"/>
                <w:szCs w:val="20"/>
              </w:rPr>
              <w:t xml:space="preserve">“ </w:t>
            </w:r>
            <w:r w:rsidRPr="00E47756">
              <w:rPr>
                <w:sz w:val="20"/>
                <w:szCs w:val="20"/>
              </w:rPr>
              <w:t xml:space="preserve">a pri poskytovaní regionálnej pomoci by sa tak mal zvažovať aj príspevok projektu k ekologizácii regionálneho hospodárstva. Investície, ktoré zásadným spôsobom prispievajú k digitálnemu prechodu alebo k prechodu na </w:t>
            </w:r>
            <w:proofErr w:type="spellStart"/>
            <w:r w:rsidRPr="00E47756">
              <w:rPr>
                <w:sz w:val="20"/>
                <w:szCs w:val="20"/>
              </w:rPr>
              <w:t>nízkouhlíkové</w:t>
            </w:r>
            <w:proofErr w:type="spellEnd"/>
            <w:r w:rsidRPr="00E47756">
              <w:rPr>
                <w:sz w:val="20"/>
                <w:szCs w:val="20"/>
              </w:rPr>
              <w:t xml:space="preserve">, klimaticky neutrálne alebo klimaticky odolné činnosti bez toho, aby </w:t>
            </w:r>
            <w:r w:rsidRPr="00E47756">
              <w:rPr>
                <w:sz w:val="20"/>
                <w:szCs w:val="20"/>
              </w:rPr>
              <w:lastRenderedPageBreak/>
              <w:t>spôsobili významné poškodenie životného prostredia, sa budú považovať za faktor, ktorý prispieva k regionálnemu rozvoju.</w:t>
            </w:r>
          </w:p>
          <w:p w14:paraId="76517D8B" w14:textId="77777777" w:rsidR="00E47756" w:rsidRPr="00E47756" w:rsidRDefault="00E47756" w:rsidP="00E47756">
            <w:pPr>
              <w:spacing w:after="0" w:line="240" w:lineRule="auto"/>
              <w:ind w:left="57" w:right="57"/>
              <w:rPr>
                <w:sz w:val="20"/>
                <w:szCs w:val="20"/>
              </w:rPr>
            </w:pPr>
            <w:r w:rsidRPr="00E47756">
              <w:rPr>
                <w:sz w:val="20"/>
                <w:szCs w:val="20"/>
              </w:rPr>
              <w:t>Slovenské orgány v rámci konzultácií predložili svoje pripomienky ku konkrétnym bodom revidovaných usmernení o regionálnej štátnej pomoci.</w:t>
            </w:r>
          </w:p>
          <w:p w14:paraId="2F4A3A41" w14:textId="77777777" w:rsidR="00E47756" w:rsidRPr="00E47756" w:rsidRDefault="00E47756" w:rsidP="00E47756">
            <w:pPr>
              <w:spacing w:after="0" w:line="240" w:lineRule="auto"/>
              <w:ind w:left="57" w:right="57"/>
              <w:rPr>
                <w:sz w:val="20"/>
                <w:szCs w:val="20"/>
              </w:rPr>
            </w:pPr>
            <w:r w:rsidRPr="00E47756">
              <w:rPr>
                <w:sz w:val="20"/>
                <w:szCs w:val="20"/>
              </w:rPr>
              <w:t>V oblasti regionálnej štátnej pomoci slovenské orgány tiež vítajú predĺženie platnosti aktuálnej regionálnej mapy štátnej pomoci do 31.12.2021, zároveň ocenia spoluprácu s EK pri príprave nových regionálnych máp štátnej pomoci, ktoré by mali byť platné od 1.1.2022.</w:t>
            </w:r>
          </w:p>
        </w:tc>
      </w:tr>
      <w:tr w:rsidR="00E47756" w:rsidRPr="00E47756" w14:paraId="28DBEFA0" w14:textId="77777777" w:rsidTr="001A4016">
        <w:tblPrEx>
          <w:tblCellMar>
            <w:top w:w="39" w:type="dxa"/>
          </w:tblCellMar>
        </w:tblPrEx>
        <w:trPr>
          <w:trHeight w:val="1803"/>
        </w:trPr>
        <w:tc>
          <w:tcPr>
            <w:tcW w:w="447" w:type="dxa"/>
            <w:tcBorders>
              <w:top w:val="single" w:sz="4" w:space="0" w:color="000000"/>
              <w:left w:val="single" w:sz="4" w:space="0" w:color="000000"/>
              <w:bottom w:val="single" w:sz="4" w:space="0" w:color="000000"/>
              <w:right w:val="single" w:sz="4" w:space="0" w:color="000000"/>
            </w:tcBorders>
          </w:tcPr>
          <w:p w14:paraId="7D94FE50" w14:textId="77777777" w:rsidR="00E47756" w:rsidRPr="00E47756" w:rsidRDefault="00E47756" w:rsidP="00E47756">
            <w:pPr>
              <w:spacing w:after="0" w:line="240" w:lineRule="auto"/>
              <w:ind w:left="57" w:right="57"/>
              <w:jc w:val="center"/>
            </w:pPr>
            <w:r w:rsidRPr="00E47756">
              <w:rPr>
                <w:sz w:val="20"/>
              </w:rPr>
              <w:lastRenderedPageBreak/>
              <w:t>14.</w:t>
            </w:r>
          </w:p>
        </w:tc>
        <w:tc>
          <w:tcPr>
            <w:tcW w:w="2976" w:type="dxa"/>
            <w:tcBorders>
              <w:top w:val="single" w:sz="4" w:space="0" w:color="000000"/>
              <w:left w:val="single" w:sz="4" w:space="0" w:color="000000"/>
              <w:bottom w:val="single" w:sz="4" w:space="0" w:color="000000"/>
              <w:right w:val="single" w:sz="4" w:space="0" w:color="000000"/>
            </w:tcBorders>
          </w:tcPr>
          <w:p w14:paraId="57ED48A9" w14:textId="77777777" w:rsidR="00E47756" w:rsidRPr="00E47756" w:rsidRDefault="00E47756" w:rsidP="00E47756">
            <w:pPr>
              <w:spacing w:after="0" w:line="240" w:lineRule="auto"/>
              <w:ind w:left="57" w:right="57"/>
            </w:pPr>
            <w:r w:rsidRPr="00E47756">
              <w:rPr>
                <w:b/>
                <w:sz w:val="20"/>
              </w:rPr>
              <w:t xml:space="preserve">Revízia usmernenia o štátnej pomoci v oblasti ochrany životného prostredia a energetiky </w:t>
            </w:r>
          </w:p>
        </w:tc>
        <w:tc>
          <w:tcPr>
            <w:tcW w:w="3402" w:type="dxa"/>
            <w:gridSpan w:val="2"/>
            <w:tcBorders>
              <w:top w:val="single" w:sz="4" w:space="0" w:color="000000"/>
              <w:left w:val="single" w:sz="4" w:space="0" w:color="000000"/>
              <w:bottom w:val="single" w:sz="4" w:space="0" w:color="000000"/>
              <w:right w:val="single" w:sz="4" w:space="0" w:color="000000"/>
            </w:tcBorders>
          </w:tcPr>
          <w:p w14:paraId="45095023" w14:textId="77777777" w:rsidR="00E47756" w:rsidRPr="00E47756" w:rsidRDefault="00E47756" w:rsidP="00E47756">
            <w:pPr>
              <w:spacing w:after="0" w:line="240" w:lineRule="auto"/>
              <w:ind w:left="57" w:right="57"/>
            </w:pPr>
            <w:r w:rsidRPr="00E47756">
              <w:rPr>
                <w:sz w:val="20"/>
              </w:rPr>
              <w:t xml:space="preserve">Súčasné pravidlá sa uplatňujú do 31. decembra 2020 (a budú predĺžené do 31. decembra 2021). Na základe prebiehajúcej kontroly vhodnosti sa ukázalo, že súčasné pravidlá fungujú dobre, ale mali by sa aktualizovať, aby odrážali regulačné, technologické a trhové zmeny a náležite sprevádzali súbežnú digitálnu a zelenú transformáciu hospodárstva. Komisia sa vo svojich oznámeniach o Európskej zelenej dohode a investičnom pláne pre udržateľnú Európu/investičnom pláne pre Európsku zelenú dohodu zaviazala do roku 2021 revidovať toto usmernenie s cieľom podporiť nákladovo účinný prechod hospodárstva a priemyslu ku klimatickej neutralite do roku 2050. </w:t>
            </w:r>
          </w:p>
          <w:p w14:paraId="11543944" w14:textId="77777777" w:rsidR="00E47756" w:rsidRPr="00E47756" w:rsidRDefault="00E47756" w:rsidP="00E47756">
            <w:pPr>
              <w:spacing w:after="0" w:line="240" w:lineRule="auto"/>
              <w:ind w:left="57" w:right="57"/>
            </w:pPr>
            <w:r w:rsidRPr="00E47756">
              <w:rPr>
                <w:sz w:val="20"/>
              </w:rPr>
              <w:t xml:space="preserve">Na základe revízie by sa mal ustanoviť modernizovaný a zjednodušený rámec, ktorý umožní subjektom verejného sektora dosiahnuť ciele EÚ nákladovo účinným spôsobom s minimálnym </w:t>
            </w:r>
            <w:r w:rsidRPr="00E47756">
              <w:rPr>
                <w:sz w:val="20"/>
              </w:rPr>
              <w:lastRenderedPageBreak/>
              <w:t xml:space="preserve">narušením hospodárskej súťaže a obchodu v Únii. Revíziou sa budú musieť uľahčiť najmä príslušné opatrenia, ktoré naďalej podporujú moderné dekarbonizované a obehové hospodárstvo, pričom zabezpečujú obmedzené narušenie hospodárskej súťaže a primerané záruky integrity jednotného trhu. Revíziou by sa malo zabezpečiť, aby boli revidované pravidlá vhodné pre nový rozvoj technológií a trhov a zabezpečili spravodlivú a nedeformovanú transformáciu hospodárstva v nasledujúcich rokoch hospodárskej obnovy. </w:t>
            </w:r>
          </w:p>
          <w:p w14:paraId="6725A46B" w14:textId="77777777" w:rsidR="00E47756" w:rsidRPr="00E47756" w:rsidRDefault="00E47756" w:rsidP="00E47756">
            <w:pPr>
              <w:spacing w:after="0" w:line="240" w:lineRule="auto"/>
              <w:ind w:left="57" w:right="57"/>
            </w:pPr>
            <w:r w:rsidRPr="00E47756">
              <w:rPr>
                <w:sz w:val="20"/>
              </w:rPr>
              <w:t xml:space="preserve">Plánovaný dátum prijatia: 4. štvrťrok 2021; nelegislatívna iniciatíva; právny základ: články 107 a 108 ZFEÚ. Posúdenie vplyvu sa predpokladá.  </w:t>
            </w:r>
          </w:p>
        </w:tc>
        <w:tc>
          <w:tcPr>
            <w:tcW w:w="2127" w:type="dxa"/>
            <w:tcBorders>
              <w:top w:val="single" w:sz="4" w:space="0" w:color="000000"/>
              <w:left w:val="single" w:sz="4" w:space="0" w:color="000000"/>
              <w:bottom w:val="single" w:sz="4" w:space="0" w:color="000000"/>
              <w:right w:val="single" w:sz="4" w:space="0" w:color="000000"/>
            </w:tcBorders>
          </w:tcPr>
          <w:p w14:paraId="2A2177FC" w14:textId="77777777" w:rsidR="00E47756" w:rsidRPr="00E47756" w:rsidRDefault="00E47756" w:rsidP="00E47756">
            <w:pPr>
              <w:spacing w:after="0" w:line="240" w:lineRule="auto"/>
              <w:ind w:left="57" w:right="57"/>
              <w:jc w:val="center"/>
              <w:rPr>
                <w:b/>
                <w:sz w:val="20"/>
              </w:rPr>
            </w:pPr>
            <w:r w:rsidRPr="00E47756">
              <w:rPr>
                <w:b/>
                <w:sz w:val="20"/>
              </w:rPr>
              <w:lastRenderedPageBreak/>
              <w:t>PMÚ SR</w:t>
            </w:r>
          </w:p>
          <w:p w14:paraId="6104D397" w14:textId="77777777" w:rsidR="00E47756" w:rsidRPr="00E47756" w:rsidRDefault="00E47756" w:rsidP="00E47756">
            <w:pPr>
              <w:spacing w:after="0" w:line="240" w:lineRule="auto"/>
              <w:ind w:left="57" w:right="57"/>
              <w:jc w:val="center"/>
              <w:rPr>
                <w:b/>
                <w:sz w:val="20"/>
              </w:rPr>
            </w:pPr>
            <w:r w:rsidRPr="00E47756">
              <w:rPr>
                <w:b/>
                <w:sz w:val="20"/>
              </w:rPr>
              <w:t>MŽP SR</w:t>
            </w:r>
          </w:p>
          <w:p w14:paraId="113627EB" w14:textId="77777777" w:rsidR="00E47756" w:rsidRPr="00E47756" w:rsidRDefault="00E47756" w:rsidP="00E47756">
            <w:pPr>
              <w:spacing w:after="0" w:line="240" w:lineRule="auto"/>
              <w:ind w:left="57" w:right="57"/>
              <w:jc w:val="center"/>
              <w:rPr>
                <w:sz w:val="20"/>
              </w:rPr>
            </w:pPr>
            <w:r w:rsidRPr="00E47756">
              <w:rPr>
                <w:b/>
                <w:sz w:val="20"/>
              </w:rPr>
              <w:t>MH SR</w:t>
            </w:r>
          </w:p>
        </w:tc>
        <w:tc>
          <w:tcPr>
            <w:tcW w:w="5670" w:type="dxa"/>
            <w:tcBorders>
              <w:top w:val="single" w:sz="4" w:space="0" w:color="000000"/>
              <w:left w:val="single" w:sz="4" w:space="0" w:color="000000"/>
              <w:bottom w:val="single" w:sz="4" w:space="0" w:color="000000"/>
              <w:right w:val="single" w:sz="4" w:space="0" w:color="000000"/>
            </w:tcBorders>
          </w:tcPr>
          <w:p w14:paraId="3CA8A972" w14:textId="77777777" w:rsidR="00092560" w:rsidRDefault="00E47756" w:rsidP="00092560">
            <w:pPr>
              <w:spacing w:after="0" w:line="240" w:lineRule="auto"/>
              <w:ind w:left="57" w:right="57"/>
              <w:rPr>
                <w:sz w:val="20"/>
                <w:szCs w:val="20"/>
              </w:rPr>
            </w:pPr>
            <w:r w:rsidRPr="00E47756">
              <w:rPr>
                <w:b/>
                <w:sz w:val="20"/>
                <w:u w:val="single"/>
              </w:rPr>
              <w:t>Stredná priorita</w:t>
            </w:r>
            <w:r w:rsidRPr="00E47756">
              <w:rPr>
                <w:sz w:val="20"/>
              </w:rPr>
              <w:t xml:space="preserve"> – </w:t>
            </w:r>
            <w:r w:rsidR="00092560">
              <w:rPr>
                <w:sz w:val="20"/>
              </w:rPr>
              <w:t>MŽP SR nevidí predĺženie aktuálne platných usmernení pre určité opatrenia štátnej pomoci v kontexte systému obchodovania s emisnými kvótami skleníkových plynov ako potrebné, pretože už aj teraz sa vyplácanie pomoci robí s časovým sklzom T-1, teda kompenzácia za rok 2020 sa vypláca až v roku 2021 a preto je aj platnosť schémy predĺžená do 31.12.2021. Čiže toto predĺženie znamená iba 1 rok k dobru, čo je dodatočná administratívna záťaž, keďže v roku 2021 sa budú pripravovať aj nové schémy pre kompenzácie.</w:t>
            </w:r>
          </w:p>
          <w:p w14:paraId="53F5F5C7" w14:textId="77777777" w:rsidR="00092560" w:rsidRDefault="00092560" w:rsidP="00092560">
            <w:pPr>
              <w:spacing w:after="0" w:line="240" w:lineRule="auto"/>
              <w:ind w:left="57" w:right="57"/>
              <w:rPr>
                <w:sz w:val="20"/>
              </w:rPr>
            </w:pPr>
          </w:p>
          <w:p w14:paraId="55394763" w14:textId="77777777" w:rsidR="00092560" w:rsidRDefault="00092560" w:rsidP="00092560">
            <w:pPr>
              <w:spacing w:after="0" w:line="240" w:lineRule="auto"/>
              <w:ind w:left="57" w:right="57"/>
              <w:rPr>
                <w:sz w:val="20"/>
                <w:szCs w:val="20"/>
              </w:rPr>
            </w:pPr>
            <w:r>
              <w:rPr>
                <w:sz w:val="20"/>
              </w:rPr>
              <w:t xml:space="preserve">Popri tom sa MŽP SR pozitívne pozerá na to, aby boli finančné prostriedky za kompenzácie aj nejakým spôsobom znova investované do </w:t>
            </w:r>
            <w:proofErr w:type="spellStart"/>
            <w:r>
              <w:rPr>
                <w:sz w:val="20"/>
              </w:rPr>
              <w:t>nízkouhlíkových</w:t>
            </w:r>
            <w:proofErr w:type="spellEnd"/>
            <w:r>
              <w:rPr>
                <w:sz w:val="20"/>
              </w:rPr>
              <w:t xml:space="preserve"> opatrení v danom oprávnenom podniku (čo momentálne nie je podmienkou) a preto vítajú skôr možnosť mať nové pravidlá platné už od roku 2021.</w:t>
            </w:r>
          </w:p>
          <w:p w14:paraId="0817107A" w14:textId="77777777" w:rsidR="00092560" w:rsidRDefault="00092560" w:rsidP="00092560">
            <w:pPr>
              <w:spacing w:after="0" w:line="240" w:lineRule="auto"/>
              <w:ind w:left="57" w:right="57"/>
              <w:rPr>
                <w:sz w:val="20"/>
                <w:szCs w:val="20"/>
              </w:rPr>
            </w:pPr>
          </w:p>
          <w:p w14:paraId="3C4F11DD" w14:textId="1E5D9B2F" w:rsidR="00092560" w:rsidRPr="00092560" w:rsidRDefault="00092560" w:rsidP="00092560">
            <w:pPr>
              <w:spacing w:after="0" w:line="240" w:lineRule="auto"/>
              <w:ind w:left="57" w:right="57"/>
              <w:rPr>
                <w:sz w:val="20"/>
                <w:szCs w:val="20"/>
              </w:rPr>
            </w:pPr>
            <w:r>
              <w:rPr>
                <w:sz w:val="20"/>
              </w:rPr>
              <w:t>Zároveň MŽP SR za SR podporuje návrh usmernení k niektorým opatreniam štátnej pomoci v súvislosti so systémom obchodovania s emisnými kvótami skleníkových plynov po roku 2021 (návrh usmernení po 2021) a počas verejných konzultácií na jar 2020 prednieslo dve pripomienky (resp. návrh na úpravy a otázku k čl. 54) k spomenutému návrhu predstavenému zo strany Európskej komisie.</w:t>
            </w:r>
          </w:p>
          <w:p w14:paraId="16B13F73" w14:textId="67A5BCBC" w:rsidR="00092560" w:rsidRPr="00E47756" w:rsidRDefault="00092560" w:rsidP="00092560">
            <w:pPr>
              <w:spacing w:after="0" w:line="240" w:lineRule="auto"/>
              <w:ind w:left="57" w:right="57"/>
              <w:rPr>
                <w:sz w:val="20"/>
              </w:rPr>
            </w:pPr>
          </w:p>
        </w:tc>
      </w:tr>
      <w:tr w:rsidR="00E47756" w:rsidRPr="00E47756" w14:paraId="4A060377" w14:textId="77777777" w:rsidTr="001A4016">
        <w:tblPrEx>
          <w:tblCellMar>
            <w:top w:w="39" w:type="dxa"/>
          </w:tblCellMar>
        </w:tblPrEx>
        <w:trPr>
          <w:trHeight w:val="1455"/>
        </w:trPr>
        <w:tc>
          <w:tcPr>
            <w:tcW w:w="447" w:type="dxa"/>
            <w:tcBorders>
              <w:top w:val="single" w:sz="4" w:space="0" w:color="000000"/>
              <w:left w:val="single" w:sz="4" w:space="0" w:color="000000"/>
              <w:bottom w:val="single" w:sz="4" w:space="0" w:color="000000"/>
              <w:right w:val="single" w:sz="4" w:space="0" w:color="000000"/>
            </w:tcBorders>
          </w:tcPr>
          <w:p w14:paraId="1884A698" w14:textId="77777777" w:rsidR="00E47756" w:rsidRPr="00E47756" w:rsidRDefault="00E47756" w:rsidP="00E47756">
            <w:pPr>
              <w:spacing w:after="0" w:line="240" w:lineRule="auto"/>
              <w:ind w:left="57" w:right="57"/>
              <w:jc w:val="center"/>
            </w:pPr>
            <w:r w:rsidRPr="00E47756">
              <w:rPr>
                <w:sz w:val="20"/>
              </w:rPr>
              <w:t>15.</w:t>
            </w:r>
          </w:p>
        </w:tc>
        <w:tc>
          <w:tcPr>
            <w:tcW w:w="2976" w:type="dxa"/>
            <w:tcBorders>
              <w:top w:val="single" w:sz="4" w:space="0" w:color="000000"/>
              <w:left w:val="single" w:sz="4" w:space="0" w:color="000000"/>
              <w:bottom w:val="single" w:sz="4" w:space="0" w:color="000000"/>
              <w:right w:val="single" w:sz="4" w:space="0" w:color="000000"/>
            </w:tcBorders>
          </w:tcPr>
          <w:p w14:paraId="33F7C40D" w14:textId="77777777" w:rsidR="00E47756" w:rsidRPr="00E47756" w:rsidRDefault="00E47756" w:rsidP="00E47756">
            <w:pPr>
              <w:spacing w:after="0" w:line="240" w:lineRule="auto"/>
              <w:ind w:left="57" w:right="57"/>
            </w:pPr>
            <w:r w:rsidRPr="00E47756">
              <w:rPr>
                <w:b/>
                <w:sz w:val="20"/>
              </w:rPr>
              <w:t xml:space="preserve">Revízia usmernení o rizikovom financovaní </w:t>
            </w:r>
          </w:p>
          <w:p w14:paraId="4328EE5B" w14:textId="77777777" w:rsidR="00E47756" w:rsidRPr="00E47756" w:rsidRDefault="00E47756" w:rsidP="00E47756">
            <w:pPr>
              <w:spacing w:after="0" w:line="240" w:lineRule="auto"/>
              <w:ind w:left="57" w:right="57"/>
            </w:pPr>
            <w:r w:rsidRPr="00E47756">
              <w:rPr>
                <w:b/>
                <w:sz w:val="20"/>
              </w:rPr>
              <w:t xml:space="preserve"> </w:t>
            </w:r>
          </w:p>
        </w:tc>
        <w:tc>
          <w:tcPr>
            <w:tcW w:w="3402" w:type="dxa"/>
            <w:gridSpan w:val="2"/>
            <w:tcBorders>
              <w:top w:val="single" w:sz="4" w:space="0" w:color="000000"/>
              <w:left w:val="single" w:sz="4" w:space="0" w:color="000000"/>
              <w:bottom w:val="single" w:sz="4" w:space="0" w:color="000000"/>
              <w:right w:val="single" w:sz="4" w:space="0" w:color="000000"/>
            </w:tcBorders>
          </w:tcPr>
          <w:p w14:paraId="144CE56A" w14:textId="77777777" w:rsidR="00E47756" w:rsidRPr="00E47756" w:rsidRDefault="00E47756" w:rsidP="00E47756">
            <w:pPr>
              <w:spacing w:after="0" w:line="240" w:lineRule="auto"/>
              <w:ind w:left="57" w:right="57"/>
            </w:pPr>
            <w:r w:rsidRPr="00E47756">
              <w:rPr>
                <w:sz w:val="20"/>
              </w:rPr>
              <w:t xml:space="preserve">Súčasné pravidlá sa uplatňujú do 31. decembra 2020 (a budú predĺžené do 31. decembra 2021). Na základe prebiehajúcej kontroly vhodnosti sa ukázalo, že súčasné pravidlá fungujú dobre, ale mali by sa aktualizovať, aby odrážali regulačné, technologické a trhové zmeny a náležite sprevádzali súčasné priority Komisie a hospodársku obnovu. </w:t>
            </w:r>
          </w:p>
          <w:p w14:paraId="6509CA81" w14:textId="77777777" w:rsidR="00E47756" w:rsidRPr="00E47756" w:rsidRDefault="00E47756" w:rsidP="00E47756">
            <w:pPr>
              <w:spacing w:after="0" w:line="240" w:lineRule="auto"/>
              <w:ind w:left="57" w:right="57"/>
              <w:rPr>
                <w:sz w:val="20"/>
              </w:rPr>
            </w:pPr>
            <w:r w:rsidRPr="00E47756">
              <w:rPr>
                <w:sz w:val="20"/>
              </w:rPr>
              <w:t xml:space="preserve">Plánovaný dátum prijatia: 4. štvrťrok 2021; nelegislatívna iniciatíva; právny základ: články 107 a 108 ZFEÚ. Posúdenie vplyvu sa nepredpokladá. </w:t>
            </w:r>
          </w:p>
          <w:p w14:paraId="43AA9D24" w14:textId="77777777" w:rsidR="00E47756" w:rsidRPr="00E47756" w:rsidRDefault="00E47756" w:rsidP="00E47756">
            <w:pPr>
              <w:spacing w:after="0" w:line="240" w:lineRule="auto"/>
              <w:ind w:left="57" w:right="57"/>
              <w:rPr>
                <w:sz w:val="20"/>
              </w:rPr>
            </w:pPr>
          </w:p>
          <w:p w14:paraId="035B4599" w14:textId="77777777" w:rsidR="00E47756" w:rsidRPr="00E47756" w:rsidRDefault="00E47756" w:rsidP="00E47756">
            <w:pPr>
              <w:spacing w:after="0" w:line="240" w:lineRule="auto"/>
              <w:ind w:left="57" w:right="57"/>
              <w:rPr>
                <w:sz w:val="20"/>
              </w:rPr>
            </w:pPr>
          </w:p>
          <w:p w14:paraId="5F89B80D" w14:textId="77777777" w:rsidR="00E47756" w:rsidRPr="00E47756" w:rsidRDefault="00E47756" w:rsidP="00E47756">
            <w:pPr>
              <w:spacing w:after="0" w:line="240" w:lineRule="auto"/>
              <w:ind w:left="57" w:right="57"/>
              <w:rPr>
                <w:sz w:val="20"/>
              </w:rPr>
            </w:pPr>
          </w:p>
          <w:p w14:paraId="4166B0C6" w14:textId="77777777" w:rsidR="00E47756" w:rsidRPr="00E47756" w:rsidRDefault="00E47756" w:rsidP="00E47756">
            <w:pPr>
              <w:spacing w:after="0" w:line="240" w:lineRule="auto"/>
              <w:ind w:right="57"/>
            </w:pPr>
          </w:p>
        </w:tc>
        <w:tc>
          <w:tcPr>
            <w:tcW w:w="2127" w:type="dxa"/>
            <w:tcBorders>
              <w:top w:val="single" w:sz="4" w:space="0" w:color="000000"/>
              <w:left w:val="single" w:sz="4" w:space="0" w:color="000000"/>
              <w:bottom w:val="single" w:sz="4" w:space="0" w:color="000000"/>
              <w:right w:val="single" w:sz="4" w:space="0" w:color="000000"/>
            </w:tcBorders>
          </w:tcPr>
          <w:p w14:paraId="1B9884E8" w14:textId="77777777" w:rsidR="00E47756" w:rsidRPr="00E47756" w:rsidRDefault="00E47756" w:rsidP="00E47756">
            <w:pPr>
              <w:spacing w:after="0" w:line="240" w:lineRule="auto"/>
              <w:ind w:left="57" w:right="57"/>
              <w:jc w:val="center"/>
              <w:rPr>
                <w:b/>
                <w:sz w:val="20"/>
              </w:rPr>
            </w:pPr>
            <w:r w:rsidRPr="00E47756">
              <w:rPr>
                <w:b/>
                <w:sz w:val="20"/>
              </w:rPr>
              <w:lastRenderedPageBreak/>
              <w:t>PMÚ SR</w:t>
            </w:r>
          </w:p>
        </w:tc>
        <w:tc>
          <w:tcPr>
            <w:tcW w:w="5670" w:type="dxa"/>
            <w:tcBorders>
              <w:top w:val="single" w:sz="4" w:space="0" w:color="000000"/>
              <w:left w:val="single" w:sz="4" w:space="0" w:color="000000"/>
              <w:bottom w:val="single" w:sz="4" w:space="0" w:color="000000"/>
              <w:right w:val="single" w:sz="4" w:space="0" w:color="000000"/>
            </w:tcBorders>
          </w:tcPr>
          <w:p w14:paraId="49D1EEB3" w14:textId="12596C4C" w:rsidR="00E47756" w:rsidRDefault="00E47756" w:rsidP="00E47756">
            <w:pPr>
              <w:spacing w:after="0" w:line="240" w:lineRule="auto"/>
              <w:ind w:left="57" w:right="57"/>
              <w:rPr>
                <w:color w:val="auto"/>
                <w:sz w:val="20"/>
                <w:szCs w:val="20"/>
              </w:rPr>
            </w:pPr>
            <w:r w:rsidRPr="00E47756">
              <w:rPr>
                <w:b/>
                <w:color w:val="auto"/>
                <w:sz w:val="20"/>
                <w:u w:val="single"/>
              </w:rPr>
              <w:t>Stredná priorita</w:t>
            </w:r>
            <w:r w:rsidRPr="00E47756">
              <w:rPr>
                <w:color w:val="auto"/>
                <w:sz w:val="20"/>
              </w:rPr>
              <w:t xml:space="preserve"> – </w:t>
            </w:r>
            <w:r w:rsidRPr="00E47756">
              <w:rPr>
                <w:color w:val="auto"/>
                <w:sz w:val="20"/>
                <w:szCs w:val="20"/>
              </w:rPr>
              <w:t xml:space="preserve">V januári 2019 začala Komisia s procesom tzv. fitness </w:t>
            </w:r>
            <w:proofErr w:type="spellStart"/>
            <w:r w:rsidRPr="00E47756">
              <w:rPr>
                <w:color w:val="auto"/>
                <w:sz w:val="20"/>
                <w:szCs w:val="20"/>
              </w:rPr>
              <w:t>check</w:t>
            </w:r>
            <w:proofErr w:type="spellEnd"/>
            <w:r w:rsidRPr="00E47756">
              <w:rPr>
                <w:color w:val="auto"/>
                <w:sz w:val="20"/>
                <w:szCs w:val="20"/>
              </w:rPr>
              <w:t xml:space="preserve">, t. j. posúdenia pravidiel v oblasti štátnej pomoci, prijatých v rámci reformy modernizácie štátnej pomoci z roku 2012, v rámci ktorého Komisia navrhla predĺženie platnosti viacerých nariadení a usmernení a ich revíziu. Súčasťou procesu tzv. fitness </w:t>
            </w:r>
            <w:proofErr w:type="spellStart"/>
            <w:r w:rsidRPr="00E47756">
              <w:rPr>
                <w:color w:val="auto"/>
                <w:sz w:val="20"/>
                <w:szCs w:val="20"/>
              </w:rPr>
              <w:t>check</w:t>
            </w:r>
            <w:proofErr w:type="spellEnd"/>
            <w:r w:rsidRPr="00E47756">
              <w:rPr>
                <w:color w:val="auto"/>
                <w:sz w:val="20"/>
                <w:szCs w:val="20"/>
              </w:rPr>
              <w:t xml:space="preserve"> je aj revízia usmernení o rizikovom financovaní. Cieľom tzv. fitness </w:t>
            </w:r>
            <w:proofErr w:type="spellStart"/>
            <w:r w:rsidRPr="00E47756">
              <w:rPr>
                <w:color w:val="auto"/>
                <w:sz w:val="20"/>
                <w:szCs w:val="20"/>
              </w:rPr>
              <w:t>check</w:t>
            </w:r>
            <w:proofErr w:type="spellEnd"/>
            <w:r w:rsidRPr="00E47756">
              <w:rPr>
                <w:color w:val="auto"/>
                <w:sz w:val="20"/>
                <w:szCs w:val="20"/>
              </w:rPr>
              <w:t xml:space="preserve"> je v spolupráci s členskými štátmi zistiť, či pravidlá v oblasti štátnej pomoci bude potrebné aktualizovať alebo bude postačovať predĺženie ich platnosti. Slovenská republika víta iniciatívu Komisie revidovať aktuálne pravidlá v oblasti štátnej pomoci, slovenské orgány sa aktívne zapájajú do uvedeného procesu najmä prostredníctvom verejných konzultácií a účasti na poradných výboroch. Vzhľadom na to, že konkrétny návrh revízie usmernenia by mal byť zo strany Komisie predložený v 1. štvrťroku 2021, nie je </w:t>
            </w:r>
            <w:r w:rsidRPr="00E47756">
              <w:rPr>
                <w:color w:val="auto"/>
                <w:sz w:val="20"/>
                <w:szCs w:val="20"/>
              </w:rPr>
              <w:lastRenderedPageBreak/>
              <w:t>možné v súčasnosti bližšie analyzovať význam revízie usmernenia.</w:t>
            </w:r>
            <w:r w:rsidR="00CD1BDD">
              <w:rPr>
                <w:color w:val="auto"/>
                <w:sz w:val="20"/>
                <w:szCs w:val="20"/>
              </w:rPr>
              <w:t xml:space="preserve"> Slovenské orgány predložia svoje vyjadrenie a prípadné pripomienky v termínoch stanovených Európskou komisiou, zúčastnia sa tiež poradných výborov k revidovaným usmerneniam.</w:t>
            </w:r>
          </w:p>
          <w:p w14:paraId="0CBFB081" w14:textId="77777777" w:rsidR="00CD1BDD" w:rsidRDefault="00CD1BDD" w:rsidP="00E47756">
            <w:pPr>
              <w:spacing w:after="0" w:line="240" w:lineRule="auto"/>
              <w:ind w:left="57" w:right="57"/>
              <w:rPr>
                <w:color w:val="auto"/>
              </w:rPr>
            </w:pPr>
          </w:p>
          <w:p w14:paraId="452F7E1D" w14:textId="720FDD18" w:rsidR="00CD1BDD" w:rsidRPr="00E47756" w:rsidRDefault="00CD1BDD" w:rsidP="00E47756">
            <w:pPr>
              <w:spacing w:after="0" w:line="240" w:lineRule="auto"/>
              <w:ind w:left="57" w:right="57"/>
              <w:rPr>
                <w:color w:val="auto"/>
              </w:rPr>
            </w:pPr>
          </w:p>
        </w:tc>
      </w:tr>
      <w:tr w:rsidR="00E47756" w:rsidRPr="00E47756" w14:paraId="2425B0BD" w14:textId="77777777" w:rsidTr="000A3081">
        <w:tblPrEx>
          <w:tblCellMar>
            <w:top w:w="40" w:type="dxa"/>
          </w:tblCellMar>
        </w:tblPrEx>
        <w:trPr>
          <w:trHeight w:val="118"/>
        </w:trPr>
        <w:tc>
          <w:tcPr>
            <w:tcW w:w="447" w:type="dxa"/>
            <w:tcBorders>
              <w:top w:val="single" w:sz="4" w:space="0" w:color="000000"/>
              <w:left w:val="single" w:sz="4" w:space="0" w:color="000000"/>
              <w:bottom w:val="single" w:sz="4" w:space="0" w:color="000000"/>
              <w:right w:val="single" w:sz="4" w:space="0" w:color="000000"/>
            </w:tcBorders>
          </w:tcPr>
          <w:p w14:paraId="63BFB968" w14:textId="77777777" w:rsidR="00E47756" w:rsidRPr="00E47756" w:rsidRDefault="00E47756" w:rsidP="00E47756">
            <w:pPr>
              <w:spacing w:after="0" w:line="240" w:lineRule="auto"/>
              <w:ind w:left="57" w:right="57"/>
              <w:jc w:val="center"/>
            </w:pPr>
            <w:r w:rsidRPr="00E47756">
              <w:rPr>
                <w:sz w:val="20"/>
              </w:rPr>
              <w:lastRenderedPageBreak/>
              <w:t>16.</w:t>
            </w:r>
          </w:p>
        </w:tc>
        <w:tc>
          <w:tcPr>
            <w:tcW w:w="3018" w:type="dxa"/>
            <w:gridSpan w:val="2"/>
            <w:tcBorders>
              <w:top w:val="single" w:sz="4" w:space="0" w:color="000000"/>
              <w:left w:val="single" w:sz="4" w:space="0" w:color="000000"/>
              <w:bottom w:val="single" w:sz="4" w:space="0" w:color="000000"/>
              <w:right w:val="single" w:sz="4" w:space="0" w:color="000000"/>
            </w:tcBorders>
          </w:tcPr>
          <w:p w14:paraId="4D38A811" w14:textId="77777777" w:rsidR="00E47756" w:rsidRPr="00E47756" w:rsidRDefault="00E47756" w:rsidP="00E47756">
            <w:pPr>
              <w:spacing w:after="0" w:line="240" w:lineRule="auto"/>
              <w:ind w:left="57" w:right="57"/>
            </w:pPr>
            <w:r w:rsidRPr="00E47756">
              <w:rPr>
                <w:b/>
                <w:sz w:val="20"/>
              </w:rPr>
              <w:t xml:space="preserve">Revízia rámca pre štátnu pomoc na výskum, vývoj a inovácie </w:t>
            </w:r>
          </w:p>
          <w:p w14:paraId="1194737D" w14:textId="77777777" w:rsidR="00E47756" w:rsidRPr="00E47756" w:rsidRDefault="00E47756" w:rsidP="00E47756">
            <w:pPr>
              <w:spacing w:after="0" w:line="240" w:lineRule="auto"/>
              <w:ind w:left="57" w:right="57"/>
            </w:pPr>
            <w:r w:rsidRPr="00E47756">
              <w:rPr>
                <w:b/>
                <w:sz w:val="20"/>
              </w:rPr>
              <w:t xml:space="preserve"> </w:t>
            </w:r>
          </w:p>
          <w:p w14:paraId="071F37B0" w14:textId="77777777" w:rsidR="00E47756" w:rsidRPr="00E47756" w:rsidRDefault="00E47756" w:rsidP="00E47756">
            <w:pPr>
              <w:spacing w:after="0" w:line="240" w:lineRule="auto"/>
              <w:ind w:left="57" w:right="57"/>
            </w:pPr>
            <w:r w:rsidRPr="00E47756">
              <w:rPr>
                <w:b/>
                <w:sz w:val="20"/>
              </w:rPr>
              <w:t xml:space="preserve"> </w:t>
            </w:r>
          </w:p>
        </w:tc>
        <w:tc>
          <w:tcPr>
            <w:tcW w:w="3360" w:type="dxa"/>
            <w:tcBorders>
              <w:top w:val="single" w:sz="4" w:space="0" w:color="000000"/>
              <w:left w:val="single" w:sz="4" w:space="0" w:color="000000"/>
              <w:bottom w:val="single" w:sz="4" w:space="0" w:color="000000"/>
              <w:right w:val="single" w:sz="4" w:space="0" w:color="000000"/>
            </w:tcBorders>
          </w:tcPr>
          <w:p w14:paraId="53A81408" w14:textId="77777777" w:rsidR="000A3081" w:rsidRPr="000A3081" w:rsidRDefault="00E47756" w:rsidP="000A3081">
            <w:pPr>
              <w:spacing w:after="0" w:line="240" w:lineRule="auto"/>
              <w:ind w:left="57" w:right="57"/>
              <w:rPr>
                <w:sz w:val="20"/>
              </w:rPr>
            </w:pPr>
            <w:r w:rsidRPr="00E47756">
              <w:rPr>
                <w:sz w:val="20"/>
              </w:rPr>
              <w:t xml:space="preserve">Súčasné pravidlá nemajú dátum skončenia platnosti. Hoci sa na základe prebiehajúcej kontroly vhodnosti ukázalo, že súčasné pravidlá fungujú dobre, mali by sa aktualizovať cieleným spôsobom, aby odrážali regulačné, technologické a trhové zmeny a náležite sprevádzali súčasné priority Komisie a hospodársku obnovu. </w:t>
            </w:r>
          </w:p>
          <w:p w14:paraId="7215607A" w14:textId="77777777" w:rsidR="00E47756" w:rsidRPr="00E47756" w:rsidRDefault="00E47756" w:rsidP="00E47756">
            <w:pPr>
              <w:spacing w:after="0" w:line="240" w:lineRule="auto"/>
              <w:ind w:left="57" w:right="57"/>
            </w:pPr>
            <w:r w:rsidRPr="00E47756">
              <w:rPr>
                <w:sz w:val="20"/>
              </w:rPr>
              <w:t xml:space="preserve">Plánovaný dátum prijatia: 4. štvrťrok 2021; nelegislatívna iniciatíva; právny základ: články 107 a 108 ZFEÚ. Posúdenie vplyvu sa nepredpokladá. </w:t>
            </w:r>
          </w:p>
        </w:tc>
        <w:tc>
          <w:tcPr>
            <w:tcW w:w="2127" w:type="dxa"/>
            <w:tcBorders>
              <w:top w:val="single" w:sz="4" w:space="0" w:color="000000"/>
              <w:left w:val="single" w:sz="4" w:space="0" w:color="000000"/>
              <w:bottom w:val="single" w:sz="4" w:space="0" w:color="000000"/>
              <w:right w:val="single" w:sz="4" w:space="0" w:color="000000"/>
            </w:tcBorders>
          </w:tcPr>
          <w:p w14:paraId="392325E7" w14:textId="6DF8CBAC" w:rsidR="00E47756" w:rsidRPr="00E47756" w:rsidRDefault="00E47756" w:rsidP="00E47756">
            <w:pPr>
              <w:spacing w:after="0" w:line="240" w:lineRule="auto"/>
              <w:ind w:left="57" w:right="57"/>
              <w:jc w:val="center"/>
              <w:rPr>
                <w:b/>
                <w:sz w:val="20"/>
              </w:rPr>
            </w:pPr>
            <w:r w:rsidRPr="00E47756">
              <w:rPr>
                <w:b/>
                <w:sz w:val="20"/>
              </w:rPr>
              <w:t>MŠVV</w:t>
            </w:r>
            <w:r w:rsidR="00D571D1">
              <w:rPr>
                <w:b/>
                <w:sz w:val="20"/>
              </w:rPr>
              <w:t>a</w:t>
            </w:r>
            <w:r w:rsidRPr="00E47756">
              <w:rPr>
                <w:b/>
                <w:sz w:val="20"/>
              </w:rPr>
              <w:t xml:space="preserve">Š </w:t>
            </w:r>
          </w:p>
          <w:p w14:paraId="1471D2E2" w14:textId="77777777" w:rsidR="00E47756" w:rsidRPr="00E47756" w:rsidRDefault="00E47756" w:rsidP="00E47756">
            <w:pPr>
              <w:spacing w:after="0" w:line="240" w:lineRule="auto"/>
              <w:ind w:left="57" w:right="57"/>
              <w:jc w:val="center"/>
              <w:rPr>
                <w:b/>
                <w:sz w:val="20"/>
              </w:rPr>
            </w:pPr>
            <w:r w:rsidRPr="00E47756">
              <w:rPr>
                <w:b/>
                <w:sz w:val="20"/>
              </w:rPr>
              <w:t>MH SR</w:t>
            </w:r>
          </w:p>
          <w:p w14:paraId="6DB3D1E9" w14:textId="2FD0B43D" w:rsidR="00E47756" w:rsidRDefault="00E47756" w:rsidP="00E47756">
            <w:pPr>
              <w:spacing w:after="0" w:line="240" w:lineRule="auto"/>
              <w:ind w:left="57" w:right="57"/>
              <w:jc w:val="center"/>
              <w:rPr>
                <w:b/>
                <w:sz w:val="20"/>
              </w:rPr>
            </w:pPr>
            <w:r w:rsidRPr="00E47756">
              <w:rPr>
                <w:b/>
                <w:sz w:val="20"/>
              </w:rPr>
              <w:t>PMÚ SR</w:t>
            </w:r>
          </w:p>
          <w:p w14:paraId="749F4F0A" w14:textId="0AB81250" w:rsidR="001F1053" w:rsidRPr="00E47756" w:rsidRDefault="001F1053" w:rsidP="00E47756">
            <w:pPr>
              <w:spacing w:after="0" w:line="240" w:lineRule="auto"/>
              <w:ind w:left="57" w:right="57"/>
              <w:jc w:val="center"/>
              <w:rPr>
                <w:b/>
                <w:sz w:val="20"/>
              </w:rPr>
            </w:pPr>
            <w:r>
              <w:rPr>
                <w:b/>
                <w:sz w:val="20"/>
              </w:rPr>
              <w:t>MIRRI SR</w:t>
            </w:r>
          </w:p>
          <w:p w14:paraId="2688BF1F" w14:textId="77777777" w:rsidR="00E47756" w:rsidRPr="00E47756" w:rsidRDefault="00E47756" w:rsidP="00E47756">
            <w:pPr>
              <w:spacing w:after="0" w:line="240" w:lineRule="auto"/>
              <w:ind w:left="57" w:right="57"/>
              <w:jc w:val="center"/>
              <w:rPr>
                <w:b/>
                <w:sz w:val="20"/>
              </w:rPr>
            </w:pPr>
            <w:r w:rsidRPr="00E47756">
              <w:rPr>
                <w:b/>
                <w:sz w:val="20"/>
              </w:rPr>
              <w:t xml:space="preserve"> MF SR</w:t>
            </w:r>
          </w:p>
          <w:p w14:paraId="6718DC41" w14:textId="1907B18F" w:rsidR="00E47756" w:rsidRPr="00E47756" w:rsidRDefault="00E47756" w:rsidP="00E47756">
            <w:pPr>
              <w:spacing w:after="0" w:line="240" w:lineRule="auto"/>
              <w:ind w:left="57" w:right="57"/>
              <w:jc w:val="center"/>
              <w:rPr>
                <w:b/>
                <w:sz w:val="20"/>
              </w:rPr>
            </w:pPr>
          </w:p>
        </w:tc>
        <w:tc>
          <w:tcPr>
            <w:tcW w:w="5670" w:type="dxa"/>
            <w:tcBorders>
              <w:top w:val="single" w:sz="4" w:space="0" w:color="000000"/>
              <w:left w:val="single" w:sz="4" w:space="0" w:color="000000"/>
              <w:bottom w:val="single" w:sz="4" w:space="0" w:color="000000"/>
              <w:right w:val="single" w:sz="4" w:space="0" w:color="000000"/>
            </w:tcBorders>
          </w:tcPr>
          <w:p w14:paraId="3FC69B34" w14:textId="77777777" w:rsidR="00E47756" w:rsidRDefault="00E47756" w:rsidP="00E47756">
            <w:pPr>
              <w:spacing w:after="0" w:line="240" w:lineRule="auto"/>
              <w:ind w:left="57" w:right="57"/>
              <w:rPr>
                <w:sz w:val="20"/>
                <w:szCs w:val="20"/>
              </w:rPr>
            </w:pPr>
            <w:r w:rsidRPr="00E47756">
              <w:rPr>
                <w:b/>
                <w:sz w:val="20"/>
                <w:u w:val="single"/>
              </w:rPr>
              <w:t xml:space="preserve">Stredná priorita </w:t>
            </w:r>
            <w:r w:rsidRPr="00E47756">
              <w:rPr>
                <w:sz w:val="20"/>
              </w:rPr>
              <w:t xml:space="preserve"> – </w:t>
            </w:r>
            <w:r w:rsidRPr="00E47756">
              <w:rPr>
                <w:sz w:val="20"/>
                <w:szCs w:val="20"/>
              </w:rPr>
              <w:t>Aktuálny stav rokovaní: Rámec pre štátnu pomoc na výskum, vývoj a inovácie zahŕňa schému Stimuly pre výskum a vývoj, ktorá bude v roku 2021 aktualizovaná tak, aby je priority kopírovali aktualizované domény inteligentnej špecializácie RIS3 2021+ a prioritný cieľ č. 1 Inteligentnejšia Európa - inovatívna a inteligentná transformácia hospodárstva.</w:t>
            </w:r>
          </w:p>
          <w:p w14:paraId="413D01D1" w14:textId="77777777" w:rsidR="000A3081" w:rsidRPr="00E47756" w:rsidRDefault="000A3081" w:rsidP="00E47756">
            <w:pPr>
              <w:spacing w:after="0" w:line="240" w:lineRule="auto"/>
              <w:ind w:left="57" w:right="57"/>
              <w:rPr>
                <w:sz w:val="20"/>
                <w:szCs w:val="20"/>
              </w:rPr>
            </w:pPr>
          </w:p>
          <w:p w14:paraId="5C7B864A" w14:textId="77777777" w:rsidR="00E47756" w:rsidRDefault="00E47756" w:rsidP="00E47756">
            <w:pPr>
              <w:spacing w:after="0" w:line="240" w:lineRule="auto"/>
              <w:ind w:left="57" w:right="57"/>
              <w:rPr>
                <w:sz w:val="20"/>
              </w:rPr>
            </w:pPr>
            <w:r w:rsidRPr="00E47756">
              <w:rPr>
                <w:sz w:val="20"/>
              </w:rPr>
              <w:t xml:space="preserve">Konzultačný materiál nebol zo strany Európskej komisie zatiaľ zverejnený, podľa dostupných informácií by mal byť k dispozícii v 1. štvrťroku 2021. </w:t>
            </w:r>
          </w:p>
          <w:p w14:paraId="09DBBD25" w14:textId="77777777" w:rsidR="000A3081" w:rsidRPr="00E47756" w:rsidRDefault="000A3081" w:rsidP="00E47756">
            <w:pPr>
              <w:spacing w:after="0" w:line="240" w:lineRule="auto"/>
              <w:ind w:left="57" w:right="57"/>
              <w:rPr>
                <w:sz w:val="20"/>
              </w:rPr>
            </w:pPr>
          </w:p>
          <w:p w14:paraId="4DF3FC5F" w14:textId="77777777" w:rsidR="00E47756" w:rsidRPr="00E47756" w:rsidRDefault="00E47756" w:rsidP="000A3081">
            <w:pPr>
              <w:spacing w:after="0" w:line="240" w:lineRule="auto"/>
              <w:ind w:left="57" w:right="57"/>
              <w:rPr>
                <w:sz w:val="20"/>
              </w:rPr>
            </w:pPr>
            <w:r w:rsidRPr="00E47756">
              <w:rPr>
                <w:sz w:val="20"/>
              </w:rPr>
              <w:t>Slovenské orgány predložia svoje vyjadrenie a prípadné pripomienky v termínoch stanovených Európskou komisiou, zúčastnia sa tiež poradnýc</w:t>
            </w:r>
            <w:r w:rsidR="000A3081">
              <w:rPr>
                <w:sz w:val="20"/>
              </w:rPr>
              <w:t>h výborov k revidovanému rámcu.</w:t>
            </w:r>
          </w:p>
        </w:tc>
      </w:tr>
      <w:tr w:rsidR="00E47756" w:rsidRPr="00E47756" w14:paraId="5A1FF43E" w14:textId="77777777" w:rsidTr="001A4016">
        <w:tblPrEx>
          <w:tblCellMar>
            <w:top w:w="40" w:type="dxa"/>
          </w:tblCellMar>
        </w:tblPrEx>
        <w:trPr>
          <w:trHeight w:val="1688"/>
        </w:trPr>
        <w:tc>
          <w:tcPr>
            <w:tcW w:w="447" w:type="dxa"/>
            <w:tcBorders>
              <w:top w:val="single" w:sz="4" w:space="0" w:color="000000"/>
              <w:left w:val="single" w:sz="4" w:space="0" w:color="000000"/>
              <w:bottom w:val="single" w:sz="4" w:space="0" w:color="000000"/>
              <w:right w:val="single" w:sz="4" w:space="0" w:color="000000"/>
            </w:tcBorders>
          </w:tcPr>
          <w:p w14:paraId="54FA0F89" w14:textId="77777777" w:rsidR="00E47756" w:rsidRPr="00E47756" w:rsidRDefault="00E47756" w:rsidP="00E47756">
            <w:pPr>
              <w:spacing w:after="0" w:line="240" w:lineRule="auto"/>
              <w:ind w:left="57" w:right="57"/>
              <w:jc w:val="center"/>
            </w:pPr>
            <w:r w:rsidRPr="00E47756">
              <w:rPr>
                <w:sz w:val="20"/>
              </w:rPr>
              <w:t>17.</w:t>
            </w:r>
          </w:p>
        </w:tc>
        <w:tc>
          <w:tcPr>
            <w:tcW w:w="3018" w:type="dxa"/>
            <w:gridSpan w:val="2"/>
            <w:tcBorders>
              <w:top w:val="single" w:sz="4" w:space="0" w:color="000000"/>
              <w:left w:val="single" w:sz="4" w:space="0" w:color="000000"/>
              <w:bottom w:val="single" w:sz="4" w:space="0" w:color="000000"/>
              <w:right w:val="single" w:sz="4" w:space="0" w:color="000000"/>
            </w:tcBorders>
          </w:tcPr>
          <w:p w14:paraId="1832E28C" w14:textId="77777777" w:rsidR="00E47756" w:rsidRPr="00E47756" w:rsidRDefault="00E47756" w:rsidP="00E47756">
            <w:pPr>
              <w:spacing w:after="0" w:line="240" w:lineRule="auto"/>
              <w:ind w:left="57" w:right="57"/>
            </w:pPr>
            <w:r w:rsidRPr="00E47756">
              <w:rPr>
                <w:b/>
                <w:sz w:val="20"/>
              </w:rPr>
              <w:t xml:space="preserve">Revízia oznámenia o dôležitých projektoch spoločného európskeho záujmu </w:t>
            </w:r>
          </w:p>
        </w:tc>
        <w:tc>
          <w:tcPr>
            <w:tcW w:w="3360" w:type="dxa"/>
            <w:tcBorders>
              <w:top w:val="single" w:sz="4" w:space="0" w:color="000000"/>
              <w:left w:val="single" w:sz="4" w:space="0" w:color="000000"/>
              <w:bottom w:val="single" w:sz="4" w:space="0" w:color="000000"/>
              <w:right w:val="single" w:sz="4" w:space="0" w:color="000000"/>
            </w:tcBorders>
          </w:tcPr>
          <w:p w14:paraId="7329DE49" w14:textId="77777777" w:rsidR="00E47756" w:rsidRPr="00E47756" w:rsidRDefault="00E47756" w:rsidP="00E47756">
            <w:pPr>
              <w:spacing w:after="0" w:line="240" w:lineRule="auto"/>
              <w:ind w:left="57" w:right="57"/>
            </w:pPr>
            <w:r w:rsidRPr="00E47756">
              <w:rPr>
                <w:sz w:val="20"/>
              </w:rPr>
              <w:t xml:space="preserve">Súčasné pravidlá sa uplatňujú do 31. decembra 2020 (a budú predĺžené do 31. decembra 2021). Na základe prebiehajúcej kontroly vhodnosti sa ukázalo, že súčasné pravidlá fungujú dobre, ale mali by sa aktualizovať cieleným spôsobom, aby odrážali regulačné, technologické a trhové zmeny a náležite sprevádzali súčasné strategické priority Komisie a hospodársku obnovu. </w:t>
            </w:r>
          </w:p>
          <w:p w14:paraId="28419706" w14:textId="77777777" w:rsidR="00E47756" w:rsidRPr="00E47756" w:rsidRDefault="00E47756" w:rsidP="00E47756">
            <w:pPr>
              <w:spacing w:after="0" w:line="240" w:lineRule="auto"/>
              <w:ind w:left="57" w:right="57"/>
            </w:pPr>
            <w:r w:rsidRPr="00E47756">
              <w:rPr>
                <w:sz w:val="20"/>
              </w:rPr>
              <w:lastRenderedPageBreak/>
              <w:t xml:space="preserve">Plánovaný dátum prijatia: 4. štvrťrok 2021; nelegislatívna iniciatíva; právny základ: články 107 a 108 ZFEÚ. Posúdenie vplyvu sa nepredpokladá. </w:t>
            </w:r>
          </w:p>
        </w:tc>
        <w:tc>
          <w:tcPr>
            <w:tcW w:w="2127" w:type="dxa"/>
            <w:tcBorders>
              <w:top w:val="single" w:sz="4" w:space="0" w:color="000000"/>
              <w:left w:val="single" w:sz="4" w:space="0" w:color="000000"/>
              <w:bottom w:val="single" w:sz="4" w:space="0" w:color="000000"/>
              <w:right w:val="single" w:sz="4" w:space="0" w:color="000000"/>
            </w:tcBorders>
          </w:tcPr>
          <w:p w14:paraId="774B886F" w14:textId="7D0E06E2" w:rsidR="00E47756" w:rsidRDefault="00E47756" w:rsidP="00E47756">
            <w:pPr>
              <w:spacing w:after="0" w:line="240" w:lineRule="auto"/>
              <w:ind w:left="57" w:right="57"/>
              <w:jc w:val="center"/>
              <w:rPr>
                <w:b/>
                <w:sz w:val="20"/>
              </w:rPr>
            </w:pPr>
            <w:r w:rsidRPr="00E47756">
              <w:rPr>
                <w:b/>
                <w:sz w:val="20"/>
              </w:rPr>
              <w:lastRenderedPageBreak/>
              <w:t>PMÚ SR</w:t>
            </w:r>
          </w:p>
          <w:p w14:paraId="1E2B04F7" w14:textId="69F1E868" w:rsidR="00CD1BDD" w:rsidRPr="00E47756" w:rsidRDefault="00CD1BDD" w:rsidP="00E47756">
            <w:pPr>
              <w:spacing w:after="0" w:line="240" w:lineRule="auto"/>
              <w:ind w:left="57" w:right="57"/>
              <w:jc w:val="center"/>
              <w:rPr>
                <w:b/>
                <w:sz w:val="20"/>
              </w:rPr>
            </w:pPr>
            <w:r>
              <w:rPr>
                <w:b/>
                <w:sz w:val="20"/>
              </w:rPr>
              <w:t>MH SR</w:t>
            </w:r>
          </w:p>
          <w:p w14:paraId="27BE0090" w14:textId="77777777" w:rsidR="00E47756" w:rsidRPr="00E47756" w:rsidRDefault="00E47756" w:rsidP="00E47756">
            <w:pPr>
              <w:spacing w:after="0" w:line="240" w:lineRule="auto"/>
              <w:ind w:left="57" w:right="57"/>
              <w:rPr>
                <w:sz w:val="20"/>
              </w:rPr>
            </w:pPr>
          </w:p>
        </w:tc>
        <w:tc>
          <w:tcPr>
            <w:tcW w:w="5670" w:type="dxa"/>
            <w:tcBorders>
              <w:top w:val="single" w:sz="4" w:space="0" w:color="000000"/>
              <w:left w:val="single" w:sz="4" w:space="0" w:color="000000"/>
              <w:bottom w:val="single" w:sz="4" w:space="0" w:color="000000"/>
              <w:right w:val="single" w:sz="4" w:space="0" w:color="000000"/>
            </w:tcBorders>
          </w:tcPr>
          <w:p w14:paraId="3F286011" w14:textId="77777777" w:rsidR="00E47756" w:rsidRPr="00E47756" w:rsidRDefault="00E47756" w:rsidP="00E47756">
            <w:pPr>
              <w:spacing w:after="0" w:line="240" w:lineRule="auto"/>
              <w:ind w:left="57" w:right="57"/>
              <w:rPr>
                <w:sz w:val="20"/>
              </w:rPr>
            </w:pPr>
            <w:r w:rsidRPr="00E47756">
              <w:rPr>
                <w:b/>
                <w:sz w:val="20"/>
                <w:u w:val="single"/>
              </w:rPr>
              <w:t xml:space="preserve">Stredná priorita </w:t>
            </w:r>
            <w:r w:rsidRPr="00E47756">
              <w:rPr>
                <w:sz w:val="20"/>
              </w:rPr>
              <w:t xml:space="preserve"> – Konzultačný materiál nebol zo strany Európskej komisie zatiaľ zverejnený, podľa dostupných informácií by mal byť k dispozícii v 1. štvrťroku 2021. </w:t>
            </w:r>
          </w:p>
          <w:p w14:paraId="0AFA3828" w14:textId="77777777" w:rsidR="00E47756" w:rsidRPr="00E47756" w:rsidRDefault="00E47756" w:rsidP="00E47756">
            <w:pPr>
              <w:spacing w:after="0" w:line="240" w:lineRule="auto"/>
              <w:ind w:left="57" w:right="57"/>
              <w:rPr>
                <w:sz w:val="20"/>
              </w:rPr>
            </w:pPr>
            <w:r w:rsidRPr="00E47756">
              <w:rPr>
                <w:sz w:val="20"/>
              </w:rPr>
              <w:t>Slovenské orgány predložia svoje vyjadrenie a prípadné pripomienky v termínoch stanovených Európskou komisiou, zúčastnia sa tiež poradných výborov k revidovanému oznámeniu.</w:t>
            </w:r>
          </w:p>
          <w:p w14:paraId="3C49110D" w14:textId="77777777" w:rsidR="00E47756" w:rsidRPr="00E47756" w:rsidRDefault="00E47756" w:rsidP="00E47756">
            <w:pPr>
              <w:spacing w:after="0" w:line="240" w:lineRule="auto"/>
              <w:ind w:left="57" w:right="57"/>
              <w:rPr>
                <w:sz w:val="20"/>
              </w:rPr>
            </w:pPr>
          </w:p>
        </w:tc>
      </w:tr>
      <w:tr w:rsidR="00E47756" w:rsidRPr="00E47756" w14:paraId="165527EB" w14:textId="77777777" w:rsidTr="001A4016">
        <w:tblPrEx>
          <w:tblCellMar>
            <w:top w:w="40" w:type="dxa"/>
          </w:tblCellMar>
        </w:tblPrEx>
        <w:trPr>
          <w:trHeight w:val="1677"/>
        </w:trPr>
        <w:tc>
          <w:tcPr>
            <w:tcW w:w="447" w:type="dxa"/>
            <w:tcBorders>
              <w:top w:val="single" w:sz="4" w:space="0" w:color="000000"/>
              <w:left w:val="single" w:sz="4" w:space="0" w:color="000000"/>
              <w:bottom w:val="single" w:sz="4" w:space="0" w:color="000000"/>
              <w:right w:val="single" w:sz="4" w:space="0" w:color="000000"/>
            </w:tcBorders>
          </w:tcPr>
          <w:p w14:paraId="16E9C42B" w14:textId="77777777" w:rsidR="00E47756" w:rsidRPr="00E47756" w:rsidRDefault="00E47756" w:rsidP="00E47756">
            <w:pPr>
              <w:spacing w:after="0" w:line="240" w:lineRule="auto"/>
              <w:ind w:left="57" w:right="57"/>
              <w:jc w:val="center"/>
            </w:pPr>
            <w:r w:rsidRPr="00E47756">
              <w:rPr>
                <w:sz w:val="20"/>
              </w:rPr>
              <w:t>18.</w:t>
            </w:r>
          </w:p>
        </w:tc>
        <w:tc>
          <w:tcPr>
            <w:tcW w:w="3018" w:type="dxa"/>
            <w:gridSpan w:val="2"/>
            <w:tcBorders>
              <w:top w:val="single" w:sz="4" w:space="0" w:color="000000"/>
              <w:left w:val="single" w:sz="4" w:space="0" w:color="000000"/>
              <w:bottom w:val="single" w:sz="4" w:space="0" w:color="000000"/>
              <w:right w:val="single" w:sz="4" w:space="0" w:color="000000"/>
            </w:tcBorders>
          </w:tcPr>
          <w:p w14:paraId="211770B4" w14:textId="77777777" w:rsidR="00E47756" w:rsidRPr="00E47756" w:rsidRDefault="00E47756" w:rsidP="00E47756">
            <w:pPr>
              <w:spacing w:after="0" w:line="240" w:lineRule="auto"/>
              <w:ind w:left="57" w:right="57"/>
            </w:pPr>
            <w:r w:rsidRPr="00E47756">
              <w:rPr>
                <w:b/>
                <w:sz w:val="20"/>
              </w:rPr>
              <w:t xml:space="preserve">Revízia všeobecného nariadenia o skupinových výnimkách pre štátnu pomoc z hľadiska zelenej dohody </w:t>
            </w:r>
          </w:p>
          <w:p w14:paraId="1B4B5D05" w14:textId="77777777" w:rsidR="00E47756" w:rsidRPr="00E47756" w:rsidRDefault="00E47756" w:rsidP="00E47756">
            <w:pPr>
              <w:spacing w:after="0" w:line="240" w:lineRule="auto"/>
              <w:ind w:left="57" w:right="57"/>
            </w:pPr>
            <w:r w:rsidRPr="00E47756">
              <w:rPr>
                <w:b/>
                <w:sz w:val="20"/>
              </w:rPr>
              <w:t xml:space="preserve"> </w:t>
            </w:r>
          </w:p>
        </w:tc>
        <w:tc>
          <w:tcPr>
            <w:tcW w:w="3360" w:type="dxa"/>
            <w:tcBorders>
              <w:top w:val="single" w:sz="4" w:space="0" w:color="000000"/>
              <w:left w:val="single" w:sz="4" w:space="0" w:color="000000"/>
              <w:bottom w:val="single" w:sz="4" w:space="0" w:color="000000"/>
              <w:right w:val="single" w:sz="4" w:space="0" w:color="000000"/>
            </w:tcBorders>
          </w:tcPr>
          <w:p w14:paraId="353C4210" w14:textId="77777777" w:rsidR="00E47756" w:rsidRPr="00E47756" w:rsidRDefault="00E47756" w:rsidP="00E47756">
            <w:pPr>
              <w:spacing w:after="0" w:line="240" w:lineRule="auto"/>
              <w:ind w:left="57" w:right="57"/>
            </w:pPr>
            <w:r w:rsidRPr="00E47756">
              <w:rPr>
                <w:sz w:val="20"/>
              </w:rPr>
              <w:t xml:space="preserve">Súčasné pravidlá sa uplatňujú do 31. decembra 2020 (a budú predĺžené do 31. decembra 2023). Na základe prebiehajúcej kontroly vhodnosti sa ukázalo, že súčasné pravidlá fungujú dobre, ale mali by sa aktualizovať, aby odrážali regulačné, technologické a trhové zmeny a náležite sprevádzali súbežnú digitálnu a zelenú transformáciu hospodárstva. Na základe revízie by sa mal ustanoviť modernizovaný a zjednodušený rámec, ktorý umožní subjektom verejného sektora dosiahnuť ciele EÚ nákladovo účinným spôsobom s minimálnym narušením hospodárskej súťaže a obchodu v Únii. </w:t>
            </w:r>
          </w:p>
          <w:p w14:paraId="63BF30F5" w14:textId="77777777" w:rsidR="00E47756" w:rsidRPr="00E47756" w:rsidRDefault="00E47756" w:rsidP="00E47756">
            <w:pPr>
              <w:spacing w:after="0" w:line="240" w:lineRule="auto"/>
              <w:ind w:left="57" w:right="57"/>
              <w:rPr>
                <w:sz w:val="20"/>
              </w:rPr>
            </w:pPr>
            <w:r w:rsidRPr="00E47756">
              <w:rPr>
                <w:sz w:val="20"/>
              </w:rPr>
              <w:t xml:space="preserve">Plánovaný dátum prijatia: 4. štvrťrok 2021; legislatívna iniciatíva; právny základ: články 107 a 108 ZFEÚ. Posúdenie vplyvu sa nepredpokladá. </w:t>
            </w:r>
          </w:p>
        </w:tc>
        <w:tc>
          <w:tcPr>
            <w:tcW w:w="2127" w:type="dxa"/>
            <w:tcBorders>
              <w:top w:val="single" w:sz="4" w:space="0" w:color="000000"/>
              <w:left w:val="single" w:sz="4" w:space="0" w:color="000000"/>
              <w:bottom w:val="single" w:sz="4" w:space="0" w:color="000000"/>
              <w:right w:val="single" w:sz="4" w:space="0" w:color="000000"/>
            </w:tcBorders>
          </w:tcPr>
          <w:p w14:paraId="38C61C58" w14:textId="77777777" w:rsidR="00E47756" w:rsidRPr="00E47756" w:rsidRDefault="00E47756" w:rsidP="00E47756">
            <w:pPr>
              <w:spacing w:after="0" w:line="240" w:lineRule="auto"/>
              <w:ind w:left="57" w:right="57"/>
              <w:jc w:val="center"/>
              <w:rPr>
                <w:b/>
                <w:sz w:val="20"/>
              </w:rPr>
            </w:pPr>
            <w:r w:rsidRPr="00E47756">
              <w:rPr>
                <w:b/>
                <w:sz w:val="20"/>
              </w:rPr>
              <w:t xml:space="preserve">PMÚ SR </w:t>
            </w:r>
          </w:p>
          <w:p w14:paraId="233A20AE" w14:textId="77777777" w:rsidR="00E47756" w:rsidRPr="00E47756" w:rsidRDefault="00E47756" w:rsidP="00E47756">
            <w:pPr>
              <w:spacing w:after="0" w:line="240" w:lineRule="auto"/>
              <w:ind w:left="57" w:right="57"/>
              <w:jc w:val="center"/>
              <w:rPr>
                <w:b/>
                <w:sz w:val="20"/>
              </w:rPr>
            </w:pPr>
            <w:r w:rsidRPr="00E47756">
              <w:rPr>
                <w:b/>
                <w:sz w:val="20"/>
              </w:rPr>
              <w:t>MF SR</w:t>
            </w:r>
          </w:p>
          <w:p w14:paraId="08047C58" w14:textId="77777777" w:rsidR="00E47756" w:rsidRPr="00E47756" w:rsidRDefault="00E47756" w:rsidP="00E47756">
            <w:pPr>
              <w:spacing w:after="0" w:line="240" w:lineRule="auto"/>
              <w:ind w:left="57" w:right="57"/>
              <w:jc w:val="center"/>
              <w:rPr>
                <w:b/>
                <w:sz w:val="20"/>
              </w:rPr>
            </w:pPr>
            <w:r w:rsidRPr="00E47756">
              <w:rPr>
                <w:b/>
                <w:sz w:val="20"/>
              </w:rPr>
              <w:t xml:space="preserve"> MŽP SR</w:t>
            </w:r>
          </w:p>
          <w:p w14:paraId="2F22FA3C" w14:textId="77777777" w:rsidR="00E47756" w:rsidRPr="00E47756" w:rsidRDefault="00E47756" w:rsidP="00E47756">
            <w:pPr>
              <w:spacing w:after="0" w:line="240" w:lineRule="auto"/>
              <w:ind w:left="57" w:right="57"/>
              <w:jc w:val="center"/>
              <w:rPr>
                <w:sz w:val="20"/>
              </w:rPr>
            </w:pPr>
            <w:r w:rsidRPr="00E47756">
              <w:rPr>
                <w:b/>
                <w:sz w:val="20"/>
              </w:rPr>
              <w:t>MH SR</w:t>
            </w:r>
          </w:p>
        </w:tc>
        <w:tc>
          <w:tcPr>
            <w:tcW w:w="5670" w:type="dxa"/>
            <w:tcBorders>
              <w:top w:val="single" w:sz="4" w:space="0" w:color="000000"/>
              <w:left w:val="single" w:sz="4" w:space="0" w:color="000000"/>
              <w:bottom w:val="single" w:sz="4" w:space="0" w:color="000000"/>
              <w:right w:val="single" w:sz="4" w:space="0" w:color="000000"/>
            </w:tcBorders>
          </w:tcPr>
          <w:p w14:paraId="6BE6A776" w14:textId="77777777" w:rsidR="00E47756" w:rsidRPr="00E47756" w:rsidRDefault="00E47756" w:rsidP="00E47756">
            <w:pPr>
              <w:spacing w:after="0" w:line="240" w:lineRule="auto"/>
              <w:ind w:left="57" w:right="57"/>
              <w:rPr>
                <w:sz w:val="20"/>
              </w:rPr>
            </w:pPr>
            <w:r w:rsidRPr="00E47756">
              <w:rPr>
                <w:b/>
                <w:sz w:val="20"/>
                <w:u w:val="single"/>
              </w:rPr>
              <w:t>Vysoká priorita</w:t>
            </w:r>
            <w:r w:rsidRPr="00E47756">
              <w:rPr>
                <w:sz w:val="20"/>
              </w:rPr>
              <w:t xml:space="preserve"> – Zmeny budú mať vplyv aj na tvorbu a nastavenie nových podporných nástrojov v budúcom období, resp. nové priority.</w:t>
            </w:r>
          </w:p>
          <w:p w14:paraId="0AB347A4" w14:textId="77777777" w:rsidR="00E47756" w:rsidRPr="00E47756" w:rsidRDefault="00E47756" w:rsidP="00E47756">
            <w:pPr>
              <w:spacing w:after="0" w:line="240" w:lineRule="auto"/>
              <w:ind w:left="57" w:right="57"/>
              <w:rPr>
                <w:sz w:val="20"/>
              </w:rPr>
            </w:pPr>
          </w:p>
          <w:p w14:paraId="1AD0161A" w14:textId="77777777" w:rsidR="00E47756" w:rsidRPr="00E47756" w:rsidRDefault="00E47756" w:rsidP="00E47756">
            <w:pPr>
              <w:spacing w:after="0" w:line="240" w:lineRule="auto"/>
              <w:ind w:left="57" w:right="57"/>
              <w:rPr>
                <w:sz w:val="20"/>
                <w:szCs w:val="20"/>
              </w:rPr>
            </w:pPr>
            <w:r w:rsidRPr="00E47756">
              <w:rPr>
                <w:sz w:val="20"/>
                <w:szCs w:val="20"/>
              </w:rPr>
              <w:t xml:space="preserve">Slovenské orgány sú aktívne aj v tejto oblasti a základné princípy  </w:t>
            </w:r>
            <w:r w:rsidRPr="00E47756">
              <w:rPr>
                <w:i/>
                <w:sz w:val="20"/>
                <w:szCs w:val="20"/>
              </w:rPr>
              <w:t>„</w:t>
            </w:r>
            <w:proofErr w:type="spellStart"/>
            <w:r w:rsidRPr="00E47756">
              <w:rPr>
                <w:i/>
                <w:sz w:val="20"/>
                <w:szCs w:val="20"/>
              </w:rPr>
              <w:t>Green</w:t>
            </w:r>
            <w:proofErr w:type="spellEnd"/>
            <w:r w:rsidRPr="00E47756">
              <w:rPr>
                <w:i/>
                <w:sz w:val="20"/>
                <w:szCs w:val="20"/>
              </w:rPr>
              <w:t xml:space="preserve"> and </w:t>
            </w:r>
            <w:proofErr w:type="spellStart"/>
            <w:r w:rsidRPr="00E47756">
              <w:rPr>
                <w:i/>
                <w:sz w:val="20"/>
                <w:szCs w:val="20"/>
              </w:rPr>
              <w:t>Digital</w:t>
            </w:r>
            <w:proofErr w:type="spellEnd"/>
            <w:r w:rsidRPr="00E47756">
              <w:rPr>
                <w:i/>
                <w:sz w:val="20"/>
                <w:szCs w:val="20"/>
              </w:rPr>
              <w:t xml:space="preserve"> </w:t>
            </w:r>
            <w:proofErr w:type="spellStart"/>
            <w:r w:rsidRPr="00E47756">
              <w:rPr>
                <w:i/>
                <w:sz w:val="20"/>
                <w:szCs w:val="20"/>
              </w:rPr>
              <w:t>Recovery</w:t>
            </w:r>
            <w:proofErr w:type="spellEnd"/>
            <w:r w:rsidRPr="00E47756">
              <w:rPr>
                <w:i/>
                <w:sz w:val="20"/>
                <w:szCs w:val="20"/>
              </w:rPr>
              <w:t xml:space="preserve">“ </w:t>
            </w:r>
            <w:r w:rsidRPr="00E47756">
              <w:rPr>
                <w:sz w:val="20"/>
                <w:szCs w:val="20"/>
              </w:rPr>
              <w:t>podporujú vo svojich aktivitách a plánoch do budúcnosti. Slovenské orgány tiež vítajú, že tieto princípy sú zahrnuté v návrhu usmernení o regionálnej štátnej pomoci, podľa ktorých by sa mal zvažovať aj príspevok projektu k ekologizácii regionálneho hospodárstva. Rovnako tiež pozitívne hodnotia doplnenie článku nariadenia o skupinových výnimkách týkajúceho sa investičnej pomoci na opatrenia energetickej efektívnosti o investície týkajúce sa digitalizácie budov.</w:t>
            </w:r>
          </w:p>
          <w:p w14:paraId="3BECADC6" w14:textId="77777777" w:rsidR="00E47756" w:rsidRPr="00E47756" w:rsidRDefault="00E47756" w:rsidP="00E47756">
            <w:pPr>
              <w:spacing w:after="0" w:line="240" w:lineRule="auto"/>
              <w:ind w:left="57" w:right="57"/>
              <w:rPr>
                <w:sz w:val="20"/>
                <w:szCs w:val="20"/>
              </w:rPr>
            </w:pPr>
          </w:p>
          <w:p w14:paraId="01D365F7" w14:textId="77777777" w:rsidR="00E47756" w:rsidRPr="00E47756" w:rsidRDefault="00E47756" w:rsidP="00E47756">
            <w:pPr>
              <w:spacing w:after="0" w:line="240" w:lineRule="auto"/>
              <w:ind w:left="57" w:right="57"/>
              <w:rPr>
                <w:sz w:val="20"/>
                <w:szCs w:val="20"/>
              </w:rPr>
            </w:pPr>
            <w:r w:rsidRPr="00E47756">
              <w:rPr>
                <w:sz w:val="20"/>
                <w:szCs w:val="20"/>
              </w:rPr>
              <w:t>Konkrétne pripomienky k jednotlivým bodom revidovaného návrhu nariadenia o skupinových výnimkách budú zo strany slovenských orgánov odoslané v lehote stanovej zo strany Európskej komisie, t. j. do 31.1.2021.</w:t>
            </w:r>
          </w:p>
          <w:p w14:paraId="25FB70D3" w14:textId="77777777" w:rsidR="00E47756" w:rsidRPr="00E47756" w:rsidRDefault="00E47756" w:rsidP="00E47756">
            <w:pPr>
              <w:spacing w:after="18"/>
              <w:rPr>
                <w:sz w:val="20"/>
                <w:szCs w:val="20"/>
              </w:rPr>
            </w:pPr>
          </w:p>
          <w:p w14:paraId="3A241C0E" w14:textId="77777777" w:rsidR="00E47756" w:rsidRPr="00E47756" w:rsidRDefault="00E47756" w:rsidP="00E47756">
            <w:pPr>
              <w:spacing w:after="0" w:line="240" w:lineRule="auto"/>
              <w:ind w:right="57"/>
              <w:rPr>
                <w:sz w:val="20"/>
              </w:rPr>
            </w:pPr>
          </w:p>
        </w:tc>
      </w:tr>
      <w:tr w:rsidR="00E47756" w:rsidRPr="00E47756" w14:paraId="67E642D3" w14:textId="77777777" w:rsidTr="000A3081">
        <w:tblPrEx>
          <w:tblCellMar>
            <w:top w:w="40" w:type="dxa"/>
          </w:tblCellMar>
        </w:tblPrEx>
        <w:trPr>
          <w:trHeight w:val="16"/>
        </w:trPr>
        <w:tc>
          <w:tcPr>
            <w:tcW w:w="447" w:type="dxa"/>
            <w:tcBorders>
              <w:top w:val="single" w:sz="4" w:space="0" w:color="000000"/>
              <w:left w:val="single" w:sz="4" w:space="0" w:color="000000"/>
              <w:bottom w:val="single" w:sz="4" w:space="0" w:color="000000"/>
              <w:right w:val="single" w:sz="4" w:space="0" w:color="000000"/>
            </w:tcBorders>
          </w:tcPr>
          <w:p w14:paraId="5BE92C40" w14:textId="77777777" w:rsidR="00E47756" w:rsidRPr="00E47756" w:rsidRDefault="00E47756" w:rsidP="00E47756">
            <w:pPr>
              <w:spacing w:after="0" w:line="240" w:lineRule="auto"/>
              <w:ind w:left="57" w:right="57"/>
              <w:jc w:val="center"/>
            </w:pPr>
            <w:r w:rsidRPr="00E47756">
              <w:rPr>
                <w:sz w:val="20"/>
              </w:rPr>
              <w:t>19.</w:t>
            </w:r>
          </w:p>
        </w:tc>
        <w:tc>
          <w:tcPr>
            <w:tcW w:w="3018" w:type="dxa"/>
            <w:gridSpan w:val="2"/>
            <w:tcBorders>
              <w:top w:val="single" w:sz="4" w:space="0" w:color="000000"/>
              <w:left w:val="single" w:sz="4" w:space="0" w:color="000000"/>
              <w:bottom w:val="single" w:sz="4" w:space="0" w:color="000000"/>
              <w:right w:val="single" w:sz="4" w:space="0" w:color="000000"/>
            </w:tcBorders>
          </w:tcPr>
          <w:p w14:paraId="1B5370D7" w14:textId="77777777" w:rsidR="00E47756" w:rsidRPr="00E47756" w:rsidRDefault="00E47756" w:rsidP="00E47756">
            <w:pPr>
              <w:spacing w:after="0" w:line="240" w:lineRule="auto"/>
              <w:ind w:left="57" w:right="57"/>
            </w:pPr>
            <w:r w:rsidRPr="00E47756">
              <w:rPr>
                <w:b/>
                <w:sz w:val="20"/>
              </w:rPr>
              <w:t xml:space="preserve">Revízia usmernení o štátnej pomoci v odvetviach poľnohospodárstva a lesného hospodárstva a vo vidieckych </w:t>
            </w:r>
            <w:r w:rsidRPr="00E47756">
              <w:rPr>
                <w:b/>
                <w:sz w:val="20"/>
              </w:rPr>
              <w:lastRenderedPageBreak/>
              <w:t xml:space="preserve">oblastiach a nariadenia o skupinových výnimkách v poľnohospodárstve </w:t>
            </w:r>
          </w:p>
        </w:tc>
        <w:tc>
          <w:tcPr>
            <w:tcW w:w="3360" w:type="dxa"/>
            <w:tcBorders>
              <w:top w:val="single" w:sz="4" w:space="0" w:color="000000"/>
              <w:left w:val="single" w:sz="4" w:space="0" w:color="000000"/>
              <w:bottom w:val="single" w:sz="4" w:space="0" w:color="000000"/>
              <w:right w:val="single" w:sz="4" w:space="0" w:color="000000"/>
            </w:tcBorders>
          </w:tcPr>
          <w:p w14:paraId="6B1C968F" w14:textId="77777777" w:rsidR="00E47756" w:rsidRPr="00E47756" w:rsidRDefault="00E47756" w:rsidP="00E47756">
            <w:pPr>
              <w:spacing w:after="0" w:line="240" w:lineRule="auto"/>
              <w:ind w:left="57" w:right="57"/>
            </w:pPr>
            <w:r w:rsidRPr="00E47756">
              <w:rPr>
                <w:sz w:val="20"/>
              </w:rPr>
              <w:lastRenderedPageBreak/>
              <w:t xml:space="preserve">Súčasné pravidlá sa uplatňujú do 31. decembra 2020 (a budú predĺžené do 31. decembra 2021). Na základe prebiehajúceho posúdenia sa ukázalo, že </w:t>
            </w:r>
            <w:r w:rsidRPr="00E47756">
              <w:rPr>
                <w:sz w:val="20"/>
              </w:rPr>
              <w:lastRenderedPageBreak/>
              <w:t xml:space="preserve">súčasné pravidlá fungujú dobre, ale existuje priestor na procesné zjednodušenie, ako aj na úpravy, ktoré by zvýšili účinnosť určitých opatrení pomoci. Rámec štátnej pomoci musí byť naďalej úzko prepojený s právnymi predpismi v oblasti spoločnej poľnohospodárskej politiky, najmä s budúcim nariadením o podpore národných strategických plánov. </w:t>
            </w:r>
          </w:p>
          <w:p w14:paraId="42C8DD77" w14:textId="77777777" w:rsidR="00E47756" w:rsidRPr="00E47756" w:rsidRDefault="00E47756" w:rsidP="000A3081">
            <w:pPr>
              <w:spacing w:after="0" w:line="240" w:lineRule="auto"/>
              <w:ind w:left="57" w:right="57"/>
              <w:rPr>
                <w:sz w:val="20"/>
              </w:rPr>
            </w:pPr>
            <w:r w:rsidRPr="00E47756">
              <w:rPr>
                <w:sz w:val="20"/>
              </w:rPr>
              <w:t>Plánovaný dátum prijatia: 4. štvrťrok 2021; legislatívna iniciatíva; právny základ: články 107 a 108 ZFEÚ. P</w:t>
            </w:r>
            <w:r w:rsidR="000A3081">
              <w:rPr>
                <w:sz w:val="20"/>
              </w:rPr>
              <w:t>osúdenie vplyvu sa predpokladá.</w:t>
            </w:r>
          </w:p>
          <w:p w14:paraId="2EE4FF44" w14:textId="77777777" w:rsidR="00E47756" w:rsidRPr="00E47756" w:rsidRDefault="00E47756" w:rsidP="00E47756">
            <w:pPr>
              <w:spacing w:after="0" w:line="240" w:lineRule="auto"/>
              <w:ind w:left="57" w:right="57"/>
              <w:rPr>
                <w:sz w:val="20"/>
              </w:rPr>
            </w:pPr>
          </w:p>
          <w:p w14:paraId="22218FCC" w14:textId="77777777" w:rsidR="00E47756" w:rsidRPr="00E47756" w:rsidRDefault="00E47756" w:rsidP="00E47756">
            <w:pPr>
              <w:spacing w:after="0" w:line="240" w:lineRule="auto"/>
              <w:ind w:left="57" w:right="57"/>
              <w:rPr>
                <w:sz w:val="20"/>
              </w:rPr>
            </w:pPr>
          </w:p>
          <w:p w14:paraId="7C965282" w14:textId="77777777" w:rsidR="00E47756" w:rsidRPr="00E47756" w:rsidRDefault="00E47756" w:rsidP="00E47756">
            <w:pPr>
              <w:spacing w:after="0" w:line="240" w:lineRule="auto"/>
              <w:ind w:left="57" w:right="57"/>
              <w:rPr>
                <w:sz w:val="20"/>
              </w:rPr>
            </w:pPr>
          </w:p>
          <w:p w14:paraId="2DE8376B" w14:textId="77777777" w:rsidR="00E47756" w:rsidRPr="00E47756" w:rsidRDefault="00E47756" w:rsidP="00E47756">
            <w:pPr>
              <w:spacing w:after="0" w:line="240" w:lineRule="auto"/>
              <w:ind w:left="57" w:right="57"/>
              <w:rPr>
                <w:sz w:val="20"/>
              </w:rPr>
            </w:pPr>
          </w:p>
          <w:p w14:paraId="40A2D6D1" w14:textId="77777777" w:rsidR="00E47756" w:rsidRPr="00E47756" w:rsidRDefault="00E47756" w:rsidP="00E47756">
            <w:pPr>
              <w:spacing w:after="0" w:line="240" w:lineRule="auto"/>
              <w:ind w:left="57" w:right="57"/>
            </w:pPr>
          </w:p>
        </w:tc>
        <w:tc>
          <w:tcPr>
            <w:tcW w:w="2127" w:type="dxa"/>
            <w:tcBorders>
              <w:top w:val="single" w:sz="4" w:space="0" w:color="000000"/>
              <w:left w:val="single" w:sz="4" w:space="0" w:color="000000"/>
              <w:bottom w:val="single" w:sz="4" w:space="0" w:color="000000"/>
              <w:right w:val="single" w:sz="4" w:space="0" w:color="000000"/>
            </w:tcBorders>
          </w:tcPr>
          <w:p w14:paraId="4217ECB0" w14:textId="77777777" w:rsidR="00E47756" w:rsidRPr="00E47756" w:rsidRDefault="00E47756" w:rsidP="00E47756">
            <w:pPr>
              <w:spacing w:after="0" w:line="240" w:lineRule="auto"/>
              <w:ind w:left="57" w:right="57"/>
              <w:jc w:val="center"/>
              <w:rPr>
                <w:b/>
                <w:sz w:val="20"/>
              </w:rPr>
            </w:pPr>
            <w:r w:rsidRPr="00E47756">
              <w:rPr>
                <w:b/>
                <w:sz w:val="20"/>
              </w:rPr>
              <w:lastRenderedPageBreak/>
              <w:t>PMÚ SR</w:t>
            </w:r>
          </w:p>
          <w:p w14:paraId="2ADFF0D5" w14:textId="77777777" w:rsidR="00E47756" w:rsidRPr="00E47756" w:rsidRDefault="00E47756" w:rsidP="00E47756">
            <w:pPr>
              <w:spacing w:after="0" w:line="240" w:lineRule="auto"/>
              <w:ind w:left="57" w:right="57"/>
              <w:jc w:val="center"/>
              <w:rPr>
                <w:sz w:val="20"/>
              </w:rPr>
            </w:pPr>
            <w:r w:rsidRPr="00E47756">
              <w:rPr>
                <w:b/>
                <w:sz w:val="20"/>
              </w:rPr>
              <w:t>MPRV SR</w:t>
            </w:r>
          </w:p>
        </w:tc>
        <w:tc>
          <w:tcPr>
            <w:tcW w:w="5670" w:type="dxa"/>
            <w:tcBorders>
              <w:top w:val="single" w:sz="4" w:space="0" w:color="000000"/>
              <w:left w:val="single" w:sz="4" w:space="0" w:color="000000"/>
              <w:bottom w:val="single" w:sz="4" w:space="0" w:color="000000"/>
              <w:right w:val="single" w:sz="4" w:space="0" w:color="000000"/>
            </w:tcBorders>
          </w:tcPr>
          <w:p w14:paraId="6C26ED7F" w14:textId="77777777" w:rsidR="00E47756" w:rsidRPr="00E47756" w:rsidRDefault="00E47756" w:rsidP="00E47756">
            <w:pPr>
              <w:spacing w:after="0" w:line="240" w:lineRule="auto"/>
              <w:ind w:left="57" w:right="57"/>
              <w:rPr>
                <w:sz w:val="20"/>
              </w:rPr>
            </w:pPr>
            <w:r w:rsidRPr="00E47756">
              <w:rPr>
                <w:b/>
                <w:bCs/>
                <w:sz w:val="20"/>
                <w:szCs w:val="20"/>
                <w:u w:val="single"/>
              </w:rPr>
              <w:t>Stredná priorita</w:t>
            </w:r>
            <w:r w:rsidRPr="00E47756">
              <w:rPr>
                <w:sz w:val="20"/>
              </w:rPr>
              <w:t xml:space="preserve"> – SR podporuje revíziu predstavených dokumentov.</w:t>
            </w:r>
          </w:p>
          <w:p w14:paraId="2C722456" w14:textId="77777777" w:rsidR="00E47756" w:rsidRPr="00E47756" w:rsidRDefault="00E47756" w:rsidP="00E47756">
            <w:pPr>
              <w:spacing w:after="0" w:line="240" w:lineRule="auto"/>
              <w:ind w:left="57" w:right="57"/>
              <w:rPr>
                <w:sz w:val="20"/>
              </w:rPr>
            </w:pPr>
          </w:p>
          <w:p w14:paraId="31E8D32E" w14:textId="77777777" w:rsidR="00E47756" w:rsidRPr="00E47756" w:rsidRDefault="00E47756" w:rsidP="00E47756">
            <w:pPr>
              <w:spacing w:after="0" w:line="240" w:lineRule="auto"/>
              <w:ind w:left="57" w:right="57"/>
              <w:rPr>
                <w:sz w:val="20"/>
              </w:rPr>
            </w:pPr>
            <w:r w:rsidRPr="00E47756">
              <w:rPr>
                <w:sz w:val="20"/>
              </w:rPr>
              <w:t xml:space="preserve">Slovenské orgány navrhli v rámci konzultácie predĺženie usmernení o štátnej pomoci v sektore poľnohospodárstva a lesného hospodárstva </w:t>
            </w:r>
            <w:r w:rsidRPr="00E47756">
              <w:rPr>
                <w:sz w:val="20"/>
              </w:rPr>
              <w:lastRenderedPageBreak/>
              <w:t xml:space="preserve">a vo vidieckych oblastiach a nariadenia o skupinovej výnimke pre poľnohospodárstvo do 31.12.2024, príp. až do 31.12.2025. </w:t>
            </w:r>
          </w:p>
          <w:p w14:paraId="4BFA60AE" w14:textId="77777777" w:rsidR="00E47756" w:rsidRPr="00E47756" w:rsidRDefault="00E47756" w:rsidP="00E47756">
            <w:pPr>
              <w:spacing w:after="0" w:line="240" w:lineRule="auto"/>
              <w:ind w:left="57" w:right="57"/>
              <w:rPr>
                <w:sz w:val="20"/>
              </w:rPr>
            </w:pPr>
          </w:p>
          <w:p w14:paraId="5F5BCC4D" w14:textId="77777777" w:rsidR="00E47756" w:rsidRPr="00E47756" w:rsidRDefault="00E47756" w:rsidP="00E47756">
            <w:pPr>
              <w:spacing w:after="0" w:line="240" w:lineRule="auto"/>
              <w:ind w:left="57" w:right="57"/>
              <w:rPr>
                <w:sz w:val="20"/>
              </w:rPr>
            </w:pPr>
            <w:r w:rsidRPr="00E47756">
              <w:rPr>
                <w:sz w:val="20"/>
              </w:rPr>
              <w:t xml:space="preserve">Ďalšie úpravy nariadenia o skupinovej výnimke pre poľnohospodárstvo sú slovenskými orgánmi vítané. </w:t>
            </w:r>
          </w:p>
          <w:p w14:paraId="5FB97EB0" w14:textId="77777777" w:rsidR="00E47756" w:rsidRPr="00E47756" w:rsidRDefault="00E47756" w:rsidP="00E47756">
            <w:pPr>
              <w:spacing w:after="0" w:line="240" w:lineRule="auto"/>
              <w:ind w:left="57" w:right="57"/>
              <w:rPr>
                <w:sz w:val="20"/>
              </w:rPr>
            </w:pPr>
          </w:p>
          <w:p w14:paraId="6A3E022C" w14:textId="77777777" w:rsidR="00E47756" w:rsidRPr="00E47756" w:rsidRDefault="00E47756" w:rsidP="00E47756">
            <w:pPr>
              <w:spacing w:after="0" w:line="240" w:lineRule="auto"/>
              <w:ind w:left="57" w:right="57"/>
              <w:rPr>
                <w:sz w:val="20"/>
                <w:szCs w:val="20"/>
              </w:rPr>
            </w:pPr>
            <w:r w:rsidRPr="00E47756">
              <w:rPr>
                <w:sz w:val="20"/>
              </w:rPr>
              <w:t xml:space="preserve">Súčasne sa priebežne konali stretnutia poradného výboru dňa 21.02.2020 v Bruseli a dňa 24.06.2020 prostredníctvom on-line konferencie, ktorý sa slovenské orgány zúčastnili. Európska komisia taktiež podávala informácie prostredníctvom listov. </w:t>
            </w:r>
          </w:p>
        </w:tc>
      </w:tr>
      <w:tr w:rsidR="00E47756" w:rsidRPr="00E47756" w14:paraId="3C86F8CD" w14:textId="77777777" w:rsidTr="001A4016">
        <w:tblPrEx>
          <w:tblCellMar>
            <w:top w:w="40" w:type="dxa"/>
          </w:tblCellMar>
        </w:tblPrEx>
        <w:trPr>
          <w:trHeight w:val="1376"/>
        </w:trPr>
        <w:tc>
          <w:tcPr>
            <w:tcW w:w="447" w:type="dxa"/>
            <w:tcBorders>
              <w:top w:val="single" w:sz="4" w:space="0" w:color="000000"/>
              <w:left w:val="single" w:sz="4" w:space="0" w:color="000000"/>
              <w:bottom w:val="single" w:sz="4" w:space="0" w:color="000000"/>
              <w:right w:val="single" w:sz="4" w:space="0" w:color="000000"/>
            </w:tcBorders>
          </w:tcPr>
          <w:p w14:paraId="079E87A0" w14:textId="77777777" w:rsidR="00E47756" w:rsidRPr="00E47756" w:rsidRDefault="00E47756" w:rsidP="00E47756">
            <w:pPr>
              <w:spacing w:after="0" w:line="240" w:lineRule="auto"/>
              <w:ind w:left="57" w:right="57"/>
              <w:jc w:val="center"/>
            </w:pPr>
            <w:r w:rsidRPr="00E47756">
              <w:rPr>
                <w:sz w:val="20"/>
              </w:rPr>
              <w:lastRenderedPageBreak/>
              <w:t>20.</w:t>
            </w:r>
          </w:p>
        </w:tc>
        <w:tc>
          <w:tcPr>
            <w:tcW w:w="3018" w:type="dxa"/>
            <w:gridSpan w:val="2"/>
            <w:tcBorders>
              <w:top w:val="single" w:sz="4" w:space="0" w:color="000000"/>
              <w:left w:val="single" w:sz="4" w:space="0" w:color="000000"/>
              <w:bottom w:val="single" w:sz="4" w:space="0" w:color="000000"/>
              <w:right w:val="single" w:sz="4" w:space="0" w:color="000000"/>
            </w:tcBorders>
          </w:tcPr>
          <w:p w14:paraId="67C5B8F9" w14:textId="77777777" w:rsidR="00E47756" w:rsidRPr="00E47756" w:rsidRDefault="00E47756" w:rsidP="00E47756">
            <w:pPr>
              <w:spacing w:after="0" w:line="240" w:lineRule="auto"/>
              <w:ind w:left="57" w:right="57"/>
            </w:pPr>
            <w:r w:rsidRPr="00E47756">
              <w:rPr>
                <w:b/>
                <w:sz w:val="20"/>
              </w:rPr>
              <w:t xml:space="preserve">Revízia usmernení o štátnej pomoci pre odvetvie rybolovu a </w:t>
            </w:r>
            <w:proofErr w:type="spellStart"/>
            <w:r w:rsidRPr="00E47756">
              <w:rPr>
                <w:b/>
                <w:sz w:val="20"/>
              </w:rPr>
              <w:t>akvakultúry</w:t>
            </w:r>
            <w:proofErr w:type="spellEnd"/>
            <w:r w:rsidRPr="00E47756">
              <w:rPr>
                <w:b/>
                <w:sz w:val="20"/>
              </w:rPr>
              <w:t xml:space="preserve">, nariadenia o skupinových výnimkách v odvetví rybolovu a </w:t>
            </w:r>
            <w:proofErr w:type="spellStart"/>
            <w:r w:rsidRPr="00E47756">
              <w:rPr>
                <w:b/>
                <w:sz w:val="20"/>
              </w:rPr>
              <w:t>akvakultúry</w:t>
            </w:r>
            <w:proofErr w:type="spellEnd"/>
            <w:r w:rsidRPr="00E47756">
              <w:rPr>
                <w:b/>
                <w:sz w:val="20"/>
              </w:rPr>
              <w:t xml:space="preserve"> </w:t>
            </w:r>
          </w:p>
          <w:p w14:paraId="27561CF9" w14:textId="77777777" w:rsidR="00E47756" w:rsidRPr="00E47756" w:rsidRDefault="00E47756" w:rsidP="00E47756">
            <w:pPr>
              <w:spacing w:after="0" w:line="240" w:lineRule="auto"/>
              <w:ind w:left="57" w:right="57"/>
            </w:pPr>
            <w:r w:rsidRPr="00E47756">
              <w:rPr>
                <w:b/>
                <w:sz w:val="20"/>
              </w:rPr>
              <w:t xml:space="preserve">a nariadenia o pomoci </w:t>
            </w:r>
            <w:r w:rsidRPr="00E47756">
              <w:rPr>
                <w:b/>
                <w:i/>
                <w:sz w:val="20"/>
              </w:rPr>
              <w:t xml:space="preserve">de </w:t>
            </w:r>
            <w:proofErr w:type="spellStart"/>
            <w:r w:rsidRPr="00E47756">
              <w:rPr>
                <w:b/>
                <w:i/>
                <w:sz w:val="20"/>
              </w:rPr>
              <w:t>minimis</w:t>
            </w:r>
            <w:proofErr w:type="spellEnd"/>
            <w:r w:rsidRPr="00E47756">
              <w:rPr>
                <w:b/>
                <w:sz w:val="20"/>
              </w:rPr>
              <w:t xml:space="preserve"> </w:t>
            </w:r>
          </w:p>
        </w:tc>
        <w:tc>
          <w:tcPr>
            <w:tcW w:w="3360" w:type="dxa"/>
            <w:tcBorders>
              <w:top w:val="single" w:sz="4" w:space="0" w:color="000000"/>
              <w:left w:val="single" w:sz="4" w:space="0" w:color="000000"/>
              <w:bottom w:val="single" w:sz="4" w:space="0" w:color="000000"/>
              <w:right w:val="single" w:sz="4" w:space="0" w:color="000000"/>
            </w:tcBorders>
          </w:tcPr>
          <w:p w14:paraId="2DA2413E" w14:textId="77777777" w:rsidR="00E47756" w:rsidRPr="00E47756" w:rsidRDefault="00E47756" w:rsidP="00E47756">
            <w:pPr>
              <w:spacing w:after="0" w:line="240" w:lineRule="auto"/>
              <w:ind w:left="57" w:right="57"/>
            </w:pPr>
            <w:r w:rsidRPr="00E47756">
              <w:rPr>
                <w:sz w:val="20"/>
              </w:rPr>
              <w:t xml:space="preserve">Súčasné pravidlá sa uplatňujú do 31. decembra 2020 (a budú predĺžené do 31. decembra 2021). Na základe prebiehajúceho posúdenia sa ukázalo, že súčasné pravidlá fungujú dobre, ale existuje priestor na procesné zjednodušenie. Rámec štátnej pomoci musí byť naďalej úzko prepojený s právnymi predpismi v oblasti spoločnej rybárskej politiky, najmä s budúcim nariadením o Európskom námornom a rybárskom fonde. </w:t>
            </w:r>
          </w:p>
          <w:p w14:paraId="44ADB79F" w14:textId="77777777" w:rsidR="00E47756" w:rsidRPr="00E47756" w:rsidRDefault="00E47756" w:rsidP="00E47756">
            <w:pPr>
              <w:spacing w:after="0" w:line="240" w:lineRule="auto"/>
              <w:ind w:left="57" w:right="57"/>
            </w:pPr>
            <w:r w:rsidRPr="00E47756">
              <w:rPr>
                <w:sz w:val="20"/>
              </w:rPr>
              <w:t xml:space="preserve">Plánovaný dátum prijatia: 4. štvrťrok 2021; legislatívna iniciatíva; právny </w:t>
            </w:r>
            <w:r w:rsidRPr="00E47756">
              <w:rPr>
                <w:sz w:val="20"/>
              </w:rPr>
              <w:lastRenderedPageBreak/>
              <w:t xml:space="preserve">základ: články 107 a 108 ZFEÚ. Posúdenie vplyvu sa predpokladá. </w:t>
            </w:r>
          </w:p>
        </w:tc>
        <w:tc>
          <w:tcPr>
            <w:tcW w:w="2127" w:type="dxa"/>
            <w:tcBorders>
              <w:top w:val="single" w:sz="4" w:space="0" w:color="000000"/>
              <w:left w:val="single" w:sz="4" w:space="0" w:color="000000"/>
              <w:bottom w:val="single" w:sz="4" w:space="0" w:color="000000"/>
              <w:right w:val="single" w:sz="4" w:space="0" w:color="000000"/>
            </w:tcBorders>
          </w:tcPr>
          <w:p w14:paraId="576A2F45" w14:textId="77777777" w:rsidR="00E47756" w:rsidRPr="00E47756" w:rsidRDefault="00E47756" w:rsidP="00E47756">
            <w:pPr>
              <w:spacing w:after="0" w:line="240" w:lineRule="auto"/>
              <w:ind w:left="57" w:right="57"/>
              <w:jc w:val="center"/>
              <w:rPr>
                <w:b/>
                <w:sz w:val="20"/>
              </w:rPr>
            </w:pPr>
            <w:r w:rsidRPr="00E47756">
              <w:rPr>
                <w:b/>
                <w:sz w:val="20"/>
              </w:rPr>
              <w:lastRenderedPageBreak/>
              <w:t>PMÚ SR</w:t>
            </w:r>
          </w:p>
          <w:p w14:paraId="1FA4421C" w14:textId="77777777" w:rsidR="00E47756" w:rsidRPr="00E47756" w:rsidRDefault="00E47756" w:rsidP="00E47756">
            <w:pPr>
              <w:spacing w:after="0" w:line="240" w:lineRule="auto"/>
              <w:ind w:left="57" w:right="57"/>
              <w:jc w:val="center"/>
              <w:rPr>
                <w:sz w:val="20"/>
              </w:rPr>
            </w:pPr>
            <w:r w:rsidRPr="00E47756">
              <w:rPr>
                <w:b/>
                <w:sz w:val="20"/>
              </w:rPr>
              <w:t>MPRV SR</w:t>
            </w:r>
          </w:p>
        </w:tc>
        <w:tc>
          <w:tcPr>
            <w:tcW w:w="5670" w:type="dxa"/>
            <w:tcBorders>
              <w:top w:val="single" w:sz="4" w:space="0" w:color="000000"/>
              <w:left w:val="single" w:sz="4" w:space="0" w:color="000000"/>
              <w:bottom w:val="single" w:sz="4" w:space="0" w:color="000000"/>
              <w:right w:val="single" w:sz="4" w:space="0" w:color="000000"/>
            </w:tcBorders>
          </w:tcPr>
          <w:p w14:paraId="7B88F00E" w14:textId="77777777" w:rsidR="00E47756" w:rsidRPr="00E47756" w:rsidRDefault="00E47756" w:rsidP="00E47756">
            <w:pPr>
              <w:spacing w:after="0" w:line="240" w:lineRule="auto"/>
              <w:ind w:left="57" w:right="57"/>
              <w:rPr>
                <w:sz w:val="20"/>
              </w:rPr>
            </w:pPr>
            <w:r w:rsidRPr="00E47756">
              <w:rPr>
                <w:b/>
                <w:bCs/>
                <w:sz w:val="20"/>
                <w:szCs w:val="20"/>
                <w:u w:val="single"/>
              </w:rPr>
              <w:t>Stredná priorita</w:t>
            </w:r>
            <w:r w:rsidRPr="00E47756">
              <w:rPr>
                <w:sz w:val="20"/>
              </w:rPr>
              <w:t xml:space="preserve"> – SR podporuje revíziu predstavených dokumentov.</w:t>
            </w:r>
          </w:p>
          <w:p w14:paraId="4F6E38A7" w14:textId="77777777" w:rsidR="00E47756" w:rsidRPr="00E47756" w:rsidRDefault="00E47756" w:rsidP="00E47756">
            <w:pPr>
              <w:spacing w:after="0" w:line="240" w:lineRule="auto"/>
              <w:ind w:left="57" w:right="57"/>
              <w:rPr>
                <w:sz w:val="20"/>
                <w:szCs w:val="20"/>
              </w:rPr>
            </w:pPr>
          </w:p>
          <w:p w14:paraId="52804A57" w14:textId="77777777" w:rsidR="00E47756" w:rsidRPr="00CF3788" w:rsidRDefault="00E47756" w:rsidP="00E47756">
            <w:pPr>
              <w:spacing w:after="0" w:line="240" w:lineRule="auto"/>
              <w:ind w:left="57" w:right="57"/>
              <w:rPr>
                <w:color w:val="auto"/>
                <w:sz w:val="20"/>
              </w:rPr>
            </w:pPr>
            <w:r w:rsidRPr="00E47756">
              <w:rPr>
                <w:sz w:val="20"/>
              </w:rPr>
              <w:t xml:space="preserve">Nariadenie o skupinových výnimkách v odvetví rybolovu a </w:t>
            </w:r>
            <w:proofErr w:type="spellStart"/>
            <w:r w:rsidRPr="00E47756">
              <w:rPr>
                <w:sz w:val="20"/>
              </w:rPr>
              <w:t>akvakultúry</w:t>
            </w:r>
            <w:proofErr w:type="spellEnd"/>
            <w:r w:rsidRPr="00E47756">
              <w:rPr>
                <w:sz w:val="20"/>
              </w:rPr>
              <w:t xml:space="preserve"> a nariadenie de </w:t>
            </w:r>
            <w:proofErr w:type="spellStart"/>
            <w:r w:rsidRPr="00E47756">
              <w:rPr>
                <w:sz w:val="20"/>
              </w:rPr>
              <w:t>minimis</w:t>
            </w:r>
            <w:proofErr w:type="spellEnd"/>
            <w:r w:rsidRPr="00E47756">
              <w:rPr>
                <w:sz w:val="20"/>
              </w:rPr>
              <w:t xml:space="preserve"> č. 717/2014 boli predĺžené nariadením č. 2020/2008 </w:t>
            </w:r>
            <w:hyperlink r:id="rId11" w:history="1">
              <w:r w:rsidRPr="00CF3788">
                <w:rPr>
                  <w:color w:val="auto"/>
                  <w:sz w:val="20"/>
                  <w:u w:val="single"/>
                </w:rPr>
                <w:t>https://eur-lex.europa.eu/legal-content/SK/TXT/PDF/?uri=CELEX:32020R2008&amp;qid=1610970913359&amp;from=SK</w:t>
              </w:r>
            </w:hyperlink>
          </w:p>
          <w:p w14:paraId="1EB0C61F" w14:textId="77777777" w:rsidR="00E47756" w:rsidRPr="00E47756" w:rsidRDefault="00E47756" w:rsidP="00E47756">
            <w:pPr>
              <w:spacing w:after="0" w:line="240" w:lineRule="auto"/>
              <w:ind w:right="57"/>
              <w:rPr>
                <w:sz w:val="20"/>
              </w:rPr>
            </w:pPr>
          </w:p>
          <w:p w14:paraId="7EAD56EB" w14:textId="77777777" w:rsidR="00E47756" w:rsidRPr="00E47756" w:rsidRDefault="00E47756" w:rsidP="00E47756">
            <w:pPr>
              <w:spacing w:after="0" w:line="240" w:lineRule="auto"/>
              <w:ind w:left="57" w:right="57"/>
              <w:rPr>
                <w:sz w:val="20"/>
              </w:rPr>
            </w:pPr>
            <w:r w:rsidRPr="00E47756">
              <w:rPr>
                <w:sz w:val="20"/>
              </w:rPr>
              <w:t xml:space="preserve">Usmernenia o štátnej pomoci pre odvetvie rybolovu a </w:t>
            </w:r>
            <w:proofErr w:type="spellStart"/>
            <w:r w:rsidRPr="00E47756">
              <w:rPr>
                <w:sz w:val="20"/>
              </w:rPr>
              <w:t>akvakultúry</w:t>
            </w:r>
            <w:proofErr w:type="spellEnd"/>
            <w:r w:rsidRPr="00E47756">
              <w:rPr>
                <w:sz w:val="20"/>
              </w:rPr>
              <w:t xml:space="preserve"> neobsahujú ustanovenie s informáciou dokedy sa uplatňujú. Usmernenia v bode 117 uvádzajú, že schémy sa nesmú vzťahovať na obdobie dlhšie ako 7 rokov.</w:t>
            </w:r>
          </w:p>
          <w:p w14:paraId="5AEC7665" w14:textId="77777777" w:rsidR="00E47756" w:rsidRPr="00E47756" w:rsidRDefault="00E47756" w:rsidP="00E47756">
            <w:pPr>
              <w:spacing w:after="0" w:line="240" w:lineRule="auto"/>
              <w:ind w:left="57" w:right="57"/>
              <w:rPr>
                <w:sz w:val="20"/>
                <w:szCs w:val="20"/>
              </w:rPr>
            </w:pPr>
          </w:p>
        </w:tc>
      </w:tr>
      <w:tr w:rsidR="00E47756" w:rsidRPr="00E47756" w14:paraId="2E3FD376" w14:textId="77777777" w:rsidTr="001A4016">
        <w:tblPrEx>
          <w:tblCellMar>
            <w:top w:w="41" w:type="dxa"/>
          </w:tblCellMar>
        </w:tblPrEx>
        <w:trPr>
          <w:trHeight w:val="2367"/>
        </w:trPr>
        <w:tc>
          <w:tcPr>
            <w:tcW w:w="447" w:type="dxa"/>
            <w:tcBorders>
              <w:top w:val="single" w:sz="4" w:space="0" w:color="000000"/>
              <w:left w:val="single" w:sz="4" w:space="0" w:color="000000"/>
              <w:bottom w:val="single" w:sz="4" w:space="0" w:color="000000"/>
              <w:right w:val="single" w:sz="4" w:space="0" w:color="000000"/>
            </w:tcBorders>
          </w:tcPr>
          <w:p w14:paraId="2103B0D5" w14:textId="77777777" w:rsidR="00E47756" w:rsidRPr="00E47756" w:rsidRDefault="00E47756" w:rsidP="00E47756">
            <w:pPr>
              <w:spacing w:after="0" w:line="240" w:lineRule="auto"/>
              <w:ind w:left="57" w:right="57"/>
              <w:jc w:val="center"/>
            </w:pPr>
            <w:r w:rsidRPr="00E47756">
              <w:rPr>
                <w:sz w:val="20"/>
              </w:rPr>
              <w:t>21.</w:t>
            </w:r>
          </w:p>
        </w:tc>
        <w:tc>
          <w:tcPr>
            <w:tcW w:w="2976" w:type="dxa"/>
            <w:tcBorders>
              <w:top w:val="single" w:sz="4" w:space="0" w:color="000000"/>
              <w:left w:val="single" w:sz="4" w:space="0" w:color="000000"/>
              <w:bottom w:val="single" w:sz="4" w:space="0" w:color="000000"/>
              <w:right w:val="single" w:sz="4" w:space="0" w:color="000000"/>
            </w:tcBorders>
          </w:tcPr>
          <w:p w14:paraId="25A3A57C" w14:textId="77777777" w:rsidR="00E47756" w:rsidRPr="00E47756" w:rsidRDefault="00E47756" w:rsidP="00E47756">
            <w:pPr>
              <w:spacing w:after="0" w:line="240" w:lineRule="auto"/>
              <w:ind w:left="57" w:right="57"/>
            </w:pPr>
            <w:r w:rsidRPr="00E47756">
              <w:rPr>
                <w:b/>
                <w:sz w:val="20"/>
              </w:rPr>
              <w:t xml:space="preserve">Revízia smernice 2006/42/ES o strojových zariadeniach </w:t>
            </w:r>
          </w:p>
        </w:tc>
        <w:tc>
          <w:tcPr>
            <w:tcW w:w="3402" w:type="dxa"/>
            <w:gridSpan w:val="2"/>
            <w:tcBorders>
              <w:top w:val="single" w:sz="4" w:space="0" w:color="000000"/>
              <w:left w:val="single" w:sz="4" w:space="0" w:color="000000"/>
              <w:bottom w:val="single" w:sz="4" w:space="0" w:color="000000"/>
              <w:right w:val="single" w:sz="4" w:space="0" w:color="000000"/>
            </w:tcBorders>
          </w:tcPr>
          <w:p w14:paraId="1210522D" w14:textId="77777777" w:rsidR="00E47756" w:rsidRPr="00E47756" w:rsidRDefault="00E47756" w:rsidP="00E47756">
            <w:pPr>
              <w:spacing w:after="0" w:line="240" w:lineRule="auto"/>
              <w:ind w:left="57" w:right="57"/>
            </w:pPr>
            <w:r w:rsidRPr="00E47756">
              <w:rPr>
                <w:sz w:val="20"/>
              </w:rPr>
              <w:t xml:space="preserve">Cieľom iniciatívy je: </w:t>
            </w:r>
          </w:p>
          <w:p w14:paraId="172D50CE" w14:textId="77777777" w:rsidR="00E47756" w:rsidRPr="00E47756" w:rsidRDefault="00E47756" w:rsidP="003826CE">
            <w:pPr>
              <w:numPr>
                <w:ilvl w:val="0"/>
                <w:numId w:val="14"/>
              </w:numPr>
              <w:spacing w:after="0" w:line="240" w:lineRule="auto"/>
              <w:ind w:left="57" w:right="57" w:hanging="720"/>
            </w:pPr>
            <w:r w:rsidRPr="00E47756">
              <w:rPr>
                <w:sz w:val="20"/>
              </w:rPr>
              <w:t xml:space="preserve">riešiť riziká plynúce z nových technológií a súčasne umožniť technický pokrok; </w:t>
            </w:r>
          </w:p>
          <w:p w14:paraId="4081BB1D" w14:textId="77777777" w:rsidR="00E47756" w:rsidRPr="00E47756" w:rsidRDefault="00E47756" w:rsidP="003826CE">
            <w:pPr>
              <w:numPr>
                <w:ilvl w:val="0"/>
                <w:numId w:val="14"/>
              </w:numPr>
              <w:spacing w:after="0" w:line="240" w:lineRule="auto"/>
              <w:ind w:left="57" w:right="57" w:hanging="720"/>
            </w:pPr>
            <w:r w:rsidRPr="00E47756">
              <w:rPr>
                <w:sz w:val="20"/>
              </w:rPr>
              <w:t xml:space="preserve">zjednodušiť požiadavky na dokumentáciu tým, že sa povolia digitálne formáty, a tak znížiť administratívnu záťaž pre hospodárske subjekty s ďalším pozitívnym vplyvom na environmentálne náklady; </w:t>
            </w:r>
          </w:p>
          <w:p w14:paraId="4BF41DED" w14:textId="77777777" w:rsidR="00E47756" w:rsidRPr="00E47756" w:rsidRDefault="00E47756" w:rsidP="003826CE">
            <w:pPr>
              <w:numPr>
                <w:ilvl w:val="0"/>
                <w:numId w:val="14"/>
              </w:numPr>
              <w:spacing w:after="0" w:line="240" w:lineRule="auto"/>
              <w:ind w:left="57" w:right="57" w:hanging="720"/>
            </w:pPr>
            <w:r w:rsidRPr="00E47756">
              <w:rPr>
                <w:sz w:val="20"/>
              </w:rPr>
              <w:t>zlepšiť právnu zrozumiteľnosť niektorých hlavných koncepcií a vymedzenia pojmov v súčasnom znení smernice; iv)</w:t>
            </w:r>
            <w:r w:rsidRPr="00E47756">
              <w:rPr>
                <w:rFonts w:ascii="Arial" w:hAnsi="Arial" w:cs="Arial"/>
                <w:sz w:val="20"/>
              </w:rPr>
              <w:t xml:space="preserve"> </w:t>
            </w:r>
            <w:r w:rsidRPr="00E47756">
              <w:rPr>
                <w:sz w:val="20"/>
              </w:rPr>
              <w:t xml:space="preserve">zabezpečiť súdržnosť s ostatnými smernicami a nariadeniami týkajúcimi sa výrobkov a zlepšiť presadzovanie právnych predpisov prostredníctvom zosúladenia s novým legislatívnym rámcom; </w:t>
            </w:r>
          </w:p>
          <w:p w14:paraId="6F2CF77E" w14:textId="77777777" w:rsidR="00E47756" w:rsidRPr="00E47756" w:rsidRDefault="00E47756" w:rsidP="003826CE">
            <w:pPr>
              <w:numPr>
                <w:ilvl w:val="0"/>
                <w:numId w:val="14"/>
              </w:numPr>
              <w:spacing w:after="0" w:line="240" w:lineRule="auto"/>
              <w:ind w:left="57" w:right="57" w:hanging="720"/>
            </w:pPr>
            <w:r w:rsidRPr="00E47756">
              <w:rPr>
                <w:sz w:val="20"/>
              </w:rPr>
              <w:t>znížiť náklady n transpozíciu zmenou smernice na nariadenie.</w:t>
            </w:r>
          </w:p>
          <w:p w14:paraId="2B1F9A48" w14:textId="77777777" w:rsidR="00E47756" w:rsidRPr="00E47756" w:rsidRDefault="00E47756" w:rsidP="00E47756">
            <w:pPr>
              <w:spacing w:after="0" w:line="240" w:lineRule="auto"/>
              <w:ind w:left="57" w:right="57"/>
            </w:pPr>
          </w:p>
          <w:p w14:paraId="766E7938" w14:textId="77777777" w:rsidR="00E47756" w:rsidRPr="00E47756" w:rsidRDefault="00E47756" w:rsidP="00E47756">
            <w:pPr>
              <w:tabs>
                <w:tab w:val="center" w:pos="1137"/>
                <w:tab w:val="center" w:pos="3604"/>
              </w:tabs>
              <w:spacing w:after="0" w:line="240" w:lineRule="auto"/>
              <w:ind w:left="57" w:right="57"/>
            </w:pPr>
            <w:r w:rsidRPr="00E47756">
              <w:rPr>
                <w:sz w:val="20"/>
              </w:rPr>
              <w:t xml:space="preserve">Plánovaný dátum prijatia: 2. štvrťrok 2021; legislatívna iniciatíva; právny základ: článok 114 ZFEÚ. Posúdenie vplyvu sa predpokladá. </w:t>
            </w:r>
          </w:p>
        </w:tc>
        <w:tc>
          <w:tcPr>
            <w:tcW w:w="2127" w:type="dxa"/>
            <w:tcBorders>
              <w:top w:val="single" w:sz="4" w:space="0" w:color="000000"/>
              <w:left w:val="single" w:sz="4" w:space="0" w:color="000000"/>
              <w:bottom w:val="single" w:sz="4" w:space="0" w:color="000000"/>
              <w:right w:val="single" w:sz="4" w:space="0" w:color="000000"/>
            </w:tcBorders>
          </w:tcPr>
          <w:p w14:paraId="072D5AF9" w14:textId="77777777" w:rsidR="00E47756" w:rsidRPr="00E47756" w:rsidRDefault="00E47756" w:rsidP="00E47756">
            <w:pPr>
              <w:spacing w:after="0" w:line="240" w:lineRule="auto"/>
              <w:ind w:left="57" w:right="57"/>
              <w:jc w:val="center"/>
              <w:rPr>
                <w:b/>
                <w:sz w:val="20"/>
              </w:rPr>
            </w:pPr>
            <w:r w:rsidRPr="00E47756">
              <w:rPr>
                <w:b/>
                <w:sz w:val="20"/>
              </w:rPr>
              <w:t>ÚNMS SR</w:t>
            </w:r>
          </w:p>
        </w:tc>
        <w:tc>
          <w:tcPr>
            <w:tcW w:w="5670" w:type="dxa"/>
            <w:tcBorders>
              <w:top w:val="single" w:sz="4" w:space="0" w:color="000000"/>
              <w:left w:val="single" w:sz="4" w:space="0" w:color="000000"/>
              <w:bottom w:val="single" w:sz="4" w:space="0" w:color="000000"/>
              <w:right w:val="single" w:sz="4" w:space="0" w:color="000000"/>
            </w:tcBorders>
          </w:tcPr>
          <w:p w14:paraId="7207BF39" w14:textId="77777777" w:rsidR="00E47756" w:rsidRPr="00E47756" w:rsidRDefault="00E47756" w:rsidP="00E47756">
            <w:pPr>
              <w:spacing w:after="0" w:line="240" w:lineRule="auto"/>
              <w:ind w:left="57" w:right="57"/>
              <w:rPr>
                <w:sz w:val="20"/>
              </w:rPr>
            </w:pPr>
            <w:r w:rsidRPr="00E47756">
              <w:rPr>
                <w:b/>
                <w:sz w:val="20"/>
                <w:u w:val="single"/>
              </w:rPr>
              <w:t>Stredná priorita</w:t>
            </w:r>
            <w:r w:rsidRPr="00E47756">
              <w:rPr>
                <w:sz w:val="20"/>
              </w:rPr>
              <w:t xml:space="preserve"> – SR podporuje revíziu smernice 2006/42/ES o strojových zariadeniach. Revízia smernice je aktuálne predmetom rokovania pracovnej skupiny EK pre strojové zariadenia, ktorej je ÚNMS SR členom a do jej rokovaní sa pravidelne zapája. </w:t>
            </w:r>
          </w:p>
        </w:tc>
      </w:tr>
      <w:tr w:rsidR="00E47756" w:rsidRPr="00E47756" w14:paraId="1E17C343" w14:textId="77777777" w:rsidTr="001A4016">
        <w:tblPrEx>
          <w:tblCellMar>
            <w:top w:w="41" w:type="dxa"/>
          </w:tblCellMar>
        </w:tblPrEx>
        <w:trPr>
          <w:trHeight w:val="1457"/>
        </w:trPr>
        <w:tc>
          <w:tcPr>
            <w:tcW w:w="447" w:type="dxa"/>
            <w:tcBorders>
              <w:top w:val="single" w:sz="4" w:space="0" w:color="000000"/>
              <w:left w:val="single" w:sz="4" w:space="0" w:color="000000"/>
              <w:bottom w:val="single" w:sz="4" w:space="0" w:color="000000"/>
              <w:right w:val="single" w:sz="4" w:space="0" w:color="000000"/>
            </w:tcBorders>
          </w:tcPr>
          <w:p w14:paraId="61A0231E" w14:textId="77777777" w:rsidR="00E47756" w:rsidRPr="00E47756" w:rsidRDefault="00E47756" w:rsidP="00E47756">
            <w:pPr>
              <w:spacing w:after="0" w:line="240" w:lineRule="auto"/>
              <w:ind w:left="57" w:right="57"/>
              <w:jc w:val="center"/>
            </w:pPr>
            <w:r w:rsidRPr="00E47756">
              <w:rPr>
                <w:sz w:val="20"/>
              </w:rPr>
              <w:lastRenderedPageBreak/>
              <w:t>22.</w:t>
            </w:r>
          </w:p>
        </w:tc>
        <w:tc>
          <w:tcPr>
            <w:tcW w:w="2976" w:type="dxa"/>
            <w:tcBorders>
              <w:top w:val="single" w:sz="4" w:space="0" w:color="000000"/>
              <w:left w:val="single" w:sz="4" w:space="0" w:color="000000"/>
              <w:bottom w:val="single" w:sz="4" w:space="0" w:color="000000"/>
              <w:right w:val="single" w:sz="4" w:space="0" w:color="000000"/>
            </w:tcBorders>
          </w:tcPr>
          <w:p w14:paraId="57701A27" w14:textId="77777777" w:rsidR="00E47756" w:rsidRPr="00E47756" w:rsidRDefault="00E47756" w:rsidP="00E47756">
            <w:pPr>
              <w:spacing w:after="0" w:line="240" w:lineRule="auto"/>
              <w:ind w:left="57" w:right="57"/>
            </w:pPr>
            <w:r w:rsidRPr="00E47756">
              <w:rPr>
                <w:b/>
                <w:sz w:val="20"/>
              </w:rPr>
              <w:t xml:space="preserve">Revízia – počítačové rezervačné systémy </w:t>
            </w:r>
          </w:p>
        </w:tc>
        <w:tc>
          <w:tcPr>
            <w:tcW w:w="3402" w:type="dxa"/>
            <w:gridSpan w:val="2"/>
            <w:tcBorders>
              <w:top w:val="single" w:sz="4" w:space="0" w:color="000000"/>
              <w:left w:val="single" w:sz="4" w:space="0" w:color="000000"/>
              <w:bottom w:val="single" w:sz="4" w:space="0" w:color="000000"/>
              <w:right w:val="single" w:sz="4" w:space="0" w:color="000000"/>
            </w:tcBorders>
          </w:tcPr>
          <w:p w14:paraId="02A8255C" w14:textId="77777777" w:rsidR="00E47756" w:rsidRPr="00E47756" w:rsidRDefault="00E47756" w:rsidP="00E47756">
            <w:pPr>
              <w:spacing w:after="0" w:line="240" w:lineRule="auto"/>
              <w:ind w:left="57" w:right="57"/>
            </w:pPr>
            <w:r w:rsidRPr="00E47756">
              <w:rPr>
                <w:sz w:val="20"/>
              </w:rPr>
              <w:t xml:space="preserve">Nariadením o kódexe správania pri používaní počítačových rezervačných systémov sa ustanovuje rámec pre počítačové rezervačné systémy v oblasti produktov leteckej dopravy. Celkovým všeobecným cieľom nariadenia bolo zabrániť zneužívaniu trhovej sily a zabezpečiť efektívnosť trhu a ochranu záujmov spotrebiteľov. </w:t>
            </w:r>
          </w:p>
          <w:p w14:paraId="07ADF013" w14:textId="77777777" w:rsidR="00E47756" w:rsidRPr="00E47756" w:rsidRDefault="00E47756" w:rsidP="00E47756">
            <w:pPr>
              <w:spacing w:after="0" w:line="240" w:lineRule="auto"/>
              <w:ind w:left="57" w:right="57"/>
            </w:pPr>
            <w:r w:rsidRPr="00E47756">
              <w:rPr>
                <w:sz w:val="20"/>
              </w:rPr>
              <w:t xml:space="preserve">Plánované prijatie: 4. štvrťrok 2021; legislatívna iniciatíva; právny základ: článok 91 a článok 100 ods. 2 ZFEÚ. Posúdenie vplyvu sa predpokladá. </w:t>
            </w:r>
          </w:p>
        </w:tc>
        <w:tc>
          <w:tcPr>
            <w:tcW w:w="2127" w:type="dxa"/>
            <w:tcBorders>
              <w:top w:val="single" w:sz="4" w:space="0" w:color="000000"/>
              <w:left w:val="single" w:sz="4" w:space="0" w:color="000000"/>
              <w:bottom w:val="single" w:sz="4" w:space="0" w:color="000000"/>
              <w:right w:val="single" w:sz="4" w:space="0" w:color="000000"/>
            </w:tcBorders>
          </w:tcPr>
          <w:p w14:paraId="36DFBE7B" w14:textId="77777777" w:rsidR="00E47756" w:rsidRPr="00E47756" w:rsidRDefault="00E47756" w:rsidP="00E47756">
            <w:pPr>
              <w:spacing w:after="0" w:line="240" w:lineRule="auto"/>
              <w:ind w:left="57" w:right="57"/>
              <w:jc w:val="center"/>
              <w:rPr>
                <w:sz w:val="20"/>
              </w:rPr>
            </w:pPr>
            <w:r w:rsidRPr="00E47756">
              <w:rPr>
                <w:b/>
                <w:sz w:val="20"/>
              </w:rPr>
              <w:t>MDV SR</w:t>
            </w:r>
          </w:p>
        </w:tc>
        <w:tc>
          <w:tcPr>
            <w:tcW w:w="5670" w:type="dxa"/>
            <w:tcBorders>
              <w:top w:val="single" w:sz="4" w:space="0" w:color="000000"/>
              <w:left w:val="single" w:sz="4" w:space="0" w:color="000000"/>
              <w:bottom w:val="single" w:sz="4" w:space="0" w:color="000000"/>
              <w:right w:val="single" w:sz="4" w:space="0" w:color="000000"/>
            </w:tcBorders>
          </w:tcPr>
          <w:p w14:paraId="409B3A48" w14:textId="77777777" w:rsidR="00E47756" w:rsidRPr="00E47756" w:rsidRDefault="00E47756" w:rsidP="00E47756">
            <w:pPr>
              <w:spacing w:after="0" w:line="240" w:lineRule="auto"/>
              <w:ind w:left="57" w:right="57"/>
              <w:rPr>
                <w:sz w:val="20"/>
                <w:szCs w:val="20"/>
              </w:rPr>
            </w:pPr>
            <w:r w:rsidRPr="00E47756">
              <w:rPr>
                <w:b/>
                <w:sz w:val="20"/>
                <w:u w:val="single"/>
              </w:rPr>
              <w:t>Nízka  priorita</w:t>
            </w:r>
            <w:r w:rsidRPr="00E47756">
              <w:rPr>
                <w:sz w:val="20"/>
              </w:rPr>
              <w:t xml:space="preserve"> – </w:t>
            </w:r>
            <w:r w:rsidRPr="00E47756">
              <w:rPr>
                <w:sz w:val="20"/>
                <w:szCs w:val="20"/>
              </w:rPr>
              <w:t>Vo všeobecnosti možno konštatovať, že platné nariadenie (ES) č. 80/2009 nezohľadňuje v súčasnosti existujúce nové technologické možnosti distribúcie leteniek a ani zmeny príslušných právnych predpisov, najmä právne záväzných aktov Európskej únie v oblasti hospodárskej súťaže a ochrany osobných údajov. Revízia nariadenia (ES) č. 80/2009 by mala zadefinovať jednoznačné podmienky hospodárske súťaže medzi poskytovateľmi služieb typu B2B v oblasti distribúcie leteniek v dôsledku nových technologických prostriedkov distribúcie leteniek a mala by prispieť k nenarušeniu hospodárskej súťaže medzi leteckými dopravcami, najmä zabezpečením toho, aby menší leteckí dopravcovia a noví poskytovatelia služieb mali efektívny prístup k cestujúcim.</w:t>
            </w:r>
          </w:p>
        </w:tc>
      </w:tr>
      <w:tr w:rsidR="00E47756" w:rsidRPr="00E47756" w14:paraId="62061B61" w14:textId="77777777" w:rsidTr="001A4016">
        <w:tblPrEx>
          <w:tblCellMar>
            <w:top w:w="41" w:type="dxa"/>
          </w:tblCellMar>
        </w:tblPrEx>
        <w:trPr>
          <w:trHeight w:val="2955"/>
        </w:trPr>
        <w:tc>
          <w:tcPr>
            <w:tcW w:w="447" w:type="dxa"/>
            <w:tcBorders>
              <w:top w:val="single" w:sz="4" w:space="0" w:color="000000"/>
              <w:left w:val="single" w:sz="4" w:space="0" w:color="000000"/>
              <w:bottom w:val="single" w:sz="4" w:space="0" w:color="000000"/>
              <w:right w:val="single" w:sz="4" w:space="0" w:color="000000"/>
            </w:tcBorders>
          </w:tcPr>
          <w:p w14:paraId="10AA926C" w14:textId="77777777" w:rsidR="00E47756" w:rsidRPr="00E47756" w:rsidRDefault="00E47756" w:rsidP="00E47756">
            <w:pPr>
              <w:spacing w:after="0" w:line="240" w:lineRule="auto"/>
              <w:ind w:left="57" w:right="57"/>
              <w:jc w:val="center"/>
            </w:pPr>
            <w:r w:rsidRPr="00E47756">
              <w:rPr>
                <w:sz w:val="20"/>
              </w:rPr>
              <w:t>23.</w:t>
            </w:r>
          </w:p>
        </w:tc>
        <w:tc>
          <w:tcPr>
            <w:tcW w:w="2976" w:type="dxa"/>
            <w:tcBorders>
              <w:top w:val="single" w:sz="4" w:space="0" w:color="000000"/>
              <w:left w:val="single" w:sz="4" w:space="0" w:color="000000"/>
              <w:bottom w:val="single" w:sz="4" w:space="0" w:color="000000"/>
              <w:right w:val="single" w:sz="4" w:space="0" w:color="000000"/>
            </w:tcBorders>
          </w:tcPr>
          <w:p w14:paraId="7ABFEBBC" w14:textId="77777777" w:rsidR="00E47756" w:rsidRPr="00E47756" w:rsidRDefault="00E47756" w:rsidP="00E47756">
            <w:pPr>
              <w:spacing w:after="0" w:line="240" w:lineRule="auto"/>
              <w:ind w:left="57" w:right="57"/>
            </w:pPr>
            <w:r w:rsidRPr="00E47756">
              <w:rPr>
                <w:b/>
                <w:sz w:val="20"/>
              </w:rPr>
              <w:t xml:space="preserve">Hodnotenie oznámenia Komisie o definícii trhu v práve hospodárskej súťaže EÚ </w:t>
            </w:r>
          </w:p>
        </w:tc>
        <w:tc>
          <w:tcPr>
            <w:tcW w:w="3402" w:type="dxa"/>
            <w:gridSpan w:val="2"/>
            <w:tcBorders>
              <w:top w:val="single" w:sz="4" w:space="0" w:color="000000"/>
              <w:left w:val="single" w:sz="4" w:space="0" w:color="000000"/>
              <w:bottom w:val="single" w:sz="4" w:space="0" w:color="000000"/>
              <w:right w:val="single" w:sz="4" w:space="0" w:color="000000"/>
            </w:tcBorders>
          </w:tcPr>
          <w:p w14:paraId="2FC37579" w14:textId="77777777" w:rsidR="00E47756" w:rsidRPr="00E47756" w:rsidRDefault="00E47756" w:rsidP="00E47756">
            <w:pPr>
              <w:spacing w:after="0" w:line="240" w:lineRule="auto"/>
              <w:ind w:left="57" w:right="57"/>
            </w:pPr>
            <w:r w:rsidRPr="00E47756">
              <w:rPr>
                <w:sz w:val="20"/>
              </w:rPr>
              <w:t xml:space="preserve">Počas niekoľkých posledných rokov dochádza k čoraz rýchlejším zmenám a svet je čoraz digitalizovanejší a prepojenejší. </w:t>
            </w:r>
          </w:p>
          <w:p w14:paraId="787E6544" w14:textId="77777777" w:rsidR="00E47756" w:rsidRPr="00E47756" w:rsidRDefault="00E47756" w:rsidP="00E47756">
            <w:pPr>
              <w:spacing w:after="0" w:line="240" w:lineRule="auto"/>
              <w:ind w:left="57" w:right="57"/>
            </w:pPr>
            <w:r w:rsidRPr="00E47756">
              <w:rPr>
                <w:sz w:val="20"/>
              </w:rPr>
              <w:t xml:space="preserve">Súčasné oznámenie o definícii trhu pochádza z roku 1997, a preto sa ním pri vymedzení relevantného trhu výrobkov a geografického trhu nemusia dať riešiť všetky naliehavé otázky, ktoré sa v súčasnosti objavujú. Aj Komisia získala počas uplynulých rokov mnoho skúseností s vymedzením trhu, technické postupy sa vyvíjajú a súdy EÚ poskytujú dodatočné usmernenia. </w:t>
            </w:r>
          </w:p>
          <w:p w14:paraId="23FFD864" w14:textId="77777777" w:rsidR="00E47756" w:rsidRPr="00E47756" w:rsidRDefault="00E47756" w:rsidP="00E47756">
            <w:pPr>
              <w:spacing w:after="0" w:line="240" w:lineRule="auto"/>
              <w:ind w:left="57" w:right="57"/>
              <w:rPr>
                <w:sz w:val="20"/>
              </w:rPr>
            </w:pPr>
            <w:r w:rsidRPr="00E47756">
              <w:rPr>
                <w:sz w:val="20"/>
              </w:rPr>
              <w:t xml:space="preserve">Komisia posúdi, či je potrebné aktualizovať jej oznámenie o definícii trhu z roku 1997 s cieľom zabezpečiť, aby bolo presné a aktuálne a aby sa v ňom stanovil jasný a jednotný prístup k vymedzeniu trhu tak v </w:t>
            </w:r>
            <w:proofErr w:type="spellStart"/>
            <w:r w:rsidRPr="00E47756">
              <w:rPr>
                <w:sz w:val="20"/>
              </w:rPr>
              <w:t>antitrustových</w:t>
            </w:r>
            <w:proofErr w:type="spellEnd"/>
            <w:r w:rsidRPr="00E47756">
              <w:rPr>
                <w:sz w:val="20"/>
              </w:rPr>
              <w:t xml:space="preserve"> </w:t>
            </w:r>
            <w:r w:rsidRPr="00E47756">
              <w:rPr>
                <w:sz w:val="20"/>
              </w:rPr>
              <w:lastRenderedPageBreak/>
              <w:t xml:space="preserve">veciach, ako aj vo veciach fúzií v rôznych odvetviach, a to ľahko dosiahnuteľným spôsobom. Komisia musí zabezpečiť, aby jej usmernenia týkajúce sa presadzovania právnych predpisov v oblasti </w:t>
            </w:r>
            <w:proofErr w:type="spellStart"/>
            <w:r w:rsidRPr="00E47756">
              <w:rPr>
                <w:sz w:val="20"/>
              </w:rPr>
              <w:t>antitrustu</w:t>
            </w:r>
            <w:proofErr w:type="spellEnd"/>
            <w:r w:rsidRPr="00E47756">
              <w:rPr>
                <w:sz w:val="20"/>
              </w:rPr>
              <w:t xml:space="preserve"> a fúzií naďalej plne zohľadňovali digitalizáciu a technologické zmeny v súčasnom globálnom kontexte. </w:t>
            </w:r>
          </w:p>
        </w:tc>
        <w:tc>
          <w:tcPr>
            <w:tcW w:w="2127" w:type="dxa"/>
            <w:tcBorders>
              <w:top w:val="single" w:sz="4" w:space="0" w:color="000000"/>
              <w:left w:val="single" w:sz="4" w:space="0" w:color="000000"/>
              <w:bottom w:val="single" w:sz="4" w:space="0" w:color="000000"/>
              <w:right w:val="single" w:sz="4" w:space="0" w:color="000000"/>
            </w:tcBorders>
          </w:tcPr>
          <w:p w14:paraId="291D4361" w14:textId="77777777" w:rsidR="00E47756" w:rsidRPr="00E47756" w:rsidRDefault="00E47756" w:rsidP="00E47756">
            <w:pPr>
              <w:spacing w:after="0" w:line="240" w:lineRule="auto"/>
              <w:ind w:left="57" w:right="57"/>
              <w:jc w:val="center"/>
              <w:rPr>
                <w:b/>
                <w:sz w:val="20"/>
              </w:rPr>
            </w:pPr>
            <w:r w:rsidRPr="00E47756">
              <w:rPr>
                <w:b/>
                <w:sz w:val="20"/>
              </w:rPr>
              <w:lastRenderedPageBreak/>
              <w:t>PMÚ SR</w:t>
            </w:r>
          </w:p>
        </w:tc>
        <w:tc>
          <w:tcPr>
            <w:tcW w:w="5670" w:type="dxa"/>
            <w:tcBorders>
              <w:top w:val="single" w:sz="4" w:space="0" w:color="000000"/>
              <w:left w:val="single" w:sz="4" w:space="0" w:color="000000"/>
              <w:bottom w:val="single" w:sz="4" w:space="0" w:color="000000"/>
              <w:right w:val="single" w:sz="4" w:space="0" w:color="000000"/>
            </w:tcBorders>
          </w:tcPr>
          <w:p w14:paraId="62AEABEA" w14:textId="77777777" w:rsidR="00E47756" w:rsidRPr="00E47756" w:rsidRDefault="00E47756" w:rsidP="00E47756">
            <w:pPr>
              <w:spacing w:after="0" w:line="240" w:lineRule="auto"/>
              <w:ind w:left="57" w:right="57"/>
              <w:rPr>
                <w:sz w:val="20"/>
              </w:rPr>
            </w:pPr>
            <w:r w:rsidRPr="00E47756">
              <w:rPr>
                <w:b/>
                <w:sz w:val="20"/>
                <w:u w:val="single"/>
              </w:rPr>
              <w:t>Stredná priorita</w:t>
            </w:r>
            <w:r w:rsidRPr="00E47756">
              <w:rPr>
                <w:sz w:val="20"/>
              </w:rPr>
              <w:t xml:space="preserve"> – Oznámenia Komisie o definícii relevantného trhu na účely  práva hospodárskej súťaže Spoločenstva obsahuje usmernenia o tom, ako Komisia uplatňuje koncepciu relevantného trhu výrobkov a relevantného geografického trhu pri svojom presadzovaní práva EÚ v oblasti hospodárskej súťaže. V dôsledku rýchlych zmien a digitalizácie vo svete aj v oblasti hospodárskej súťaže je snahou Komisie zabezpečiť, aby sa v oznámení odzrkadlil vývoj praxe Komisie pri definovaní trhov za posledných dvadsať rokov a aby bolo oznámenie primerané aktuálnym zmenám. Cieľom hodnotenia, resp. preskúmania je poskytnúť usmernenia, ktoré budú presné a aktuálne a ktorými sa stanoví jasný a dôsledný prístup k prípadom porušenia </w:t>
            </w:r>
            <w:proofErr w:type="spellStart"/>
            <w:r w:rsidRPr="00E47756">
              <w:rPr>
                <w:sz w:val="20"/>
              </w:rPr>
              <w:t>antitrustových</w:t>
            </w:r>
            <w:proofErr w:type="spellEnd"/>
            <w:r w:rsidRPr="00E47756">
              <w:rPr>
                <w:sz w:val="20"/>
              </w:rPr>
              <w:t xml:space="preserve"> pravidiel a fúzií v jednotlivých  odvetviach,  a to spôsobom, ktorý je ľahko dostupný. Podľa konkrétneho návrhu bude možné bližšie analyzovať význam hodnotenia. Definícia relevantného trhu je dôležitá pre posúdenie ex </w:t>
            </w:r>
            <w:proofErr w:type="spellStart"/>
            <w:r w:rsidRPr="00E47756">
              <w:rPr>
                <w:sz w:val="20"/>
              </w:rPr>
              <w:t>ante</w:t>
            </w:r>
            <w:proofErr w:type="spellEnd"/>
            <w:r w:rsidRPr="00E47756">
              <w:rPr>
                <w:sz w:val="20"/>
              </w:rPr>
              <w:t xml:space="preserve"> koncentrácií, ako aj ex post niektorých protisúťažných konaní.</w:t>
            </w:r>
          </w:p>
        </w:tc>
      </w:tr>
      <w:tr w:rsidR="00E47756" w:rsidRPr="00E47756" w14:paraId="193DAB48" w14:textId="77777777" w:rsidTr="001A4016">
        <w:tblPrEx>
          <w:tblCellMar>
            <w:top w:w="41" w:type="dxa"/>
          </w:tblCellMar>
        </w:tblPrEx>
        <w:trPr>
          <w:trHeight w:val="1233"/>
        </w:trPr>
        <w:tc>
          <w:tcPr>
            <w:tcW w:w="447" w:type="dxa"/>
            <w:tcBorders>
              <w:top w:val="single" w:sz="4" w:space="0" w:color="000000"/>
              <w:left w:val="single" w:sz="4" w:space="0" w:color="000000"/>
              <w:bottom w:val="single" w:sz="4" w:space="0" w:color="000000"/>
              <w:right w:val="single" w:sz="4" w:space="0" w:color="000000"/>
            </w:tcBorders>
          </w:tcPr>
          <w:p w14:paraId="1F553D3E" w14:textId="77777777" w:rsidR="00E47756" w:rsidRPr="00E47756" w:rsidRDefault="00E47756" w:rsidP="00E47756">
            <w:pPr>
              <w:spacing w:after="0" w:line="240" w:lineRule="auto"/>
              <w:ind w:left="57" w:right="57"/>
              <w:jc w:val="center"/>
            </w:pPr>
            <w:r w:rsidRPr="00E47756">
              <w:rPr>
                <w:sz w:val="20"/>
              </w:rPr>
              <w:t>24.</w:t>
            </w:r>
          </w:p>
        </w:tc>
        <w:tc>
          <w:tcPr>
            <w:tcW w:w="2976" w:type="dxa"/>
            <w:tcBorders>
              <w:top w:val="single" w:sz="4" w:space="0" w:color="000000"/>
              <w:left w:val="single" w:sz="4" w:space="0" w:color="000000"/>
              <w:bottom w:val="single" w:sz="4" w:space="0" w:color="000000"/>
              <w:right w:val="single" w:sz="4" w:space="0" w:color="000000"/>
            </w:tcBorders>
          </w:tcPr>
          <w:p w14:paraId="241B47AC" w14:textId="77777777" w:rsidR="00E47756" w:rsidRPr="00E47756" w:rsidRDefault="00E47756" w:rsidP="00E47756">
            <w:pPr>
              <w:spacing w:after="0" w:line="240" w:lineRule="auto"/>
              <w:ind w:left="57" w:right="57"/>
            </w:pPr>
            <w:r w:rsidRPr="00E47756">
              <w:rPr>
                <w:b/>
                <w:sz w:val="20"/>
              </w:rPr>
              <w:t xml:space="preserve">Hodnotenie pravidiel štátnej pomoci pre zavádzanie širokopásmovej infraštruktúry </w:t>
            </w:r>
          </w:p>
        </w:tc>
        <w:tc>
          <w:tcPr>
            <w:tcW w:w="3402" w:type="dxa"/>
            <w:gridSpan w:val="2"/>
            <w:tcBorders>
              <w:top w:val="single" w:sz="4" w:space="0" w:color="000000"/>
              <w:left w:val="single" w:sz="4" w:space="0" w:color="000000"/>
              <w:bottom w:val="single" w:sz="4" w:space="0" w:color="000000"/>
              <w:right w:val="single" w:sz="4" w:space="0" w:color="000000"/>
            </w:tcBorders>
          </w:tcPr>
          <w:p w14:paraId="45994449" w14:textId="77777777" w:rsidR="00E47756" w:rsidRPr="00E47756" w:rsidRDefault="00E47756" w:rsidP="00E47756">
            <w:pPr>
              <w:spacing w:after="0" w:line="240" w:lineRule="auto"/>
              <w:ind w:left="57" w:right="57"/>
            </w:pPr>
            <w:r w:rsidRPr="00E47756">
              <w:rPr>
                <w:sz w:val="20"/>
              </w:rPr>
              <w:t xml:space="preserve">Pravidlá štátnej pomoci, ktoré sa uplatňujú na sektor širokopásmového pripojenia, sú zamerané na zavádzanie širokopásmových sietí podporujúcich hospodársku súťaž, čím sa zabezpečuje, že verejné prostriedky sú smerované do oblastí, ktoré to najviac potrebujú (hlavne vidiecke oblasti), a zároveň sa predchádza vytláčaniu súkromných investícií. Cieľom hodnotenia týchto pravidiel je overiť ich fungovanie, či reagujú na technologické a sociálno-ekonomické zmeny a či sú vhodné na splnenie nových cieľov EÚ.  </w:t>
            </w:r>
          </w:p>
        </w:tc>
        <w:tc>
          <w:tcPr>
            <w:tcW w:w="2127" w:type="dxa"/>
            <w:tcBorders>
              <w:top w:val="single" w:sz="4" w:space="0" w:color="000000"/>
              <w:left w:val="single" w:sz="4" w:space="0" w:color="000000"/>
              <w:bottom w:val="single" w:sz="4" w:space="0" w:color="000000"/>
              <w:right w:val="single" w:sz="4" w:space="0" w:color="000000"/>
            </w:tcBorders>
          </w:tcPr>
          <w:p w14:paraId="23DD8434" w14:textId="3C386D25" w:rsidR="00E47756" w:rsidRDefault="00E47756" w:rsidP="00E47756">
            <w:pPr>
              <w:spacing w:after="0" w:line="240" w:lineRule="auto"/>
              <w:ind w:left="57" w:right="57"/>
              <w:jc w:val="center"/>
              <w:rPr>
                <w:b/>
                <w:sz w:val="20"/>
              </w:rPr>
            </w:pPr>
            <w:r w:rsidRPr="00E47756">
              <w:rPr>
                <w:b/>
                <w:sz w:val="20"/>
              </w:rPr>
              <w:t>PMÚ SR</w:t>
            </w:r>
          </w:p>
          <w:p w14:paraId="5BBFF2F7" w14:textId="484E2A85" w:rsidR="00F23922" w:rsidRPr="00E47756" w:rsidRDefault="00F23922" w:rsidP="00E47756">
            <w:pPr>
              <w:spacing w:after="0" w:line="240" w:lineRule="auto"/>
              <w:ind w:left="57" w:right="57"/>
              <w:jc w:val="center"/>
              <w:rPr>
                <w:b/>
                <w:sz w:val="20"/>
              </w:rPr>
            </w:pPr>
            <w:r>
              <w:rPr>
                <w:b/>
                <w:sz w:val="20"/>
              </w:rPr>
              <w:t>MIRRI SR</w:t>
            </w:r>
          </w:p>
          <w:p w14:paraId="04259703" w14:textId="01CC7633" w:rsidR="00E47756" w:rsidRPr="00E47756" w:rsidRDefault="00E47756" w:rsidP="00E47756">
            <w:pPr>
              <w:spacing w:after="0" w:line="240" w:lineRule="auto"/>
              <w:ind w:left="57" w:right="57"/>
              <w:jc w:val="center"/>
              <w:rPr>
                <w:sz w:val="20"/>
              </w:rPr>
            </w:pPr>
          </w:p>
        </w:tc>
        <w:tc>
          <w:tcPr>
            <w:tcW w:w="5670" w:type="dxa"/>
            <w:tcBorders>
              <w:top w:val="single" w:sz="4" w:space="0" w:color="000000"/>
              <w:left w:val="single" w:sz="4" w:space="0" w:color="000000"/>
              <w:bottom w:val="single" w:sz="4" w:space="0" w:color="000000"/>
              <w:right w:val="single" w:sz="4" w:space="0" w:color="000000"/>
            </w:tcBorders>
          </w:tcPr>
          <w:p w14:paraId="311EF295" w14:textId="77777777" w:rsidR="00E47756" w:rsidRPr="00E47756" w:rsidRDefault="00E47756" w:rsidP="00E47756">
            <w:pPr>
              <w:spacing w:after="0" w:line="240" w:lineRule="auto"/>
              <w:ind w:left="57" w:right="57"/>
              <w:rPr>
                <w:sz w:val="20"/>
              </w:rPr>
            </w:pPr>
            <w:r w:rsidRPr="00E47756">
              <w:rPr>
                <w:b/>
                <w:sz w:val="20"/>
                <w:u w:val="single"/>
              </w:rPr>
              <w:t>Stredná priorita</w:t>
            </w:r>
            <w:r w:rsidRPr="00E47756">
              <w:rPr>
                <w:sz w:val="20"/>
              </w:rPr>
              <w:t xml:space="preserve"> – </w:t>
            </w:r>
            <w:r w:rsidRPr="00E47756">
              <w:rPr>
                <w:sz w:val="20"/>
                <w:szCs w:val="20"/>
              </w:rPr>
              <w:t xml:space="preserve">Od septembra 2020 do 5. januára 2021 bola otvorená konzultácia k existujúcim pravidlám EÚ o štátnej pomoci v oblasti verejnej podpory zavádzania širokopásmových sietí. </w:t>
            </w:r>
          </w:p>
          <w:p w14:paraId="0B4D0337" w14:textId="77777777" w:rsidR="00E47756" w:rsidRPr="00E47756" w:rsidRDefault="00E47756" w:rsidP="00E47756">
            <w:pPr>
              <w:spacing w:after="0" w:line="240" w:lineRule="auto"/>
              <w:ind w:left="57" w:right="57"/>
              <w:rPr>
                <w:sz w:val="20"/>
                <w:szCs w:val="20"/>
              </w:rPr>
            </w:pPr>
          </w:p>
          <w:p w14:paraId="24811A97" w14:textId="77777777" w:rsidR="00E47756" w:rsidRPr="00E47756" w:rsidRDefault="00E47756" w:rsidP="00E47756">
            <w:pPr>
              <w:spacing w:after="0" w:line="240" w:lineRule="auto"/>
              <w:ind w:left="57" w:right="57"/>
            </w:pPr>
            <w:r w:rsidRPr="00E47756">
              <w:rPr>
                <w:sz w:val="20"/>
                <w:szCs w:val="20"/>
              </w:rPr>
              <w:t xml:space="preserve">Výsledky verejnej konzultácie budú k dispozícii na webovom sídle </w:t>
            </w:r>
            <w:hyperlink r:id="rId12" w:history="1">
              <w:r w:rsidRPr="00CF3788">
                <w:rPr>
                  <w:color w:val="auto"/>
                  <w:sz w:val="20"/>
                  <w:szCs w:val="20"/>
                  <w:u w:val="single"/>
                </w:rPr>
                <w:t>https://ec.europa.eu/info/law/better-regulation/have-your-say/initiatives/12398-Evaluation-of-State-Aid-rules-for-broadband-infrastructure-deployment</w:t>
              </w:r>
            </w:hyperlink>
            <w:r w:rsidRPr="00CF3788">
              <w:rPr>
                <w:color w:val="auto"/>
                <w:sz w:val="20"/>
                <w:szCs w:val="20"/>
              </w:rPr>
              <w:t xml:space="preserve">. </w:t>
            </w:r>
          </w:p>
          <w:p w14:paraId="07E5E2E2" w14:textId="77777777" w:rsidR="00E47756" w:rsidRPr="00E47756" w:rsidRDefault="00E47756" w:rsidP="00E47756">
            <w:pPr>
              <w:spacing w:after="0" w:line="240" w:lineRule="auto"/>
              <w:ind w:left="57" w:right="57"/>
              <w:rPr>
                <w:sz w:val="20"/>
              </w:rPr>
            </w:pPr>
          </w:p>
        </w:tc>
      </w:tr>
      <w:tr w:rsidR="00E47756" w:rsidRPr="00E47756" w14:paraId="4835FC45" w14:textId="77777777" w:rsidTr="001A4016">
        <w:tblPrEx>
          <w:tblCellMar>
            <w:top w:w="36" w:type="dxa"/>
            <w:right w:w="8" w:type="dxa"/>
          </w:tblCellMar>
        </w:tblPrEx>
        <w:trPr>
          <w:trHeight w:val="1118"/>
        </w:trPr>
        <w:tc>
          <w:tcPr>
            <w:tcW w:w="447" w:type="dxa"/>
            <w:tcBorders>
              <w:top w:val="single" w:sz="4" w:space="0" w:color="000000"/>
              <w:left w:val="single" w:sz="4" w:space="0" w:color="000000"/>
              <w:bottom w:val="single" w:sz="4" w:space="0" w:color="000000"/>
              <w:right w:val="single" w:sz="4" w:space="0" w:color="000000"/>
            </w:tcBorders>
          </w:tcPr>
          <w:p w14:paraId="6DE09EF4" w14:textId="77777777" w:rsidR="00E47756" w:rsidRPr="00E47756" w:rsidRDefault="00E47756" w:rsidP="00E47756">
            <w:pPr>
              <w:spacing w:after="0" w:line="240" w:lineRule="auto"/>
              <w:ind w:left="57" w:right="57"/>
              <w:jc w:val="center"/>
            </w:pPr>
            <w:r w:rsidRPr="00E47756">
              <w:rPr>
                <w:sz w:val="20"/>
              </w:rPr>
              <w:t>25.</w:t>
            </w:r>
          </w:p>
        </w:tc>
        <w:tc>
          <w:tcPr>
            <w:tcW w:w="2976" w:type="dxa"/>
            <w:tcBorders>
              <w:top w:val="single" w:sz="4" w:space="0" w:color="000000"/>
              <w:left w:val="single" w:sz="4" w:space="0" w:color="000000"/>
              <w:bottom w:val="single" w:sz="4" w:space="0" w:color="000000"/>
              <w:right w:val="single" w:sz="4" w:space="0" w:color="000000"/>
            </w:tcBorders>
          </w:tcPr>
          <w:p w14:paraId="5D3EE083" w14:textId="77777777" w:rsidR="00E47756" w:rsidRPr="00E47756" w:rsidRDefault="00E47756" w:rsidP="00E47756">
            <w:pPr>
              <w:spacing w:after="0" w:line="240" w:lineRule="auto"/>
              <w:ind w:left="57" w:right="57"/>
            </w:pPr>
            <w:r w:rsidRPr="00E47756">
              <w:rPr>
                <w:b/>
                <w:sz w:val="20"/>
              </w:rPr>
              <w:t xml:space="preserve">Hodnotenie pravidiel štátnej pomoci pre oblasť zdravotníckych a sociálnych služieb všeobecného hospodárskeho záujmu </w:t>
            </w:r>
          </w:p>
        </w:tc>
        <w:tc>
          <w:tcPr>
            <w:tcW w:w="3402" w:type="dxa"/>
            <w:gridSpan w:val="2"/>
            <w:tcBorders>
              <w:top w:val="single" w:sz="4" w:space="0" w:color="000000"/>
              <w:left w:val="single" w:sz="4" w:space="0" w:color="000000"/>
              <w:bottom w:val="single" w:sz="4" w:space="0" w:color="000000"/>
              <w:right w:val="single" w:sz="4" w:space="0" w:color="000000"/>
            </w:tcBorders>
          </w:tcPr>
          <w:p w14:paraId="5037F4C1" w14:textId="77777777" w:rsidR="00E47756" w:rsidRPr="00E47756" w:rsidRDefault="00E47756" w:rsidP="00E47756">
            <w:pPr>
              <w:spacing w:after="0" w:line="240" w:lineRule="auto"/>
              <w:ind w:left="57" w:right="57"/>
              <w:rPr>
                <w:sz w:val="20"/>
              </w:rPr>
            </w:pPr>
            <w:r w:rsidRPr="00E47756">
              <w:rPr>
                <w:sz w:val="20"/>
              </w:rPr>
              <w:t xml:space="preserve">Cieľom hodnotenia je overiť, do akej miery dosiahli pravidlá v oblasti zdravotníckych a sociálnych služieb všeobecného hospodárskeho záujmu (SVHZ) predpokladané ciele v rámci balíka SVHZ z roku 2012, a to podporu </w:t>
            </w:r>
            <w:r w:rsidRPr="00E47756">
              <w:rPr>
                <w:sz w:val="20"/>
              </w:rPr>
              <w:lastRenderedPageBreak/>
              <w:t xml:space="preserve">členských štátov pri financovaní služieb všeobecného hospodárskeho záujmu, ktoré majú kľúčový význam pre občanov a spoločnosť ako celok pri zachovaní kľúčových aspektov kontroly štátnej pomoci.  </w:t>
            </w:r>
          </w:p>
          <w:p w14:paraId="0DB570ED" w14:textId="77777777" w:rsidR="00E47756" w:rsidRPr="00E47756" w:rsidRDefault="00E47756" w:rsidP="00E47756">
            <w:pPr>
              <w:spacing w:after="0" w:line="240" w:lineRule="auto"/>
              <w:ind w:left="57" w:right="57"/>
              <w:rPr>
                <w:sz w:val="20"/>
              </w:rPr>
            </w:pPr>
          </w:p>
          <w:p w14:paraId="04B9DB4A" w14:textId="77777777" w:rsidR="00E47756" w:rsidRPr="00E47756" w:rsidRDefault="00E47756" w:rsidP="00E47756">
            <w:pPr>
              <w:spacing w:after="0" w:line="240" w:lineRule="auto"/>
              <w:ind w:left="57" w:right="57"/>
              <w:rPr>
                <w:sz w:val="20"/>
              </w:rPr>
            </w:pPr>
          </w:p>
          <w:p w14:paraId="691E5948" w14:textId="77777777" w:rsidR="00E47756" w:rsidRPr="00E47756" w:rsidRDefault="00E47756" w:rsidP="00E47756">
            <w:pPr>
              <w:spacing w:after="0" w:line="240" w:lineRule="auto"/>
              <w:ind w:left="57" w:right="57"/>
            </w:pPr>
          </w:p>
        </w:tc>
        <w:tc>
          <w:tcPr>
            <w:tcW w:w="2127" w:type="dxa"/>
            <w:tcBorders>
              <w:top w:val="single" w:sz="4" w:space="0" w:color="000000"/>
              <w:left w:val="single" w:sz="4" w:space="0" w:color="000000"/>
              <w:bottom w:val="single" w:sz="4" w:space="0" w:color="000000"/>
              <w:right w:val="single" w:sz="4" w:space="0" w:color="000000"/>
            </w:tcBorders>
          </w:tcPr>
          <w:p w14:paraId="4C541039" w14:textId="77777777" w:rsidR="00E47756" w:rsidRPr="00E47756" w:rsidRDefault="00E47756" w:rsidP="00E47756">
            <w:pPr>
              <w:spacing w:after="0" w:line="240" w:lineRule="auto"/>
              <w:ind w:left="57" w:right="57"/>
              <w:jc w:val="center"/>
              <w:rPr>
                <w:b/>
                <w:sz w:val="20"/>
              </w:rPr>
            </w:pPr>
            <w:r w:rsidRPr="00E47756">
              <w:rPr>
                <w:b/>
                <w:sz w:val="20"/>
              </w:rPr>
              <w:lastRenderedPageBreak/>
              <w:t>PMÚ SR</w:t>
            </w:r>
          </w:p>
          <w:p w14:paraId="4FFF3838" w14:textId="77777777" w:rsidR="00E47756" w:rsidRPr="00E47756" w:rsidRDefault="00E47756" w:rsidP="00E47756">
            <w:pPr>
              <w:spacing w:after="0" w:line="240" w:lineRule="auto"/>
              <w:ind w:left="57" w:right="57"/>
              <w:jc w:val="center"/>
              <w:rPr>
                <w:b/>
                <w:sz w:val="20"/>
              </w:rPr>
            </w:pPr>
            <w:r w:rsidRPr="00E47756">
              <w:rPr>
                <w:b/>
                <w:sz w:val="20"/>
              </w:rPr>
              <w:t>MZ SR</w:t>
            </w:r>
          </w:p>
          <w:p w14:paraId="0D1C8A33" w14:textId="77777777" w:rsidR="00E47756" w:rsidRPr="00E47756" w:rsidRDefault="00E47756" w:rsidP="00E47756">
            <w:pPr>
              <w:spacing w:after="0" w:line="240" w:lineRule="auto"/>
              <w:ind w:left="57" w:right="57"/>
              <w:jc w:val="center"/>
              <w:rPr>
                <w:sz w:val="20"/>
              </w:rPr>
            </w:pPr>
            <w:r w:rsidRPr="00E47756">
              <w:rPr>
                <w:b/>
                <w:sz w:val="20"/>
              </w:rPr>
              <w:t>MPSVR SR</w:t>
            </w:r>
          </w:p>
        </w:tc>
        <w:tc>
          <w:tcPr>
            <w:tcW w:w="5670" w:type="dxa"/>
            <w:tcBorders>
              <w:top w:val="single" w:sz="4" w:space="0" w:color="000000"/>
              <w:left w:val="single" w:sz="4" w:space="0" w:color="000000"/>
              <w:bottom w:val="single" w:sz="4" w:space="0" w:color="000000"/>
              <w:right w:val="single" w:sz="4" w:space="0" w:color="000000"/>
            </w:tcBorders>
          </w:tcPr>
          <w:p w14:paraId="1AEE6F71" w14:textId="77777777" w:rsidR="00E47756" w:rsidRPr="00E47756" w:rsidRDefault="00E47756" w:rsidP="00E47756">
            <w:pPr>
              <w:spacing w:after="0" w:line="240" w:lineRule="auto"/>
              <w:ind w:left="57" w:right="57"/>
              <w:rPr>
                <w:sz w:val="20"/>
              </w:rPr>
            </w:pPr>
            <w:r w:rsidRPr="00E47756">
              <w:rPr>
                <w:b/>
                <w:sz w:val="20"/>
                <w:u w:val="single"/>
              </w:rPr>
              <w:t>Stredná priorita</w:t>
            </w:r>
            <w:r w:rsidRPr="00E47756">
              <w:rPr>
                <w:sz w:val="20"/>
              </w:rPr>
              <w:t xml:space="preserve"> – </w:t>
            </w:r>
            <w:r w:rsidRPr="00E47756">
              <w:rPr>
                <w:sz w:val="20"/>
                <w:szCs w:val="20"/>
              </w:rPr>
              <w:t xml:space="preserve">Otvorená verejná konzultácia o hodnotení pravidiel SVHZ uplatniteľných na zdravotnícke a sociálne služby a nariadenia o SVHZ de </w:t>
            </w:r>
            <w:proofErr w:type="spellStart"/>
            <w:r w:rsidRPr="00E47756">
              <w:rPr>
                <w:sz w:val="20"/>
                <w:szCs w:val="20"/>
              </w:rPr>
              <w:t>minimis</w:t>
            </w:r>
            <w:proofErr w:type="spellEnd"/>
            <w:r w:rsidRPr="00E47756">
              <w:rPr>
                <w:sz w:val="20"/>
                <w:szCs w:val="20"/>
              </w:rPr>
              <w:t xml:space="preserve"> prebiehala od 31. júla 2019 do 4. decembra 2019. Verejná konzultácia mala formu online prieskumu s kombináciou uzavretých a otvorených otázok. Do online prieskumu sa zapojili aj slovenské orgány. Výsledok online prieskumu je </w:t>
            </w:r>
            <w:r w:rsidRPr="00E47756">
              <w:rPr>
                <w:sz w:val="20"/>
                <w:szCs w:val="20"/>
              </w:rPr>
              <w:lastRenderedPageBreak/>
              <w:t xml:space="preserve">k dispozícii na webovom sídle: </w:t>
            </w:r>
            <w:hyperlink r:id="rId13" w:history="1">
              <w:r w:rsidRPr="00CF3788">
                <w:rPr>
                  <w:color w:val="auto"/>
                  <w:sz w:val="20"/>
                  <w:szCs w:val="20"/>
                  <w:u w:val="single"/>
                </w:rPr>
                <w:t>https://ec.europa.eu/info/law/better-regulation/have-your-say/initiatives/11835-Evaluation-of-State-aid-rules-for-health-and-social-services-of-general-economic-interest-and-SGEI-De-Minimis/public-consultation</w:t>
              </w:r>
            </w:hyperlink>
            <w:r w:rsidRPr="00CF3788">
              <w:rPr>
                <w:color w:val="auto"/>
                <w:sz w:val="20"/>
                <w:szCs w:val="20"/>
              </w:rPr>
              <w:t>.</w:t>
            </w:r>
          </w:p>
        </w:tc>
      </w:tr>
      <w:tr w:rsidR="00E47756" w:rsidRPr="00E47756" w14:paraId="32006EBE" w14:textId="77777777" w:rsidTr="001A4016">
        <w:tblPrEx>
          <w:tblCellMar>
            <w:top w:w="36" w:type="dxa"/>
            <w:right w:w="8" w:type="dxa"/>
          </w:tblCellMar>
        </w:tblPrEx>
        <w:trPr>
          <w:trHeight w:val="530"/>
        </w:trPr>
        <w:tc>
          <w:tcPr>
            <w:tcW w:w="447" w:type="dxa"/>
            <w:tcBorders>
              <w:top w:val="single" w:sz="4" w:space="0" w:color="000000"/>
              <w:left w:val="single" w:sz="4" w:space="0" w:color="000000"/>
              <w:bottom w:val="single" w:sz="4" w:space="0" w:color="000000"/>
              <w:right w:val="single" w:sz="4" w:space="0" w:color="000000"/>
            </w:tcBorders>
          </w:tcPr>
          <w:p w14:paraId="5A1BC213" w14:textId="77777777" w:rsidR="00E47756" w:rsidRPr="00E47756" w:rsidRDefault="00E47756" w:rsidP="00E47756">
            <w:pPr>
              <w:spacing w:after="0"/>
              <w:ind w:left="57" w:right="57"/>
              <w:jc w:val="center"/>
            </w:pPr>
            <w:r w:rsidRPr="00E47756">
              <w:rPr>
                <w:sz w:val="20"/>
              </w:rPr>
              <w:lastRenderedPageBreak/>
              <w:t>26.</w:t>
            </w:r>
          </w:p>
        </w:tc>
        <w:tc>
          <w:tcPr>
            <w:tcW w:w="2976" w:type="dxa"/>
            <w:tcBorders>
              <w:top w:val="single" w:sz="4" w:space="0" w:color="000000"/>
              <w:left w:val="single" w:sz="4" w:space="0" w:color="000000"/>
              <w:bottom w:val="single" w:sz="4" w:space="0" w:color="000000"/>
              <w:right w:val="single" w:sz="4" w:space="0" w:color="000000"/>
            </w:tcBorders>
          </w:tcPr>
          <w:p w14:paraId="75F13907" w14:textId="77777777" w:rsidR="00E47756" w:rsidRPr="00E47756" w:rsidRDefault="00E47756" w:rsidP="00E47756">
            <w:pPr>
              <w:spacing w:after="0"/>
              <w:ind w:left="57" w:right="57"/>
            </w:pPr>
            <w:r w:rsidRPr="00E47756">
              <w:rPr>
                <w:b/>
                <w:sz w:val="20"/>
              </w:rPr>
              <w:t xml:space="preserve">Hodnotenie „nového legislatívneho rámca pre výrobky“ [rozhodnutie č. 768/2008/ES o spoločnom rámci na uvádzanie výrobkov na trh a ustanovení o akreditácii a označení CE nariadenia (ES) č. 765/2008]. </w:t>
            </w:r>
          </w:p>
        </w:tc>
        <w:tc>
          <w:tcPr>
            <w:tcW w:w="3402" w:type="dxa"/>
            <w:gridSpan w:val="2"/>
            <w:tcBorders>
              <w:top w:val="single" w:sz="4" w:space="0" w:color="000000"/>
              <w:left w:val="single" w:sz="4" w:space="0" w:color="000000"/>
              <w:bottom w:val="single" w:sz="4" w:space="0" w:color="000000"/>
              <w:right w:val="single" w:sz="4" w:space="0" w:color="000000"/>
            </w:tcBorders>
          </w:tcPr>
          <w:p w14:paraId="4225B17C" w14:textId="77777777" w:rsidR="00E47756" w:rsidRPr="00E47756" w:rsidRDefault="00E47756" w:rsidP="00E47756">
            <w:pPr>
              <w:spacing w:after="0"/>
              <w:ind w:left="57" w:right="57"/>
            </w:pPr>
            <w:r w:rsidRPr="00E47756">
              <w:rPr>
                <w:sz w:val="20"/>
              </w:rPr>
              <w:t>Cieľom tohto hodnotenia je posúdiť účinnosť, efektívnosť, relevantnosť, súdržnosť a pridanú hodnotu EÚ rozhodnutia</w:t>
            </w:r>
          </w:p>
          <w:p w14:paraId="3B16CA46" w14:textId="77777777" w:rsidR="00E47756" w:rsidRPr="00E47756" w:rsidRDefault="00E47756" w:rsidP="00E47756">
            <w:pPr>
              <w:spacing w:after="0"/>
              <w:ind w:left="57" w:right="57"/>
            </w:pPr>
            <w:r w:rsidRPr="00E47756">
              <w:rPr>
                <w:sz w:val="20"/>
              </w:rPr>
              <w:t>č. 768/2008/ES o spoločnom rámci pre uvádzanie výrobkov na trh a ustanovení o akreditácii a označení CE nariadenia</w:t>
            </w:r>
          </w:p>
          <w:p w14:paraId="745AAC4E" w14:textId="77777777" w:rsidR="00E47756" w:rsidRPr="00E47756" w:rsidRDefault="00E47756" w:rsidP="00E47756">
            <w:pPr>
              <w:spacing w:after="0"/>
              <w:ind w:left="57" w:right="57"/>
            </w:pPr>
            <w:r w:rsidRPr="00E47756">
              <w:rPr>
                <w:sz w:val="20"/>
              </w:rPr>
              <w:t xml:space="preserve">(ES) č. 765/2008. Malo by aj posúdiť, či sú tieto nástroje vhodné pre digitálny vek a ekologickejšie hospodárstvo a či urýchľujú našu zelenú a digitálnu transformáciu a odolnosť nášho hospodárstva. </w:t>
            </w:r>
          </w:p>
        </w:tc>
        <w:tc>
          <w:tcPr>
            <w:tcW w:w="2127" w:type="dxa"/>
            <w:tcBorders>
              <w:top w:val="single" w:sz="4" w:space="0" w:color="000000"/>
              <w:left w:val="single" w:sz="4" w:space="0" w:color="000000"/>
              <w:bottom w:val="single" w:sz="4" w:space="0" w:color="000000"/>
              <w:right w:val="single" w:sz="4" w:space="0" w:color="000000"/>
            </w:tcBorders>
          </w:tcPr>
          <w:p w14:paraId="5591141C" w14:textId="77777777" w:rsidR="00E47756" w:rsidRPr="00E47756" w:rsidRDefault="00E47756" w:rsidP="00E47756">
            <w:pPr>
              <w:spacing w:after="0"/>
              <w:ind w:left="57" w:right="57"/>
              <w:jc w:val="center"/>
              <w:rPr>
                <w:b/>
                <w:sz w:val="20"/>
              </w:rPr>
            </w:pPr>
            <w:r w:rsidRPr="00E47756">
              <w:rPr>
                <w:b/>
                <w:sz w:val="20"/>
              </w:rPr>
              <w:t>ÚNMS SR</w:t>
            </w:r>
          </w:p>
        </w:tc>
        <w:tc>
          <w:tcPr>
            <w:tcW w:w="5670" w:type="dxa"/>
            <w:tcBorders>
              <w:top w:val="single" w:sz="4" w:space="0" w:color="000000"/>
              <w:left w:val="single" w:sz="4" w:space="0" w:color="000000"/>
              <w:bottom w:val="single" w:sz="4" w:space="0" w:color="000000"/>
              <w:right w:val="single" w:sz="4" w:space="0" w:color="000000"/>
            </w:tcBorders>
          </w:tcPr>
          <w:p w14:paraId="39BD660A" w14:textId="77777777" w:rsidR="00E47756" w:rsidRPr="00E47756" w:rsidRDefault="00E47756" w:rsidP="00E47756">
            <w:pPr>
              <w:spacing w:after="0" w:line="279" w:lineRule="auto"/>
              <w:ind w:left="57" w:right="57"/>
              <w:rPr>
                <w:sz w:val="20"/>
              </w:rPr>
            </w:pPr>
            <w:r w:rsidRPr="00E47756">
              <w:rPr>
                <w:b/>
                <w:sz w:val="20"/>
                <w:u w:val="single"/>
              </w:rPr>
              <w:t>Stredná priorita</w:t>
            </w:r>
            <w:r w:rsidRPr="00E47756">
              <w:rPr>
                <w:sz w:val="20"/>
              </w:rPr>
              <w:t xml:space="preserve"> – SR predmetnú  iniciatívu podporuje. </w:t>
            </w:r>
          </w:p>
        </w:tc>
      </w:tr>
      <w:tr w:rsidR="00E47756" w:rsidRPr="00E47756" w14:paraId="32A9420C" w14:textId="77777777" w:rsidTr="001A4016">
        <w:tblPrEx>
          <w:tblCellMar>
            <w:top w:w="36" w:type="dxa"/>
            <w:right w:w="8" w:type="dxa"/>
          </w:tblCellMar>
        </w:tblPrEx>
        <w:trPr>
          <w:trHeight w:val="1114"/>
        </w:trPr>
        <w:tc>
          <w:tcPr>
            <w:tcW w:w="447" w:type="dxa"/>
            <w:tcBorders>
              <w:top w:val="single" w:sz="4" w:space="0" w:color="000000"/>
              <w:left w:val="single" w:sz="4" w:space="0" w:color="000000"/>
              <w:bottom w:val="single" w:sz="4" w:space="0" w:color="auto"/>
              <w:right w:val="single" w:sz="4" w:space="0" w:color="000000"/>
            </w:tcBorders>
          </w:tcPr>
          <w:p w14:paraId="55A53215" w14:textId="77777777" w:rsidR="00E47756" w:rsidRPr="00E47756" w:rsidRDefault="00E47756" w:rsidP="00E47756">
            <w:pPr>
              <w:spacing w:after="0" w:line="240" w:lineRule="auto"/>
              <w:ind w:left="57" w:right="57"/>
              <w:jc w:val="center"/>
            </w:pPr>
            <w:r w:rsidRPr="00E47756">
              <w:rPr>
                <w:sz w:val="20"/>
              </w:rPr>
              <w:t>27.</w:t>
            </w:r>
          </w:p>
        </w:tc>
        <w:tc>
          <w:tcPr>
            <w:tcW w:w="2976" w:type="dxa"/>
            <w:tcBorders>
              <w:top w:val="single" w:sz="4" w:space="0" w:color="000000"/>
              <w:left w:val="single" w:sz="4" w:space="0" w:color="000000"/>
              <w:bottom w:val="single" w:sz="4" w:space="0" w:color="auto"/>
              <w:right w:val="single" w:sz="4" w:space="0" w:color="000000"/>
            </w:tcBorders>
          </w:tcPr>
          <w:p w14:paraId="3D7F3F46" w14:textId="77777777" w:rsidR="00E47756" w:rsidRPr="00E47756" w:rsidRDefault="00E47756" w:rsidP="00E47756">
            <w:pPr>
              <w:spacing w:after="0" w:line="240" w:lineRule="auto"/>
              <w:ind w:left="57" w:right="57"/>
              <w:jc w:val="left"/>
            </w:pPr>
            <w:r w:rsidRPr="00E47756">
              <w:rPr>
                <w:b/>
                <w:sz w:val="20"/>
              </w:rPr>
              <w:t xml:space="preserve">Hodnotenie smernice 2014/30/EÚ o </w:t>
            </w:r>
            <w:proofErr w:type="spellStart"/>
            <w:r w:rsidRPr="00E47756">
              <w:rPr>
                <w:b/>
                <w:sz w:val="20"/>
              </w:rPr>
              <w:t>elektromagneticej</w:t>
            </w:r>
            <w:proofErr w:type="spellEnd"/>
            <w:r w:rsidRPr="00E47756">
              <w:rPr>
                <w:b/>
                <w:sz w:val="20"/>
              </w:rPr>
              <w:t xml:space="preserve"> kompatibilite </w:t>
            </w:r>
          </w:p>
        </w:tc>
        <w:tc>
          <w:tcPr>
            <w:tcW w:w="3402" w:type="dxa"/>
            <w:gridSpan w:val="2"/>
            <w:tcBorders>
              <w:top w:val="single" w:sz="4" w:space="0" w:color="000000"/>
              <w:left w:val="single" w:sz="4" w:space="0" w:color="000000"/>
              <w:bottom w:val="single" w:sz="4" w:space="0" w:color="auto"/>
              <w:right w:val="single" w:sz="4" w:space="0" w:color="000000"/>
            </w:tcBorders>
          </w:tcPr>
          <w:p w14:paraId="55AB2CA1" w14:textId="77777777" w:rsidR="00E47756" w:rsidRPr="00E47756" w:rsidRDefault="00E47756" w:rsidP="00E47756">
            <w:pPr>
              <w:spacing w:after="0" w:line="240" w:lineRule="auto"/>
              <w:ind w:left="57" w:right="57"/>
              <w:rPr>
                <w:sz w:val="20"/>
              </w:rPr>
            </w:pPr>
            <w:r w:rsidRPr="00E47756">
              <w:rPr>
                <w:sz w:val="20"/>
              </w:rPr>
              <w:t xml:space="preserve">Smernica 2014/30/EÚ o elektromagnetickej kompatibilite sa týka elektrických zariadení uvedených na trh EÚ. Jej rozsah pôsobnosti pokrýva vysoký a zvyšujúci sa počet výrobkov tak na spotrebiteľské, ako aj na profesionálne použitie. Cieľom smernice je zabezpečiť fungovanie vnútorného trhu tým, aby sa od zariadení vyžadovalo spĺňanie primeranej úrovne </w:t>
            </w:r>
            <w:r w:rsidRPr="00E47756">
              <w:rPr>
                <w:sz w:val="20"/>
              </w:rPr>
              <w:lastRenderedPageBreak/>
              <w:t>elektromagnetickej kompatibility. Cieľom smernice je konkrétne zabezpečiť, aby elektromagnetické rušenie vytvárané zariadením nemalo vplyv na správne fungovanie iného takého zariadenia a aby takéto zariadenie malo primeranú úroveň odolnosti voči elektromagnetickému rušeniu, a tak mohlo fungovať, ako je určené. Účelom hodnotenia je posúdiť, či je smernica stále vhodná na daný účel z hľadiska účinnosti, efektívnosti, relevantnosti, súdržnosti a pridanej hodnoty EÚ.</w:t>
            </w:r>
          </w:p>
        </w:tc>
        <w:tc>
          <w:tcPr>
            <w:tcW w:w="2127" w:type="dxa"/>
            <w:tcBorders>
              <w:top w:val="single" w:sz="4" w:space="0" w:color="000000"/>
              <w:left w:val="single" w:sz="4" w:space="0" w:color="000000"/>
              <w:bottom w:val="single" w:sz="4" w:space="0" w:color="auto"/>
              <w:right w:val="single" w:sz="4" w:space="0" w:color="000000"/>
            </w:tcBorders>
          </w:tcPr>
          <w:p w14:paraId="22DC1247" w14:textId="77777777" w:rsidR="00E47756" w:rsidRPr="00E47756" w:rsidRDefault="00E47756" w:rsidP="00E47756">
            <w:pPr>
              <w:spacing w:after="0" w:line="240" w:lineRule="auto"/>
              <w:ind w:left="57" w:right="57"/>
              <w:jc w:val="center"/>
              <w:rPr>
                <w:b/>
                <w:sz w:val="20"/>
              </w:rPr>
            </w:pPr>
            <w:r w:rsidRPr="00E47756">
              <w:rPr>
                <w:b/>
                <w:sz w:val="20"/>
              </w:rPr>
              <w:lastRenderedPageBreak/>
              <w:t>ÚNMS SR</w:t>
            </w:r>
          </w:p>
        </w:tc>
        <w:tc>
          <w:tcPr>
            <w:tcW w:w="5670" w:type="dxa"/>
            <w:tcBorders>
              <w:top w:val="single" w:sz="4" w:space="0" w:color="000000"/>
              <w:left w:val="single" w:sz="4" w:space="0" w:color="000000"/>
              <w:bottom w:val="single" w:sz="4" w:space="0" w:color="auto"/>
              <w:right w:val="single" w:sz="4" w:space="0" w:color="000000"/>
            </w:tcBorders>
          </w:tcPr>
          <w:p w14:paraId="6FB5F5F2" w14:textId="77777777" w:rsidR="00E47756" w:rsidRPr="00E47756" w:rsidRDefault="00E47756" w:rsidP="00E47756">
            <w:pPr>
              <w:spacing w:after="0" w:line="240" w:lineRule="auto"/>
              <w:ind w:left="57" w:right="57"/>
              <w:rPr>
                <w:sz w:val="20"/>
              </w:rPr>
            </w:pPr>
            <w:r w:rsidRPr="00E47756">
              <w:rPr>
                <w:b/>
                <w:sz w:val="20"/>
                <w:u w:val="single"/>
              </w:rPr>
              <w:t>Stredná priorita</w:t>
            </w:r>
            <w:r w:rsidRPr="00E47756">
              <w:rPr>
                <w:sz w:val="20"/>
              </w:rPr>
              <w:t xml:space="preserve"> – SR predmetnú  iniciatívu podporuje.</w:t>
            </w:r>
          </w:p>
        </w:tc>
      </w:tr>
      <w:tr w:rsidR="00E47756" w:rsidRPr="00E47756" w14:paraId="10EAF078" w14:textId="77777777" w:rsidTr="001A4016">
        <w:tblPrEx>
          <w:tblCellMar>
            <w:top w:w="36" w:type="dxa"/>
            <w:right w:w="8" w:type="dxa"/>
          </w:tblCellMar>
        </w:tblPrEx>
        <w:trPr>
          <w:trHeight w:val="451"/>
        </w:trPr>
        <w:tc>
          <w:tcPr>
            <w:tcW w:w="6825" w:type="dxa"/>
            <w:gridSpan w:val="4"/>
            <w:tcBorders>
              <w:top w:val="single" w:sz="4" w:space="0" w:color="auto"/>
              <w:left w:val="single" w:sz="4" w:space="0" w:color="000000"/>
              <w:bottom w:val="single" w:sz="4" w:space="0" w:color="000000"/>
              <w:right w:val="single" w:sz="4" w:space="0" w:color="000000"/>
            </w:tcBorders>
            <w:shd w:val="clear" w:color="auto" w:fill="F68A42"/>
            <w:vAlign w:val="center"/>
          </w:tcPr>
          <w:p w14:paraId="22578706" w14:textId="77777777" w:rsidR="00E47756" w:rsidRPr="00E47756" w:rsidRDefault="00E47756" w:rsidP="00E47756">
            <w:pPr>
              <w:spacing w:after="0"/>
            </w:pPr>
            <w:r w:rsidRPr="00E47756">
              <w:rPr>
                <w:b/>
                <w:color w:val="FFFFFF"/>
                <w:sz w:val="20"/>
              </w:rPr>
              <w:t>Hospodárstvo, ktoré pracuje v prospech ľudí</w:t>
            </w:r>
            <w:r w:rsidRPr="00E47756">
              <w:rPr>
                <w:sz w:val="20"/>
              </w:rPr>
              <w:t xml:space="preserve"> </w:t>
            </w:r>
          </w:p>
        </w:tc>
        <w:tc>
          <w:tcPr>
            <w:tcW w:w="2127" w:type="dxa"/>
            <w:tcBorders>
              <w:top w:val="single" w:sz="4" w:space="0" w:color="auto"/>
              <w:left w:val="single" w:sz="4" w:space="0" w:color="000000"/>
              <w:bottom w:val="single" w:sz="4" w:space="0" w:color="000000"/>
              <w:right w:val="single" w:sz="4" w:space="0" w:color="000000"/>
            </w:tcBorders>
            <w:shd w:val="clear" w:color="auto" w:fill="F68A42"/>
          </w:tcPr>
          <w:p w14:paraId="12E3C1A8" w14:textId="77777777" w:rsidR="00E47756" w:rsidRPr="00E47756" w:rsidRDefault="00E47756" w:rsidP="00E47756">
            <w:pPr>
              <w:spacing w:after="0"/>
              <w:rPr>
                <w:b/>
                <w:color w:val="FFFFFF"/>
                <w:sz w:val="20"/>
              </w:rPr>
            </w:pPr>
          </w:p>
        </w:tc>
        <w:tc>
          <w:tcPr>
            <w:tcW w:w="5670" w:type="dxa"/>
            <w:tcBorders>
              <w:top w:val="single" w:sz="4" w:space="0" w:color="auto"/>
              <w:left w:val="single" w:sz="4" w:space="0" w:color="000000"/>
              <w:bottom w:val="single" w:sz="4" w:space="0" w:color="000000"/>
              <w:right w:val="single" w:sz="4" w:space="0" w:color="000000"/>
            </w:tcBorders>
            <w:shd w:val="clear" w:color="auto" w:fill="F68A42"/>
          </w:tcPr>
          <w:p w14:paraId="468900A7" w14:textId="77777777" w:rsidR="00E47756" w:rsidRPr="00E47756" w:rsidRDefault="00E47756" w:rsidP="00E47756">
            <w:pPr>
              <w:spacing w:after="0"/>
              <w:rPr>
                <w:b/>
                <w:color w:val="FFFFFF"/>
                <w:sz w:val="20"/>
              </w:rPr>
            </w:pPr>
          </w:p>
        </w:tc>
      </w:tr>
      <w:tr w:rsidR="00E47756" w:rsidRPr="00E47756" w14:paraId="2F528886" w14:textId="77777777" w:rsidTr="001A4016">
        <w:tblPrEx>
          <w:tblCellMar>
            <w:top w:w="36" w:type="dxa"/>
            <w:right w:w="8" w:type="dxa"/>
          </w:tblCellMar>
        </w:tblPrEx>
        <w:trPr>
          <w:trHeight w:val="2248"/>
        </w:trPr>
        <w:tc>
          <w:tcPr>
            <w:tcW w:w="447" w:type="dxa"/>
            <w:tcBorders>
              <w:top w:val="single" w:sz="4" w:space="0" w:color="000000"/>
              <w:left w:val="single" w:sz="4" w:space="0" w:color="000000"/>
              <w:bottom w:val="single" w:sz="4" w:space="0" w:color="000000"/>
              <w:right w:val="single" w:sz="4" w:space="0" w:color="000000"/>
            </w:tcBorders>
          </w:tcPr>
          <w:p w14:paraId="2017F15B" w14:textId="77777777" w:rsidR="00E47756" w:rsidRPr="00E47756" w:rsidRDefault="00E47756" w:rsidP="00E47756">
            <w:pPr>
              <w:spacing w:after="0" w:line="240" w:lineRule="auto"/>
              <w:jc w:val="center"/>
            </w:pPr>
            <w:r w:rsidRPr="00E47756">
              <w:rPr>
                <w:sz w:val="20"/>
              </w:rPr>
              <w:t>28.</w:t>
            </w:r>
          </w:p>
        </w:tc>
        <w:tc>
          <w:tcPr>
            <w:tcW w:w="2976" w:type="dxa"/>
            <w:tcBorders>
              <w:top w:val="single" w:sz="4" w:space="0" w:color="000000"/>
              <w:left w:val="single" w:sz="4" w:space="0" w:color="000000"/>
              <w:bottom w:val="single" w:sz="4" w:space="0" w:color="000000"/>
              <w:right w:val="single" w:sz="4" w:space="0" w:color="000000"/>
            </w:tcBorders>
          </w:tcPr>
          <w:p w14:paraId="5192E7A8" w14:textId="77777777" w:rsidR="00E47756" w:rsidRPr="00E47756" w:rsidRDefault="00E47756" w:rsidP="00E47756">
            <w:pPr>
              <w:spacing w:after="0" w:line="240" w:lineRule="auto"/>
              <w:ind w:left="57" w:right="57"/>
            </w:pPr>
            <w:r w:rsidRPr="00E47756">
              <w:rPr>
                <w:b/>
                <w:sz w:val="20"/>
              </w:rPr>
              <w:t xml:space="preserve">Revízia nariadenia Európskeho parlamentu a Rady (EÚ) č. 909/2014 z 23. júla 2014 o zlepšení vyrovnania transakcií s cennými papiermi v Európskej únii, centrálnych depozitároch cenných papierov a o zmene smerníc 98/26/ES a 2014/65/EÚ a nariadenia (EÚ) č. 236/2012 (CSDR) </w:t>
            </w:r>
          </w:p>
        </w:tc>
        <w:tc>
          <w:tcPr>
            <w:tcW w:w="3402" w:type="dxa"/>
            <w:gridSpan w:val="2"/>
            <w:tcBorders>
              <w:top w:val="single" w:sz="4" w:space="0" w:color="000000"/>
              <w:left w:val="single" w:sz="4" w:space="0" w:color="000000"/>
              <w:bottom w:val="single" w:sz="4" w:space="0" w:color="000000"/>
              <w:right w:val="single" w:sz="4" w:space="0" w:color="000000"/>
            </w:tcBorders>
          </w:tcPr>
          <w:p w14:paraId="0BCDE955" w14:textId="77777777" w:rsidR="00E47756" w:rsidRPr="00E47756" w:rsidRDefault="00E47756" w:rsidP="00E47756">
            <w:pPr>
              <w:spacing w:after="0" w:line="240" w:lineRule="auto"/>
              <w:ind w:left="57" w:right="57"/>
            </w:pPr>
            <w:r w:rsidRPr="00E47756">
              <w:rPr>
                <w:sz w:val="20"/>
              </w:rPr>
              <w:t xml:space="preserve">Iniciatíva je založená na skúsenostiach zbieraných šesť rokov po nadobudnutí účinnosti nariadenia CSDR, a to v obmedzenom počte oblastí, kde sa objavili praktické problémy s uplatňovaním nového rámca. V pripravovanom návrhu sa preto stanoví niekoľko cielených úprav nariadenia CSDR zameraných na zjednodušenie pravidiel, ako aj na ich rovnomernejšie rozdelenie a zníženie záťaže pre zainteresované strany. </w:t>
            </w:r>
          </w:p>
          <w:p w14:paraId="757D186C" w14:textId="77777777" w:rsidR="00E47756" w:rsidRPr="00E47756" w:rsidRDefault="00E47756" w:rsidP="00E47756">
            <w:pPr>
              <w:spacing w:after="0" w:line="240" w:lineRule="auto"/>
              <w:ind w:left="57" w:right="57"/>
            </w:pPr>
            <w:r w:rsidRPr="00E47756">
              <w:rPr>
                <w:sz w:val="20"/>
              </w:rPr>
              <w:t xml:space="preserve">Medzi tieto oblastí môže patriť: </w:t>
            </w:r>
          </w:p>
          <w:p w14:paraId="5B1EF06D" w14:textId="77777777" w:rsidR="00E47756" w:rsidRPr="00E47756" w:rsidRDefault="00E47756" w:rsidP="003826CE">
            <w:pPr>
              <w:numPr>
                <w:ilvl w:val="0"/>
                <w:numId w:val="15"/>
              </w:numPr>
              <w:spacing w:after="0" w:line="240" w:lineRule="auto"/>
              <w:ind w:left="57" w:right="57"/>
            </w:pPr>
            <w:r w:rsidRPr="00E47756">
              <w:rPr>
                <w:sz w:val="20"/>
              </w:rPr>
              <w:t xml:space="preserve">cezhraničné poskytovanie služieb centrálnych depozitárov cenných papierov v rámci Únie a vybavovanie príslušných žiadostí; </w:t>
            </w:r>
          </w:p>
          <w:p w14:paraId="4CFA75EA" w14:textId="77777777" w:rsidR="00E47756" w:rsidRPr="00E47756" w:rsidRDefault="00E47756" w:rsidP="003826CE">
            <w:pPr>
              <w:numPr>
                <w:ilvl w:val="0"/>
                <w:numId w:val="15"/>
              </w:numPr>
              <w:spacing w:after="0" w:line="240" w:lineRule="auto"/>
              <w:ind w:left="57" w:right="57"/>
            </w:pPr>
            <w:r w:rsidRPr="00E47756">
              <w:rPr>
                <w:sz w:val="20"/>
              </w:rPr>
              <w:lastRenderedPageBreak/>
              <w:t xml:space="preserve">postupy a podmienky, za ktorých boli centrálne depozitáre cenných papierov oprávnené určovať úverové inštitúcie alebo samy poskytovať doplnkové služby bankového typu; c) pravidlá týkajúce sa </w:t>
            </w:r>
            <w:proofErr w:type="spellStart"/>
            <w:r w:rsidRPr="00E47756">
              <w:rPr>
                <w:sz w:val="20"/>
              </w:rPr>
              <w:t>internalizovaného</w:t>
            </w:r>
            <w:proofErr w:type="spellEnd"/>
            <w:r w:rsidRPr="00E47756">
              <w:rPr>
                <w:sz w:val="20"/>
              </w:rPr>
              <w:t xml:space="preserve"> vyrovnania; </w:t>
            </w:r>
          </w:p>
          <w:p w14:paraId="3F8A7690" w14:textId="77777777" w:rsidR="00E47756" w:rsidRPr="00E47756" w:rsidRDefault="00E47756" w:rsidP="00E47756">
            <w:pPr>
              <w:spacing w:after="0" w:line="240" w:lineRule="auto"/>
              <w:ind w:left="57" w:right="57"/>
            </w:pPr>
            <w:r w:rsidRPr="00E47756">
              <w:rPr>
                <w:sz w:val="20"/>
              </w:rPr>
              <w:t xml:space="preserve">d) finančné technológie/využívanie technologických inovácií. </w:t>
            </w:r>
          </w:p>
          <w:p w14:paraId="3DF34303" w14:textId="77777777" w:rsidR="00E47756" w:rsidRPr="00E47756" w:rsidRDefault="00E47756" w:rsidP="00E47756">
            <w:pPr>
              <w:spacing w:after="0" w:line="240" w:lineRule="auto"/>
              <w:ind w:left="57" w:right="57"/>
              <w:rPr>
                <w:sz w:val="20"/>
              </w:rPr>
            </w:pPr>
            <w:r w:rsidRPr="00E47756">
              <w:rPr>
                <w:sz w:val="20"/>
              </w:rPr>
              <w:t>Plánovaný dátum prijatia: 2. štvrťrok 2021; legislatívna iniciatíva; právny základ: článok 114 ZFEÚ. Posúdenie vplyvu sa predpokladá.</w:t>
            </w:r>
          </w:p>
        </w:tc>
        <w:tc>
          <w:tcPr>
            <w:tcW w:w="2127" w:type="dxa"/>
            <w:tcBorders>
              <w:top w:val="single" w:sz="4" w:space="0" w:color="000000"/>
              <w:left w:val="single" w:sz="4" w:space="0" w:color="000000"/>
              <w:bottom w:val="single" w:sz="4" w:space="0" w:color="000000"/>
              <w:right w:val="single" w:sz="4" w:space="0" w:color="000000"/>
            </w:tcBorders>
          </w:tcPr>
          <w:p w14:paraId="385E959E" w14:textId="77777777" w:rsidR="00E47756" w:rsidRPr="00E47756" w:rsidRDefault="00E47756" w:rsidP="00E47756">
            <w:pPr>
              <w:spacing w:after="0" w:line="240" w:lineRule="auto"/>
              <w:ind w:left="57" w:right="57"/>
              <w:jc w:val="center"/>
              <w:rPr>
                <w:b/>
                <w:sz w:val="20"/>
              </w:rPr>
            </w:pPr>
            <w:r w:rsidRPr="00E47756">
              <w:rPr>
                <w:b/>
                <w:sz w:val="20"/>
              </w:rPr>
              <w:lastRenderedPageBreak/>
              <w:t>MF SR</w:t>
            </w:r>
          </w:p>
        </w:tc>
        <w:tc>
          <w:tcPr>
            <w:tcW w:w="5670" w:type="dxa"/>
            <w:tcBorders>
              <w:top w:val="single" w:sz="4" w:space="0" w:color="000000"/>
              <w:left w:val="single" w:sz="4" w:space="0" w:color="000000"/>
              <w:bottom w:val="single" w:sz="4" w:space="0" w:color="000000"/>
              <w:right w:val="single" w:sz="4" w:space="0" w:color="000000"/>
            </w:tcBorders>
          </w:tcPr>
          <w:p w14:paraId="1F9EABD6" w14:textId="77777777" w:rsidR="00E47756" w:rsidRPr="00E47756" w:rsidRDefault="00E47756" w:rsidP="00E47756">
            <w:pPr>
              <w:spacing w:after="0" w:line="240" w:lineRule="auto"/>
              <w:ind w:left="57" w:right="57"/>
              <w:rPr>
                <w:sz w:val="20"/>
              </w:rPr>
            </w:pPr>
            <w:r w:rsidRPr="00E47756">
              <w:rPr>
                <w:b/>
                <w:sz w:val="20"/>
                <w:u w:val="single"/>
              </w:rPr>
              <w:t>Stredná priorita</w:t>
            </w:r>
            <w:r w:rsidRPr="00E47756">
              <w:rPr>
                <w:sz w:val="20"/>
              </w:rPr>
              <w:t xml:space="preserve"> – SR vo všeobecnosti podporuje návrh Európskej komisie týkajúci sa úprav nariadenia CSDR, predovšetkým z hľadiska zjednodušenia udeľovania povolení a uľahčenia cezhraničného poskytovania služieb centrálnymi depozitármi. </w:t>
            </w:r>
          </w:p>
          <w:p w14:paraId="2532F7A0" w14:textId="77777777" w:rsidR="00E47756" w:rsidRPr="00E47756" w:rsidRDefault="00E47756" w:rsidP="00E47756">
            <w:pPr>
              <w:spacing w:after="0" w:line="240" w:lineRule="auto"/>
              <w:ind w:left="57" w:right="57"/>
              <w:rPr>
                <w:sz w:val="20"/>
              </w:rPr>
            </w:pPr>
          </w:p>
        </w:tc>
      </w:tr>
      <w:tr w:rsidR="00E47756" w:rsidRPr="00E47756" w14:paraId="6D6590C3" w14:textId="77777777" w:rsidTr="001A4016">
        <w:tblPrEx>
          <w:tblCellMar>
            <w:top w:w="37" w:type="dxa"/>
            <w:left w:w="0" w:type="dxa"/>
          </w:tblCellMar>
        </w:tblPrEx>
        <w:trPr>
          <w:trHeight w:val="688"/>
        </w:trPr>
        <w:tc>
          <w:tcPr>
            <w:tcW w:w="447" w:type="dxa"/>
            <w:tcBorders>
              <w:top w:val="single" w:sz="4" w:space="0" w:color="000000"/>
              <w:left w:val="single" w:sz="4" w:space="0" w:color="000000"/>
              <w:bottom w:val="single" w:sz="4" w:space="0" w:color="000000"/>
              <w:right w:val="single" w:sz="4" w:space="0" w:color="000000"/>
            </w:tcBorders>
          </w:tcPr>
          <w:p w14:paraId="0C4C3687" w14:textId="77777777" w:rsidR="00E47756" w:rsidRPr="00E47756" w:rsidRDefault="00E47756" w:rsidP="00E47756">
            <w:pPr>
              <w:spacing w:after="0" w:line="240" w:lineRule="auto"/>
              <w:ind w:left="57" w:right="57"/>
              <w:jc w:val="center"/>
            </w:pPr>
            <w:r w:rsidRPr="00E47756">
              <w:rPr>
                <w:sz w:val="20"/>
              </w:rPr>
              <w:t>29.</w:t>
            </w:r>
          </w:p>
        </w:tc>
        <w:tc>
          <w:tcPr>
            <w:tcW w:w="2976" w:type="dxa"/>
            <w:tcBorders>
              <w:top w:val="single" w:sz="4" w:space="0" w:color="000000"/>
              <w:left w:val="single" w:sz="4" w:space="0" w:color="000000"/>
              <w:bottom w:val="single" w:sz="4" w:space="0" w:color="000000"/>
              <w:right w:val="single" w:sz="4" w:space="0" w:color="000000"/>
            </w:tcBorders>
          </w:tcPr>
          <w:p w14:paraId="62D49535" w14:textId="77777777" w:rsidR="00E47756" w:rsidRPr="00E47756" w:rsidRDefault="00E47756" w:rsidP="00E47756">
            <w:pPr>
              <w:spacing w:after="0" w:line="240" w:lineRule="auto"/>
              <w:ind w:left="57" w:right="57"/>
            </w:pPr>
            <w:r w:rsidRPr="00E47756">
              <w:rPr>
                <w:b/>
                <w:sz w:val="20"/>
              </w:rPr>
              <w:t xml:space="preserve">Hodnotenie troch nariadení o právach cestujúcich: o právach zdravotne postihnutých osôb a osôb so zníženou pohyblivosťou v leteckej doprave [nariadenie (ES) č. 1107/2006], o právach cestujúcich v námornej a vnútrozemskej vodnej doprave [nariadenie (EÚ) č. 1177/2010] a o právach cestujúcich v autobusovej a autokarovej doprave </w:t>
            </w:r>
          </w:p>
          <w:p w14:paraId="106D0CFD" w14:textId="77777777" w:rsidR="00E47756" w:rsidRPr="00E47756" w:rsidRDefault="00E47756" w:rsidP="00E47756">
            <w:pPr>
              <w:spacing w:after="0" w:line="240" w:lineRule="auto"/>
              <w:ind w:left="57" w:right="57"/>
            </w:pPr>
            <w:r w:rsidRPr="00E47756">
              <w:rPr>
                <w:b/>
                <w:sz w:val="20"/>
              </w:rPr>
              <w:t xml:space="preserve">[nariadenie (EÚ) č. 181/2011] </w:t>
            </w:r>
          </w:p>
        </w:tc>
        <w:tc>
          <w:tcPr>
            <w:tcW w:w="3402" w:type="dxa"/>
            <w:gridSpan w:val="2"/>
            <w:tcBorders>
              <w:top w:val="single" w:sz="4" w:space="0" w:color="000000"/>
              <w:left w:val="single" w:sz="4" w:space="0" w:color="000000"/>
              <w:bottom w:val="single" w:sz="4" w:space="0" w:color="000000"/>
              <w:right w:val="single" w:sz="4" w:space="0" w:color="000000"/>
            </w:tcBorders>
          </w:tcPr>
          <w:p w14:paraId="42980D9E" w14:textId="77777777" w:rsidR="00E47756" w:rsidRPr="00E47756" w:rsidRDefault="00E47756" w:rsidP="00E47756">
            <w:pPr>
              <w:spacing w:after="0" w:line="240" w:lineRule="auto"/>
              <w:ind w:left="57" w:right="57"/>
            </w:pPr>
            <w:r w:rsidRPr="00E47756">
              <w:rPr>
                <w:sz w:val="20"/>
              </w:rPr>
              <w:t xml:space="preserve">Na základe záverov hodnotenia, štúdie zameranej na porovnávaciu analýzu osvedčených postupov v oblasti práv cestujúcich vo všetkých druhoch dopravy, výsledku prebiehajúcich legislatívnych postupov v oblasti práv cestujúcich v železničnej a leteckej doprave a zohľadnenia poučení z pandémie ochorenia </w:t>
            </w:r>
            <w:r w:rsidR="00C00726">
              <w:rPr>
                <w:sz w:val="20"/>
              </w:rPr>
              <w:t>COVID</w:t>
            </w:r>
            <w:r w:rsidRPr="00E47756">
              <w:rPr>
                <w:sz w:val="20"/>
              </w:rPr>
              <w:t xml:space="preserve">-19 v oblasti práv cestujúcich. </w:t>
            </w:r>
          </w:p>
        </w:tc>
        <w:tc>
          <w:tcPr>
            <w:tcW w:w="2127" w:type="dxa"/>
            <w:tcBorders>
              <w:top w:val="single" w:sz="4" w:space="0" w:color="000000"/>
              <w:left w:val="single" w:sz="4" w:space="0" w:color="000000"/>
              <w:bottom w:val="single" w:sz="4" w:space="0" w:color="000000"/>
              <w:right w:val="single" w:sz="4" w:space="0" w:color="000000"/>
            </w:tcBorders>
          </w:tcPr>
          <w:p w14:paraId="5E4F39B8" w14:textId="77777777" w:rsidR="00E47756" w:rsidRPr="00E47756" w:rsidRDefault="00E47756" w:rsidP="00E47756">
            <w:pPr>
              <w:spacing w:after="0"/>
              <w:ind w:left="57" w:right="57"/>
              <w:jc w:val="center"/>
              <w:rPr>
                <w:b/>
                <w:sz w:val="20"/>
              </w:rPr>
            </w:pPr>
            <w:r w:rsidRPr="00E47756">
              <w:rPr>
                <w:b/>
                <w:sz w:val="20"/>
              </w:rPr>
              <w:t>MDV SR</w:t>
            </w:r>
          </w:p>
          <w:p w14:paraId="20662116" w14:textId="77777777" w:rsidR="00E47756" w:rsidRPr="00E47756" w:rsidRDefault="00E47756" w:rsidP="00E47756">
            <w:pPr>
              <w:spacing w:after="0"/>
              <w:ind w:left="57" w:right="57"/>
              <w:rPr>
                <w:sz w:val="20"/>
              </w:rPr>
            </w:pPr>
            <w:r w:rsidRPr="00E47756">
              <w:rPr>
                <w:b/>
                <w:sz w:val="20"/>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09100949" w14:textId="77777777" w:rsidR="00E47756" w:rsidRPr="00E47756" w:rsidRDefault="00E47756" w:rsidP="00E47756">
            <w:pPr>
              <w:spacing w:after="0" w:line="240" w:lineRule="auto"/>
              <w:ind w:left="57" w:right="57"/>
              <w:rPr>
                <w:sz w:val="20"/>
              </w:rPr>
            </w:pPr>
            <w:r w:rsidRPr="00E47756">
              <w:rPr>
                <w:b/>
                <w:sz w:val="20"/>
                <w:u w:val="single"/>
              </w:rPr>
              <w:t>Stredná priorita</w:t>
            </w:r>
            <w:r w:rsidRPr="00E47756">
              <w:rPr>
                <w:sz w:val="20"/>
              </w:rPr>
              <w:t xml:space="preserve"> –</w:t>
            </w:r>
          </w:p>
          <w:p w14:paraId="4740E327" w14:textId="77777777" w:rsidR="00E47756" w:rsidRPr="00E47756" w:rsidRDefault="00E47756" w:rsidP="00E47756">
            <w:pPr>
              <w:spacing w:after="0" w:line="240" w:lineRule="auto"/>
              <w:ind w:left="57" w:right="57"/>
              <w:rPr>
                <w:color w:val="auto"/>
                <w:sz w:val="20"/>
                <w:szCs w:val="20"/>
              </w:rPr>
            </w:pPr>
            <w:r w:rsidRPr="00E47756">
              <w:rPr>
                <w:color w:val="auto"/>
                <w:sz w:val="20"/>
                <w:szCs w:val="20"/>
                <w:u w:val="single"/>
              </w:rPr>
              <w:t>Letecká doprava:</w:t>
            </w:r>
            <w:r w:rsidRPr="00E47756">
              <w:rPr>
                <w:color w:val="auto"/>
                <w:sz w:val="20"/>
                <w:szCs w:val="20"/>
              </w:rPr>
              <w:t xml:space="preserve"> SR sa snaží poukázať, že je rozdiel medzi jednotlivými prevádzkovateľmi letísk (v SR medzi jednotlivými letiskovými spoločnosťami), ako aj typmi lietadiel. Pri plánovanej revízii nie je niekedy možné brať do úvahy všetky typy zdravotných postihnutí, keďže nie je v reálnych možnostiach, aby prevádzkovatelia letísk boli pripravení adekvátne  na rozličné zdravotné postihnutia vzhľadom na veľkosť, druh prevádzky a prevádzkové výkony (Žilina napr. 19 zamestnancov).  </w:t>
            </w:r>
          </w:p>
          <w:p w14:paraId="1F571A66" w14:textId="77777777" w:rsidR="00E47756" w:rsidRPr="00E47756" w:rsidRDefault="00E47756" w:rsidP="00E47756">
            <w:pPr>
              <w:spacing w:after="0" w:line="240" w:lineRule="auto"/>
              <w:ind w:left="57" w:right="57"/>
              <w:rPr>
                <w:color w:val="auto"/>
                <w:sz w:val="20"/>
                <w:szCs w:val="20"/>
              </w:rPr>
            </w:pPr>
            <w:r w:rsidRPr="00E47756">
              <w:rPr>
                <w:sz w:val="20"/>
                <w:u w:val="single"/>
              </w:rPr>
              <w:t>Námorná a vnútrozemská vodná doprava:</w:t>
            </w:r>
            <w:r w:rsidRPr="00E47756">
              <w:rPr>
                <w:sz w:val="20"/>
              </w:rPr>
              <w:t xml:space="preserve"> V oblasti vnútrozemskej plavby je nariadenie vykonávané v zákone č. 338/2000 Z. z. o vnútrozemskej plavbe a o zmene a doplnení niektorých zákonov v znení neskorších predpisov. V prípade, že vplyvom hodnotenia dôjde k revízii nariadenia EÚ č. 1177/2010 MDV pristúpi (v prípade potreby) k novelizácii predmetného zákon. V oblasti námornej plavby MDV SR podporuje zámer pravidiel nariadenia, ktorých cieľom je nediskriminácia medzi cestujúcimi, pokiaľ ide o podmienky dopravy ponúkané dopravcami resp. nediskriminácie a pomoci zdravotne postihnutým osobám a osobám so zníženou pohyblivosťou. Nakoľko sa nariadenie uplatňuje vo vzťahu k cestujúcim</w:t>
            </w:r>
            <w:r w:rsidRPr="00E47756">
              <w:rPr>
                <w:color w:val="auto"/>
                <w:sz w:val="20"/>
                <w:szCs w:val="20"/>
              </w:rPr>
              <w:t xml:space="preserve"> </w:t>
            </w:r>
            <w:r w:rsidRPr="00E47756">
              <w:rPr>
                <w:sz w:val="20"/>
              </w:rPr>
              <w:t xml:space="preserve">v osobnej doprave, </w:t>
            </w:r>
            <w:r w:rsidRPr="00E47756">
              <w:rPr>
                <w:sz w:val="20"/>
              </w:rPr>
              <w:lastRenderedPageBreak/>
              <w:t>keď sa prístav nalodenia resp. vylodenia nachádza na území ČŠ a vzhľadom ku skutočnosti, že SR je vnútrozemským štátom, v oblasti námornej plavby podľa nariadenia (EÚ) č. 1177/2010 je bez možnosti priamej aplikácie a jeho vykonávania.</w:t>
            </w:r>
          </w:p>
          <w:p w14:paraId="6B9C7C9D" w14:textId="77777777" w:rsidR="00E47756" w:rsidRPr="00E47756" w:rsidRDefault="00E47756" w:rsidP="00E47756">
            <w:pPr>
              <w:spacing w:after="0" w:line="240" w:lineRule="auto"/>
              <w:ind w:left="57" w:right="57"/>
              <w:rPr>
                <w:sz w:val="20"/>
              </w:rPr>
            </w:pPr>
            <w:r w:rsidRPr="00E47756">
              <w:rPr>
                <w:sz w:val="20"/>
                <w:u w:val="single"/>
              </w:rPr>
              <w:t>Autobusová a autokarová doprava:</w:t>
            </w:r>
            <w:r w:rsidRPr="00E47756">
              <w:rPr>
                <w:sz w:val="20"/>
              </w:rPr>
              <w:t xml:space="preserve"> N</w:t>
            </w:r>
            <w:r w:rsidRPr="00E47756">
              <w:rPr>
                <w:sz w:val="20"/>
                <w:szCs w:val="20"/>
                <w:shd w:val="clear" w:color="auto" w:fill="FFFFFF"/>
              </w:rPr>
              <w:t>ariadenie Európskeho parlamentu a Rady (EÚ) č. 181/2011 je vykonávané zákonom č. 56/2012 Z. z. o cestnej doprave v znení neskorších predpisov pričom sťažnosti a reklamácie na plnenie záväzkov z prepravného poriadku a ich vybavovanie dopravcom podľa reklamačného poriadku preskúmava Slovenská obchodná inšpekcia. V prípade, ak existujú osvedčené postupy alebo nové poznatky v súvislosti s právami cestujúcich je dobré, aby boli zavedené v primeranej forme do aplikačnej praxe.</w:t>
            </w:r>
          </w:p>
        </w:tc>
      </w:tr>
      <w:tr w:rsidR="00E47756" w:rsidRPr="00E47756" w14:paraId="72AF0061" w14:textId="77777777" w:rsidTr="001A4016">
        <w:tblPrEx>
          <w:tblCellMar>
            <w:top w:w="37" w:type="dxa"/>
            <w:left w:w="0" w:type="dxa"/>
          </w:tblCellMar>
        </w:tblPrEx>
        <w:trPr>
          <w:trHeight w:val="954"/>
        </w:trPr>
        <w:tc>
          <w:tcPr>
            <w:tcW w:w="447" w:type="dxa"/>
            <w:tcBorders>
              <w:top w:val="single" w:sz="4" w:space="0" w:color="000000"/>
              <w:left w:val="single" w:sz="4" w:space="0" w:color="000000"/>
              <w:bottom w:val="single" w:sz="4" w:space="0" w:color="auto"/>
              <w:right w:val="single" w:sz="4" w:space="0" w:color="000000"/>
            </w:tcBorders>
          </w:tcPr>
          <w:p w14:paraId="6C6F813F" w14:textId="77777777" w:rsidR="00E47756" w:rsidRPr="00E47756" w:rsidRDefault="00E47756" w:rsidP="00E47756">
            <w:pPr>
              <w:spacing w:after="0" w:line="240" w:lineRule="auto"/>
              <w:ind w:left="57" w:right="57"/>
              <w:jc w:val="center"/>
            </w:pPr>
            <w:r w:rsidRPr="00E47756">
              <w:rPr>
                <w:sz w:val="20"/>
              </w:rPr>
              <w:lastRenderedPageBreak/>
              <w:t>30.</w:t>
            </w:r>
          </w:p>
        </w:tc>
        <w:tc>
          <w:tcPr>
            <w:tcW w:w="2976" w:type="dxa"/>
            <w:tcBorders>
              <w:top w:val="single" w:sz="4" w:space="0" w:color="000000"/>
              <w:left w:val="single" w:sz="4" w:space="0" w:color="000000"/>
              <w:bottom w:val="single" w:sz="4" w:space="0" w:color="auto"/>
              <w:right w:val="single" w:sz="4" w:space="0" w:color="000000"/>
            </w:tcBorders>
          </w:tcPr>
          <w:p w14:paraId="0CBE4A32" w14:textId="77777777" w:rsidR="00E47756" w:rsidRPr="00E47756" w:rsidRDefault="00E47756" w:rsidP="00E47756">
            <w:pPr>
              <w:spacing w:after="0" w:line="240" w:lineRule="auto"/>
              <w:ind w:left="57" w:right="57"/>
            </w:pPr>
            <w:r w:rsidRPr="00E47756">
              <w:rPr>
                <w:b/>
                <w:sz w:val="20"/>
              </w:rPr>
              <w:t xml:space="preserve">Priebežné hodnotenie vykonávania Colného kódexu Únie  </w:t>
            </w:r>
          </w:p>
        </w:tc>
        <w:tc>
          <w:tcPr>
            <w:tcW w:w="3402" w:type="dxa"/>
            <w:gridSpan w:val="2"/>
            <w:tcBorders>
              <w:top w:val="single" w:sz="4" w:space="0" w:color="000000"/>
              <w:left w:val="single" w:sz="4" w:space="0" w:color="000000"/>
              <w:bottom w:val="single" w:sz="4" w:space="0" w:color="auto"/>
              <w:right w:val="single" w:sz="4" w:space="0" w:color="000000"/>
            </w:tcBorders>
          </w:tcPr>
          <w:p w14:paraId="7B3120D3" w14:textId="77777777" w:rsidR="00E47756" w:rsidRPr="00E47756" w:rsidRDefault="00E47756" w:rsidP="00E47756">
            <w:pPr>
              <w:spacing w:after="0" w:line="240" w:lineRule="auto"/>
              <w:ind w:left="57" w:right="57"/>
              <w:rPr>
                <w:sz w:val="20"/>
              </w:rPr>
            </w:pPr>
            <w:r w:rsidRPr="00E47756">
              <w:rPr>
                <w:sz w:val="20"/>
              </w:rPr>
              <w:t xml:space="preserve">V hodnotení sa komplexne posúdi vykonávanie a vplyv právneho a informačno-technologického rámca CKÚ na úrovni EÚ, ako aj na úrovni členských štátov, a to od nadobudnutia účinnosti v roku 2016. Cieľom CKÚ je okrem iného zjednodušiť colné pravidlá, postupy a procesy, dosiahnuť úplne elektronické prostredie a posilniť právnu istotu a predvídateľnosť colných pravidiel. V hodnotení sa posúdi rovnováha medzi colnými kontrolami a uľahčením obchodu, ako aj to, do akej miery súčasné pravidlá podporujú legitímnu hospodársku činnosť a zabraňujú nekalému alebo nezákonnému obchodu. Pokiaľ ide o systémy IT, v štúdii by sa malo posúdiť, či automatizované procesy stanovené v balíku CKÚ umožnili posilnenú </w:t>
            </w:r>
            <w:r w:rsidRPr="00E47756">
              <w:rPr>
                <w:sz w:val="20"/>
              </w:rPr>
              <w:lastRenderedPageBreak/>
              <w:t xml:space="preserve">spoluprácu medzi colnými orgánmi a </w:t>
            </w:r>
            <w:proofErr w:type="spellStart"/>
            <w:r w:rsidRPr="00E47756">
              <w:rPr>
                <w:sz w:val="20"/>
              </w:rPr>
              <w:t>interoperabilitu</w:t>
            </w:r>
            <w:proofErr w:type="spellEnd"/>
            <w:r w:rsidRPr="00E47756">
              <w:rPr>
                <w:sz w:val="20"/>
              </w:rPr>
              <w:t xml:space="preserve"> medzi rôznymi elektronickými systémami. Hodnotenie sa pokúsi posúdiť všetky náklady na vykonávanie CKÚ, a to spolu s jeho elektronickými systémami, ako aj výhody bezpečnejšieho obchodu, ktorý bude vo väčšom súlade s predpismi, a rýchlejších postupov. Tieto dve kritériá by sa potom mali porovnať, aby sa mohol posúdiť tento pomer a zhodnotiť pomer ceny a kvality. V tomto posúdení by mali byť zahrnuté regulačné náklady a prínosy spojené s vykonávaním a uplatňovaním CKÚ pre všetky príslušné zainteresované strany (náklady na dodržiavanie predpisov, administratívne náklady, administratívna záťaž, prínosy, úspory), ako aj potenciál ďalšieho zjednodušenia a zníženia záťaže, ktoré by však neohrozili colné ciele. </w:t>
            </w:r>
          </w:p>
          <w:p w14:paraId="26C5357E" w14:textId="77777777" w:rsidR="00E47756" w:rsidRDefault="00E47756" w:rsidP="00E47756">
            <w:pPr>
              <w:spacing w:after="0" w:line="240" w:lineRule="auto"/>
              <w:ind w:left="57" w:right="57"/>
              <w:rPr>
                <w:sz w:val="20"/>
              </w:rPr>
            </w:pPr>
          </w:p>
          <w:p w14:paraId="76A1D98B" w14:textId="77777777" w:rsidR="00653E13" w:rsidRDefault="00653E13" w:rsidP="00E47756">
            <w:pPr>
              <w:spacing w:after="0" w:line="240" w:lineRule="auto"/>
              <w:ind w:left="57" w:right="57"/>
              <w:rPr>
                <w:sz w:val="20"/>
              </w:rPr>
            </w:pPr>
          </w:p>
          <w:p w14:paraId="3A23A13B" w14:textId="77777777" w:rsidR="00653E13" w:rsidRDefault="00653E13" w:rsidP="00E47756">
            <w:pPr>
              <w:spacing w:after="0" w:line="240" w:lineRule="auto"/>
              <w:ind w:left="57" w:right="57"/>
              <w:rPr>
                <w:sz w:val="20"/>
              </w:rPr>
            </w:pPr>
          </w:p>
          <w:p w14:paraId="03ED3878" w14:textId="77777777" w:rsidR="00653E13" w:rsidRDefault="00653E13" w:rsidP="00E47756">
            <w:pPr>
              <w:spacing w:after="0" w:line="240" w:lineRule="auto"/>
              <w:ind w:left="57" w:right="57"/>
              <w:rPr>
                <w:sz w:val="20"/>
              </w:rPr>
            </w:pPr>
          </w:p>
          <w:p w14:paraId="3E9BF383" w14:textId="77777777" w:rsidR="00653E13" w:rsidRDefault="00653E13" w:rsidP="00E47756">
            <w:pPr>
              <w:spacing w:after="0" w:line="240" w:lineRule="auto"/>
              <w:ind w:left="57" w:right="57"/>
              <w:rPr>
                <w:sz w:val="20"/>
              </w:rPr>
            </w:pPr>
          </w:p>
          <w:p w14:paraId="7FD9D0F6" w14:textId="77777777" w:rsidR="00653E13" w:rsidRPr="00E47756" w:rsidRDefault="00653E13" w:rsidP="00E47756">
            <w:pPr>
              <w:spacing w:after="0" w:line="240" w:lineRule="auto"/>
              <w:ind w:left="57" w:right="57"/>
              <w:rPr>
                <w:sz w:val="20"/>
              </w:rPr>
            </w:pPr>
          </w:p>
          <w:p w14:paraId="62326E8B" w14:textId="77777777" w:rsidR="00E47756" w:rsidRPr="00E47756" w:rsidRDefault="00E47756" w:rsidP="00E47756">
            <w:pPr>
              <w:spacing w:after="0" w:line="240" w:lineRule="auto"/>
              <w:ind w:left="57" w:right="57"/>
              <w:rPr>
                <w:sz w:val="20"/>
              </w:rPr>
            </w:pPr>
          </w:p>
          <w:p w14:paraId="43C7AA08" w14:textId="77777777" w:rsidR="00E47756" w:rsidRPr="00E47756" w:rsidRDefault="00E47756" w:rsidP="00E47756">
            <w:pPr>
              <w:spacing w:after="0" w:line="240" w:lineRule="auto"/>
              <w:ind w:left="57" w:right="57"/>
              <w:rPr>
                <w:sz w:val="20"/>
              </w:rPr>
            </w:pPr>
          </w:p>
          <w:p w14:paraId="5DD2BF15" w14:textId="77777777" w:rsidR="00E47756" w:rsidRPr="00E47756" w:rsidRDefault="00E47756" w:rsidP="00E47756">
            <w:pPr>
              <w:spacing w:after="0" w:line="240" w:lineRule="auto"/>
              <w:ind w:left="57" w:right="57"/>
              <w:rPr>
                <w:sz w:val="20"/>
              </w:rPr>
            </w:pPr>
          </w:p>
          <w:p w14:paraId="78F98216" w14:textId="77777777" w:rsidR="00E47756" w:rsidRPr="00E47756" w:rsidRDefault="00E47756" w:rsidP="00E47756">
            <w:pPr>
              <w:spacing w:after="0" w:line="240" w:lineRule="auto"/>
              <w:ind w:left="57" w:right="57"/>
              <w:rPr>
                <w:sz w:val="20"/>
              </w:rPr>
            </w:pPr>
          </w:p>
          <w:p w14:paraId="170070B1" w14:textId="77777777" w:rsidR="00E47756" w:rsidRPr="00E47756" w:rsidRDefault="00E47756" w:rsidP="00E47756">
            <w:pPr>
              <w:spacing w:after="0" w:line="240" w:lineRule="auto"/>
              <w:ind w:left="57" w:right="57"/>
            </w:pPr>
          </w:p>
        </w:tc>
        <w:tc>
          <w:tcPr>
            <w:tcW w:w="2127" w:type="dxa"/>
            <w:tcBorders>
              <w:top w:val="single" w:sz="4" w:space="0" w:color="000000"/>
              <w:left w:val="single" w:sz="4" w:space="0" w:color="000000"/>
              <w:bottom w:val="single" w:sz="4" w:space="0" w:color="auto"/>
              <w:right w:val="single" w:sz="4" w:space="0" w:color="000000"/>
            </w:tcBorders>
          </w:tcPr>
          <w:p w14:paraId="06F002F5" w14:textId="77777777" w:rsidR="00E47756" w:rsidRPr="00E47756" w:rsidRDefault="00E47756" w:rsidP="00E47756">
            <w:pPr>
              <w:spacing w:after="0"/>
              <w:ind w:left="57" w:right="57"/>
              <w:jc w:val="center"/>
              <w:rPr>
                <w:b/>
                <w:sz w:val="20"/>
              </w:rPr>
            </w:pPr>
            <w:r w:rsidRPr="00E47756">
              <w:rPr>
                <w:b/>
                <w:sz w:val="20"/>
              </w:rPr>
              <w:lastRenderedPageBreak/>
              <w:t>MF SR</w:t>
            </w:r>
          </w:p>
        </w:tc>
        <w:tc>
          <w:tcPr>
            <w:tcW w:w="5670" w:type="dxa"/>
            <w:tcBorders>
              <w:top w:val="single" w:sz="4" w:space="0" w:color="000000"/>
              <w:left w:val="single" w:sz="4" w:space="0" w:color="000000"/>
              <w:bottom w:val="single" w:sz="4" w:space="0" w:color="auto"/>
              <w:right w:val="single" w:sz="4" w:space="0" w:color="000000"/>
            </w:tcBorders>
          </w:tcPr>
          <w:p w14:paraId="40AE1D83" w14:textId="77777777" w:rsidR="00E47756" w:rsidRPr="00E47756" w:rsidRDefault="00E47756" w:rsidP="00E47756">
            <w:pPr>
              <w:spacing w:after="0" w:line="240" w:lineRule="auto"/>
              <w:ind w:left="57" w:right="57"/>
              <w:rPr>
                <w:sz w:val="20"/>
              </w:rPr>
            </w:pPr>
            <w:r w:rsidRPr="00E47756">
              <w:rPr>
                <w:b/>
                <w:sz w:val="20"/>
                <w:u w:val="single"/>
              </w:rPr>
              <w:t>Vysoká priorita</w:t>
            </w:r>
            <w:r w:rsidRPr="00E47756">
              <w:rPr>
                <w:sz w:val="20"/>
              </w:rPr>
              <w:t xml:space="preserve"> – Štúdiu k uvedeným hodnoteniam pripravuje pre EK externá firma, ktorá oslovila jednotlivé členské štáty so žiadosťou o vyplnenie dotazníka. Dotazník v Slovenskej republike vypĺňa Finančné riaditeľstvo SR.</w:t>
            </w:r>
          </w:p>
        </w:tc>
      </w:tr>
      <w:tr w:rsidR="00E47756" w:rsidRPr="00E47756" w14:paraId="5AD1C093" w14:textId="77777777" w:rsidTr="001A4016">
        <w:tblPrEx>
          <w:tblCellMar>
            <w:top w:w="37" w:type="dxa"/>
            <w:left w:w="0" w:type="dxa"/>
          </w:tblCellMar>
        </w:tblPrEx>
        <w:trPr>
          <w:trHeight w:val="451"/>
        </w:trPr>
        <w:tc>
          <w:tcPr>
            <w:tcW w:w="6825" w:type="dxa"/>
            <w:gridSpan w:val="4"/>
            <w:tcBorders>
              <w:top w:val="single" w:sz="4" w:space="0" w:color="auto"/>
              <w:left w:val="single" w:sz="4" w:space="0" w:color="000000"/>
              <w:bottom w:val="single" w:sz="4" w:space="0" w:color="000000"/>
              <w:right w:val="single" w:sz="4" w:space="0" w:color="000000"/>
            </w:tcBorders>
            <w:shd w:val="clear" w:color="auto" w:fill="DA5C57"/>
            <w:vAlign w:val="center"/>
          </w:tcPr>
          <w:p w14:paraId="3EAE889E" w14:textId="77777777" w:rsidR="00E47756" w:rsidRPr="00E47756" w:rsidRDefault="00E47756" w:rsidP="00E47756">
            <w:pPr>
              <w:spacing w:after="0"/>
              <w:ind w:left="26"/>
            </w:pPr>
            <w:r w:rsidRPr="00E47756">
              <w:rPr>
                <w:b/>
                <w:color w:val="FFFFFF"/>
                <w:sz w:val="20"/>
              </w:rPr>
              <w:lastRenderedPageBreak/>
              <w:t>Podpora európskeho spôsobu života</w:t>
            </w:r>
            <w:r w:rsidRPr="00E47756">
              <w:rPr>
                <w:b/>
                <w:sz w:val="20"/>
              </w:rPr>
              <w:t xml:space="preserve"> </w:t>
            </w:r>
          </w:p>
        </w:tc>
        <w:tc>
          <w:tcPr>
            <w:tcW w:w="2127" w:type="dxa"/>
            <w:tcBorders>
              <w:top w:val="single" w:sz="4" w:space="0" w:color="auto"/>
              <w:left w:val="single" w:sz="4" w:space="0" w:color="000000"/>
              <w:bottom w:val="single" w:sz="4" w:space="0" w:color="000000"/>
              <w:right w:val="single" w:sz="4" w:space="0" w:color="000000"/>
            </w:tcBorders>
            <w:shd w:val="clear" w:color="auto" w:fill="DA5C57"/>
          </w:tcPr>
          <w:p w14:paraId="48BBE725" w14:textId="77777777" w:rsidR="00E47756" w:rsidRPr="00E47756" w:rsidRDefault="00E47756" w:rsidP="00E47756">
            <w:pPr>
              <w:spacing w:after="0"/>
              <w:ind w:left="26"/>
              <w:rPr>
                <w:b/>
                <w:color w:val="FFFFFF"/>
                <w:sz w:val="20"/>
              </w:rPr>
            </w:pPr>
          </w:p>
        </w:tc>
        <w:tc>
          <w:tcPr>
            <w:tcW w:w="5670" w:type="dxa"/>
            <w:tcBorders>
              <w:top w:val="single" w:sz="4" w:space="0" w:color="auto"/>
              <w:left w:val="single" w:sz="4" w:space="0" w:color="000000"/>
              <w:bottom w:val="single" w:sz="4" w:space="0" w:color="000000"/>
              <w:right w:val="single" w:sz="4" w:space="0" w:color="000000"/>
            </w:tcBorders>
            <w:shd w:val="clear" w:color="auto" w:fill="DA5C57"/>
          </w:tcPr>
          <w:p w14:paraId="6B9F56CC" w14:textId="77777777" w:rsidR="00E47756" w:rsidRPr="00E47756" w:rsidRDefault="00E47756" w:rsidP="00E47756">
            <w:pPr>
              <w:spacing w:after="0"/>
              <w:ind w:left="26"/>
              <w:rPr>
                <w:b/>
                <w:color w:val="FFFFFF"/>
                <w:sz w:val="20"/>
              </w:rPr>
            </w:pPr>
          </w:p>
        </w:tc>
      </w:tr>
      <w:tr w:rsidR="00E47756" w:rsidRPr="00E47756" w14:paraId="6CB3DC01" w14:textId="77777777" w:rsidTr="001A4016">
        <w:tblPrEx>
          <w:tblCellMar>
            <w:top w:w="37" w:type="dxa"/>
            <w:left w:w="0" w:type="dxa"/>
          </w:tblCellMar>
        </w:tblPrEx>
        <w:trPr>
          <w:trHeight w:val="1239"/>
        </w:trPr>
        <w:tc>
          <w:tcPr>
            <w:tcW w:w="447" w:type="dxa"/>
            <w:tcBorders>
              <w:top w:val="single" w:sz="4" w:space="0" w:color="000000"/>
              <w:left w:val="single" w:sz="4" w:space="0" w:color="000000"/>
              <w:bottom w:val="single" w:sz="4" w:space="0" w:color="000000"/>
              <w:right w:val="single" w:sz="4" w:space="0" w:color="000000"/>
            </w:tcBorders>
          </w:tcPr>
          <w:p w14:paraId="3BD5B9F8" w14:textId="77777777" w:rsidR="00E47756" w:rsidRPr="00E47756" w:rsidRDefault="00E47756" w:rsidP="00E47756">
            <w:pPr>
              <w:spacing w:after="0" w:line="240" w:lineRule="auto"/>
              <w:ind w:left="57" w:right="57"/>
              <w:jc w:val="center"/>
            </w:pPr>
            <w:r w:rsidRPr="00E47756">
              <w:rPr>
                <w:sz w:val="20"/>
              </w:rPr>
              <w:t>31.</w:t>
            </w:r>
          </w:p>
        </w:tc>
        <w:tc>
          <w:tcPr>
            <w:tcW w:w="2976" w:type="dxa"/>
            <w:tcBorders>
              <w:top w:val="single" w:sz="4" w:space="0" w:color="000000"/>
              <w:left w:val="single" w:sz="4" w:space="0" w:color="000000"/>
              <w:bottom w:val="single" w:sz="4" w:space="0" w:color="000000"/>
              <w:right w:val="single" w:sz="4" w:space="0" w:color="000000"/>
            </w:tcBorders>
          </w:tcPr>
          <w:p w14:paraId="114C2E85" w14:textId="77777777" w:rsidR="00E47756" w:rsidRPr="00E47756" w:rsidRDefault="00E47756" w:rsidP="00E47756">
            <w:pPr>
              <w:spacing w:after="0" w:line="240" w:lineRule="auto"/>
              <w:ind w:left="57" w:right="57"/>
            </w:pPr>
            <w:r w:rsidRPr="00E47756">
              <w:rPr>
                <w:b/>
                <w:sz w:val="20"/>
              </w:rPr>
              <w:t xml:space="preserve">Revízia smernice 2003/109/ES o osobách s dlhodobým pobytom  </w:t>
            </w:r>
          </w:p>
        </w:tc>
        <w:tc>
          <w:tcPr>
            <w:tcW w:w="3402" w:type="dxa"/>
            <w:gridSpan w:val="2"/>
            <w:tcBorders>
              <w:top w:val="single" w:sz="4" w:space="0" w:color="000000"/>
              <w:left w:val="single" w:sz="4" w:space="0" w:color="000000"/>
              <w:bottom w:val="single" w:sz="4" w:space="0" w:color="000000"/>
              <w:right w:val="single" w:sz="4" w:space="0" w:color="000000"/>
            </w:tcBorders>
          </w:tcPr>
          <w:p w14:paraId="32A16C79" w14:textId="77777777" w:rsidR="00E47756" w:rsidRPr="00E47756" w:rsidRDefault="00E47756" w:rsidP="00E47756">
            <w:pPr>
              <w:spacing w:after="0" w:line="240" w:lineRule="auto"/>
              <w:ind w:left="57" w:right="57"/>
            </w:pPr>
            <w:r w:rsidRPr="00E47756">
              <w:rPr>
                <w:sz w:val="20"/>
              </w:rPr>
              <w:t xml:space="preserve">V nadväznosti na kontrolu vhodnosti v oblasti legálnej migrácie z roku 2019 bude cieľom revízie smernice o osobách s dlhodobým pobytom zvýšiť jej účinnosť, najmä pokiaľ ide o práva na mobilitu v rámci EÚ. </w:t>
            </w:r>
          </w:p>
          <w:p w14:paraId="75CB34B9" w14:textId="77777777" w:rsidR="00E47756" w:rsidRPr="00E47756" w:rsidRDefault="00E47756" w:rsidP="00E47756">
            <w:pPr>
              <w:spacing w:after="0" w:line="240" w:lineRule="auto"/>
              <w:ind w:left="57" w:right="57"/>
              <w:rPr>
                <w:sz w:val="20"/>
              </w:rPr>
            </w:pPr>
            <w:r w:rsidRPr="00E47756">
              <w:rPr>
                <w:sz w:val="20"/>
              </w:rPr>
              <w:t xml:space="preserve">Plánovaný dátum prijatia: 3. štvrťrok 2021; legislatívna iniciatíva; právny základ: článok 79 ods. 2 ZFEÚ. Posúdenie vplyvu sa predpokladá. </w:t>
            </w:r>
          </w:p>
        </w:tc>
        <w:tc>
          <w:tcPr>
            <w:tcW w:w="2127" w:type="dxa"/>
            <w:tcBorders>
              <w:top w:val="single" w:sz="4" w:space="0" w:color="000000"/>
              <w:left w:val="single" w:sz="4" w:space="0" w:color="000000"/>
              <w:bottom w:val="single" w:sz="4" w:space="0" w:color="000000"/>
              <w:right w:val="single" w:sz="4" w:space="0" w:color="000000"/>
            </w:tcBorders>
          </w:tcPr>
          <w:p w14:paraId="34757A71" w14:textId="77777777" w:rsidR="00E47756" w:rsidRDefault="00E47756" w:rsidP="00E47756">
            <w:pPr>
              <w:spacing w:after="0" w:line="240" w:lineRule="auto"/>
              <w:ind w:left="57" w:right="57"/>
              <w:jc w:val="center"/>
              <w:rPr>
                <w:b/>
                <w:sz w:val="20"/>
              </w:rPr>
            </w:pPr>
            <w:r w:rsidRPr="00E47756">
              <w:rPr>
                <w:b/>
                <w:sz w:val="20"/>
              </w:rPr>
              <w:t>MV SR</w:t>
            </w:r>
          </w:p>
          <w:p w14:paraId="1E5091EB" w14:textId="77777777" w:rsidR="00AE3C6F" w:rsidRPr="001F600B" w:rsidRDefault="00AE3C6F" w:rsidP="00E47756">
            <w:pPr>
              <w:spacing w:after="0" w:line="240" w:lineRule="auto"/>
              <w:ind w:left="57" w:right="57"/>
              <w:jc w:val="center"/>
              <w:rPr>
                <w:b/>
                <w:sz w:val="20"/>
              </w:rPr>
            </w:pPr>
            <w:r w:rsidRPr="001F600B">
              <w:rPr>
                <w:b/>
                <w:sz w:val="20"/>
              </w:rPr>
              <w:t>MPSVR SR</w:t>
            </w:r>
          </w:p>
          <w:p w14:paraId="2CA85690" w14:textId="77777777" w:rsidR="00AE3C6F" w:rsidRPr="001F600B" w:rsidRDefault="00AE3C6F" w:rsidP="00E47756">
            <w:pPr>
              <w:spacing w:after="0" w:line="240" w:lineRule="auto"/>
              <w:ind w:left="57" w:right="57"/>
              <w:jc w:val="center"/>
              <w:rPr>
                <w:b/>
                <w:sz w:val="20"/>
              </w:rPr>
            </w:pPr>
            <w:r w:rsidRPr="001F600B">
              <w:rPr>
                <w:b/>
                <w:sz w:val="20"/>
              </w:rPr>
              <w:t>MZ SR</w:t>
            </w:r>
          </w:p>
          <w:p w14:paraId="0FB28416" w14:textId="3D85AD27" w:rsidR="00AE3C6F" w:rsidRPr="00E47756" w:rsidRDefault="00AE3C6F" w:rsidP="00E47756">
            <w:pPr>
              <w:spacing w:after="0" w:line="240" w:lineRule="auto"/>
              <w:ind w:left="57" w:right="57"/>
              <w:jc w:val="center"/>
              <w:rPr>
                <w:b/>
                <w:sz w:val="20"/>
              </w:rPr>
            </w:pPr>
            <w:r w:rsidRPr="001F600B">
              <w:rPr>
                <w:b/>
                <w:sz w:val="20"/>
              </w:rPr>
              <w:t>MŠVVaŠ SR</w:t>
            </w:r>
          </w:p>
        </w:tc>
        <w:tc>
          <w:tcPr>
            <w:tcW w:w="5670" w:type="dxa"/>
            <w:tcBorders>
              <w:top w:val="single" w:sz="4" w:space="0" w:color="000000"/>
              <w:left w:val="single" w:sz="4" w:space="0" w:color="000000"/>
              <w:bottom w:val="single" w:sz="4" w:space="0" w:color="000000"/>
              <w:right w:val="single" w:sz="4" w:space="0" w:color="000000"/>
            </w:tcBorders>
          </w:tcPr>
          <w:p w14:paraId="4E82029A" w14:textId="77777777" w:rsidR="00E47756" w:rsidRDefault="00291238" w:rsidP="00E47756">
            <w:pPr>
              <w:spacing w:after="0" w:line="240" w:lineRule="auto"/>
              <w:ind w:left="57" w:right="57"/>
              <w:rPr>
                <w:sz w:val="20"/>
              </w:rPr>
            </w:pPr>
            <w:r>
              <w:rPr>
                <w:b/>
                <w:sz w:val="20"/>
                <w:u w:val="single"/>
              </w:rPr>
              <w:t>Vysoká</w:t>
            </w:r>
            <w:r w:rsidR="00E47756" w:rsidRPr="00E47756">
              <w:rPr>
                <w:b/>
                <w:sz w:val="20"/>
                <w:u w:val="single"/>
              </w:rPr>
              <w:t xml:space="preserve"> priorita</w:t>
            </w:r>
            <w:r w:rsidR="00E47756" w:rsidRPr="00E47756">
              <w:rPr>
                <w:b/>
                <w:sz w:val="20"/>
              </w:rPr>
              <w:t xml:space="preserve"> -</w:t>
            </w:r>
            <w:r w:rsidR="00E47756" w:rsidRPr="00E47756">
              <w:rPr>
                <w:sz w:val="20"/>
              </w:rPr>
              <w:t xml:space="preserve">  </w:t>
            </w:r>
            <w:r>
              <w:rPr>
                <w:sz w:val="20"/>
              </w:rPr>
              <w:t>Revízia bude dôležitá pre zvýšenie účinnosti legislatívy z roku 2003, pre rozvoj mobility práv osôb s dlhodobým pobytom. Konečné stanovisko SR bude známe až po predložení návrhu.</w:t>
            </w:r>
          </w:p>
          <w:p w14:paraId="6CAABA24" w14:textId="77777777" w:rsidR="00291238" w:rsidRPr="00E47756" w:rsidRDefault="00291238" w:rsidP="00E47756">
            <w:pPr>
              <w:spacing w:after="0" w:line="240" w:lineRule="auto"/>
              <w:ind w:left="57" w:right="57"/>
              <w:rPr>
                <w:b/>
                <w:sz w:val="20"/>
              </w:rPr>
            </w:pPr>
          </w:p>
        </w:tc>
      </w:tr>
      <w:tr w:rsidR="00E47756" w:rsidRPr="00E47756" w14:paraId="717A3B40" w14:textId="77777777" w:rsidTr="001A4016">
        <w:tblPrEx>
          <w:tblCellMar>
            <w:top w:w="37" w:type="dxa"/>
            <w:left w:w="0" w:type="dxa"/>
          </w:tblCellMar>
        </w:tblPrEx>
        <w:trPr>
          <w:trHeight w:val="812"/>
        </w:trPr>
        <w:tc>
          <w:tcPr>
            <w:tcW w:w="447" w:type="dxa"/>
            <w:tcBorders>
              <w:top w:val="single" w:sz="4" w:space="0" w:color="000000"/>
              <w:left w:val="single" w:sz="4" w:space="0" w:color="000000"/>
              <w:bottom w:val="single" w:sz="4" w:space="0" w:color="000000"/>
              <w:right w:val="single" w:sz="4" w:space="0" w:color="000000"/>
            </w:tcBorders>
          </w:tcPr>
          <w:p w14:paraId="4B0C05FA" w14:textId="77777777" w:rsidR="00E47756" w:rsidRPr="00E47756" w:rsidRDefault="00E47756" w:rsidP="00E47756">
            <w:pPr>
              <w:spacing w:after="0" w:line="240" w:lineRule="auto"/>
              <w:ind w:left="57" w:right="57"/>
              <w:jc w:val="center"/>
            </w:pPr>
            <w:r w:rsidRPr="00E47756">
              <w:rPr>
                <w:sz w:val="20"/>
              </w:rPr>
              <w:t>32.</w:t>
            </w:r>
          </w:p>
        </w:tc>
        <w:tc>
          <w:tcPr>
            <w:tcW w:w="2976" w:type="dxa"/>
            <w:tcBorders>
              <w:top w:val="single" w:sz="4" w:space="0" w:color="000000"/>
              <w:left w:val="single" w:sz="4" w:space="0" w:color="000000"/>
              <w:bottom w:val="single" w:sz="4" w:space="0" w:color="000000"/>
              <w:right w:val="single" w:sz="4" w:space="0" w:color="000000"/>
            </w:tcBorders>
          </w:tcPr>
          <w:p w14:paraId="274E2C27" w14:textId="77777777" w:rsidR="00E47756" w:rsidRPr="00E47756" w:rsidRDefault="00E47756" w:rsidP="00E47756">
            <w:pPr>
              <w:spacing w:after="0" w:line="240" w:lineRule="auto"/>
              <w:ind w:left="57" w:right="57"/>
            </w:pPr>
            <w:r w:rsidRPr="00E47756">
              <w:rPr>
                <w:b/>
                <w:sz w:val="20"/>
              </w:rPr>
              <w:t xml:space="preserve">Revízia smernice 2011/98/EÚ o jednotnom povolení </w:t>
            </w:r>
          </w:p>
        </w:tc>
        <w:tc>
          <w:tcPr>
            <w:tcW w:w="3402" w:type="dxa"/>
            <w:gridSpan w:val="2"/>
            <w:tcBorders>
              <w:top w:val="single" w:sz="4" w:space="0" w:color="000000"/>
              <w:left w:val="single" w:sz="4" w:space="0" w:color="000000"/>
              <w:bottom w:val="single" w:sz="4" w:space="0" w:color="000000"/>
              <w:right w:val="single" w:sz="4" w:space="0" w:color="000000"/>
            </w:tcBorders>
          </w:tcPr>
          <w:p w14:paraId="7D008FF5" w14:textId="77777777" w:rsidR="00E47756" w:rsidRPr="00E47756" w:rsidRDefault="00E47756" w:rsidP="00E47756">
            <w:pPr>
              <w:spacing w:after="0" w:line="240" w:lineRule="auto"/>
              <w:ind w:left="57" w:right="57" w:hanging="46"/>
            </w:pPr>
            <w:r w:rsidRPr="00E47756">
              <w:rPr>
                <w:b/>
                <w:sz w:val="20"/>
              </w:rPr>
              <w:t xml:space="preserve"> </w:t>
            </w:r>
            <w:r w:rsidRPr="00E47756">
              <w:rPr>
                <w:sz w:val="20"/>
              </w:rPr>
              <w:t xml:space="preserve">V nadväznosti na kontrolu účelnosti v oblasti legálnej migrácie z roku 2019 bude cieľom revízie smernice o jednotnom povolení zjednodušiť a objasniť rozsah jej pôsobnosti a zabezpečiť minimálnu harmonizáciu podmienok prijímania a pobytu pre pracovníkov s nízkou a strednou kvalifikáciou. </w:t>
            </w:r>
          </w:p>
          <w:p w14:paraId="199FA843" w14:textId="77777777" w:rsidR="00E47756" w:rsidRPr="00E47756" w:rsidRDefault="00E47756" w:rsidP="00E47756">
            <w:pPr>
              <w:spacing w:after="0" w:line="240" w:lineRule="auto"/>
              <w:ind w:left="57" w:right="57"/>
            </w:pPr>
            <w:r w:rsidRPr="00E47756">
              <w:rPr>
                <w:sz w:val="20"/>
              </w:rPr>
              <w:t xml:space="preserve">Plánovaný dátum prijatia: 4. štvrťrok 2021; legislatívna iniciatíva; právny základ: článok 79 ods. 2 ZFEÚ. Posúdenie vplyvu sa predpokladá. </w:t>
            </w:r>
          </w:p>
        </w:tc>
        <w:tc>
          <w:tcPr>
            <w:tcW w:w="2127" w:type="dxa"/>
            <w:tcBorders>
              <w:top w:val="single" w:sz="4" w:space="0" w:color="000000"/>
              <w:left w:val="single" w:sz="4" w:space="0" w:color="000000"/>
              <w:bottom w:val="single" w:sz="4" w:space="0" w:color="000000"/>
              <w:right w:val="single" w:sz="4" w:space="0" w:color="000000"/>
            </w:tcBorders>
          </w:tcPr>
          <w:p w14:paraId="50F0C382" w14:textId="77777777" w:rsidR="00E47756" w:rsidRDefault="00E47756" w:rsidP="00E47756">
            <w:pPr>
              <w:spacing w:after="0" w:line="240" w:lineRule="auto"/>
              <w:ind w:left="57" w:right="57"/>
              <w:jc w:val="center"/>
              <w:rPr>
                <w:b/>
                <w:sz w:val="20"/>
              </w:rPr>
            </w:pPr>
            <w:r w:rsidRPr="00E47756">
              <w:rPr>
                <w:b/>
                <w:sz w:val="20"/>
              </w:rPr>
              <w:t>MV SR</w:t>
            </w:r>
          </w:p>
          <w:p w14:paraId="1CA3428C" w14:textId="77777777" w:rsidR="00AE3C6F" w:rsidRPr="001F600B" w:rsidRDefault="00AE3C6F" w:rsidP="00E47756">
            <w:pPr>
              <w:spacing w:after="0" w:line="240" w:lineRule="auto"/>
              <w:ind w:left="57" w:right="57"/>
              <w:jc w:val="center"/>
              <w:rPr>
                <w:b/>
                <w:sz w:val="20"/>
              </w:rPr>
            </w:pPr>
            <w:r w:rsidRPr="001F600B">
              <w:rPr>
                <w:b/>
                <w:sz w:val="20"/>
              </w:rPr>
              <w:t>MPSVR SR</w:t>
            </w:r>
          </w:p>
          <w:p w14:paraId="0B00832F" w14:textId="77777777" w:rsidR="00AE3C6F" w:rsidRPr="001F600B" w:rsidRDefault="00AE3C6F" w:rsidP="00E47756">
            <w:pPr>
              <w:spacing w:after="0" w:line="240" w:lineRule="auto"/>
              <w:ind w:left="57" w:right="57"/>
              <w:jc w:val="center"/>
              <w:rPr>
                <w:b/>
                <w:sz w:val="20"/>
              </w:rPr>
            </w:pPr>
            <w:r w:rsidRPr="001F600B">
              <w:rPr>
                <w:b/>
                <w:sz w:val="20"/>
              </w:rPr>
              <w:t>MZ SR</w:t>
            </w:r>
          </w:p>
          <w:p w14:paraId="69EC4EA6" w14:textId="77777777" w:rsidR="00AE3C6F" w:rsidRPr="001F600B" w:rsidRDefault="00AE3C6F" w:rsidP="00E47756">
            <w:pPr>
              <w:spacing w:after="0" w:line="240" w:lineRule="auto"/>
              <w:ind w:left="57" w:right="57"/>
              <w:jc w:val="center"/>
              <w:rPr>
                <w:b/>
                <w:sz w:val="20"/>
              </w:rPr>
            </w:pPr>
            <w:r w:rsidRPr="001F600B">
              <w:rPr>
                <w:b/>
                <w:sz w:val="20"/>
              </w:rPr>
              <w:t>MŠVVaŠ SR</w:t>
            </w:r>
          </w:p>
          <w:p w14:paraId="1D06C85E" w14:textId="6BAD51B8" w:rsidR="00AE3C6F" w:rsidRPr="00E47756" w:rsidRDefault="00AE3C6F" w:rsidP="00E47756">
            <w:pPr>
              <w:spacing w:after="0" w:line="240" w:lineRule="auto"/>
              <w:ind w:left="57" w:right="57"/>
              <w:jc w:val="center"/>
              <w:rPr>
                <w:b/>
                <w:sz w:val="20"/>
              </w:rPr>
            </w:pPr>
            <w:r w:rsidRPr="001F600B">
              <w:rPr>
                <w:b/>
                <w:sz w:val="20"/>
              </w:rPr>
              <w:t>MF SR</w:t>
            </w:r>
          </w:p>
        </w:tc>
        <w:tc>
          <w:tcPr>
            <w:tcW w:w="5670" w:type="dxa"/>
            <w:tcBorders>
              <w:top w:val="single" w:sz="4" w:space="0" w:color="000000"/>
              <w:left w:val="single" w:sz="4" w:space="0" w:color="000000"/>
              <w:bottom w:val="single" w:sz="4" w:space="0" w:color="000000"/>
              <w:right w:val="single" w:sz="4" w:space="0" w:color="000000"/>
            </w:tcBorders>
          </w:tcPr>
          <w:p w14:paraId="28417034" w14:textId="77777777" w:rsidR="00E47756" w:rsidRPr="00E47756" w:rsidRDefault="00E47756" w:rsidP="00291238">
            <w:pPr>
              <w:spacing w:after="0" w:line="240" w:lineRule="auto"/>
              <w:ind w:left="57" w:right="57"/>
              <w:rPr>
                <w:b/>
                <w:sz w:val="20"/>
              </w:rPr>
            </w:pPr>
            <w:r w:rsidRPr="00E47756">
              <w:rPr>
                <w:b/>
                <w:sz w:val="20"/>
                <w:u w:val="single"/>
              </w:rPr>
              <w:t>Stredná priorita</w:t>
            </w:r>
            <w:r w:rsidRPr="00E47756">
              <w:rPr>
                <w:b/>
                <w:sz w:val="20"/>
              </w:rPr>
              <w:t xml:space="preserve"> -</w:t>
            </w:r>
            <w:r w:rsidRPr="00E47756">
              <w:rPr>
                <w:sz w:val="20"/>
              </w:rPr>
              <w:t xml:space="preserve">  Komisia </w:t>
            </w:r>
            <w:r w:rsidR="00291238">
              <w:rPr>
                <w:sz w:val="20"/>
              </w:rPr>
              <w:t>deklaruje ako cieľ zjednodušiť a objasniť rozsah pôsobnosti smernice a zabezpečiť minimálnu harmonizáciu podmienok prijímania a pobytu pre pracovníkov s nízkou a strednou kvalifikáciou. Konečné stanovisko SR bude známe až po predložení návrhu.</w:t>
            </w:r>
          </w:p>
        </w:tc>
      </w:tr>
      <w:tr w:rsidR="00E47756" w:rsidRPr="00E47756" w14:paraId="203A8913" w14:textId="77777777" w:rsidTr="001A4016">
        <w:tblPrEx>
          <w:tblCellMar>
            <w:top w:w="43" w:type="dxa"/>
            <w:right w:w="24" w:type="dxa"/>
          </w:tblCellMar>
        </w:tblPrEx>
        <w:trPr>
          <w:trHeight w:val="1699"/>
        </w:trPr>
        <w:tc>
          <w:tcPr>
            <w:tcW w:w="447" w:type="dxa"/>
            <w:tcBorders>
              <w:top w:val="single" w:sz="4" w:space="0" w:color="000000"/>
              <w:left w:val="single" w:sz="4" w:space="0" w:color="000000"/>
              <w:bottom w:val="single" w:sz="4" w:space="0" w:color="000000"/>
              <w:right w:val="single" w:sz="4" w:space="0" w:color="000000"/>
            </w:tcBorders>
          </w:tcPr>
          <w:p w14:paraId="79400793" w14:textId="77777777" w:rsidR="00E47756" w:rsidRPr="00E47756" w:rsidRDefault="00E47756" w:rsidP="00E47756">
            <w:pPr>
              <w:spacing w:after="0" w:line="240" w:lineRule="auto"/>
              <w:ind w:left="57" w:right="57"/>
              <w:jc w:val="center"/>
            </w:pPr>
            <w:r w:rsidRPr="00E47756">
              <w:rPr>
                <w:sz w:val="20"/>
              </w:rPr>
              <w:t>33.</w:t>
            </w:r>
          </w:p>
        </w:tc>
        <w:tc>
          <w:tcPr>
            <w:tcW w:w="2976" w:type="dxa"/>
            <w:tcBorders>
              <w:top w:val="single" w:sz="4" w:space="0" w:color="000000"/>
              <w:left w:val="single" w:sz="4" w:space="0" w:color="000000"/>
              <w:bottom w:val="single" w:sz="4" w:space="0" w:color="000000"/>
              <w:right w:val="single" w:sz="4" w:space="0" w:color="000000"/>
            </w:tcBorders>
          </w:tcPr>
          <w:p w14:paraId="286F8006" w14:textId="77777777" w:rsidR="00E47756" w:rsidRPr="00E47756" w:rsidRDefault="00E47756" w:rsidP="00E47756">
            <w:pPr>
              <w:spacing w:after="0" w:line="240" w:lineRule="auto"/>
              <w:ind w:left="57" w:right="57"/>
            </w:pPr>
            <w:r w:rsidRPr="00E47756">
              <w:rPr>
                <w:b/>
                <w:sz w:val="20"/>
              </w:rPr>
              <w:t xml:space="preserve">Revízia nariadenia č. 258/2012 o vývozných povoleniach a opatreniach týkajúcich sa dovozu a tranzitu strelných zbraní </w:t>
            </w:r>
          </w:p>
        </w:tc>
        <w:tc>
          <w:tcPr>
            <w:tcW w:w="3402" w:type="dxa"/>
            <w:gridSpan w:val="2"/>
            <w:tcBorders>
              <w:top w:val="single" w:sz="4" w:space="0" w:color="000000"/>
              <w:left w:val="single" w:sz="4" w:space="0" w:color="000000"/>
              <w:bottom w:val="single" w:sz="4" w:space="0" w:color="000000"/>
              <w:right w:val="single" w:sz="4" w:space="0" w:color="000000"/>
            </w:tcBorders>
          </w:tcPr>
          <w:p w14:paraId="588F3621" w14:textId="77777777" w:rsidR="00E47756" w:rsidRPr="00E47756" w:rsidRDefault="00E47756" w:rsidP="00E47756">
            <w:pPr>
              <w:spacing w:after="0" w:line="240" w:lineRule="auto"/>
              <w:ind w:left="57" w:right="57"/>
            </w:pPr>
            <w:r w:rsidRPr="00E47756">
              <w:rPr>
                <w:sz w:val="20"/>
              </w:rPr>
              <w:t xml:space="preserve">Zlepšiť </w:t>
            </w:r>
            <w:proofErr w:type="spellStart"/>
            <w:r w:rsidRPr="00E47756">
              <w:rPr>
                <w:sz w:val="20"/>
              </w:rPr>
              <w:t>vysledovateľnosť</w:t>
            </w:r>
            <w:proofErr w:type="spellEnd"/>
            <w:r w:rsidRPr="00E47756">
              <w:rPr>
                <w:sz w:val="20"/>
              </w:rPr>
              <w:t xml:space="preserve"> strelných zbraní (harmonizované označenie pri dovoze), zlepšiť výmenu informácií medzi vnútroštátnymi orgánmi, zvýšiť bezpečnosť kontrolných postupov pri vývoze a dovoze, lepšie riešiť dovoz ľahko </w:t>
            </w:r>
            <w:proofErr w:type="spellStart"/>
            <w:r w:rsidRPr="00E47756">
              <w:rPr>
                <w:sz w:val="20"/>
              </w:rPr>
              <w:t>upraviteľných</w:t>
            </w:r>
            <w:proofErr w:type="spellEnd"/>
            <w:r w:rsidRPr="00E47756">
              <w:rPr>
                <w:sz w:val="20"/>
              </w:rPr>
              <w:t xml:space="preserve"> výstražných a signálnych zbraní, uplatňovať režim v </w:t>
            </w:r>
            <w:r w:rsidRPr="00E47756">
              <w:rPr>
                <w:sz w:val="20"/>
              </w:rPr>
              <w:lastRenderedPageBreak/>
              <w:t xml:space="preserve">oblasti ochrany oznamovateľov zavedený smernicou (EÚ) 2019/1937 voči osobám, ktoré nahlásia porušenia zmeneného nariadenia. </w:t>
            </w:r>
          </w:p>
          <w:p w14:paraId="091C6290" w14:textId="77777777" w:rsidR="00E47756" w:rsidRPr="00E47756" w:rsidRDefault="00E47756" w:rsidP="00E47756">
            <w:pPr>
              <w:spacing w:after="0" w:line="240" w:lineRule="auto"/>
              <w:ind w:left="57" w:right="57"/>
            </w:pPr>
            <w:r w:rsidRPr="00E47756">
              <w:rPr>
                <w:sz w:val="20"/>
              </w:rPr>
              <w:t xml:space="preserve">Plánovaný dátum prijatia: 4. štvrťrok 2021; legislatívna iniciatíva; právny základ: článok 207 ZFEÚ. Posúdenie vplyvu sa predpokladá.  </w:t>
            </w:r>
          </w:p>
        </w:tc>
        <w:tc>
          <w:tcPr>
            <w:tcW w:w="2127" w:type="dxa"/>
            <w:tcBorders>
              <w:top w:val="single" w:sz="4" w:space="0" w:color="000000"/>
              <w:left w:val="single" w:sz="4" w:space="0" w:color="000000"/>
              <w:bottom w:val="single" w:sz="4" w:space="0" w:color="000000"/>
              <w:right w:val="single" w:sz="4" w:space="0" w:color="000000"/>
            </w:tcBorders>
          </w:tcPr>
          <w:p w14:paraId="20FDE83C" w14:textId="77777777" w:rsidR="00E47756" w:rsidRPr="00E47756" w:rsidRDefault="00E47756" w:rsidP="00E47756">
            <w:pPr>
              <w:spacing w:after="0" w:line="279" w:lineRule="auto"/>
              <w:ind w:left="57" w:right="57"/>
              <w:jc w:val="center"/>
              <w:rPr>
                <w:b/>
                <w:sz w:val="20"/>
              </w:rPr>
            </w:pPr>
            <w:r w:rsidRPr="00E47756">
              <w:rPr>
                <w:b/>
                <w:sz w:val="20"/>
              </w:rPr>
              <w:lastRenderedPageBreak/>
              <w:t>MH SR</w:t>
            </w:r>
          </w:p>
        </w:tc>
        <w:tc>
          <w:tcPr>
            <w:tcW w:w="5670" w:type="dxa"/>
            <w:tcBorders>
              <w:top w:val="single" w:sz="4" w:space="0" w:color="000000"/>
              <w:left w:val="single" w:sz="4" w:space="0" w:color="000000"/>
              <w:bottom w:val="single" w:sz="4" w:space="0" w:color="000000"/>
              <w:right w:val="single" w:sz="4" w:space="0" w:color="000000"/>
            </w:tcBorders>
          </w:tcPr>
          <w:p w14:paraId="47C308EF" w14:textId="53C40F95" w:rsidR="00E47756" w:rsidRPr="00E47756" w:rsidRDefault="006C63A7" w:rsidP="00E47756">
            <w:pPr>
              <w:spacing w:after="0" w:line="240" w:lineRule="auto"/>
              <w:ind w:left="57" w:right="57"/>
              <w:rPr>
                <w:sz w:val="20"/>
              </w:rPr>
            </w:pPr>
            <w:r>
              <w:rPr>
                <w:b/>
                <w:sz w:val="20"/>
                <w:u w:val="single"/>
              </w:rPr>
              <w:t>Vysoká</w:t>
            </w:r>
            <w:r w:rsidR="00E47756" w:rsidRPr="00E47756">
              <w:rPr>
                <w:b/>
                <w:sz w:val="20"/>
                <w:u w:val="single"/>
              </w:rPr>
              <w:t xml:space="preserve"> priorita</w:t>
            </w:r>
            <w:r w:rsidR="00E47756" w:rsidRPr="00E47756">
              <w:rPr>
                <w:b/>
                <w:sz w:val="20"/>
              </w:rPr>
              <w:t xml:space="preserve"> -</w:t>
            </w:r>
            <w:r w:rsidR="00E47756" w:rsidRPr="00E47756">
              <w:rPr>
                <w:sz w:val="20"/>
              </w:rPr>
              <w:t xml:space="preserve">  </w:t>
            </w:r>
            <w:r w:rsidR="00E47756" w:rsidRPr="00E47756">
              <w:rPr>
                <w:sz w:val="20"/>
                <w:szCs w:val="20"/>
              </w:rPr>
              <w:t>Predmetné nariadenie č. 258/2012 má v národnej legislatíve vplyv na znenie zákona č. 392/2011 Z. z. o obchodovaní s výrobkami obranného priemyslu a o zmene a doplnení niektorých zákonov, ktorý je z dôvodu vývoja aplikačnej praxe potrebné v blízkej budúcnosti novelizovať, resp. začať legislatívny proces smerujúci k jeho zmene a doplneniu. Po prijatí revidovaného nariadenia č. 258/2012 bude jeho znenie zohľadnené v plánovanej novele zákona č. 392/2011 Z. z.</w:t>
            </w:r>
          </w:p>
        </w:tc>
      </w:tr>
      <w:tr w:rsidR="00E47756" w:rsidRPr="00E47756" w14:paraId="03556A40" w14:textId="77777777" w:rsidTr="000A3081">
        <w:tblPrEx>
          <w:tblCellMar>
            <w:top w:w="43" w:type="dxa"/>
            <w:right w:w="24" w:type="dxa"/>
          </w:tblCellMar>
        </w:tblPrEx>
        <w:trPr>
          <w:trHeight w:val="965"/>
        </w:trPr>
        <w:tc>
          <w:tcPr>
            <w:tcW w:w="447" w:type="dxa"/>
            <w:tcBorders>
              <w:top w:val="single" w:sz="4" w:space="0" w:color="000000"/>
              <w:left w:val="single" w:sz="4" w:space="0" w:color="000000"/>
              <w:bottom w:val="single" w:sz="4" w:space="0" w:color="000000"/>
              <w:right w:val="single" w:sz="4" w:space="0" w:color="000000"/>
            </w:tcBorders>
          </w:tcPr>
          <w:p w14:paraId="00A965FD" w14:textId="77777777" w:rsidR="00E47756" w:rsidRPr="00E47756" w:rsidRDefault="00E47756" w:rsidP="00E47756">
            <w:pPr>
              <w:spacing w:after="0" w:line="240" w:lineRule="auto"/>
              <w:ind w:left="57" w:right="57"/>
              <w:jc w:val="center"/>
            </w:pPr>
            <w:r w:rsidRPr="00E47756">
              <w:rPr>
                <w:sz w:val="20"/>
              </w:rPr>
              <w:t>34.</w:t>
            </w:r>
          </w:p>
        </w:tc>
        <w:tc>
          <w:tcPr>
            <w:tcW w:w="2976" w:type="dxa"/>
            <w:tcBorders>
              <w:top w:val="single" w:sz="4" w:space="0" w:color="000000"/>
              <w:left w:val="single" w:sz="4" w:space="0" w:color="000000"/>
              <w:bottom w:val="single" w:sz="4" w:space="0" w:color="000000"/>
              <w:right w:val="single" w:sz="4" w:space="0" w:color="000000"/>
            </w:tcBorders>
          </w:tcPr>
          <w:p w14:paraId="7DBA4458" w14:textId="77777777" w:rsidR="00E47756" w:rsidRPr="00E47756" w:rsidRDefault="00E47756" w:rsidP="00E47756">
            <w:pPr>
              <w:spacing w:after="0" w:line="240" w:lineRule="auto"/>
              <w:ind w:left="57" w:right="57"/>
            </w:pPr>
            <w:r w:rsidRPr="00E47756">
              <w:rPr>
                <w:b/>
                <w:sz w:val="20"/>
              </w:rPr>
              <w:t xml:space="preserve">Revízia – vyšetrovanie námorných nehôd </w:t>
            </w:r>
          </w:p>
        </w:tc>
        <w:tc>
          <w:tcPr>
            <w:tcW w:w="3402" w:type="dxa"/>
            <w:gridSpan w:val="2"/>
            <w:tcBorders>
              <w:top w:val="single" w:sz="4" w:space="0" w:color="000000"/>
              <w:left w:val="single" w:sz="4" w:space="0" w:color="000000"/>
              <w:bottom w:val="single" w:sz="4" w:space="0" w:color="000000"/>
              <w:right w:val="single" w:sz="4" w:space="0" w:color="000000"/>
            </w:tcBorders>
          </w:tcPr>
          <w:p w14:paraId="6DDCCEF7" w14:textId="77777777" w:rsidR="00E47756" w:rsidRPr="00E47756" w:rsidRDefault="00E47756" w:rsidP="00E47756">
            <w:pPr>
              <w:spacing w:after="0" w:line="240" w:lineRule="auto"/>
              <w:ind w:left="57" w:right="57"/>
            </w:pPr>
            <w:r w:rsidRPr="00E47756">
              <w:rPr>
                <w:sz w:val="20"/>
              </w:rPr>
              <w:t xml:space="preserve">Zriadenie stáleho orgánu na vyšetrovanie nehôd s primeranými zdrojmi a odbornými znalosťami, schopného rýchlo reagovať sa považuje za veľkú záťaž zdrojov a časovo náročnú úlohu pre menšie členské štáty a štáty s malými flotilami. Následkom toho sa nehody vôbec neoznamujú alebo sa neoznamujú včas, odborne a nezávisle s možnými dôsledkami v oblasti bezpečnosti a výskytu nehôd. Revízia by preto mohla pomôcť lepšie sa zamerať na využívanie zdrojov a riešenie nedostatku odborných znalostí. </w:t>
            </w:r>
          </w:p>
          <w:p w14:paraId="4AFCCDCB" w14:textId="77777777" w:rsidR="00E47756" w:rsidRPr="00E47756" w:rsidRDefault="00E47756" w:rsidP="00E47756">
            <w:pPr>
              <w:spacing w:after="0" w:line="240" w:lineRule="auto"/>
              <w:ind w:left="57" w:right="57"/>
              <w:rPr>
                <w:sz w:val="20"/>
              </w:rPr>
            </w:pPr>
            <w:r w:rsidRPr="00E47756">
              <w:rPr>
                <w:sz w:val="20"/>
              </w:rPr>
              <w:t xml:space="preserve">Plánovaný dátum prijatia: 4. štvrťrok 2021; legislatívna iniciatíva; právny základ: článok 100 ods. 2 ZFEÚ. Posúdenie vplyvu sa predpokladá. </w:t>
            </w:r>
          </w:p>
        </w:tc>
        <w:tc>
          <w:tcPr>
            <w:tcW w:w="2127" w:type="dxa"/>
            <w:tcBorders>
              <w:top w:val="single" w:sz="4" w:space="0" w:color="000000"/>
              <w:left w:val="single" w:sz="4" w:space="0" w:color="000000"/>
              <w:bottom w:val="single" w:sz="4" w:space="0" w:color="000000"/>
              <w:right w:val="single" w:sz="4" w:space="0" w:color="000000"/>
            </w:tcBorders>
          </w:tcPr>
          <w:p w14:paraId="5F6FCC85" w14:textId="77777777" w:rsidR="00E47756" w:rsidRPr="00E47756" w:rsidRDefault="00E47756" w:rsidP="00E47756">
            <w:pPr>
              <w:spacing w:after="0" w:line="276" w:lineRule="auto"/>
              <w:ind w:left="57" w:right="57"/>
              <w:jc w:val="center"/>
              <w:rPr>
                <w:b/>
                <w:sz w:val="20"/>
              </w:rPr>
            </w:pPr>
            <w:r w:rsidRPr="00E47756">
              <w:rPr>
                <w:b/>
                <w:sz w:val="20"/>
              </w:rPr>
              <w:t>MDV SR</w:t>
            </w:r>
          </w:p>
        </w:tc>
        <w:tc>
          <w:tcPr>
            <w:tcW w:w="5670" w:type="dxa"/>
            <w:tcBorders>
              <w:top w:val="single" w:sz="4" w:space="0" w:color="000000"/>
              <w:left w:val="single" w:sz="4" w:space="0" w:color="000000"/>
              <w:bottom w:val="single" w:sz="4" w:space="0" w:color="000000"/>
              <w:right w:val="single" w:sz="4" w:space="0" w:color="000000"/>
            </w:tcBorders>
          </w:tcPr>
          <w:p w14:paraId="5F05FA1C" w14:textId="77777777" w:rsidR="00E47756" w:rsidRPr="00E47756" w:rsidRDefault="00E47756" w:rsidP="00E47756">
            <w:pPr>
              <w:spacing w:after="0" w:line="240" w:lineRule="auto"/>
              <w:ind w:left="57" w:right="57"/>
              <w:rPr>
                <w:sz w:val="20"/>
              </w:rPr>
            </w:pPr>
            <w:r w:rsidRPr="00E47756">
              <w:rPr>
                <w:b/>
                <w:sz w:val="20"/>
                <w:u w:val="single"/>
              </w:rPr>
              <w:t>Nízka priorita</w:t>
            </w:r>
            <w:r w:rsidRPr="00E47756">
              <w:rPr>
                <w:sz w:val="20"/>
              </w:rPr>
              <w:t xml:space="preserve"> – Vyšetrovanie námorných nehôd sa v SR podľa platných právnych predpisov riadi § 4 ods. 1 a § 28 zákona č. 435/2000 Z. z. o námornej plavbe v znení neskorších predpisov. Aj vzhľadom ku skutočnosti, že v námornom registri SR nie je v súčasnosti zapísaná žiadna námorná loď, nie je vykonávanie právnych predpisov EÚ a SR v danej oblasti vyšetrovania námorných nehôd aktívne. Každopádne zriadenie stáleho orgánu na vyšetrovanie nehôd bolo vykonané § 28 zákona č.435/2000 Z. z., ktorý zaviedol špecializovaný útvar ministerstva - Letecký a námorný vyšetrovací útvar.</w:t>
            </w:r>
          </w:p>
          <w:p w14:paraId="0358DE51" w14:textId="77777777" w:rsidR="00E47756" w:rsidRPr="00E47756" w:rsidRDefault="00E47756" w:rsidP="00E47756">
            <w:pPr>
              <w:spacing w:after="0" w:line="240" w:lineRule="auto"/>
              <w:ind w:left="57" w:right="57"/>
              <w:rPr>
                <w:sz w:val="20"/>
              </w:rPr>
            </w:pPr>
          </w:p>
        </w:tc>
      </w:tr>
      <w:tr w:rsidR="00E47756" w:rsidRPr="00E47756" w14:paraId="6AB16379" w14:textId="77777777" w:rsidTr="001A4016">
        <w:tblPrEx>
          <w:tblCellMar>
            <w:top w:w="43" w:type="dxa"/>
            <w:right w:w="24" w:type="dxa"/>
          </w:tblCellMar>
        </w:tblPrEx>
        <w:trPr>
          <w:trHeight w:val="540"/>
        </w:trPr>
        <w:tc>
          <w:tcPr>
            <w:tcW w:w="447" w:type="dxa"/>
            <w:tcBorders>
              <w:top w:val="single" w:sz="4" w:space="0" w:color="000000"/>
              <w:left w:val="single" w:sz="4" w:space="0" w:color="000000"/>
              <w:bottom w:val="single" w:sz="4" w:space="0" w:color="000000"/>
              <w:right w:val="single" w:sz="4" w:space="0" w:color="000000"/>
            </w:tcBorders>
          </w:tcPr>
          <w:p w14:paraId="7ED9BBCA" w14:textId="77777777" w:rsidR="00E47756" w:rsidRPr="00E47756" w:rsidRDefault="00E47756" w:rsidP="00E47756">
            <w:pPr>
              <w:spacing w:after="0" w:line="240" w:lineRule="auto"/>
              <w:ind w:left="57" w:right="57"/>
              <w:jc w:val="center"/>
            </w:pPr>
            <w:r w:rsidRPr="00E47756">
              <w:rPr>
                <w:sz w:val="20"/>
              </w:rPr>
              <w:t>35.</w:t>
            </w:r>
          </w:p>
        </w:tc>
        <w:tc>
          <w:tcPr>
            <w:tcW w:w="2976" w:type="dxa"/>
            <w:tcBorders>
              <w:top w:val="single" w:sz="4" w:space="0" w:color="000000"/>
              <w:left w:val="single" w:sz="4" w:space="0" w:color="000000"/>
              <w:bottom w:val="single" w:sz="4" w:space="0" w:color="000000"/>
              <w:right w:val="single" w:sz="4" w:space="0" w:color="000000"/>
            </w:tcBorders>
          </w:tcPr>
          <w:p w14:paraId="02062A7A" w14:textId="77777777" w:rsidR="00E47756" w:rsidRPr="00E47756" w:rsidRDefault="00E47756" w:rsidP="00E47756">
            <w:pPr>
              <w:spacing w:after="0" w:line="240" w:lineRule="auto"/>
              <w:ind w:left="57" w:right="57"/>
            </w:pPr>
            <w:r w:rsidRPr="00E47756">
              <w:rPr>
                <w:b/>
                <w:sz w:val="20"/>
              </w:rPr>
              <w:t xml:space="preserve">Revízia – štátna prístavná kontrola </w:t>
            </w:r>
          </w:p>
        </w:tc>
        <w:tc>
          <w:tcPr>
            <w:tcW w:w="3402" w:type="dxa"/>
            <w:gridSpan w:val="2"/>
            <w:tcBorders>
              <w:top w:val="single" w:sz="4" w:space="0" w:color="000000"/>
              <w:left w:val="single" w:sz="4" w:space="0" w:color="000000"/>
              <w:bottom w:val="single" w:sz="4" w:space="0" w:color="000000"/>
              <w:right w:val="single" w:sz="4" w:space="0" w:color="000000"/>
            </w:tcBorders>
          </w:tcPr>
          <w:p w14:paraId="419838B3" w14:textId="77777777" w:rsidR="00E47756" w:rsidRPr="00E47756" w:rsidRDefault="00E47756" w:rsidP="00E47756">
            <w:pPr>
              <w:spacing w:after="0" w:line="240" w:lineRule="auto"/>
              <w:ind w:left="57" w:right="57"/>
            </w:pPr>
            <w:r w:rsidRPr="00E47756">
              <w:rPr>
                <w:sz w:val="20"/>
              </w:rPr>
              <w:t xml:space="preserve">Revízia sa zameria na možnosť vyššej miery využívania elektronických informácií s cieľom umožniť cielenejšie inšpekcie. To by umožnilo, aby sa kontroly sústredili skôr na prevádzkové záležitosti ako len na kontrolu dokumentácie. Umožnilo by to aj väčšie </w:t>
            </w:r>
            <w:r w:rsidRPr="00E47756">
              <w:rPr>
                <w:sz w:val="20"/>
              </w:rPr>
              <w:lastRenderedPageBreak/>
              <w:t>sústredenie na otázky životného prostredia a vypracovanie stimulačného mechanizmu pre novšiu/ekologickejšiu a kvalitnú lodnú dopravu. Členským štátom by to pomohlo pri nábore a odbornej príprave primerane kvalifikovaných kontrolórov a využívaní databázy kontrol s cieľom lepšie rozdeliť záťaž medzi členské štáty.</w:t>
            </w:r>
          </w:p>
          <w:p w14:paraId="07C41595" w14:textId="77777777" w:rsidR="00E47756" w:rsidRPr="00E47756" w:rsidRDefault="00E47756" w:rsidP="00E47756">
            <w:pPr>
              <w:spacing w:after="0" w:line="240" w:lineRule="auto"/>
              <w:ind w:left="57" w:right="57"/>
            </w:pPr>
            <w:r w:rsidRPr="00E47756">
              <w:rPr>
                <w:sz w:val="20"/>
              </w:rPr>
              <w:t xml:space="preserve">Pri revízii sa zváži možné rozšírenie rozsahu kontrol na zahraničné rybárske plavidlá, ktoré sa ukázali ako obzvlášť nebezpečné. </w:t>
            </w:r>
          </w:p>
          <w:p w14:paraId="087CA47D" w14:textId="77777777" w:rsidR="00E47756" w:rsidRPr="00E47756" w:rsidRDefault="00E47756" w:rsidP="00E47756">
            <w:pPr>
              <w:spacing w:after="0" w:line="240" w:lineRule="auto"/>
              <w:ind w:left="57" w:right="57"/>
              <w:rPr>
                <w:sz w:val="20"/>
              </w:rPr>
            </w:pPr>
            <w:r w:rsidRPr="00E47756">
              <w:rPr>
                <w:sz w:val="20"/>
              </w:rPr>
              <w:t xml:space="preserve">Plánovaný dátum prijatia: 4. štvrťrok 2021; legislatívna iniciatíva; právny základ: článok 100 ods. 2 ZFEÚ. Posúdenie vplyvu sa predpokladá. </w:t>
            </w:r>
          </w:p>
        </w:tc>
        <w:tc>
          <w:tcPr>
            <w:tcW w:w="2127" w:type="dxa"/>
            <w:tcBorders>
              <w:top w:val="single" w:sz="4" w:space="0" w:color="000000"/>
              <w:left w:val="single" w:sz="4" w:space="0" w:color="000000"/>
              <w:bottom w:val="single" w:sz="4" w:space="0" w:color="000000"/>
              <w:right w:val="single" w:sz="4" w:space="0" w:color="000000"/>
            </w:tcBorders>
          </w:tcPr>
          <w:p w14:paraId="30BEFB18" w14:textId="77777777" w:rsidR="00E47756" w:rsidRPr="00E47756" w:rsidRDefault="00E47756" w:rsidP="00E47756">
            <w:pPr>
              <w:spacing w:after="0" w:line="264" w:lineRule="auto"/>
              <w:ind w:left="57" w:right="57"/>
              <w:jc w:val="center"/>
              <w:rPr>
                <w:b/>
                <w:sz w:val="20"/>
              </w:rPr>
            </w:pPr>
            <w:r w:rsidRPr="00E47756">
              <w:rPr>
                <w:b/>
                <w:sz w:val="20"/>
              </w:rPr>
              <w:lastRenderedPageBreak/>
              <w:t>MDV SR</w:t>
            </w:r>
          </w:p>
        </w:tc>
        <w:tc>
          <w:tcPr>
            <w:tcW w:w="5670" w:type="dxa"/>
            <w:tcBorders>
              <w:top w:val="single" w:sz="4" w:space="0" w:color="000000"/>
              <w:left w:val="single" w:sz="4" w:space="0" w:color="000000"/>
              <w:bottom w:val="single" w:sz="4" w:space="0" w:color="000000"/>
              <w:right w:val="single" w:sz="4" w:space="0" w:color="000000"/>
            </w:tcBorders>
          </w:tcPr>
          <w:p w14:paraId="29B39D97" w14:textId="77777777" w:rsidR="00E47756" w:rsidRPr="00E47756" w:rsidRDefault="00E47756" w:rsidP="00E47756">
            <w:pPr>
              <w:spacing w:after="0" w:line="240" w:lineRule="auto"/>
              <w:ind w:left="57" w:right="57"/>
              <w:rPr>
                <w:sz w:val="20"/>
              </w:rPr>
            </w:pPr>
            <w:r w:rsidRPr="00E47756">
              <w:rPr>
                <w:b/>
                <w:sz w:val="20"/>
                <w:u w:val="single"/>
              </w:rPr>
              <w:t>Nízka priorita</w:t>
            </w:r>
            <w:r w:rsidRPr="00E47756">
              <w:rPr>
                <w:sz w:val="20"/>
              </w:rPr>
              <w:t xml:space="preserve"> – Vzhľadom ku skutočnosti, že SR je vnútrozemským štátom, v oblasti námornej plavby je oblasť štátnej prístavnej kontroly riešená zákonom č. 435/2000 Z. z. o námornej plavbe, ktorá ustanovuje povinnosti pre vlastníka/prevádzkovateľa námornej lode a povinnosti veliteľa námornej lode. Nakoľko samotný výkon štátnej prístavnej kontroly nie je na území SR vykonávateľný, je revízia právnych ustanovení štátnej prístavnej kontroly aj vzhľadom k </w:t>
            </w:r>
            <w:r w:rsidRPr="00E47756">
              <w:rPr>
                <w:sz w:val="20"/>
              </w:rPr>
              <w:lastRenderedPageBreak/>
              <w:t>využívaniu elektronických informácií resp. možné rozšírenie rozsahu kontrol na rybárske plavidlá, bez priameho vplyvu na právne predpisy SR.</w:t>
            </w:r>
          </w:p>
        </w:tc>
      </w:tr>
      <w:tr w:rsidR="00E47756" w:rsidRPr="00E47756" w14:paraId="7C5C9BCE" w14:textId="77777777" w:rsidTr="001A4016">
        <w:tblPrEx>
          <w:tblCellMar>
            <w:top w:w="43" w:type="dxa"/>
            <w:right w:w="24" w:type="dxa"/>
          </w:tblCellMar>
        </w:tblPrEx>
        <w:trPr>
          <w:trHeight w:val="1373"/>
        </w:trPr>
        <w:tc>
          <w:tcPr>
            <w:tcW w:w="447" w:type="dxa"/>
            <w:tcBorders>
              <w:top w:val="single" w:sz="4" w:space="0" w:color="000000"/>
              <w:left w:val="single" w:sz="4" w:space="0" w:color="000000"/>
              <w:bottom w:val="single" w:sz="4" w:space="0" w:color="000000"/>
              <w:right w:val="single" w:sz="4" w:space="0" w:color="000000"/>
            </w:tcBorders>
          </w:tcPr>
          <w:p w14:paraId="32420CF2" w14:textId="77777777" w:rsidR="00E47756" w:rsidRPr="00E47756" w:rsidRDefault="00E47756" w:rsidP="00E47756">
            <w:pPr>
              <w:spacing w:after="0" w:line="240" w:lineRule="auto"/>
              <w:ind w:left="57" w:right="57"/>
              <w:jc w:val="center"/>
            </w:pPr>
            <w:r w:rsidRPr="00E47756">
              <w:rPr>
                <w:sz w:val="20"/>
              </w:rPr>
              <w:lastRenderedPageBreak/>
              <w:t>36.</w:t>
            </w:r>
          </w:p>
        </w:tc>
        <w:tc>
          <w:tcPr>
            <w:tcW w:w="2976" w:type="dxa"/>
            <w:tcBorders>
              <w:top w:val="single" w:sz="4" w:space="0" w:color="000000"/>
              <w:left w:val="single" w:sz="4" w:space="0" w:color="000000"/>
              <w:bottom w:val="single" w:sz="4" w:space="0" w:color="000000"/>
              <w:right w:val="single" w:sz="4" w:space="0" w:color="000000"/>
            </w:tcBorders>
          </w:tcPr>
          <w:p w14:paraId="2AF780A6" w14:textId="77777777" w:rsidR="00E47756" w:rsidRPr="00E47756" w:rsidRDefault="00E47756" w:rsidP="00E47756">
            <w:pPr>
              <w:spacing w:after="0" w:line="240" w:lineRule="auto"/>
              <w:ind w:left="57" w:right="57"/>
            </w:pPr>
            <w:r w:rsidRPr="00E47756">
              <w:rPr>
                <w:b/>
                <w:sz w:val="20"/>
              </w:rPr>
              <w:t xml:space="preserve">Revízia – kontrola vlajkového štátu </w:t>
            </w:r>
          </w:p>
          <w:p w14:paraId="740F26E2" w14:textId="77777777" w:rsidR="00E47756" w:rsidRPr="00E47756" w:rsidRDefault="00E47756" w:rsidP="00E47756">
            <w:pPr>
              <w:spacing w:after="0" w:line="240" w:lineRule="auto"/>
              <w:ind w:left="57" w:right="57"/>
            </w:pPr>
            <w:r w:rsidRPr="00E47756">
              <w:rPr>
                <w:b/>
                <w:sz w:val="20"/>
              </w:rPr>
              <w:t xml:space="preserve"> </w:t>
            </w:r>
          </w:p>
        </w:tc>
        <w:tc>
          <w:tcPr>
            <w:tcW w:w="3402" w:type="dxa"/>
            <w:gridSpan w:val="2"/>
            <w:tcBorders>
              <w:top w:val="single" w:sz="4" w:space="0" w:color="000000"/>
              <w:left w:val="single" w:sz="4" w:space="0" w:color="000000"/>
              <w:bottom w:val="single" w:sz="4" w:space="0" w:color="000000"/>
              <w:right w:val="single" w:sz="4" w:space="0" w:color="000000"/>
            </w:tcBorders>
          </w:tcPr>
          <w:p w14:paraId="0453B05B" w14:textId="77777777" w:rsidR="00E47756" w:rsidRPr="00E47756" w:rsidRDefault="00E47756" w:rsidP="00E47756">
            <w:pPr>
              <w:spacing w:after="0" w:line="240" w:lineRule="auto"/>
              <w:ind w:left="57" w:right="57"/>
            </w:pPr>
            <w:r w:rsidRPr="00E47756">
              <w:rPr>
                <w:sz w:val="20"/>
              </w:rPr>
              <w:t xml:space="preserve">Revízia sa primárne zosúladí s už dohodnutými pravidlami v kontexte Medzinárodnej námornej organizácie. Z hľadiska možného zjednodušenia sa však zameria na možnosť modernizácie registra lodí členských štátov na elektronické registre na účely uchovávania a výmeny elektronických certifikátov (týkajúcich sa lodí). To by malo podporovať efektívnejšie služby, ako aj kontrolu a monitorovanie plavidiel, ktoré sa plavia pod ich vlajkou. Nadväzuje takisto na cieľ v oblasti zjednodušenia a zníženia administratívneho zaťaženia štátnej prístavnej kontroly pre správy aj pre </w:t>
            </w:r>
            <w:r w:rsidRPr="00E47756">
              <w:rPr>
                <w:sz w:val="20"/>
              </w:rPr>
              <w:lastRenderedPageBreak/>
              <w:t>priemysel (rýchlejší čas odbavenia v prístavoch). To by navyše umožnilo lepšie sa sústrediť na environmentálne otázky, pokiaľ ide o rozvoj stimulov (odmena za dodržiavanie, a nielen postih za nedodržiavanie) pre kvalitných a ekologických prevádzkovateľov. Prostredníctvom zdokonaleného programu Európskej námornej bezpečnostnej agentúry na budovanie kapacít by to podporilo členské štáty v tom, aby neustále aktualizovali a vymieňali si najlepšie postupy (vyhýbali sa „</w:t>
            </w:r>
            <w:proofErr w:type="spellStart"/>
            <w:r w:rsidRPr="00E47756">
              <w:rPr>
                <w:sz w:val="20"/>
              </w:rPr>
              <w:t>znovuobjavovaniu</w:t>
            </w:r>
            <w:proofErr w:type="spellEnd"/>
            <w:r w:rsidRPr="00E47756">
              <w:rPr>
                <w:sz w:val="20"/>
              </w:rPr>
              <w:t xml:space="preserve"> Ameriky“ na vnútroštátnej úrovni). Zároveň by sa usilovali o väčšiu harmonizáciu a spoločné porozumenie v prospech harmonizovaného prístupu EÚ pre správy a priemysel. Celkovo by sa zlepšila príťažlivosť a konkurencieschopnosť pri zachovaní vysokej úrovne bezpečnosti, ochrany a prevencie znečisťovania. </w:t>
            </w:r>
          </w:p>
          <w:p w14:paraId="19A1371A" w14:textId="77777777" w:rsidR="00E47756" w:rsidRPr="00E47756" w:rsidRDefault="00E47756" w:rsidP="00E47756">
            <w:pPr>
              <w:spacing w:after="0" w:line="240" w:lineRule="auto"/>
              <w:ind w:left="57" w:right="57"/>
              <w:rPr>
                <w:sz w:val="20"/>
              </w:rPr>
            </w:pPr>
            <w:r w:rsidRPr="00E47756">
              <w:rPr>
                <w:sz w:val="20"/>
              </w:rPr>
              <w:t>Plánovaný dátum prijatia: 4. štvrťrok 2021; legislatívna iniciatíva; právny základ: článok 100 ods. 2 ZFEÚ. Posúdenie vplyvu sa predpokladá.</w:t>
            </w:r>
          </w:p>
        </w:tc>
        <w:tc>
          <w:tcPr>
            <w:tcW w:w="2127" w:type="dxa"/>
            <w:tcBorders>
              <w:top w:val="single" w:sz="4" w:space="0" w:color="000000"/>
              <w:left w:val="single" w:sz="4" w:space="0" w:color="000000"/>
              <w:bottom w:val="single" w:sz="4" w:space="0" w:color="000000"/>
              <w:right w:val="single" w:sz="4" w:space="0" w:color="000000"/>
            </w:tcBorders>
          </w:tcPr>
          <w:p w14:paraId="58CBA215" w14:textId="77777777" w:rsidR="00E47756" w:rsidRPr="00E47756" w:rsidRDefault="00E47756" w:rsidP="00E47756">
            <w:pPr>
              <w:spacing w:after="0" w:line="240" w:lineRule="auto"/>
              <w:ind w:left="57" w:right="57"/>
              <w:jc w:val="center"/>
              <w:rPr>
                <w:b/>
                <w:sz w:val="20"/>
              </w:rPr>
            </w:pPr>
            <w:r w:rsidRPr="00E47756">
              <w:rPr>
                <w:b/>
                <w:sz w:val="20"/>
              </w:rPr>
              <w:lastRenderedPageBreak/>
              <w:t>MDV SR</w:t>
            </w:r>
          </w:p>
        </w:tc>
        <w:tc>
          <w:tcPr>
            <w:tcW w:w="5670" w:type="dxa"/>
            <w:tcBorders>
              <w:top w:val="single" w:sz="4" w:space="0" w:color="000000"/>
              <w:left w:val="single" w:sz="4" w:space="0" w:color="000000"/>
              <w:bottom w:val="single" w:sz="4" w:space="0" w:color="000000"/>
              <w:right w:val="single" w:sz="4" w:space="0" w:color="000000"/>
            </w:tcBorders>
          </w:tcPr>
          <w:p w14:paraId="1715DDF7" w14:textId="77777777" w:rsidR="00E47756" w:rsidRPr="00E47756" w:rsidRDefault="00E47756" w:rsidP="00E47756">
            <w:pPr>
              <w:spacing w:after="0" w:line="240" w:lineRule="auto"/>
              <w:ind w:left="57" w:right="57"/>
              <w:rPr>
                <w:sz w:val="20"/>
              </w:rPr>
            </w:pPr>
            <w:r w:rsidRPr="00E47756">
              <w:rPr>
                <w:b/>
                <w:sz w:val="20"/>
                <w:u w:val="single"/>
              </w:rPr>
              <w:t>Nízka priorita</w:t>
            </w:r>
            <w:r w:rsidRPr="00E47756">
              <w:rPr>
                <w:sz w:val="20"/>
              </w:rPr>
              <w:t xml:space="preserve"> – Pravidlá prijaté  Medzinárodnou námornou organizáciou (IMO) sú záväzné pre všetky ČŠ IMO a cieľ, ktorý má zjednodušiť možnosť a vytvorenie elektronických registrov na účely uchovávania a výmeny elektronických dokumentov námorných lodí. Z pohľadu globálneho rozsahu námornej plavby je málo pravdepodobné, že sa podarí zabezpečiť celosvetovo uplatňovanie elektronických registrov a elektronických dokumentov námorných lodí. Z pohľadu MDV SR je vhodné podporiť túto iniciatívu aj napriek skutočnosti, že primárne sa bude daná oblasť riešiť v rámci IMO.</w:t>
            </w:r>
          </w:p>
          <w:p w14:paraId="3CF11A82" w14:textId="77777777" w:rsidR="00E47756" w:rsidRPr="00E47756" w:rsidRDefault="00E47756" w:rsidP="00E47756">
            <w:pPr>
              <w:spacing w:after="0" w:line="240" w:lineRule="auto"/>
              <w:ind w:left="57" w:right="57"/>
              <w:rPr>
                <w:sz w:val="20"/>
              </w:rPr>
            </w:pPr>
          </w:p>
          <w:p w14:paraId="0892B589" w14:textId="77777777" w:rsidR="00E47756" w:rsidRPr="00E47756" w:rsidRDefault="00E47756" w:rsidP="00E47756">
            <w:pPr>
              <w:spacing w:after="0" w:line="240" w:lineRule="auto"/>
              <w:ind w:left="57" w:right="57"/>
              <w:rPr>
                <w:sz w:val="20"/>
              </w:rPr>
            </w:pPr>
          </w:p>
          <w:p w14:paraId="7F4B071B" w14:textId="77777777" w:rsidR="00E47756" w:rsidRPr="00E47756" w:rsidRDefault="00E47756" w:rsidP="00E47756">
            <w:pPr>
              <w:spacing w:after="0" w:line="240" w:lineRule="auto"/>
              <w:ind w:left="57" w:right="57"/>
              <w:rPr>
                <w:sz w:val="20"/>
              </w:rPr>
            </w:pPr>
          </w:p>
        </w:tc>
      </w:tr>
      <w:tr w:rsidR="00E47756" w:rsidRPr="00E47756" w14:paraId="54A0DA80" w14:textId="77777777" w:rsidTr="001A4016">
        <w:tblPrEx>
          <w:tblCellMar>
            <w:top w:w="43" w:type="dxa"/>
          </w:tblCellMar>
        </w:tblPrEx>
        <w:trPr>
          <w:trHeight w:val="1391"/>
        </w:trPr>
        <w:tc>
          <w:tcPr>
            <w:tcW w:w="447" w:type="dxa"/>
            <w:tcBorders>
              <w:top w:val="single" w:sz="4" w:space="0" w:color="000000"/>
              <w:left w:val="single" w:sz="4" w:space="0" w:color="000000"/>
              <w:bottom w:val="single" w:sz="4" w:space="0" w:color="000000"/>
              <w:right w:val="single" w:sz="4" w:space="0" w:color="000000"/>
            </w:tcBorders>
          </w:tcPr>
          <w:p w14:paraId="07D21790" w14:textId="77777777" w:rsidR="00E47756" w:rsidRPr="00E47756" w:rsidRDefault="00E47756" w:rsidP="00E47756">
            <w:pPr>
              <w:spacing w:after="0" w:line="240" w:lineRule="auto"/>
              <w:ind w:left="57" w:right="57"/>
              <w:jc w:val="center"/>
            </w:pPr>
            <w:r w:rsidRPr="00E47756">
              <w:rPr>
                <w:sz w:val="20"/>
              </w:rPr>
              <w:t>37.</w:t>
            </w:r>
          </w:p>
        </w:tc>
        <w:tc>
          <w:tcPr>
            <w:tcW w:w="2976" w:type="dxa"/>
            <w:tcBorders>
              <w:top w:val="single" w:sz="4" w:space="0" w:color="000000"/>
              <w:left w:val="single" w:sz="4" w:space="0" w:color="000000"/>
              <w:bottom w:val="single" w:sz="4" w:space="0" w:color="000000"/>
              <w:right w:val="single" w:sz="4" w:space="0" w:color="000000"/>
            </w:tcBorders>
          </w:tcPr>
          <w:p w14:paraId="21DEAE2E" w14:textId="77777777" w:rsidR="00E47756" w:rsidRPr="00E47756" w:rsidRDefault="00E47756" w:rsidP="00E47756">
            <w:pPr>
              <w:spacing w:after="0" w:line="240" w:lineRule="auto"/>
              <w:ind w:left="57" w:right="57"/>
            </w:pPr>
            <w:r w:rsidRPr="00E47756">
              <w:rPr>
                <w:b/>
                <w:sz w:val="20"/>
              </w:rPr>
              <w:t xml:space="preserve">Revízia právnych predpisov týkajúcich sa krvi, tkanív a buniek </w:t>
            </w:r>
          </w:p>
        </w:tc>
        <w:tc>
          <w:tcPr>
            <w:tcW w:w="3402" w:type="dxa"/>
            <w:gridSpan w:val="2"/>
            <w:tcBorders>
              <w:top w:val="single" w:sz="4" w:space="0" w:color="000000"/>
              <w:left w:val="single" w:sz="4" w:space="0" w:color="000000"/>
              <w:bottom w:val="single" w:sz="4" w:space="0" w:color="000000"/>
              <w:right w:val="single" w:sz="4" w:space="0" w:color="000000"/>
            </w:tcBorders>
          </w:tcPr>
          <w:p w14:paraId="76CCDD65" w14:textId="77777777" w:rsidR="00E47756" w:rsidRPr="00E47756" w:rsidRDefault="00E47756" w:rsidP="00E47756">
            <w:pPr>
              <w:spacing w:after="0" w:line="240" w:lineRule="auto"/>
              <w:ind w:left="57" w:right="57"/>
            </w:pPr>
            <w:r w:rsidRPr="00E47756">
              <w:rPr>
                <w:sz w:val="20"/>
              </w:rPr>
              <w:t xml:space="preserve">Cieľom revízie smernice 2002/98/ES o bezpečnosti a kvalite ľudskej krvi a zložiek krvi a smernice 2004/23/ES o bezpečnosti a kvalite ľudských tkanív a buniek a ich vykonávacích aktov je aktualizácia právnych rámcov týkajúcich </w:t>
            </w:r>
            <w:r w:rsidRPr="00E47756">
              <w:rPr>
                <w:sz w:val="20"/>
              </w:rPr>
              <w:lastRenderedPageBreak/>
              <w:t xml:space="preserve">sa krvi, tkanív a buniek. Právne predpisy EÚ ustanovujú vysoké bezpečnostné a kvalitatívne normy pre krv, tkanivá a bunky. Boli prijaté v reakcii na prenos chorôb prostredníctvom krvi, tkanív a buniek v 80. a 90. rokoch. Cieľom iniciatívy je aktualizovať súčasné právne predpisy, aby sa umožnilo pružnejšie zosúladenie s vedeckým a technologickým vývojom. Zameriava sa na riešenie (opätovného) výskytu prenosných ochorení vrátane poučení z pandémie ochorenia </w:t>
            </w:r>
            <w:r w:rsidR="00C00726">
              <w:rPr>
                <w:sz w:val="20"/>
              </w:rPr>
              <w:t>COVID</w:t>
            </w:r>
            <w:r w:rsidRPr="00E47756">
              <w:rPr>
                <w:sz w:val="20"/>
              </w:rPr>
              <w:t>-19. Bude sa zaoberať aj rastúcou komercializáciou a globalizáciou tohto sektora. Cieľom revízie je odstránenie mnohých technických ustanovení z právnych predpisov, čo umožní rýchlejšiu aktualizáciu noriem.</w:t>
            </w:r>
          </w:p>
          <w:p w14:paraId="2C565EDC" w14:textId="77777777" w:rsidR="00E47756" w:rsidRPr="00E47756" w:rsidRDefault="00E47756" w:rsidP="00E47756">
            <w:pPr>
              <w:spacing w:after="0" w:line="240" w:lineRule="auto"/>
              <w:ind w:left="57" w:right="57"/>
            </w:pPr>
            <w:r w:rsidRPr="00E47756">
              <w:rPr>
                <w:sz w:val="20"/>
              </w:rPr>
              <w:t xml:space="preserve">Revízia by umožnila aj možnosť zlúčiť základné akty do jedného nástroja. </w:t>
            </w:r>
          </w:p>
          <w:p w14:paraId="0881D872" w14:textId="77777777" w:rsidR="00E47756" w:rsidRPr="00E47756" w:rsidRDefault="00E47756" w:rsidP="00E47756">
            <w:pPr>
              <w:spacing w:after="0" w:line="240" w:lineRule="auto"/>
              <w:ind w:left="57" w:right="57"/>
            </w:pPr>
            <w:r w:rsidRPr="00E47756">
              <w:rPr>
                <w:sz w:val="20"/>
              </w:rPr>
              <w:t xml:space="preserve">Plánovaný dátum prijatia: 4. štvrťrok 2021; legislatívna iniciatíva; právny základ: článok 168 ods. 4 písm. a) ZFEÚ. Posúdenie vplyvu sa predpokladá. </w:t>
            </w:r>
          </w:p>
        </w:tc>
        <w:tc>
          <w:tcPr>
            <w:tcW w:w="2127" w:type="dxa"/>
            <w:tcBorders>
              <w:top w:val="single" w:sz="4" w:space="0" w:color="000000"/>
              <w:left w:val="single" w:sz="4" w:space="0" w:color="000000"/>
              <w:bottom w:val="single" w:sz="4" w:space="0" w:color="000000"/>
              <w:right w:val="single" w:sz="4" w:space="0" w:color="000000"/>
            </w:tcBorders>
          </w:tcPr>
          <w:p w14:paraId="78593B91" w14:textId="77777777" w:rsidR="00E47756" w:rsidRPr="00E47756" w:rsidRDefault="00E47756" w:rsidP="00E47756">
            <w:pPr>
              <w:spacing w:after="0" w:line="240" w:lineRule="auto"/>
              <w:ind w:left="57" w:right="57"/>
              <w:jc w:val="center"/>
              <w:rPr>
                <w:b/>
                <w:bCs/>
                <w:sz w:val="20"/>
              </w:rPr>
            </w:pPr>
            <w:r w:rsidRPr="00E47756">
              <w:rPr>
                <w:b/>
                <w:bCs/>
                <w:sz w:val="20"/>
              </w:rPr>
              <w:lastRenderedPageBreak/>
              <w:t>MZ SR</w:t>
            </w:r>
          </w:p>
        </w:tc>
        <w:tc>
          <w:tcPr>
            <w:tcW w:w="5670" w:type="dxa"/>
            <w:tcBorders>
              <w:top w:val="single" w:sz="4" w:space="0" w:color="000000"/>
              <w:left w:val="single" w:sz="4" w:space="0" w:color="000000"/>
              <w:bottom w:val="single" w:sz="4" w:space="0" w:color="000000"/>
              <w:right w:val="single" w:sz="4" w:space="0" w:color="000000"/>
            </w:tcBorders>
          </w:tcPr>
          <w:p w14:paraId="124F25AF" w14:textId="77777777" w:rsidR="00E47756" w:rsidRPr="00E47756" w:rsidRDefault="00E47756" w:rsidP="00E47756">
            <w:pPr>
              <w:spacing w:after="0" w:line="240" w:lineRule="auto"/>
              <w:ind w:left="57" w:right="57"/>
              <w:rPr>
                <w:b/>
                <w:bCs/>
                <w:sz w:val="20"/>
                <w:u w:val="single"/>
              </w:rPr>
            </w:pPr>
            <w:r w:rsidRPr="00E47756">
              <w:rPr>
                <w:b/>
                <w:bCs/>
                <w:sz w:val="20"/>
                <w:u w:val="single"/>
              </w:rPr>
              <w:t>Vysoká priorita</w:t>
            </w:r>
            <w:r w:rsidRPr="00E47756">
              <w:rPr>
                <w:sz w:val="20"/>
              </w:rPr>
              <w:t xml:space="preserve"> – Pre transfúziológov sú všetky smernice EK a odporučenia EK a RE veľmi dôležité, pretože sú základom pre slovenskú transfúziologickú legislatívu ako sú: </w:t>
            </w:r>
          </w:p>
          <w:p w14:paraId="016575BB" w14:textId="77777777" w:rsidR="00E47756" w:rsidRPr="00E47756" w:rsidRDefault="00E47756" w:rsidP="00E47756">
            <w:pPr>
              <w:spacing w:after="0" w:line="240" w:lineRule="auto"/>
              <w:ind w:left="57" w:right="57"/>
              <w:rPr>
                <w:sz w:val="20"/>
              </w:rPr>
            </w:pPr>
            <w:r w:rsidRPr="00E47756">
              <w:rPr>
                <w:sz w:val="20"/>
              </w:rPr>
              <w:t>- Zákon o lieku,</w:t>
            </w:r>
          </w:p>
          <w:p w14:paraId="2C624187" w14:textId="77777777" w:rsidR="00E47756" w:rsidRPr="00E47756" w:rsidRDefault="00E47756" w:rsidP="00E47756">
            <w:pPr>
              <w:spacing w:after="0" w:line="240" w:lineRule="auto"/>
              <w:ind w:left="57" w:right="57"/>
              <w:rPr>
                <w:sz w:val="20"/>
              </w:rPr>
            </w:pPr>
            <w:r w:rsidRPr="00E47756">
              <w:rPr>
                <w:sz w:val="20"/>
              </w:rPr>
              <w:t>- Vyhláška MZ SR 158/2015 o požiadavkách  na správnu prax prípravy transfúznych liekov </w:t>
            </w:r>
          </w:p>
          <w:p w14:paraId="5078B388" w14:textId="77777777" w:rsidR="00E47756" w:rsidRPr="00E47756" w:rsidRDefault="00E47756" w:rsidP="00E47756">
            <w:pPr>
              <w:spacing w:after="0" w:line="240" w:lineRule="auto"/>
              <w:ind w:left="57" w:right="57"/>
              <w:rPr>
                <w:sz w:val="20"/>
              </w:rPr>
            </w:pPr>
            <w:r w:rsidRPr="00E47756">
              <w:rPr>
                <w:sz w:val="20"/>
              </w:rPr>
              <w:lastRenderedPageBreak/>
              <w:t>- Opatrenie MZ SR  z 9. novembra 2017 o požiadavkách na sledovanie krvi, zložiek z krvi a transfúznych liekov, na formu a spôsob oznamovania závažných nežiaducich reakcií a závažných nežiaducich udalostí a na vyhodnocovanie ich  príčin a na normy a špecifikácie súvisiace so systémom kvality v  transfuziologických zariadeniach.</w:t>
            </w:r>
          </w:p>
          <w:p w14:paraId="418C456E" w14:textId="77777777" w:rsidR="00E47756" w:rsidRPr="00E47756" w:rsidRDefault="00E47756" w:rsidP="00E47756">
            <w:pPr>
              <w:spacing w:after="0" w:line="240" w:lineRule="auto"/>
              <w:ind w:left="57" w:right="57"/>
              <w:rPr>
                <w:sz w:val="20"/>
              </w:rPr>
            </w:pPr>
            <w:r w:rsidRPr="00E47756">
              <w:rPr>
                <w:sz w:val="20"/>
              </w:rPr>
              <w:t>Sú podkladom i pre Metodické pokyny, ktoré boli prijaté k vyššie menovaným legislatívnym dokumentom. Na základe Európskych smerníc vypracováva MZ SR podklady pre interné usmernenia NTS SR, ktorá je celonárodnou organizáciou v pôsobnosti MZ SR. Ďalej na základe týchto smerníc vypracováva MZ SR podklady pre hlavného odborníka pre transfúziológiu, na základe ktorých vydáva svoje usmernenia.</w:t>
            </w:r>
            <w:r w:rsidRPr="00E47756">
              <w:rPr>
                <w:color w:val="C00000"/>
                <w:sz w:val="20"/>
              </w:rPr>
              <w:t>. </w:t>
            </w:r>
          </w:p>
          <w:p w14:paraId="3D506706" w14:textId="77777777" w:rsidR="00E47756" w:rsidRPr="00E47756" w:rsidRDefault="00E47756" w:rsidP="00E47756">
            <w:pPr>
              <w:spacing w:after="0" w:line="240" w:lineRule="auto"/>
              <w:ind w:left="57" w:right="57"/>
              <w:rPr>
                <w:sz w:val="20"/>
              </w:rPr>
            </w:pPr>
            <w:r w:rsidRPr="00E47756">
              <w:rPr>
                <w:sz w:val="20"/>
              </w:rPr>
              <w:t>Všetky usmernenia pre transfúziológiu vypracovali odborníci na základe odporučení EK, ktoré vytvárali v spolupráci s EBA (Európska krvná aliancia) a ECDC. Smernice a príručky EK sú pre nás dôležitým zdrojom, o ktorý sa opierame pri tvorbe usmernení a riadení transfúziologických  zariadení.   </w:t>
            </w:r>
          </w:p>
          <w:p w14:paraId="508D37C1" w14:textId="77777777" w:rsidR="00E47756" w:rsidRPr="00E47756" w:rsidRDefault="00E47756" w:rsidP="00E47756">
            <w:pPr>
              <w:spacing w:after="0" w:line="240" w:lineRule="auto"/>
              <w:ind w:left="57" w:right="57"/>
              <w:rPr>
                <w:sz w:val="20"/>
              </w:rPr>
            </w:pPr>
          </w:p>
        </w:tc>
      </w:tr>
      <w:tr w:rsidR="00E47756" w:rsidRPr="00E47756" w14:paraId="0C70C9EF" w14:textId="77777777" w:rsidTr="001A4016">
        <w:tblPrEx>
          <w:tblCellMar>
            <w:top w:w="43" w:type="dxa"/>
          </w:tblCellMar>
        </w:tblPrEx>
        <w:trPr>
          <w:trHeight w:val="664"/>
        </w:trPr>
        <w:tc>
          <w:tcPr>
            <w:tcW w:w="447" w:type="dxa"/>
            <w:tcBorders>
              <w:top w:val="single" w:sz="4" w:space="0" w:color="000000"/>
              <w:left w:val="single" w:sz="4" w:space="0" w:color="000000"/>
              <w:bottom w:val="single" w:sz="4" w:space="0" w:color="000000"/>
              <w:right w:val="single" w:sz="4" w:space="0" w:color="000000"/>
            </w:tcBorders>
          </w:tcPr>
          <w:p w14:paraId="39EB5637" w14:textId="77777777" w:rsidR="00E47756" w:rsidRPr="00E47756" w:rsidRDefault="00E47756" w:rsidP="00E47756">
            <w:pPr>
              <w:spacing w:after="0" w:line="240" w:lineRule="auto"/>
              <w:ind w:left="57" w:right="57"/>
              <w:jc w:val="center"/>
            </w:pPr>
            <w:r w:rsidRPr="00E47756">
              <w:rPr>
                <w:sz w:val="20"/>
              </w:rPr>
              <w:lastRenderedPageBreak/>
              <w:t>38.</w:t>
            </w:r>
          </w:p>
        </w:tc>
        <w:tc>
          <w:tcPr>
            <w:tcW w:w="2976" w:type="dxa"/>
            <w:tcBorders>
              <w:top w:val="single" w:sz="4" w:space="0" w:color="000000"/>
              <w:left w:val="single" w:sz="4" w:space="0" w:color="000000"/>
              <w:bottom w:val="single" w:sz="4" w:space="0" w:color="000000"/>
              <w:right w:val="single" w:sz="4" w:space="0" w:color="000000"/>
            </w:tcBorders>
          </w:tcPr>
          <w:p w14:paraId="14573D2C" w14:textId="77777777" w:rsidR="00E47756" w:rsidRPr="00E47756" w:rsidRDefault="00E47756" w:rsidP="00E47756">
            <w:pPr>
              <w:spacing w:after="0" w:line="240" w:lineRule="auto"/>
              <w:ind w:left="57" w:right="57"/>
            </w:pPr>
            <w:r w:rsidRPr="00E47756">
              <w:rPr>
                <w:b/>
                <w:sz w:val="20"/>
              </w:rPr>
              <w:t xml:space="preserve">Hodnotenie bezpečnosti rybárskych plavidiel </w:t>
            </w:r>
          </w:p>
        </w:tc>
        <w:tc>
          <w:tcPr>
            <w:tcW w:w="3402" w:type="dxa"/>
            <w:gridSpan w:val="2"/>
            <w:tcBorders>
              <w:top w:val="single" w:sz="4" w:space="0" w:color="000000"/>
              <w:left w:val="single" w:sz="4" w:space="0" w:color="000000"/>
              <w:bottom w:val="single" w:sz="4" w:space="0" w:color="000000"/>
              <w:right w:val="single" w:sz="4" w:space="0" w:color="000000"/>
            </w:tcBorders>
          </w:tcPr>
          <w:p w14:paraId="71D27582" w14:textId="77777777" w:rsidR="00E47756" w:rsidRPr="00E47756" w:rsidRDefault="00E47756" w:rsidP="00E47756">
            <w:pPr>
              <w:spacing w:after="0" w:line="240" w:lineRule="auto"/>
              <w:ind w:left="57" w:right="57"/>
            </w:pPr>
            <w:r w:rsidRPr="00E47756">
              <w:rPr>
                <w:sz w:val="20"/>
              </w:rPr>
              <w:t xml:space="preserve">Sektor rybolovu je všeobecne uznávaný ako jedno z najrizikovejších povolaní. Súčasná smernica 97/70/ES uplatňuje na plavidlá s dĺžkou 24 metrov a viac technické ustanovenia protokolu IMO z </w:t>
            </w:r>
            <w:proofErr w:type="spellStart"/>
            <w:r w:rsidRPr="00E47756">
              <w:rPr>
                <w:sz w:val="20"/>
              </w:rPr>
              <w:t>Torremolinosu</w:t>
            </w:r>
            <w:proofErr w:type="spellEnd"/>
            <w:r w:rsidRPr="00E47756">
              <w:rPr>
                <w:sz w:val="20"/>
              </w:rPr>
              <w:t xml:space="preserve"> z roku 1993, medzinárodnej dohody, ktorá nikdy nenadobudla platnosť. Jej nástupkyňa, </w:t>
            </w:r>
            <w:r w:rsidRPr="00E47756">
              <w:rPr>
                <w:sz w:val="20"/>
              </w:rPr>
              <w:lastRenderedPageBreak/>
              <w:t xml:space="preserve">Dohoda z </w:t>
            </w:r>
            <w:proofErr w:type="spellStart"/>
            <w:r w:rsidRPr="00E47756">
              <w:rPr>
                <w:sz w:val="20"/>
              </w:rPr>
              <w:t>Kapského</w:t>
            </w:r>
            <w:proofErr w:type="spellEnd"/>
            <w:r w:rsidRPr="00E47756">
              <w:rPr>
                <w:sz w:val="20"/>
              </w:rPr>
              <w:t xml:space="preserve"> Mesta z roku 2012, ktorá si ponecháva väčšinu ustanovení Protokolu z </w:t>
            </w:r>
            <w:proofErr w:type="spellStart"/>
            <w:r w:rsidRPr="00E47756">
              <w:rPr>
                <w:sz w:val="20"/>
              </w:rPr>
              <w:t>Torremolinosu</w:t>
            </w:r>
            <w:proofErr w:type="spellEnd"/>
            <w:r w:rsidRPr="00E47756">
              <w:rPr>
                <w:sz w:val="20"/>
              </w:rPr>
              <w:t xml:space="preserve">, takisto ešte nenadobudla platnosť a ratifikovalo ju iba šesť členských štátov EÚ. V hodnotení smernice 97/70/ES sa bude riešiť otázka </w:t>
            </w:r>
            <w:proofErr w:type="spellStart"/>
            <w:r w:rsidRPr="00E47756">
              <w:rPr>
                <w:sz w:val="20"/>
              </w:rPr>
              <w:t>neratifikácie</w:t>
            </w:r>
            <w:proofErr w:type="spellEnd"/>
            <w:r w:rsidRPr="00E47756">
              <w:rPr>
                <w:sz w:val="20"/>
              </w:rPr>
              <w:t xml:space="preserve"> Dohody z </w:t>
            </w:r>
            <w:proofErr w:type="spellStart"/>
            <w:r w:rsidRPr="00E47756">
              <w:rPr>
                <w:sz w:val="20"/>
              </w:rPr>
              <w:t>Kapského</w:t>
            </w:r>
            <w:proofErr w:type="spellEnd"/>
            <w:r w:rsidRPr="00E47756">
              <w:rPr>
                <w:sz w:val="20"/>
              </w:rPr>
              <w:t xml:space="preserve"> Mesta a zisťovanie regulačných medzier v bezpečnosti, ako aj možná aktualizácia, ktorá by odrážala technologické zmeny od roku 1993, pričom by sa inšpirovala zlepšeniami vykonanými v sektore medzinárodnej obchodnej lodnej dopravy, ako aj v právnych predpisoch EÚ o lodnej doprave. Zváži sa aj uskutočniteľnosť predpisov na úrovni EÚ pre menšie rybárske plavidlá (menej ako 24 metrov), čo je sektor, v ktorom dochádza k väčšine nehôd. </w:t>
            </w:r>
          </w:p>
        </w:tc>
        <w:tc>
          <w:tcPr>
            <w:tcW w:w="2127" w:type="dxa"/>
            <w:tcBorders>
              <w:top w:val="single" w:sz="4" w:space="0" w:color="000000"/>
              <w:left w:val="single" w:sz="4" w:space="0" w:color="000000"/>
              <w:bottom w:val="single" w:sz="4" w:space="0" w:color="000000"/>
              <w:right w:val="single" w:sz="4" w:space="0" w:color="000000"/>
            </w:tcBorders>
          </w:tcPr>
          <w:p w14:paraId="31F2E2BB" w14:textId="77777777" w:rsidR="00E47756" w:rsidRPr="00E47756" w:rsidRDefault="00E47756" w:rsidP="00E47756">
            <w:pPr>
              <w:spacing w:after="0" w:line="240" w:lineRule="auto"/>
              <w:ind w:left="57" w:right="57"/>
              <w:jc w:val="center"/>
              <w:rPr>
                <w:b/>
                <w:sz w:val="20"/>
              </w:rPr>
            </w:pPr>
            <w:r w:rsidRPr="00E47756">
              <w:rPr>
                <w:b/>
                <w:sz w:val="20"/>
              </w:rPr>
              <w:lastRenderedPageBreak/>
              <w:t>MDV SR</w:t>
            </w:r>
          </w:p>
        </w:tc>
        <w:tc>
          <w:tcPr>
            <w:tcW w:w="5670" w:type="dxa"/>
            <w:tcBorders>
              <w:top w:val="single" w:sz="4" w:space="0" w:color="000000"/>
              <w:left w:val="single" w:sz="4" w:space="0" w:color="000000"/>
              <w:bottom w:val="single" w:sz="4" w:space="0" w:color="000000"/>
              <w:right w:val="single" w:sz="4" w:space="0" w:color="000000"/>
            </w:tcBorders>
          </w:tcPr>
          <w:p w14:paraId="4DF0E5FE" w14:textId="77777777" w:rsidR="00E47756" w:rsidRPr="00E47756" w:rsidRDefault="00E47756" w:rsidP="00E47756">
            <w:pPr>
              <w:spacing w:after="0" w:line="240" w:lineRule="auto"/>
              <w:ind w:left="57" w:right="57"/>
              <w:rPr>
                <w:sz w:val="20"/>
              </w:rPr>
            </w:pPr>
            <w:r w:rsidRPr="00E47756">
              <w:rPr>
                <w:b/>
                <w:sz w:val="20"/>
                <w:u w:val="single"/>
              </w:rPr>
              <w:t>Nízka priorita</w:t>
            </w:r>
            <w:r w:rsidRPr="00E47756">
              <w:rPr>
                <w:sz w:val="20"/>
              </w:rPr>
              <w:t xml:space="preserve"> – Registrácia námorných rybárskych plavidiel/lodí je vylúčená podľa § 1 ods. 3 zákona č.435/2000 Z. z. o námornej plavbe v znení neskorších predpisov.</w:t>
            </w:r>
          </w:p>
          <w:p w14:paraId="2DB414BF" w14:textId="77777777" w:rsidR="00E47756" w:rsidRPr="00E47756" w:rsidRDefault="00E47756" w:rsidP="00E47756">
            <w:pPr>
              <w:spacing w:after="0" w:line="240" w:lineRule="auto"/>
              <w:ind w:left="57" w:right="57"/>
              <w:rPr>
                <w:sz w:val="20"/>
              </w:rPr>
            </w:pPr>
            <w:r w:rsidRPr="00E47756">
              <w:rPr>
                <w:sz w:val="20"/>
              </w:rPr>
              <w:t xml:space="preserve">SR neratifikovalo Dohodu z </w:t>
            </w:r>
            <w:proofErr w:type="spellStart"/>
            <w:r w:rsidRPr="00E47756">
              <w:rPr>
                <w:sz w:val="20"/>
              </w:rPr>
              <w:t>Kapského</w:t>
            </w:r>
            <w:proofErr w:type="spellEnd"/>
            <w:r w:rsidRPr="00E47756">
              <w:rPr>
                <w:sz w:val="20"/>
              </w:rPr>
              <w:t xml:space="preserve"> Mesta z roku 2012, ktorá pokrýva väčšinu ustanovení Protokolu z </w:t>
            </w:r>
            <w:proofErr w:type="spellStart"/>
            <w:r w:rsidRPr="00E47756">
              <w:rPr>
                <w:sz w:val="20"/>
              </w:rPr>
              <w:t>Torremolinosu</w:t>
            </w:r>
            <w:proofErr w:type="spellEnd"/>
            <w:r w:rsidRPr="00E47756">
              <w:rPr>
                <w:sz w:val="20"/>
              </w:rPr>
              <w:t xml:space="preserve"> a predpokladá sa, že aj vzhľadom k vyššie uvedenej skutočnosti sa jej ratifikácia v najbližšom období nepredpokladá.</w:t>
            </w:r>
          </w:p>
          <w:p w14:paraId="708CA432" w14:textId="77777777" w:rsidR="00E47756" w:rsidRPr="00E47756" w:rsidRDefault="00E47756" w:rsidP="00E47756">
            <w:pPr>
              <w:spacing w:after="0" w:line="240" w:lineRule="auto"/>
              <w:ind w:left="57" w:right="57"/>
              <w:rPr>
                <w:sz w:val="20"/>
              </w:rPr>
            </w:pPr>
            <w:r w:rsidRPr="00E47756">
              <w:rPr>
                <w:sz w:val="20"/>
              </w:rPr>
              <w:lastRenderedPageBreak/>
              <w:t xml:space="preserve">Uvedená oblasť rybárskych plavidiel resp. ich registrácia je zákonom </w:t>
            </w:r>
            <w:r w:rsidRPr="00E47756">
              <w:rPr>
                <w:sz w:val="20"/>
              </w:rPr>
              <w:br/>
              <w:t>č. 435/2000 Z. z. o námornej plavbe v znení neskorších predpisov vylúčená, v SR nie je registrovaný žiaden člen lodnej posádky námorných rybárskych lodí, nie je poverené žiadne školiace stredisko pre výcvik, kvalifikáciu a strážnu službu námorníkov  na námorných rybárskych lodiach a nie je známa skutočnosť o rybároch podielnikoch zamestnaných v SR.</w:t>
            </w:r>
          </w:p>
          <w:p w14:paraId="5E8416EF" w14:textId="77777777" w:rsidR="00E47756" w:rsidRPr="00E47756" w:rsidRDefault="00E47756" w:rsidP="00E47756">
            <w:pPr>
              <w:spacing w:after="0" w:line="240" w:lineRule="auto"/>
              <w:ind w:left="57" w:right="57"/>
              <w:rPr>
                <w:sz w:val="20"/>
              </w:rPr>
            </w:pPr>
          </w:p>
        </w:tc>
      </w:tr>
      <w:tr w:rsidR="00E47756" w:rsidRPr="00E47756" w14:paraId="7C2CE593" w14:textId="77777777" w:rsidTr="001A4016">
        <w:tblPrEx>
          <w:tblCellMar>
            <w:top w:w="43" w:type="dxa"/>
          </w:tblCellMar>
        </w:tblPrEx>
        <w:trPr>
          <w:trHeight w:val="1349"/>
        </w:trPr>
        <w:tc>
          <w:tcPr>
            <w:tcW w:w="447" w:type="dxa"/>
            <w:tcBorders>
              <w:top w:val="single" w:sz="4" w:space="0" w:color="000000"/>
              <w:left w:val="single" w:sz="4" w:space="0" w:color="000000"/>
              <w:bottom w:val="single" w:sz="4" w:space="0" w:color="auto"/>
              <w:right w:val="single" w:sz="4" w:space="0" w:color="000000"/>
            </w:tcBorders>
          </w:tcPr>
          <w:p w14:paraId="5DFF9A02" w14:textId="77777777" w:rsidR="00E47756" w:rsidRPr="00E47756" w:rsidRDefault="00E47756" w:rsidP="00E47756">
            <w:pPr>
              <w:spacing w:after="0"/>
              <w:ind w:left="57" w:right="57"/>
              <w:jc w:val="center"/>
            </w:pPr>
            <w:r w:rsidRPr="00E47756">
              <w:rPr>
                <w:sz w:val="20"/>
              </w:rPr>
              <w:lastRenderedPageBreak/>
              <w:t>39.</w:t>
            </w:r>
          </w:p>
        </w:tc>
        <w:tc>
          <w:tcPr>
            <w:tcW w:w="2976" w:type="dxa"/>
            <w:tcBorders>
              <w:top w:val="single" w:sz="4" w:space="0" w:color="000000"/>
              <w:left w:val="single" w:sz="4" w:space="0" w:color="000000"/>
              <w:bottom w:val="single" w:sz="4" w:space="0" w:color="auto"/>
              <w:right w:val="single" w:sz="4" w:space="0" w:color="000000"/>
            </w:tcBorders>
          </w:tcPr>
          <w:p w14:paraId="31C423CE" w14:textId="77777777" w:rsidR="00E47756" w:rsidRPr="00E47756" w:rsidRDefault="00E47756" w:rsidP="00E47756">
            <w:pPr>
              <w:spacing w:after="0"/>
              <w:ind w:left="57" w:right="57"/>
            </w:pPr>
            <w:r w:rsidRPr="00E47756">
              <w:rPr>
                <w:b/>
                <w:sz w:val="20"/>
              </w:rPr>
              <w:t xml:space="preserve">Hodnotenie smernice 2011/24/EÚ o uplatňovaní práv pacientov pri cezhraničnej zdravotnej starostlivosti </w:t>
            </w:r>
          </w:p>
        </w:tc>
        <w:tc>
          <w:tcPr>
            <w:tcW w:w="3402" w:type="dxa"/>
            <w:gridSpan w:val="2"/>
            <w:tcBorders>
              <w:top w:val="single" w:sz="4" w:space="0" w:color="000000"/>
              <w:left w:val="single" w:sz="4" w:space="0" w:color="000000"/>
              <w:bottom w:val="single" w:sz="4" w:space="0" w:color="auto"/>
              <w:right w:val="single" w:sz="4" w:space="0" w:color="000000"/>
            </w:tcBorders>
          </w:tcPr>
          <w:p w14:paraId="4C9E70F3" w14:textId="77777777" w:rsidR="00E47756" w:rsidRPr="00E47756" w:rsidRDefault="00E47756" w:rsidP="00E47756">
            <w:pPr>
              <w:spacing w:after="0"/>
              <w:ind w:left="57" w:right="57"/>
            </w:pPr>
            <w:r w:rsidRPr="00E47756">
              <w:rPr>
                <w:sz w:val="20"/>
              </w:rPr>
              <w:t xml:space="preserve">Desať rokov po prijatí smernice sa v hodnotení bude posudzovať, ako sa splnil cieľ smernice, ktorým je uľahčenie prístupu k bezpečnej a kvalitnej cezhraničnej zdravotnej starostlivosti v inom členskom štáte, a ako smernica podporovala práva pacientov a cezhraničnú spoluprácu medzi členskými štátmi v prospech občanov EÚ. V hodnotení sa preveria prístupy uplatňované členskými štátmi v praxi, ako aj to, ako účinne fungujú a ktoré </w:t>
            </w:r>
            <w:r w:rsidRPr="00E47756">
              <w:rPr>
                <w:sz w:val="20"/>
              </w:rPr>
              <w:lastRenderedPageBreak/>
              <w:t xml:space="preserve">oblasti stále pôsobia ako prekážky pre pacientov, ktorí hľadajú zdravotnú starostlivosť v zahraničí. </w:t>
            </w:r>
          </w:p>
        </w:tc>
        <w:tc>
          <w:tcPr>
            <w:tcW w:w="2127" w:type="dxa"/>
            <w:tcBorders>
              <w:top w:val="single" w:sz="4" w:space="0" w:color="000000"/>
              <w:left w:val="single" w:sz="4" w:space="0" w:color="000000"/>
              <w:bottom w:val="single" w:sz="4" w:space="0" w:color="auto"/>
              <w:right w:val="single" w:sz="4" w:space="0" w:color="000000"/>
            </w:tcBorders>
          </w:tcPr>
          <w:p w14:paraId="755FEF51" w14:textId="77777777" w:rsidR="00E47756" w:rsidRPr="00E47756" w:rsidRDefault="00E47756" w:rsidP="00E47756">
            <w:pPr>
              <w:spacing w:after="0"/>
              <w:ind w:left="57" w:right="57"/>
              <w:jc w:val="center"/>
              <w:rPr>
                <w:b/>
                <w:bCs/>
                <w:sz w:val="20"/>
              </w:rPr>
            </w:pPr>
            <w:r w:rsidRPr="00E47756">
              <w:rPr>
                <w:b/>
                <w:bCs/>
                <w:sz w:val="20"/>
              </w:rPr>
              <w:lastRenderedPageBreak/>
              <w:t>MZ SR</w:t>
            </w:r>
          </w:p>
        </w:tc>
        <w:tc>
          <w:tcPr>
            <w:tcW w:w="5670" w:type="dxa"/>
            <w:tcBorders>
              <w:top w:val="single" w:sz="4" w:space="0" w:color="000000"/>
              <w:left w:val="single" w:sz="4" w:space="0" w:color="000000"/>
              <w:bottom w:val="single" w:sz="4" w:space="0" w:color="auto"/>
              <w:right w:val="single" w:sz="4" w:space="0" w:color="000000"/>
            </w:tcBorders>
          </w:tcPr>
          <w:p w14:paraId="7C6CFCD8" w14:textId="77777777" w:rsidR="00E47756" w:rsidRPr="00E47756" w:rsidRDefault="00E47756" w:rsidP="00E47756">
            <w:pPr>
              <w:spacing w:after="0"/>
              <w:ind w:left="57" w:right="57"/>
              <w:rPr>
                <w:bCs/>
                <w:sz w:val="20"/>
              </w:rPr>
            </w:pPr>
            <w:r w:rsidRPr="00E47756">
              <w:rPr>
                <w:b/>
                <w:sz w:val="20"/>
                <w:u w:val="single"/>
              </w:rPr>
              <w:t>Vysoká priorita</w:t>
            </w:r>
            <w:r w:rsidRPr="00E47756">
              <w:rPr>
                <w:sz w:val="20"/>
              </w:rPr>
              <w:t xml:space="preserve"> – </w:t>
            </w:r>
            <w:r w:rsidRPr="00E47756">
              <w:rPr>
                <w:bCs/>
                <w:sz w:val="20"/>
              </w:rPr>
              <w:t xml:space="preserve">SR víta iniciatívu, lebo smernica 2011/24/EÚ okrem iného svojim článkom 14 podporila vznik celoeurópskej organizačnej štruktúry s názvom </w:t>
            </w:r>
            <w:proofErr w:type="spellStart"/>
            <w:r w:rsidRPr="00E47756">
              <w:rPr>
                <w:bCs/>
                <w:sz w:val="20"/>
              </w:rPr>
              <w:t>eHealth</w:t>
            </w:r>
            <w:proofErr w:type="spellEnd"/>
            <w:r w:rsidRPr="00E47756">
              <w:rPr>
                <w:bCs/>
                <w:sz w:val="20"/>
              </w:rPr>
              <w:t xml:space="preserve"> </w:t>
            </w:r>
            <w:proofErr w:type="spellStart"/>
            <w:r w:rsidRPr="00E47756">
              <w:rPr>
                <w:bCs/>
                <w:sz w:val="20"/>
              </w:rPr>
              <w:t>Network</w:t>
            </w:r>
            <w:proofErr w:type="spellEnd"/>
            <w:r w:rsidRPr="00E47756">
              <w:rPr>
                <w:bCs/>
                <w:sz w:val="20"/>
              </w:rPr>
              <w:t xml:space="preserve">. Vznik </w:t>
            </w:r>
            <w:proofErr w:type="spellStart"/>
            <w:r w:rsidRPr="00E47756">
              <w:rPr>
                <w:bCs/>
                <w:sz w:val="20"/>
              </w:rPr>
              <w:t>eHealth</w:t>
            </w:r>
            <w:proofErr w:type="spellEnd"/>
            <w:r w:rsidRPr="00E47756">
              <w:rPr>
                <w:bCs/>
                <w:sz w:val="20"/>
              </w:rPr>
              <w:t xml:space="preserve"> </w:t>
            </w:r>
            <w:proofErr w:type="spellStart"/>
            <w:r w:rsidRPr="00E47756">
              <w:rPr>
                <w:bCs/>
                <w:sz w:val="20"/>
              </w:rPr>
              <w:t>Network</w:t>
            </w:r>
            <w:proofErr w:type="spellEnd"/>
            <w:r w:rsidRPr="00E47756">
              <w:rPr>
                <w:bCs/>
                <w:sz w:val="20"/>
              </w:rPr>
              <w:t xml:space="preserve"> viedol k búrlivému rozvoju všetkých aspektov informatizácie zdravotníctva v EÚ, čo všetky členské štáty vrátane Slovenskej republiky hodnotia veľmi pozitívne.</w:t>
            </w:r>
          </w:p>
        </w:tc>
      </w:tr>
      <w:tr w:rsidR="00E47756" w:rsidRPr="00E47756" w14:paraId="0DC49E20" w14:textId="77777777" w:rsidTr="001A4016">
        <w:tblPrEx>
          <w:tblCellMar>
            <w:top w:w="43" w:type="dxa"/>
          </w:tblCellMar>
        </w:tblPrEx>
        <w:trPr>
          <w:trHeight w:val="452"/>
        </w:trPr>
        <w:tc>
          <w:tcPr>
            <w:tcW w:w="6825" w:type="dxa"/>
            <w:gridSpan w:val="4"/>
            <w:tcBorders>
              <w:top w:val="single" w:sz="4" w:space="0" w:color="auto"/>
              <w:left w:val="single" w:sz="4" w:space="0" w:color="000000"/>
              <w:bottom w:val="single" w:sz="4" w:space="0" w:color="000000"/>
              <w:right w:val="single" w:sz="4" w:space="0" w:color="000000"/>
            </w:tcBorders>
            <w:shd w:val="clear" w:color="auto" w:fill="00ADDC"/>
          </w:tcPr>
          <w:p w14:paraId="61702306" w14:textId="77777777" w:rsidR="00E47756" w:rsidRPr="00E47756" w:rsidRDefault="00E47756" w:rsidP="00E47756">
            <w:pPr>
              <w:spacing w:after="0"/>
            </w:pPr>
            <w:r w:rsidRPr="00E47756">
              <w:rPr>
                <w:b/>
                <w:color w:val="FFFFFF"/>
                <w:sz w:val="20"/>
              </w:rPr>
              <w:t>Nový impulz pre európsku demokraciu</w:t>
            </w:r>
            <w:r w:rsidRPr="00E47756">
              <w:rPr>
                <w:b/>
                <w:sz w:val="20"/>
              </w:rPr>
              <w:t xml:space="preserve"> </w:t>
            </w:r>
          </w:p>
        </w:tc>
        <w:tc>
          <w:tcPr>
            <w:tcW w:w="2127" w:type="dxa"/>
            <w:tcBorders>
              <w:top w:val="single" w:sz="4" w:space="0" w:color="auto"/>
              <w:left w:val="single" w:sz="4" w:space="0" w:color="000000"/>
              <w:bottom w:val="single" w:sz="4" w:space="0" w:color="000000"/>
              <w:right w:val="single" w:sz="4" w:space="0" w:color="000000"/>
            </w:tcBorders>
            <w:shd w:val="clear" w:color="auto" w:fill="00ADDC"/>
          </w:tcPr>
          <w:p w14:paraId="25FC894E" w14:textId="77777777" w:rsidR="00E47756" w:rsidRPr="00E47756" w:rsidRDefault="00E47756" w:rsidP="00E47756">
            <w:pPr>
              <w:spacing w:after="0"/>
              <w:rPr>
                <w:b/>
                <w:color w:val="FFFFFF"/>
                <w:sz w:val="20"/>
              </w:rPr>
            </w:pPr>
          </w:p>
        </w:tc>
        <w:tc>
          <w:tcPr>
            <w:tcW w:w="5670" w:type="dxa"/>
            <w:tcBorders>
              <w:top w:val="single" w:sz="4" w:space="0" w:color="auto"/>
              <w:left w:val="single" w:sz="4" w:space="0" w:color="000000"/>
              <w:bottom w:val="single" w:sz="4" w:space="0" w:color="000000"/>
              <w:right w:val="single" w:sz="4" w:space="0" w:color="000000"/>
            </w:tcBorders>
            <w:shd w:val="clear" w:color="auto" w:fill="00ADDC"/>
          </w:tcPr>
          <w:p w14:paraId="642C2CEE" w14:textId="77777777" w:rsidR="00E47756" w:rsidRPr="00E47756" w:rsidRDefault="00E47756" w:rsidP="00E47756">
            <w:pPr>
              <w:spacing w:after="0"/>
              <w:rPr>
                <w:b/>
                <w:color w:val="FFFFFF"/>
                <w:sz w:val="20"/>
              </w:rPr>
            </w:pPr>
          </w:p>
        </w:tc>
      </w:tr>
      <w:tr w:rsidR="00E47756" w:rsidRPr="00E47756" w14:paraId="1C992C1A" w14:textId="77777777" w:rsidTr="001A4016">
        <w:tblPrEx>
          <w:tblCellMar>
            <w:top w:w="43" w:type="dxa"/>
          </w:tblCellMar>
        </w:tblPrEx>
        <w:trPr>
          <w:trHeight w:val="1927"/>
        </w:trPr>
        <w:tc>
          <w:tcPr>
            <w:tcW w:w="447" w:type="dxa"/>
            <w:tcBorders>
              <w:top w:val="single" w:sz="4" w:space="0" w:color="000000"/>
              <w:left w:val="single" w:sz="4" w:space="0" w:color="000000"/>
              <w:bottom w:val="single" w:sz="4" w:space="0" w:color="000000"/>
              <w:right w:val="single" w:sz="4" w:space="0" w:color="000000"/>
            </w:tcBorders>
          </w:tcPr>
          <w:p w14:paraId="4AF2E82C" w14:textId="77777777" w:rsidR="00E47756" w:rsidRPr="00E47756" w:rsidRDefault="00E47756" w:rsidP="00E47756">
            <w:pPr>
              <w:spacing w:after="0" w:line="240" w:lineRule="auto"/>
              <w:ind w:left="57" w:right="57"/>
              <w:jc w:val="center"/>
            </w:pPr>
            <w:r w:rsidRPr="00E47756">
              <w:rPr>
                <w:sz w:val="20"/>
              </w:rPr>
              <w:t>40.</w:t>
            </w:r>
          </w:p>
        </w:tc>
        <w:tc>
          <w:tcPr>
            <w:tcW w:w="2976" w:type="dxa"/>
            <w:tcBorders>
              <w:top w:val="single" w:sz="4" w:space="0" w:color="000000"/>
              <w:left w:val="single" w:sz="4" w:space="0" w:color="000000"/>
              <w:bottom w:val="single" w:sz="4" w:space="0" w:color="000000"/>
              <w:right w:val="single" w:sz="4" w:space="0" w:color="000000"/>
            </w:tcBorders>
          </w:tcPr>
          <w:p w14:paraId="63C1C2D0" w14:textId="77777777" w:rsidR="00E47756" w:rsidRPr="00E47756" w:rsidRDefault="00E47756" w:rsidP="00E47756">
            <w:pPr>
              <w:spacing w:after="0" w:line="240" w:lineRule="auto"/>
              <w:ind w:left="57" w:right="57"/>
            </w:pPr>
            <w:r w:rsidRPr="00E47756">
              <w:rPr>
                <w:b/>
                <w:sz w:val="20"/>
              </w:rPr>
              <w:t xml:space="preserve">Revízia smernice 99/2008/ES o ochrane životného prostredia prostredníctvom trestného práva </w:t>
            </w:r>
          </w:p>
        </w:tc>
        <w:tc>
          <w:tcPr>
            <w:tcW w:w="3402" w:type="dxa"/>
            <w:gridSpan w:val="2"/>
            <w:tcBorders>
              <w:top w:val="single" w:sz="4" w:space="0" w:color="000000"/>
              <w:left w:val="single" w:sz="4" w:space="0" w:color="000000"/>
              <w:bottom w:val="single" w:sz="4" w:space="0" w:color="000000"/>
              <w:right w:val="single" w:sz="4" w:space="0" w:color="000000"/>
            </w:tcBorders>
          </w:tcPr>
          <w:p w14:paraId="1B5B95CF" w14:textId="77777777" w:rsidR="00E47756" w:rsidRPr="00E47756" w:rsidRDefault="00E47756" w:rsidP="00E47756">
            <w:pPr>
              <w:spacing w:after="0" w:line="240" w:lineRule="auto"/>
              <w:ind w:left="57" w:right="57"/>
            </w:pPr>
            <w:r w:rsidRPr="00E47756">
              <w:rPr>
                <w:sz w:val="20"/>
              </w:rPr>
              <w:t xml:space="preserve">Na základe výsledku hodnotenia sa prostredníctvom revízie smernice zabezpečia lepšie a cielenejšie nástroje na dosiahnutie cieľov a </w:t>
            </w:r>
            <w:proofErr w:type="spellStart"/>
            <w:r w:rsidRPr="00E47756">
              <w:rPr>
                <w:sz w:val="20"/>
              </w:rPr>
              <w:t>konzistentnejšej</w:t>
            </w:r>
            <w:proofErr w:type="spellEnd"/>
            <w:r w:rsidRPr="00E47756">
              <w:rPr>
                <w:sz w:val="20"/>
              </w:rPr>
              <w:t xml:space="preserve"> interakcie s inými legislatívnymi nástrojmi na ochranu životného prostredia. V revízii sa takisto využije posilnená právomoc v oblasti trestného práva podľa Lisabonskej zmluvy. Bude sa zameriavať na poskytnutie lepšej ochrany životného prostredia prostredníctvom trestného práva v súlade s inými legislatívnymi a vykonávacími opatreniami. </w:t>
            </w:r>
          </w:p>
          <w:p w14:paraId="238EDD6C" w14:textId="77777777" w:rsidR="00E47756" w:rsidRPr="00E47756" w:rsidRDefault="00E47756" w:rsidP="00E47756">
            <w:pPr>
              <w:spacing w:after="0" w:line="240" w:lineRule="auto"/>
              <w:ind w:left="57" w:right="57"/>
              <w:rPr>
                <w:sz w:val="20"/>
              </w:rPr>
            </w:pPr>
            <w:r w:rsidRPr="00E47756">
              <w:rPr>
                <w:sz w:val="20"/>
              </w:rPr>
              <w:t xml:space="preserve">Plánovaný dátum prijatia: 4. štvrťrok 2021; legislatívna iniciatíva; právny základ: článok 83 ods. 2 ZFEÚ. Posúdenie vplyvu sa predpokladá. </w:t>
            </w:r>
          </w:p>
          <w:p w14:paraId="3AD14D0E" w14:textId="77777777" w:rsidR="00E47756" w:rsidRPr="00E47756" w:rsidRDefault="00E47756" w:rsidP="00E47756">
            <w:pPr>
              <w:spacing w:after="0" w:line="240" w:lineRule="auto"/>
              <w:ind w:left="57" w:right="57"/>
              <w:rPr>
                <w:sz w:val="20"/>
              </w:rPr>
            </w:pPr>
          </w:p>
          <w:p w14:paraId="0A85DD3E" w14:textId="77777777" w:rsidR="00E47756" w:rsidRPr="00E47756" w:rsidRDefault="00E47756" w:rsidP="00E47756">
            <w:pPr>
              <w:spacing w:after="0" w:line="240" w:lineRule="auto"/>
              <w:ind w:left="57" w:right="57"/>
              <w:rPr>
                <w:sz w:val="20"/>
              </w:rPr>
            </w:pPr>
          </w:p>
          <w:p w14:paraId="4C854E1E" w14:textId="77777777" w:rsidR="00E47756" w:rsidRPr="00E47756" w:rsidRDefault="00E47756" w:rsidP="00E47756">
            <w:pPr>
              <w:spacing w:after="0" w:line="240" w:lineRule="auto"/>
              <w:ind w:left="57" w:right="57"/>
              <w:rPr>
                <w:sz w:val="20"/>
              </w:rPr>
            </w:pPr>
          </w:p>
          <w:p w14:paraId="3112B063" w14:textId="77777777" w:rsidR="00E47756" w:rsidRPr="00E47756" w:rsidRDefault="00E47756" w:rsidP="00E47756">
            <w:pPr>
              <w:spacing w:after="0" w:line="240" w:lineRule="auto"/>
              <w:ind w:left="57" w:right="57"/>
              <w:rPr>
                <w:sz w:val="20"/>
              </w:rPr>
            </w:pPr>
          </w:p>
          <w:p w14:paraId="3505977D" w14:textId="77777777" w:rsidR="00E47756" w:rsidRPr="00E47756" w:rsidRDefault="00E47756" w:rsidP="00E47756">
            <w:pPr>
              <w:spacing w:after="0" w:line="240" w:lineRule="auto"/>
              <w:ind w:left="57" w:right="57"/>
              <w:rPr>
                <w:sz w:val="20"/>
              </w:rPr>
            </w:pPr>
          </w:p>
          <w:p w14:paraId="329161DD" w14:textId="77777777" w:rsidR="00E47756" w:rsidRPr="00E47756" w:rsidRDefault="00E47756" w:rsidP="00E47756">
            <w:pPr>
              <w:spacing w:after="0" w:line="240" w:lineRule="auto"/>
              <w:ind w:left="57" w:right="57"/>
            </w:pPr>
          </w:p>
        </w:tc>
        <w:tc>
          <w:tcPr>
            <w:tcW w:w="2127" w:type="dxa"/>
            <w:tcBorders>
              <w:top w:val="single" w:sz="4" w:space="0" w:color="000000"/>
              <w:left w:val="single" w:sz="4" w:space="0" w:color="000000"/>
              <w:bottom w:val="single" w:sz="4" w:space="0" w:color="000000"/>
              <w:right w:val="single" w:sz="4" w:space="0" w:color="000000"/>
            </w:tcBorders>
          </w:tcPr>
          <w:p w14:paraId="0E6431C1" w14:textId="77777777" w:rsidR="00E47756" w:rsidRPr="00E47756" w:rsidRDefault="00E47756" w:rsidP="00E47756">
            <w:pPr>
              <w:spacing w:after="0" w:line="240" w:lineRule="auto"/>
              <w:ind w:left="57" w:right="57"/>
              <w:jc w:val="center"/>
              <w:rPr>
                <w:b/>
                <w:sz w:val="20"/>
              </w:rPr>
            </w:pPr>
            <w:r w:rsidRPr="00E47756">
              <w:rPr>
                <w:b/>
                <w:sz w:val="20"/>
              </w:rPr>
              <w:t>MS SR</w:t>
            </w:r>
          </w:p>
          <w:p w14:paraId="34D5841E" w14:textId="77777777" w:rsidR="00E47756" w:rsidRPr="00E47756" w:rsidRDefault="00E47756" w:rsidP="00E47756">
            <w:pPr>
              <w:spacing w:after="0" w:line="240" w:lineRule="auto"/>
              <w:ind w:left="57" w:right="57"/>
              <w:jc w:val="center"/>
              <w:rPr>
                <w:b/>
                <w:sz w:val="20"/>
              </w:rPr>
            </w:pPr>
          </w:p>
        </w:tc>
        <w:tc>
          <w:tcPr>
            <w:tcW w:w="5670" w:type="dxa"/>
            <w:tcBorders>
              <w:top w:val="single" w:sz="4" w:space="0" w:color="000000"/>
              <w:left w:val="single" w:sz="4" w:space="0" w:color="000000"/>
              <w:bottom w:val="single" w:sz="4" w:space="0" w:color="000000"/>
              <w:right w:val="single" w:sz="4" w:space="0" w:color="000000"/>
            </w:tcBorders>
          </w:tcPr>
          <w:p w14:paraId="7E3A45EA" w14:textId="77777777" w:rsidR="00E47756" w:rsidRPr="00E47756" w:rsidRDefault="00E47756" w:rsidP="00E47756">
            <w:pPr>
              <w:spacing w:after="0" w:line="240" w:lineRule="auto"/>
              <w:ind w:left="57" w:right="57"/>
              <w:rPr>
                <w:sz w:val="20"/>
              </w:rPr>
            </w:pPr>
            <w:r w:rsidRPr="00E47756">
              <w:rPr>
                <w:b/>
                <w:sz w:val="20"/>
                <w:u w:val="single"/>
              </w:rPr>
              <w:t>Stredná priorita</w:t>
            </w:r>
            <w:r w:rsidRPr="00E47756">
              <w:rPr>
                <w:sz w:val="20"/>
              </w:rPr>
              <w:t xml:space="preserve"> – Možno očakávať modernizáciu právneho rámca a posilnenie ochrany v oblasti životného prostredia prostredníctvom trestného práv. Je veľmi dôležité pristúpiť k ďalšiemu kroku, ktorý nadväzuje na 8. kolo vzájomných hodnotení čím sa potvrdí účinnosť tohto mechanizmu hodnotenia. Samotná problematika za obdobie od prijatia smernice (2008) je charakteristická dynamickým vývojom, ktorý odôvodňuje prijatie nových prvkov harmonizácie..</w:t>
            </w:r>
          </w:p>
        </w:tc>
      </w:tr>
      <w:tr w:rsidR="00E47756" w:rsidRPr="00E47756" w14:paraId="1A7EF16D" w14:textId="77777777" w:rsidTr="001A4016">
        <w:tblPrEx>
          <w:tblCellMar>
            <w:top w:w="43" w:type="dxa"/>
          </w:tblCellMar>
        </w:tblPrEx>
        <w:trPr>
          <w:trHeight w:val="1349"/>
        </w:trPr>
        <w:tc>
          <w:tcPr>
            <w:tcW w:w="447" w:type="dxa"/>
            <w:tcBorders>
              <w:top w:val="single" w:sz="4" w:space="0" w:color="000000"/>
              <w:left w:val="single" w:sz="4" w:space="0" w:color="000000"/>
              <w:bottom w:val="single" w:sz="4" w:space="0" w:color="000000"/>
              <w:right w:val="single" w:sz="4" w:space="0" w:color="000000"/>
            </w:tcBorders>
          </w:tcPr>
          <w:p w14:paraId="3B3DB24B" w14:textId="77777777" w:rsidR="00E47756" w:rsidRPr="00E47756" w:rsidRDefault="00E47756" w:rsidP="00E47756">
            <w:pPr>
              <w:spacing w:after="0" w:line="240" w:lineRule="auto"/>
              <w:ind w:left="57" w:right="57"/>
            </w:pPr>
            <w:r w:rsidRPr="00E47756">
              <w:rPr>
                <w:sz w:val="20"/>
              </w:rPr>
              <w:lastRenderedPageBreak/>
              <w:t>41.</w:t>
            </w:r>
            <w:r w:rsidRPr="00E47756">
              <w:rPr>
                <w:rFonts w:ascii="Arial" w:hAnsi="Arial" w:cs="Arial"/>
                <w:sz w:val="20"/>
              </w:rPr>
              <w:t xml:space="preserve"> </w:t>
            </w:r>
            <w:r w:rsidRPr="00E47756">
              <w:rPr>
                <w:b/>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8EDC0B6" w14:textId="77777777" w:rsidR="00E47756" w:rsidRPr="00E47756" w:rsidRDefault="00E47756" w:rsidP="00E47756">
            <w:pPr>
              <w:spacing w:after="0" w:line="240" w:lineRule="auto"/>
              <w:ind w:left="57" w:right="57"/>
            </w:pPr>
            <w:r w:rsidRPr="00E47756">
              <w:rPr>
                <w:b/>
                <w:sz w:val="20"/>
              </w:rPr>
              <w:t xml:space="preserve">Kontrola vhodnosti právnych predpisov EÚ v oblasti násilia páchaného na ženách a domáceho násilia </w:t>
            </w:r>
          </w:p>
        </w:tc>
        <w:tc>
          <w:tcPr>
            <w:tcW w:w="3402" w:type="dxa"/>
            <w:gridSpan w:val="2"/>
            <w:tcBorders>
              <w:top w:val="single" w:sz="4" w:space="0" w:color="000000"/>
              <w:left w:val="single" w:sz="4" w:space="0" w:color="000000"/>
              <w:bottom w:val="single" w:sz="4" w:space="0" w:color="000000"/>
              <w:right w:val="single" w:sz="4" w:space="0" w:color="000000"/>
            </w:tcBorders>
          </w:tcPr>
          <w:p w14:paraId="6406DB4F" w14:textId="77777777" w:rsidR="00E47756" w:rsidRPr="00E47756" w:rsidRDefault="00E47756" w:rsidP="00E47756">
            <w:pPr>
              <w:spacing w:after="0" w:line="240" w:lineRule="auto"/>
              <w:ind w:left="57" w:right="57"/>
            </w:pPr>
            <w:r w:rsidRPr="00E47756">
              <w:rPr>
                <w:sz w:val="20"/>
              </w:rPr>
              <w:t xml:space="preserve">V rámci kontroly vhodnosti sa posúdi, akú úlohu zohrávajú existujúce právne predpisy EÚ v prevencii a boji proti násiliu páchanému na ženách a domácemu násiliu a zanalyzuje sa jednotnosť týchto opatrení EÚ s medzinárodnými zdrojmi. Identifikujú sa v nej legislatívne medzery a analyzuje sa potreba ďalších možných krokov smerujúcich k zlepšenej, koordinovanej ochrane pred týmto pretrvávajúcim druhom rodovo motivovanej diskriminácie. Kontrola vhodnosti sa bude vzťahovať na obdobie od prijatia každého právneho aktu až do roku 2020. Bude zahŕňať všetky členské štáty EÚ. </w:t>
            </w:r>
          </w:p>
        </w:tc>
        <w:tc>
          <w:tcPr>
            <w:tcW w:w="2127" w:type="dxa"/>
            <w:tcBorders>
              <w:top w:val="single" w:sz="4" w:space="0" w:color="000000"/>
              <w:left w:val="single" w:sz="4" w:space="0" w:color="000000"/>
              <w:bottom w:val="single" w:sz="4" w:space="0" w:color="000000"/>
              <w:right w:val="single" w:sz="4" w:space="0" w:color="000000"/>
            </w:tcBorders>
          </w:tcPr>
          <w:p w14:paraId="1E4FA005" w14:textId="77777777" w:rsidR="00E47756" w:rsidRPr="00E47756" w:rsidRDefault="00E47756" w:rsidP="00E47756">
            <w:pPr>
              <w:spacing w:after="0" w:line="240" w:lineRule="auto"/>
              <w:ind w:left="57" w:right="57"/>
              <w:jc w:val="center"/>
              <w:rPr>
                <w:b/>
                <w:sz w:val="20"/>
              </w:rPr>
            </w:pPr>
            <w:r w:rsidRPr="00E47756">
              <w:rPr>
                <w:b/>
                <w:sz w:val="20"/>
              </w:rPr>
              <w:t>MS SR</w:t>
            </w:r>
          </w:p>
          <w:p w14:paraId="6FBA96E3" w14:textId="77777777" w:rsidR="00E47756" w:rsidRPr="00E47756" w:rsidRDefault="00E47756" w:rsidP="00E47756">
            <w:pPr>
              <w:spacing w:after="0" w:line="240" w:lineRule="auto"/>
              <w:ind w:left="57" w:right="57"/>
              <w:jc w:val="center"/>
              <w:rPr>
                <w:b/>
                <w:sz w:val="20"/>
              </w:rPr>
            </w:pPr>
            <w:r w:rsidRPr="00E47756">
              <w:rPr>
                <w:b/>
                <w:sz w:val="20"/>
              </w:rPr>
              <w:t xml:space="preserve"> MPSVR SR</w:t>
            </w:r>
          </w:p>
          <w:p w14:paraId="643B6FB5" w14:textId="77777777" w:rsidR="00E47756" w:rsidRPr="00E47756" w:rsidRDefault="00E47756" w:rsidP="00E47756">
            <w:pPr>
              <w:spacing w:after="0" w:line="240" w:lineRule="auto"/>
              <w:ind w:left="57" w:right="57"/>
              <w:jc w:val="center"/>
              <w:rPr>
                <w:sz w:val="20"/>
              </w:rPr>
            </w:pPr>
          </w:p>
        </w:tc>
        <w:tc>
          <w:tcPr>
            <w:tcW w:w="5670" w:type="dxa"/>
            <w:tcBorders>
              <w:top w:val="single" w:sz="4" w:space="0" w:color="000000"/>
              <w:left w:val="single" w:sz="4" w:space="0" w:color="000000"/>
              <w:bottom w:val="single" w:sz="4" w:space="0" w:color="000000"/>
              <w:right w:val="single" w:sz="4" w:space="0" w:color="000000"/>
            </w:tcBorders>
          </w:tcPr>
          <w:p w14:paraId="57396CA9" w14:textId="77777777" w:rsidR="00E47756" w:rsidRPr="00E47756" w:rsidRDefault="00E47756" w:rsidP="00E47756">
            <w:pPr>
              <w:spacing w:after="0" w:line="240" w:lineRule="auto"/>
              <w:ind w:left="57" w:right="57"/>
              <w:rPr>
                <w:b/>
                <w:sz w:val="20"/>
              </w:rPr>
            </w:pPr>
            <w:r w:rsidRPr="00E47756">
              <w:rPr>
                <w:b/>
                <w:sz w:val="20"/>
                <w:u w:val="single"/>
              </w:rPr>
              <w:t>Nízka priorita</w:t>
            </w:r>
            <w:r w:rsidRPr="00E47756">
              <w:rPr>
                <w:sz w:val="20"/>
              </w:rPr>
              <w:t xml:space="preserve"> – Komisia zhodnotí aktuálnu legislatívu a existujúce nástroje v oblasti prevencie a boja proti násiliu páchanému na ženách a domácemu násiliu. Preskúmanie harmonizačných prvkov v oblasti postihovania domáceho násilia a na partikulárnych kategóriách zraniteľných osôb je potrebné považovať za vytvorenie platformy na odbornú diskusiu orgánov vynucovania práva a najmä tvorcov trestných politík v danej oblasti, ktorá doposiaľ de </w:t>
            </w:r>
            <w:proofErr w:type="spellStart"/>
            <w:r w:rsidRPr="00E47756">
              <w:rPr>
                <w:sz w:val="20"/>
              </w:rPr>
              <w:t>facto</w:t>
            </w:r>
            <w:proofErr w:type="spellEnd"/>
            <w:r w:rsidRPr="00E47756">
              <w:rPr>
                <w:sz w:val="20"/>
              </w:rPr>
              <w:t xml:space="preserve"> absentovala.</w:t>
            </w:r>
          </w:p>
          <w:p w14:paraId="510A7D8A" w14:textId="77777777" w:rsidR="00E47756" w:rsidRPr="00E47756" w:rsidRDefault="00E47756" w:rsidP="00E47756">
            <w:pPr>
              <w:spacing w:after="0" w:line="240" w:lineRule="auto"/>
              <w:ind w:left="57" w:right="57"/>
              <w:rPr>
                <w:sz w:val="20"/>
              </w:rPr>
            </w:pPr>
          </w:p>
        </w:tc>
      </w:tr>
    </w:tbl>
    <w:p w14:paraId="1300915B" w14:textId="77777777" w:rsidR="00E47756" w:rsidRPr="00E47756" w:rsidRDefault="00E47756" w:rsidP="00E47756">
      <w:pPr>
        <w:spacing w:after="0"/>
        <w:ind w:right="7489"/>
        <w:jc w:val="right"/>
      </w:pPr>
      <w:r w:rsidRPr="00E47756">
        <w:rPr>
          <w:rFonts w:cs="Times New Roman"/>
          <w:sz w:val="20"/>
        </w:rPr>
        <w:t xml:space="preserve"> </w:t>
      </w:r>
    </w:p>
    <w:p w14:paraId="17D510B9" w14:textId="77777777" w:rsidR="00E47756" w:rsidRPr="00E47756" w:rsidRDefault="00E47756" w:rsidP="00E47756">
      <w:pPr>
        <w:spacing w:after="0"/>
      </w:pPr>
      <w:r w:rsidRPr="00E47756">
        <w:rPr>
          <w:rFonts w:cs="Times New Roman"/>
        </w:rPr>
        <w:t xml:space="preserve"> </w:t>
      </w:r>
      <w:r w:rsidRPr="00E47756">
        <w:rPr>
          <w:rFonts w:cs="Times New Roman"/>
        </w:rPr>
        <w:tab/>
      </w:r>
      <w:r w:rsidRPr="00E47756">
        <w:rPr>
          <w:rFonts w:cs="Times New Roman"/>
          <w:sz w:val="20"/>
        </w:rPr>
        <w:t xml:space="preserve"> </w:t>
      </w:r>
      <w:r w:rsidRPr="00E47756">
        <w:br w:type="page"/>
      </w:r>
    </w:p>
    <w:p w14:paraId="63EF59AE" w14:textId="77777777" w:rsidR="00E47756" w:rsidRPr="00E47756" w:rsidRDefault="00E47756" w:rsidP="00E47756">
      <w:pPr>
        <w:spacing w:after="268"/>
        <w:ind w:left="4218"/>
      </w:pPr>
      <w:r w:rsidRPr="00E47756">
        <w:rPr>
          <w:rFonts w:cs="Times New Roman"/>
          <w:b/>
          <w:sz w:val="28"/>
          <w:u w:val="single" w:color="000000"/>
        </w:rPr>
        <w:lastRenderedPageBreak/>
        <w:t>Príloha III: Prioritné návrhy v štádiu schvaľovania</w:t>
      </w:r>
      <w:r w:rsidRPr="00E47756">
        <w:rPr>
          <w:rFonts w:cs="Times New Roman"/>
          <w:b/>
          <w:sz w:val="28"/>
        </w:rPr>
        <w:t xml:space="preserve"> </w:t>
      </w:r>
    </w:p>
    <w:tbl>
      <w:tblPr>
        <w:tblStyle w:val="TableGrid1"/>
        <w:tblW w:w="14622" w:type="dxa"/>
        <w:tblInd w:w="-26" w:type="dxa"/>
        <w:tblCellMar>
          <w:top w:w="35" w:type="dxa"/>
          <w:left w:w="26" w:type="dxa"/>
        </w:tblCellMar>
        <w:tblLook w:val="04A0" w:firstRow="1" w:lastRow="0" w:firstColumn="1" w:lastColumn="0" w:noHBand="0" w:noVBand="1"/>
      </w:tblPr>
      <w:tblGrid>
        <w:gridCol w:w="632"/>
        <w:gridCol w:w="20"/>
        <w:gridCol w:w="6173"/>
        <w:gridCol w:w="1985"/>
        <w:gridCol w:w="1701"/>
        <w:gridCol w:w="4111"/>
      </w:tblGrid>
      <w:tr w:rsidR="00E47756" w:rsidRPr="00E47756" w14:paraId="5AC7A11C" w14:textId="77777777" w:rsidTr="0037772F">
        <w:trPr>
          <w:trHeight w:val="403"/>
          <w:tblHeader/>
        </w:trPr>
        <w:tc>
          <w:tcPr>
            <w:tcW w:w="652" w:type="dxa"/>
            <w:gridSpan w:val="2"/>
            <w:tcBorders>
              <w:top w:val="single" w:sz="4" w:space="0" w:color="000000"/>
              <w:left w:val="single" w:sz="4" w:space="0" w:color="000000"/>
              <w:bottom w:val="single" w:sz="4" w:space="0" w:color="auto"/>
              <w:right w:val="single" w:sz="4" w:space="0" w:color="000000"/>
            </w:tcBorders>
            <w:shd w:val="clear" w:color="auto" w:fill="99CCFF"/>
            <w:vAlign w:val="center"/>
          </w:tcPr>
          <w:p w14:paraId="70504532" w14:textId="77777777" w:rsidR="00E47756" w:rsidRPr="00E47756" w:rsidRDefault="00E47756" w:rsidP="00E47756">
            <w:pPr>
              <w:jc w:val="center"/>
            </w:pPr>
            <w:r w:rsidRPr="00E47756">
              <w:rPr>
                <w:b/>
                <w:sz w:val="20"/>
              </w:rPr>
              <w:t>Č.</w:t>
            </w:r>
          </w:p>
        </w:tc>
        <w:tc>
          <w:tcPr>
            <w:tcW w:w="6173" w:type="dxa"/>
            <w:tcBorders>
              <w:top w:val="single" w:sz="4" w:space="0" w:color="000000"/>
              <w:left w:val="single" w:sz="4" w:space="0" w:color="000000"/>
              <w:bottom w:val="single" w:sz="4" w:space="0" w:color="auto"/>
              <w:right w:val="single" w:sz="4" w:space="0" w:color="000000"/>
            </w:tcBorders>
            <w:shd w:val="clear" w:color="auto" w:fill="99CCFF"/>
          </w:tcPr>
          <w:p w14:paraId="527B78F6" w14:textId="77777777" w:rsidR="00E47756" w:rsidRPr="00E47756" w:rsidRDefault="00E47756" w:rsidP="00E47756">
            <w:pPr>
              <w:ind w:right="29"/>
              <w:jc w:val="center"/>
            </w:pPr>
            <w:r w:rsidRPr="00E47756">
              <w:rPr>
                <w:b/>
                <w:sz w:val="20"/>
              </w:rPr>
              <w:t xml:space="preserve">Úplný názov </w:t>
            </w:r>
          </w:p>
        </w:tc>
        <w:tc>
          <w:tcPr>
            <w:tcW w:w="1985" w:type="dxa"/>
            <w:tcBorders>
              <w:top w:val="single" w:sz="4" w:space="0" w:color="000000"/>
              <w:left w:val="single" w:sz="4" w:space="0" w:color="000000"/>
              <w:bottom w:val="single" w:sz="4" w:space="0" w:color="auto"/>
              <w:right w:val="single" w:sz="4" w:space="0" w:color="000000"/>
            </w:tcBorders>
            <w:shd w:val="clear" w:color="auto" w:fill="99CCFF"/>
          </w:tcPr>
          <w:p w14:paraId="65DC617D" w14:textId="77777777" w:rsidR="00E47756" w:rsidRPr="00E47756" w:rsidRDefault="00E47756" w:rsidP="00E47756">
            <w:pPr>
              <w:ind w:right="29"/>
              <w:jc w:val="center"/>
              <w:rPr>
                <w:b/>
              </w:rPr>
            </w:pPr>
            <w:r w:rsidRPr="00E47756">
              <w:rPr>
                <w:b/>
                <w:sz w:val="20"/>
              </w:rPr>
              <w:t xml:space="preserve">Odkazy </w:t>
            </w:r>
          </w:p>
        </w:tc>
        <w:tc>
          <w:tcPr>
            <w:tcW w:w="1701" w:type="dxa"/>
            <w:tcBorders>
              <w:top w:val="single" w:sz="4" w:space="0" w:color="000000"/>
              <w:left w:val="single" w:sz="4" w:space="0" w:color="000000"/>
              <w:bottom w:val="single" w:sz="4" w:space="0" w:color="auto"/>
              <w:right w:val="single" w:sz="4" w:space="0" w:color="000000"/>
            </w:tcBorders>
            <w:shd w:val="clear" w:color="auto" w:fill="99CCFF"/>
          </w:tcPr>
          <w:p w14:paraId="5294D65F" w14:textId="77777777" w:rsidR="00E47756" w:rsidRPr="00E47756" w:rsidRDefault="00E47756" w:rsidP="00E47756">
            <w:pPr>
              <w:ind w:right="355"/>
              <w:jc w:val="center"/>
              <w:rPr>
                <w:b/>
                <w:sz w:val="20"/>
              </w:rPr>
            </w:pPr>
            <w:r w:rsidRPr="00E47756">
              <w:rPr>
                <w:b/>
                <w:sz w:val="20"/>
              </w:rPr>
              <w:t>Gestor</w:t>
            </w:r>
          </w:p>
        </w:tc>
        <w:tc>
          <w:tcPr>
            <w:tcW w:w="4111" w:type="dxa"/>
            <w:tcBorders>
              <w:top w:val="single" w:sz="4" w:space="0" w:color="000000"/>
              <w:left w:val="single" w:sz="4" w:space="0" w:color="000000"/>
              <w:bottom w:val="single" w:sz="4" w:space="0" w:color="auto"/>
              <w:right w:val="single" w:sz="4" w:space="0" w:color="000000"/>
            </w:tcBorders>
            <w:shd w:val="clear" w:color="auto" w:fill="99CCFF"/>
          </w:tcPr>
          <w:p w14:paraId="32F0CBCF" w14:textId="77777777" w:rsidR="00E47756" w:rsidRPr="00E47756" w:rsidRDefault="00E47756" w:rsidP="00E47756">
            <w:pPr>
              <w:jc w:val="center"/>
              <w:rPr>
                <w:b/>
                <w:sz w:val="20"/>
              </w:rPr>
            </w:pPr>
            <w:r w:rsidRPr="00E47756">
              <w:rPr>
                <w:b/>
                <w:sz w:val="20"/>
              </w:rPr>
              <w:t>Stupeň priority a pozíciu SR</w:t>
            </w:r>
          </w:p>
        </w:tc>
      </w:tr>
      <w:tr w:rsidR="00E47756" w:rsidRPr="00E47756" w14:paraId="53E4D8FD" w14:textId="77777777" w:rsidTr="001A4016">
        <w:trPr>
          <w:trHeight w:val="403"/>
        </w:trPr>
        <w:tc>
          <w:tcPr>
            <w:tcW w:w="8810" w:type="dxa"/>
            <w:gridSpan w:val="4"/>
            <w:tcBorders>
              <w:top w:val="single" w:sz="4" w:space="0" w:color="auto"/>
              <w:left w:val="single" w:sz="4" w:space="0" w:color="000000"/>
              <w:bottom w:val="single" w:sz="4" w:space="0" w:color="000000"/>
              <w:right w:val="single" w:sz="4" w:space="0" w:color="000000"/>
            </w:tcBorders>
            <w:shd w:val="clear" w:color="auto" w:fill="9ACA3C"/>
          </w:tcPr>
          <w:p w14:paraId="377C9201" w14:textId="77777777" w:rsidR="00E47756" w:rsidRPr="00E47756" w:rsidRDefault="00E47756" w:rsidP="00E47756">
            <w:r w:rsidRPr="00E47756">
              <w:rPr>
                <w:b/>
                <w:color w:val="FFFFFF"/>
                <w:sz w:val="20"/>
              </w:rPr>
              <w:t>Európska zelená dohoda</w:t>
            </w:r>
            <w:r w:rsidRPr="00E47756">
              <w:rPr>
                <w:b/>
                <w:sz w:val="20"/>
              </w:rPr>
              <w:t xml:space="preserve"> </w:t>
            </w:r>
          </w:p>
        </w:tc>
        <w:tc>
          <w:tcPr>
            <w:tcW w:w="1701" w:type="dxa"/>
            <w:tcBorders>
              <w:top w:val="single" w:sz="4" w:space="0" w:color="auto"/>
              <w:left w:val="single" w:sz="4" w:space="0" w:color="000000"/>
              <w:bottom w:val="single" w:sz="4" w:space="0" w:color="000000"/>
              <w:right w:val="single" w:sz="4" w:space="0" w:color="000000"/>
            </w:tcBorders>
            <w:shd w:val="clear" w:color="auto" w:fill="9ACA3C"/>
          </w:tcPr>
          <w:p w14:paraId="40F9FA3E" w14:textId="77777777" w:rsidR="00E47756" w:rsidRPr="00E47756" w:rsidRDefault="00E47756" w:rsidP="00E47756">
            <w:pPr>
              <w:rPr>
                <w:b/>
                <w:color w:val="FFFFFF"/>
                <w:sz w:val="20"/>
              </w:rPr>
            </w:pPr>
          </w:p>
        </w:tc>
        <w:tc>
          <w:tcPr>
            <w:tcW w:w="4111" w:type="dxa"/>
            <w:tcBorders>
              <w:top w:val="single" w:sz="4" w:space="0" w:color="auto"/>
              <w:left w:val="single" w:sz="4" w:space="0" w:color="000000"/>
              <w:bottom w:val="single" w:sz="4" w:space="0" w:color="000000"/>
              <w:right w:val="single" w:sz="4" w:space="0" w:color="000000"/>
            </w:tcBorders>
            <w:shd w:val="clear" w:color="auto" w:fill="9ACA3C"/>
          </w:tcPr>
          <w:p w14:paraId="5101FA1C" w14:textId="77777777" w:rsidR="00E47756" w:rsidRPr="00E47756" w:rsidRDefault="00E47756" w:rsidP="00E47756">
            <w:pPr>
              <w:rPr>
                <w:b/>
                <w:color w:val="FFFFFF"/>
                <w:sz w:val="20"/>
              </w:rPr>
            </w:pPr>
          </w:p>
        </w:tc>
      </w:tr>
      <w:tr w:rsidR="00E47756" w:rsidRPr="00E47756" w14:paraId="2B31D49F" w14:textId="77777777" w:rsidTr="001A4016">
        <w:trPr>
          <w:trHeight w:val="1119"/>
        </w:trPr>
        <w:tc>
          <w:tcPr>
            <w:tcW w:w="652" w:type="dxa"/>
            <w:gridSpan w:val="2"/>
            <w:tcBorders>
              <w:top w:val="single" w:sz="4" w:space="0" w:color="000000"/>
              <w:left w:val="single" w:sz="4" w:space="0" w:color="000000"/>
              <w:bottom w:val="single" w:sz="4" w:space="0" w:color="000000"/>
              <w:right w:val="single" w:sz="4" w:space="0" w:color="000000"/>
            </w:tcBorders>
          </w:tcPr>
          <w:p w14:paraId="0D65536E" w14:textId="77777777" w:rsidR="00E47756" w:rsidRPr="00E47756" w:rsidRDefault="00E47756" w:rsidP="00E47756">
            <w:pPr>
              <w:spacing w:after="0" w:line="240" w:lineRule="auto"/>
              <w:ind w:left="67"/>
              <w:jc w:val="center"/>
            </w:pPr>
            <w:r w:rsidRPr="00E47756">
              <w:rPr>
                <w:sz w:val="20"/>
              </w:rPr>
              <w:t>1.</w:t>
            </w:r>
          </w:p>
        </w:tc>
        <w:tc>
          <w:tcPr>
            <w:tcW w:w="6173" w:type="dxa"/>
            <w:tcBorders>
              <w:top w:val="single" w:sz="4" w:space="0" w:color="000000"/>
              <w:left w:val="single" w:sz="4" w:space="0" w:color="000000"/>
              <w:bottom w:val="single" w:sz="4" w:space="0" w:color="000000"/>
              <w:right w:val="single" w:sz="4" w:space="0" w:color="000000"/>
            </w:tcBorders>
          </w:tcPr>
          <w:p w14:paraId="033E5D8F" w14:textId="77777777" w:rsidR="00E47756" w:rsidRPr="00E47756" w:rsidRDefault="00E47756" w:rsidP="00E47756">
            <w:pPr>
              <w:spacing w:after="0" w:line="240" w:lineRule="auto"/>
              <w:ind w:left="57" w:right="57"/>
            </w:pPr>
            <w:r w:rsidRPr="00E47756">
              <w:rPr>
                <w:sz w:val="20"/>
              </w:rPr>
              <w:t xml:space="preserve">zmenený návrh NARIADENIE EURÓPSKEHO PARLAMENTU A RADY, ktorým sa stanovuje rámec na dosiahnutie klimatickej neutrality a mení nariadenie (EÚ) 2018/1999 (európsky klimatický predpis) </w:t>
            </w:r>
          </w:p>
        </w:tc>
        <w:tc>
          <w:tcPr>
            <w:tcW w:w="1985" w:type="dxa"/>
            <w:tcBorders>
              <w:top w:val="single" w:sz="4" w:space="0" w:color="000000"/>
              <w:left w:val="single" w:sz="4" w:space="0" w:color="000000"/>
              <w:bottom w:val="single" w:sz="4" w:space="0" w:color="000000"/>
              <w:right w:val="single" w:sz="4" w:space="0" w:color="000000"/>
            </w:tcBorders>
          </w:tcPr>
          <w:p w14:paraId="0A97EC14" w14:textId="77777777" w:rsidR="00E47756" w:rsidRPr="00E47756" w:rsidRDefault="00E47756" w:rsidP="00E47756">
            <w:pPr>
              <w:spacing w:after="0" w:line="240" w:lineRule="auto"/>
              <w:ind w:left="57" w:right="57"/>
            </w:pPr>
            <w:r w:rsidRPr="00E47756">
              <w:rPr>
                <w:sz w:val="20"/>
              </w:rPr>
              <w:t xml:space="preserve">COM(2020) 80 </w:t>
            </w:r>
            <w:proofErr w:type="spellStart"/>
            <w:r w:rsidRPr="00E47756">
              <w:rPr>
                <w:sz w:val="20"/>
              </w:rPr>
              <w:t>final</w:t>
            </w:r>
            <w:proofErr w:type="spellEnd"/>
            <w:r w:rsidRPr="00E47756">
              <w:t xml:space="preserve"> </w:t>
            </w:r>
          </w:p>
          <w:p w14:paraId="0148666E" w14:textId="77777777" w:rsidR="00E47756" w:rsidRPr="00E47756" w:rsidRDefault="00E47756" w:rsidP="00E47756">
            <w:pPr>
              <w:spacing w:after="0" w:line="240" w:lineRule="auto"/>
              <w:ind w:left="57" w:right="57"/>
            </w:pPr>
            <w:r w:rsidRPr="00E47756">
              <w:rPr>
                <w:sz w:val="20"/>
              </w:rPr>
              <w:t>2020/0036 (COD)</w:t>
            </w:r>
            <w:r w:rsidRPr="00E47756">
              <w:t xml:space="preserve">  </w:t>
            </w:r>
          </w:p>
          <w:p w14:paraId="518E460B" w14:textId="77777777" w:rsidR="00E47756" w:rsidRPr="00E47756" w:rsidRDefault="00E47756" w:rsidP="00E47756">
            <w:pPr>
              <w:spacing w:after="0" w:line="240" w:lineRule="auto"/>
              <w:ind w:left="57" w:right="57"/>
            </w:pPr>
            <w:r w:rsidRPr="00E47756">
              <w:rPr>
                <w:sz w:val="20"/>
              </w:rPr>
              <w:t>4. 3. 2020</w:t>
            </w:r>
            <w:r w:rsidRPr="00E47756">
              <w:t xml:space="preserve">  </w:t>
            </w:r>
          </w:p>
          <w:p w14:paraId="5A21F881" w14:textId="77777777" w:rsidR="00E47756" w:rsidRPr="00E47756" w:rsidRDefault="00E47756" w:rsidP="00E47756">
            <w:pPr>
              <w:spacing w:after="0" w:line="240" w:lineRule="auto"/>
              <w:ind w:left="57" w:right="57"/>
            </w:pPr>
            <w:r w:rsidRPr="00E47756">
              <w:rPr>
                <w:sz w:val="20"/>
              </w:rPr>
              <w:t xml:space="preserve"> COM(2020) 563 </w:t>
            </w:r>
            <w:proofErr w:type="spellStart"/>
            <w:r w:rsidRPr="00E47756">
              <w:rPr>
                <w:sz w:val="20"/>
              </w:rPr>
              <w:t>final</w:t>
            </w:r>
            <w:proofErr w:type="spellEnd"/>
            <w:r w:rsidRPr="00E47756">
              <w:rPr>
                <w:sz w:val="20"/>
              </w:rPr>
              <w:t xml:space="preserve"> </w:t>
            </w:r>
          </w:p>
          <w:p w14:paraId="64474979" w14:textId="77777777" w:rsidR="00E47756" w:rsidRPr="00E47756" w:rsidRDefault="00E47756" w:rsidP="00E47756">
            <w:pPr>
              <w:spacing w:after="0" w:line="240" w:lineRule="auto"/>
              <w:ind w:left="57" w:right="57"/>
            </w:pPr>
            <w:r w:rsidRPr="00E47756">
              <w:rPr>
                <w:sz w:val="20"/>
              </w:rPr>
              <w:t xml:space="preserve">17. 9. 2020 </w:t>
            </w:r>
          </w:p>
        </w:tc>
        <w:tc>
          <w:tcPr>
            <w:tcW w:w="1701" w:type="dxa"/>
            <w:tcBorders>
              <w:top w:val="single" w:sz="4" w:space="0" w:color="000000"/>
              <w:left w:val="single" w:sz="4" w:space="0" w:color="000000"/>
              <w:bottom w:val="single" w:sz="4" w:space="0" w:color="000000"/>
              <w:right w:val="single" w:sz="4" w:space="0" w:color="000000"/>
            </w:tcBorders>
          </w:tcPr>
          <w:p w14:paraId="14514DF1" w14:textId="77777777" w:rsidR="00E47756" w:rsidRDefault="00E47756" w:rsidP="00E47756">
            <w:pPr>
              <w:spacing w:after="0" w:line="240" w:lineRule="auto"/>
              <w:ind w:left="57" w:right="57"/>
              <w:jc w:val="center"/>
              <w:rPr>
                <w:b/>
                <w:sz w:val="20"/>
              </w:rPr>
            </w:pPr>
            <w:r w:rsidRPr="00E47756">
              <w:rPr>
                <w:b/>
                <w:sz w:val="20"/>
              </w:rPr>
              <w:t>MŽP SR</w:t>
            </w:r>
          </w:p>
          <w:p w14:paraId="1DDA9448" w14:textId="506C1668" w:rsidR="000A036D" w:rsidRPr="00E47756" w:rsidRDefault="000A036D" w:rsidP="00E47756">
            <w:pPr>
              <w:spacing w:after="0" w:line="240" w:lineRule="auto"/>
              <w:ind w:left="57" w:right="57"/>
              <w:jc w:val="center"/>
              <w:rPr>
                <w:sz w:val="20"/>
              </w:rPr>
            </w:pPr>
            <w:r>
              <w:rPr>
                <w:b/>
                <w:sz w:val="20"/>
              </w:rPr>
              <w:t>MH SR</w:t>
            </w:r>
          </w:p>
        </w:tc>
        <w:tc>
          <w:tcPr>
            <w:tcW w:w="4111" w:type="dxa"/>
            <w:tcBorders>
              <w:top w:val="single" w:sz="4" w:space="0" w:color="000000"/>
              <w:left w:val="single" w:sz="4" w:space="0" w:color="000000"/>
              <w:bottom w:val="single" w:sz="4" w:space="0" w:color="000000"/>
              <w:right w:val="single" w:sz="4" w:space="0" w:color="000000"/>
            </w:tcBorders>
          </w:tcPr>
          <w:p w14:paraId="65774228" w14:textId="77777777" w:rsidR="00E47756" w:rsidRPr="00E47756" w:rsidRDefault="00E47756" w:rsidP="00E47756">
            <w:pPr>
              <w:spacing w:after="0" w:line="240" w:lineRule="auto"/>
              <w:ind w:left="57" w:right="57"/>
              <w:rPr>
                <w:b/>
                <w:sz w:val="20"/>
                <w:u w:val="single"/>
              </w:rPr>
            </w:pPr>
            <w:r w:rsidRPr="00E47756">
              <w:rPr>
                <w:b/>
                <w:sz w:val="20"/>
                <w:u w:val="single"/>
              </w:rPr>
              <w:t>Vysoká priorita</w:t>
            </w:r>
            <w:r w:rsidRPr="00E47756">
              <w:rPr>
                <w:sz w:val="20"/>
              </w:rPr>
              <w:t xml:space="preserve"> – Je to dôležitý návrh v kontexte ambícií EÚ smerom k dlhodobým cieľom (klimatická neutralita) ako aj krátkodobých cieľov (2030) a strednodobých cieľov (2040).</w:t>
            </w:r>
          </w:p>
        </w:tc>
      </w:tr>
      <w:tr w:rsidR="00E47756" w:rsidRPr="00E47756" w14:paraId="20CA281C" w14:textId="77777777" w:rsidTr="001A4016">
        <w:trPr>
          <w:trHeight w:val="756"/>
        </w:trPr>
        <w:tc>
          <w:tcPr>
            <w:tcW w:w="652" w:type="dxa"/>
            <w:gridSpan w:val="2"/>
            <w:tcBorders>
              <w:top w:val="single" w:sz="4" w:space="0" w:color="000000"/>
              <w:left w:val="single" w:sz="4" w:space="0" w:color="000000"/>
              <w:bottom w:val="single" w:sz="4" w:space="0" w:color="000000"/>
              <w:right w:val="single" w:sz="4" w:space="0" w:color="000000"/>
            </w:tcBorders>
          </w:tcPr>
          <w:p w14:paraId="31B6944E" w14:textId="77777777" w:rsidR="00E47756" w:rsidRPr="00E47756" w:rsidRDefault="00E47756" w:rsidP="00E47756">
            <w:pPr>
              <w:spacing w:after="0" w:line="240" w:lineRule="auto"/>
              <w:ind w:left="67"/>
              <w:jc w:val="center"/>
            </w:pPr>
            <w:r w:rsidRPr="00E47756">
              <w:rPr>
                <w:sz w:val="20"/>
              </w:rPr>
              <w:t>2.</w:t>
            </w:r>
          </w:p>
        </w:tc>
        <w:tc>
          <w:tcPr>
            <w:tcW w:w="6173" w:type="dxa"/>
            <w:tcBorders>
              <w:top w:val="single" w:sz="4" w:space="0" w:color="000000"/>
              <w:left w:val="single" w:sz="4" w:space="0" w:color="000000"/>
              <w:bottom w:val="single" w:sz="4" w:space="0" w:color="000000"/>
              <w:right w:val="single" w:sz="4" w:space="0" w:color="000000"/>
            </w:tcBorders>
          </w:tcPr>
          <w:p w14:paraId="4464452F" w14:textId="77777777" w:rsidR="00E47756" w:rsidRPr="00E47756" w:rsidRDefault="00E47756" w:rsidP="00E47756">
            <w:pPr>
              <w:spacing w:after="0" w:line="240" w:lineRule="auto"/>
              <w:ind w:left="57" w:right="57"/>
            </w:pPr>
            <w:r w:rsidRPr="00E47756">
              <w:rPr>
                <w:sz w:val="20"/>
              </w:rPr>
              <w:t xml:space="preserve">návrh ROZHODNUTIE EURÓPSKEHO PARLAMENTU A RADY o Európskom roku železníc (2021) </w:t>
            </w:r>
          </w:p>
        </w:tc>
        <w:tc>
          <w:tcPr>
            <w:tcW w:w="1985" w:type="dxa"/>
            <w:tcBorders>
              <w:top w:val="single" w:sz="4" w:space="0" w:color="000000"/>
              <w:left w:val="single" w:sz="4" w:space="0" w:color="000000"/>
              <w:bottom w:val="single" w:sz="4" w:space="0" w:color="000000"/>
              <w:right w:val="single" w:sz="4" w:space="0" w:color="000000"/>
            </w:tcBorders>
          </w:tcPr>
          <w:p w14:paraId="55BEF58A" w14:textId="77777777" w:rsidR="00E47756" w:rsidRPr="00E47756" w:rsidRDefault="00E47756" w:rsidP="00E47756">
            <w:pPr>
              <w:spacing w:after="0" w:line="240" w:lineRule="auto"/>
              <w:ind w:left="57" w:right="57"/>
            </w:pPr>
            <w:r w:rsidRPr="00E47756">
              <w:rPr>
                <w:sz w:val="20"/>
              </w:rPr>
              <w:t xml:space="preserve">COM(2020) 78 </w:t>
            </w:r>
            <w:proofErr w:type="spellStart"/>
            <w:r w:rsidRPr="00E47756">
              <w:rPr>
                <w:sz w:val="20"/>
              </w:rPr>
              <w:t>final</w:t>
            </w:r>
            <w:proofErr w:type="spellEnd"/>
            <w:r w:rsidRPr="00E47756">
              <w:t xml:space="preserve"> </w:t>
            </w:r>
          </w:p>
          <w:p w14:paraId="19DE8454" w14:textId="77777777" w:rsidR="00E47756" w:rsidRPr="00E47756" w:rsidRDefault="00E47756" w:rsidP="00E47756">
            <w:pPr>
              <w:spacing w:after="0" w:line="240" w:lineRule="auto"/>
              <w:ind w:left="57" w:right="57"/>
            </w:pPr>
            <w:r w:rsidRPr="00E47756">
              <w:rPr>
                <w:sz w:val="20"/>
              </w:rPr>
              <w:t>2020/0035 (COD)</w:t>
            </w:r>
            <w:r w:rsidRPr="00E47756">
              <w:t xml:space="preserve"> </w:t>
            </w:r>
          </w:p>
          <w:p w14:paraId="08875227" w14:textId="77777777" w:rsidR="00E47756" w:rsidRPr="00E47756" w:rsidRDefault="00E47756" w:rsidP="00E47756">
            <w:pPr>
              <w:spacing w:after="0" w:line="240" w:lineRule="auto"/>
              <w:ind w:left="57" w:right="57"/>
            </w:pPr>
            <w:r w:rsidRPr="00E47756">
              <w:rPr>
                <w:sz w:val="20"/>
              </w:rPr>
              <w:t xml:space="preserve">4. 3. 2020 </w:t>
            </w:r>
          </w:p>
        </w:tc>
        <w:tc>
          <w:tcPr>
            <w:tcW w:w="1701" w:type="dxa"/>
            <w:tcBorders>
              <w:top w:val="single" w:sz="4" w:space="0" w:color="000000"/>
              <w:left w:val="single" w:sz="4" w:space="0" w:color="000000"/>
              <w:bottom w:val="single" w:sz="4" w:space="0" w:color="000000"/>
              <w:right w:val="single" w:sz="4" w:space="0" w:color="000000"/>
            </w:tcBorders>
          </w:tcPr>
          <w:p w14:paraId="4A674828" w14:textId="77777777" w:rsidR="00E47756" w:rsidRPr="00E47756" w:rsidRDefault="00E47756" w:rsidP="00E47756">
            <w:pPr>
              <w:spacing w:after="0" w:line="240" w:lineRule="auto"/>
              <w:ind w:left="57" w:right="57"/>
              <w:jc w:val="center"/>
              <w:rPr>
                <w:b/>
                <w:sz w:val="20"/>
              </w:rPr>
            </w:pPr>
            <w:r w:rsidRPr="00E47756">
              <w:rPr>
                <w:b/>
                <w:sz w:val="20"/>
              </w:rPr>
              <w:t>MDV SR</w:t>
            </w:r>
          </w:p>
        </w:tc>
        <w:tc>
          <w:tcPr>
            <w:tcW w:w="4111" w:type="dxa"/>
            <w:tcBorders>
              <w:top w:val="single" w:sz="4" w:space="0" w:color="000000"/>
              <w:left w:val="single" w:sz="4" w:space="0" w:color="000000"/>
              <w:bottom w:val="single" w:sz="4" w:space="0" w:color="000000"/>
              <w:right w:val="single" w:sz="4" w:space="0" w:color="000000"/>
            </w:tcBorders>
          </w:tcPr>
          <w:p w14:paraId="774803E4" w14:textId="77777777" w:rsidR="00E47756" w:rsidRPr="00E47756" w:rsidRDefault="00E47756" w:rsidP="00E47756">
            <w:pPr>
              <w:spacing w:after="0" w:line="240" w:lineRule="auto"/>
              <w:ind w:left="57" w:right="57"/>
              <w:rPr>
                <w:sz w:val="20"/>
              </w:rPr>
            </w:pPr>
            <w:r w:rsidRPr="00E47756">
              <w:rPr>
                <w:b/>
                <w:sz w:val="20"/>
                <w:u w:val="single"/>
              </w:rPr>
              <w:t>Stredná priorita</w:t>
            </w:r>
            <w:r w:rsidRPr="00E47756">
              <w:rPr>
                <w:sz w:val="20"/>
              </w:rPr>
              <w:t xml:space="preserve"> – Európsky rok železníc podporí železničnú dopravu v súlade s cieľmi stanovenými v oznámení Komisie o európskej zelenej dohode so zreteľom na udržateľnú a inteligentnú mobilitu. Bude vychádzať aj z existujúcich iniciatív a politík v oblasti železničnej dopravy, ako je otvorenie trhu pre služby vnútroštátnej osobnej dopravy a zníženie nákladov a administratívnej záťaže pre železničné podniky Opatrenia budú zamerané na informačné a propagačné kampane, podujatia na národnej, regionálnej a miestnej úrovni.</w:t>
            </w:r>
          </w:p>
        </w:tc>
      </w:tr>
      <w:tr w:rsidR="00E47756" w:rsidRPr="00E47756" w14:paraId="62111EBA" w14:textId="77777777" w:rsidTr="001A4016">
        <w:trPr>
          <w:trHeight w:val="756"/>
        </w:trPr>
        <w:tc>
          <w:tcPr>
            <w:tcW w:w="652" w:type="dxa"/>
            <w:gridSpan w:val="2"/>
            <w:tcBorders>
              <w:top w:val="single" w:sz="4" w:space="0" w:color="000000"/>
              <w:left w:val="single" w:sz="4" w:space="0" w:color="000000"/>
              <w:bottom w:val="single" w:sz="4" w:space="0" w:color="000000"/>
              <w:right w:val="single" w:sz="4" w:space="0" w:color="000000"/>
            </w:tcBorders>
          </w:tcPr>
          <w:p w14:paraId="06716B67" w14:textId="77777777" w:rsidR="00E47756" w:rsidRPr="00E47756" w:rsidRDefault="00E47756" w:rsidP="00E47756">
            <w:pPr>
              <w:spacing w:after="0" w:line="240" w:lineRule="auto"/>
              <w:ind w:left="67"/>
              <w:jc w:val="center"/>
            </w:pPr>
            <w:r w:rsidRPr="00E47756">
              <w:rPr>
                <w:sz w:val="20"/>
              </w:rPr>
              <w:t>3.</w:t>
            </w:r>
          </w:p>
        </w:tc>
        <w:tc>
          <w:tcPr>
            <w:tcW w:w="6173" w:type="dxa"/>
            <w:tcBorders>
              <w:top w:val="single" w:sz="4" w:space="0" w:color="000000"/>
              <w:left w:val="single" w:sz="4" w:space="0" w:color="000000"/>
              <w:bottom w:val="single" w:sz="4" w:space="0" w:color="000000"/>
              <w:right w:val="single" w:sz="4" w:space="0" w:color="000000"/>
            </w:tcBorders>
          </w:tcPr>
          <w:p w14:paraId="48320EDB" w14:textId="77777777" w:rsidR="00E47756" w:rsidRPr="00E47756" w:rsidRDefault="00E47756" w:rsidP="00E47756">
            <w:pPr>
              <w:spacing w:after="0" w:line="240" w:lineRule="auto"/>
              <w:ind w:left="57" w:right="57"/>
            </w:pPr>
            <w:r w:rsidRPr="00E47756">
              <w:rPr>
                <w:sz w:val="20"/>
              </w:rPr>
              <w:t xml:space="preserve">návrh NARIADENIE EURÓPSKEHO PARLAMENTU A RADY, ktorým sa mení nariadenie Rady č. 1224/2009 a ktorým sa menia nariadenia Rady </w:t>
            </w:r>
          </w:p>
          <w:p w14:paraId="4370C97D" w14:textId="77777777" w:rsidR="00E47756" w:rsidRPr="00E47756" w:rsidRDefault="00E47756" w:rsidP="00E47756">
            <w:pPr>
              <w:spacing w:after="0" w:line="240" w:lineRule="auto"/>
              <w:ind w:left="57" w:right="57"/>
            </w:pPr>
            <w:r w:rsidRPr="00E47756">
              <w:rPr>
                <w:sz w:val="20"/>
              </w:rPr>
              <w:t xml:space="preserve">(ES) č. 768/2005, (ES) č. 1967/2006, (ES) č. 1005/2008 a nariadenie (EÚ) Európskeho parlamentu a Rady č. 2016/1139 týkajúce sa kontroly rybolovu </w:t>
            </w:r>
          </w:p>
        </w:tc>
        <w:tc>
          <w:tcPr>
            <w:tcW w:w="1985" w:type="dxa"/>
            <w:tcBorders>
              <w:top w:val="single" w:sz="4" w:space="0" w:color="000000"/>
              <w:left w:val="single" w:sz="4" w:space="0" w:color="000000"/>
              <w:bottom w:val="single" w:sz="4" w:space="0" w:color="000000"/>
              <w:right w:val="single" w:sz="4" w:space="0" w:color="000000"/>
            </w:tcBorders>
          </w:tcPr>
          <w:p w14:paraId="58EEA9C2" w14:textId="77777777" w:rsidR="00E47756" w:rsidRPr="00E47756" w:rsidRDefault="00E47756" w:rsidP="00E47756">
            <w:pPr>
              <w:spacing w:after="0" w:line="240" w:lineRule="auto"/>
              <w:ind w:left="57" w:right="57"/>
            </w:pPr>
            <w:r w:rsidRPr="00E47756">
              <w:rPr>
                <w:sz w:val="20"/>
              </w:rPr>
              <w:t xml:space="preserve">COM(2018) 368 </w:t>
            </w:r>
            <w:proofErr w:type="spellStart"/>
            <w:r w:rsidRPr="00E47756">
              <w:rPr>
                <w:sz w:val="20"/>
              </w:rPr>
              <w:t>final</w:t>
            </w:r>
            <w:proofErr w:type="spellEnd"/>
            <w:r w:rsidRPr="00E47756">
              <w:t xml:space="preserve"> </w:t>
            </w:r>
          </w:p>
          <w:p w14:paraId="56F36026" w14:textId="77777777" w:rsidR="00E47756" w:rsidRPr="00E47756" w:rsidRDefault="00E47756" w:rsidP="00E47756">
            <w:pPr>
              <w:spacing w:after="0" w:line="240" w:lineRule="auto"/>
              <w:ind w:left="57" w:right="57"/>
            </w:pPr>
            <w:r w:rsidRPr="00E47756">
              <w:rPr>
                <w:sz w:val="20"/>
              </w:rPr>
              <w:t>2018/0193 (COD)</w:t>
            </w:r>
            <w:r w:rsidRPr="00E47756">
              <w:t xml:space="preserve"> </w:t>
            </w:r>
          </w:p>
          <w:p w14:paraId="51BC887E" w14:textId="77777777" w:rsidR="00E47756" w:rsidRPr="00E47756" w:rsidRDefault="00E47756" w:rsidP="00E47756">
            <w:pPr>
              <w:spacing w:after="0" w:line="240" w:lineRule="auto"/>
              <w:ind w:left="57" w:right="57"/>
            </w:pPr>
            <w:r w:rsidRPr="00E47756">
              <w:rPr>
                <w:sz w:val="20"/>
              </w:rPr>
              <w:t xml:space="preserve">30. 5. 2018 </w:t>
            </w:r>
          </w:p>
        </w:tc>
        <w:tc>
          <w:tcPr>
            <w:tcW w:w="1701" w:type="dxa"/>
            <w:tcBorders>
              <w:top w:val="single" w:sz="4" w:space="0" w:color="000000"/>
              <w:left w:val="single" w:sz="4" w:space="0" w:color="000000"/>
              <w:bottom w:val="single" w:sz="4" w:space="0" w:color="000000"/>
              <w:right w:val="single" w:sz="4" w:space="0" w:color="000000"/>
            </w:tcBorders>
          </w:tcPr>
          <w:p w14:paraId="48CD18D3" w14:textId="77777777" w:rsidR="00E47756" w:rsidRPr="00E47756" w:rsidRDefault="00E47756" w:rsidP="00E47756">
            <w:pPr>
              <w:spacing w:after="0" w:line="240" w:lineRule="auto"/>
              <w:ind w:left="57" w:right="57"/>
              <w:jc w:val="center"/>
              <w:rPr>
                <w:b/>
                <w:bCs/>
                <w:sz w:val="20"/>
              </w:rPr>
            </w:pPr>
            <w:r w:rsidRPr="00E47756">
              <w:rPr>
                <w:b/>
                <w:bCs/>
                <w:sz w:val="20"/>
              </w:rPr>
              <w:t>MPRV SR</w:t>
            </w:r>
          </w:p>
        </w:tc>
        <w:tc>
          <w:tcPr>
            <w:tcW w:w="4111" w:type="dxa"/>
            <w:tcBorders>
              <w:top w:val="single" w:sz="4" w:space="0" w:color="000000"/>
              <w:left w:val="single" w:sz="4" w:space="0" w:color="000000"/>
              <w:bottom w:val="single" w:sz="4" w:space="0" w:color="000000"/>
              <w:right w:val="single" w:sz="4" w:space="0" w:color="000000"/>
            </w:tcBorders>
          </w:tcPr>
          <w:p w14:paraId="7F3E2254" w14:textId="77777777" w:rsidR="00E47756" w:rsidRPr="00E47756" w:rsidRDefault="00E47756" w:rsidP="00E47756">
            <w:pPr>
              <w:spacing w:after="0" w:line="240" w:lineRule="auto"/>
              <w:ind w:left="57" w:right="57"/>
              <w:rPr>
                <w:sz w:val="20"/>
                <w:szCs w:val="20"/>
              </w:rPr>
            </w:pPr>
            <w:r w:rsidRPr="00E47756">
              <w:rPr>
                <w:b/>
                <w:sz w:val="20"/>
                <w:u w:val="single"/>
              </w:rPr>
              <w:t>Stredná priorita</w:t>
            </w:r>
            <w:r w:rsidRPr="00E47756">
              <w:rPr>
                <w:sz w:val="20"/>
              </w:rPr>
              <w:t xml:space="preserve"> – </w:t>
            </w:r>
            <w:r w:rsidRPr="00E47756">
              <w:rPr>
                <w:sz w:val="20"/>
                <w:szCs w:val="20"/>
              </w:rPr>
              <w:t xml:space="preserve">Pre SR ako vnútrozemskú krajinu je z pohľadu pôsobnosti tohto nariadenia implementovaná kontrola </w:t>
            </w:r>
            <w:proofErr w:type="spellStart"/>
            <w:r w:rsidRPr="00E47756">
              <w:rPr>
                <w:sz w:val="20"/>
                <w:szCs w:val="20"/>
              </w:rPr>
              <w:t>vysledovateľnosti</w:t>
            </w:r>
            <w:proofErr w:type="spellEnd"/>
            <w:r w:rsidRPr="00E47756">
              <w:rPr>
                <w:sz w:val="20"/>
                <w:szCs w:val="20"/>
              </w:rPr>
              <w:t xml:space="preserve"> produktov rybolovu a </w:t>
            </w:r>
            <w:proofErr w:type="spellStart"/>
            <w:r w:rsidRPr="00E47756">
              <w:rPr>
                <w:sz w:val="20"/>
                <w:szCs w:val="20"/>
              </w:rPr>
              <w:t>akvakultúry</w:t>
            </w:r>
            <w:proofErr w:type="spellEnd"/>
            <w:r w:rsidRPr="00E47756">
              <w:rPr>
                <w:sz w:val="20"/>
                <w:szCs w:val="20"/>
              </w:rPr>
              <w:t xml:space="preserve">. </w:t>
            </w:r>
          </w:p>
          <w:p w14:paraId="0DB7DBE4" w14:textId="77777777" w:rsidR="00E47756" w:rsidRPr="00E47756" w:rsidRDefault="00E47756" w:rsidP="00E47756">
            <w:pPr>
              <w:spacing w:after="0" w:line="240" w:lineRule="auto"/>
              <w:ind w:left="57" w:right="57"/>
              <w:rPr>
                <w:sz w:val="20"/>
              </w:rPr>
            </w:pPr>
          </w:p>
          <w:p w14:paraId="617B788B" w14:textId="77777777" w:rsidR="00E47756" w:rsidRPr="00E47756" w:rsidRDefault="00E47756" w:rsidP="00E47756">
            <w:pPr>
              <w:spacing w:after="0" w:line="240" w:lineRule="auto"/>
              <w:ind w:left="57" w:right="57"/>
              <w:rPr>
                <w:sz w:val="20"/>
              </w:rPr>
            </w:pPr>
          </w:p>
          <w:p w14:paraId="58CC479C" w14:textId="77777777" w:rsidR="00E47756" w:rsidRPr="00E47756" w:rsidRDefault="00E47756" w:rsidP="00E47756">
            <w:pPr>
              <w:spacing w:after="0" w:line="240" w:lineRule="auto"/>
              <w:ind w:left="57" w:right="57"/>
              <w:rPr>
                <w:sz w:val="20"/>
              </w:rPr>
            </w:pPr>
          </w:p>
          <w:p w14:paraId="2FE400B7" w14:textId="77777777" w:rsidR="00E47756" w:rsidRPr="00E47756" w:rsidRDefault="00E47756" w:rsidP="00E47756">
            <w:pPr>
              <w:spacing w:after="0" w:line="240" w:lineRule="auto"/>
              <w:ind w:left="57" w:right="57"/>
              <w:rPr>
                <w:sz w:val="20"/>
              </w:rPr>
            </w:pPr>
          </w:p>
          <w:p w14:paraId="58FC4C8A" w14:textId="77777777" w:rsidR="00E47756" w:rsidRPr="00E47756" w:rsidRDefault="00E47756" w:rsidP="00E47756">
            <w:pPr>
              <w:spacing w:after="0" w:line="240" w:lineRule="auto"/>
              <w:ind w:right="57"/>
              <w:rPr>
                <w:sz w:val="20"/>
              </w:rPr>
            </w:pPr>
          </w:p>
        </w:tc>
      </w:tr>
      <w:tr w:rsidR="00E47756" w:rsidRPr="00E47756" w14:paraId="33ED3522" w14:textId="77777777" w:rsidTr="001A4016">
        <w:trPr>
          <w:trHeight w:val="1445"/>
        </w:trPr>
        <w:tc>
          <w:tcPr>
            <w:tcW w:w="652" w:type="dxa"/>
            <w:gridSpan w:val="2"/>
            <w:tcBorders>
              <w:top w:val="single" w:sz="4" w:space="0" w:color="000000"/>
              <w:left w:val="single" w:sz="4" w:space="0" w:color="000000"/>
              <w:bottom w:val="single" w:sz="4" w:space="0" w:color="000000"/>
              <w:right w:val="single" w:sz="4" w:space="0" w:color="000000"/>
            </w:tcBorders>
          </w:tcPr>
          <w:p w14:paraId="45D4A22F" w14:textId="77777777" w:rsidR="00E47756" w:rsidRPr="00E47756" w:rsidRDefault="00E47756" w:rsidP="00E47756">
            <w:pPr>
              <w:spacing w:after="0" w:line="240" w:lineRule="auto"/>
              <w:ind w:left="67"/>
              <w:jc w:val="center"/>
            </w:pPr>
            <w:r w:rsidRPr="00E47756">
              <w:rPr>
                <w:sz w:val="20"/>
              </w:rPr>
              <w:lastRenderedPageBreak/>
              <w:t>4.</w:t>
            </w:r>
          </w:p>
        </w:tc>
        <w:tc>
          <w:tcPr>
            <w:tcW w:w="6173" w:type="dxa"/>
            <w:tcBorders>
              <w:top w:val="single" w:sz="4" w:space="0" w:color="000000"/>
              <w:left w:val="single" w:sz="4" w:space="0" w:color="000000"/>
              <w:bottom w:val="single" w:sz="4" w:space="0" w:color="000000"/>
              <w:right w:val="single" w:sz="4" w:space="0" w:color="000000"/>
            </w:tcBorders>
          </w:tcPr>
          <w:p w14:paraId="095EAC09" w14:textId="77777777" w:rsidR="00E47756" w:rsidRPr="00E47756" w:rsidRDefault="00E47756" w:rsidP="00E47756">
            <w:pPr>
              <w:spacing w:after="0" w:line="240" w:lineRule="auto"/>
              <w:ind w:left="57" w:right="57"/>
            </w:pPr>
            <w:r w:rsidRPr="00E47756">
              <w:rPr>
                <w:sz w:val="20"/>
              </w:rPr>
              <w:t xml:space="preserve">návrh NARIADENIE EURÓPSKEHO PARLAMENTU A RADY o implementácii jednotného európskeho neba (prepracované znenie) </w:t>
            </w:r>
          </w:p>
        </w:tc>
        <w:tc>
          <w:tcPr>
            <w:tcW w:w="1985" w:type="dxa"/>
            <w:tcBorders>
              <w:top w:val="single" w:sz="4" w:space="0" w:color="000000"/>
              <w:left w:val="single" w:sz="4" w:space="0" w:color="000000"/>
              <w:bottom w:val="single" w:sz="4" w:space="0" w:color="000000"/>
              <w:right w:val="single" w:sz="4" w:space="0" w:color="000000"/>
            </w:tcBorders>
          </w:tcPr>
          <w:p w14:paraId="0FFA8946" w14:textId="77777777" w:rsidR="00E47756" w:rsidRPr="00E47756" w:rsidRDefault="00E47756" w:rsidP="00E47756">
            <w:pPr>
              <w:spacing w:after="0" w:line="240" w:lineRule="auto"/>
              <w:ind w:left="57" w:right="57"/>
            </w:pPr>
            <w:r w:rsidRPr="00E47756">
              <w:rPr>
                <w:sz w:val="20"/>
              </w:rPr>
              <w:t xml:space="preserve">COM(2013) 410 </w:t>
            </w:r>
            <w:proofErr w:type="spellStart"/>
            <w:r w:rsidRPr="00E47756">
              <w:rPr>
                <w:sz w:val="20"/>
              </w:rPr>
              <w:t>final</w:t>
            </w:r>
            <w:proofErr w:type="spellEnd"/>
            <w:r w:rsidRPr="00E47756">
              <w:t xml:space="preserve"> </w:t>
            </w:r>
          </w:p>
          <w:p w14:paraId="1970F828" w14:textId="77777777" w:rsidR="00E47756" w:rsidRPr="00E47756" w:rsidRDefault="00E47756" w:rsidP="00E47756">
            <w:pPr>
              <w:spacing w:after="0" w:line="240" w:lineRule="auto"/>
              <w:ind w:left="57" w:right="57"/>
            </w:pPr>
            <w:r w:rsidRPr="00E47756">
              <w:rPr>
                <w:sz w:val="20"/>
              </w:rPr>
              <w:t>2013/0186 (COD)</w:t>
            </w:r>
            <w:r w:rsidRPr="00E47756">
              <w:t xml:space="preserve"> </w:t>
            </w:r>
          </w:p>
          <w:p w14:paraId="1DECD313" w14:textId="77777777" w:rsidR="00E47756" w:rsidRPr="00E47756" w:rsidRDefault="00E47756" w:rsidP="00E47756">
            <w:pPr>
              <w:spacing w:after="0" w:line="240" w:lineRule="auto"/>
              <w:ind w:left="57" w:right="57"/>
            </w:pPr>
            <w:r w:rsidRPr="00E47756">
              <w:rPr>
                <w:sz w:val="20"/>
              </w:rPr>
              <w:t>11. 6. 2013</w:t>
            </w:r>
            <w:r w:rsidRPr="00E47756">
              <w:t xml:space="preserve"> </w:t>
            </w:r>
          </w:p>
          <w:p w14:paraId="216A50C1" w14:textId="77777777" w:rsidR="00E47756" w:rsidRPr="00E47756" w:rsidRDefault="00E47756" w:rsidP="00E47756">
            <w:pPr>
              <w:spacing w:after="0" w:line="240" w:lineRule="auto"/>
              <w:ind w:left="57" w:right="57"/>
            </w:pPr>
            <w:r w:rsidRPr="00E47756">
              <w:rPr>
                <w:sz w:val="20"/>
              </w:rPr>
              <w:t xml:space="preserve"> </w:t>
            </w:r>
          </w:p>
          <w:p w14:paraId="06A8AF38" w14:textId="77777777" w:rsidR="00E47756" w:rsidRPr="00E47756" w:rsidRDefault="00E47756" w:rsidP="00E47756">
            <w:pPr>
              <w:spacing w:after="0" w:line="240" w:lineRule="auto"/>
              <w:ind w:left="57" w:right="57"/>
            </w:pPr>
            <w:r w:rsidRPr="00E47756">
              <w:rPr>
                <w:sz w:val="20"/>
              </w:rPr>
              <w:t xml:space="preserve">COM(2020) 579 </w:t>
            </w:r>
            <w:proofErr w:type="spellStart"/>
            <w:r w:rsidRPr="00E47756">
              <w:rPr>
                <w:sz w:val="20"/>
              </w:rPr>
              <w:t>final</w:t>
            </w:r>
            <w:proofErr w:type="spellEnd"/>
            <w:r w:rsidRPr="00E47756">
              <w:t xml:space="preserve"> </w:t>
            </w:r>
          </w:p>
          <w:p w14:paraId="1056A62D" w14:textId="77777777" w:rsidR="00E47756" w:rsidRPr="00E47756" w:rsidRDefault="00E47756" w:rsidP="00E47756">
            <w:pPr>
              <w:spacing w:after="0" w:line="240" w:lineRule="auto"/>
              <w:ind w:left="57" w:right="57"/>
            </w:pPr>
            <w:r w:rsidRPr="00E47756">
              <w:rPr>
                <w:sz w:val="20"/>
              </w:rPr>
              <w:t xml:space="preserve">22. 9. 2020 </w:t>
            </w:r>
          </w:p>
        </w:tc>
        <w:tc>
          <w:tcPr>
            <w:tcW w:w="1701" w:type="dxa"/>
            <w:tcBorders>
              <w:top w:val="single" w:sz="4" w:space="0" w:color="000000"/>
              <w:left w:val="single" w:sz="4" w:space="0" w:color="000000"/>
              <w:bottom w:val="single" w:sz="4" w:space="0" w:color="000000"/>
              <w:right w:val="single" w:sz="4" w:space="0" w:color="000000"/>
            </w:tcBorders>
          </w:tcPr>
          <w:p w14:paraId="6731D3FA" w14:textId="77777777" w:rsidR="00E47756" w:rsidRPr="00E47756" w:rsidRDefault="00E47756" w:rsidP="00E47756">
            <w:pPr>
              <w:spacing w:after="0" w:line="240" w:lineRule="auto"/>
              <w:ind w:left="57" w:right="57"/>
              <w:jc w:val="center"/>
              <w:rPr>
                <w:b/>
                <w:sz w:val="20"/>
              </w:rPr>
            </w:pPr>
            <w:r w:rsidRPr="00E47756">
              <w:rPr>
                <w:b/>
                <w:sz w:val="20"/>
              </w:rPr>
              <w:t>MDV SR</w:t>
            </w:r>
          </w:p>
        </w:tc>
        <w:tc>
          <w:tcPr>
            <w:tcW w:w="4111" w:type="dxa"/>
            <w:tcBorders>
              <w:top w:val="single" w:sz="4" w:space="0" w:color="000000"/>
              <w:left w:val="single" w:sz="4" w:space="0" w:color="000000"/>
              <w:bottom w:val="single" w:sz="4" w:space="0" w:color="000000"/>
              <w:right w:val="single" w:sz="4" w:space="0" w:color="000000"/>
            </w:tcBorders>
          </w:tcPr>
          <w:p w14:paraId="7D9E1088" w14:textId="77777777" w:rsidR="00E47756" w:rsidRPr="00E47756" w:rsidRDefault="00E47756" w:rsidP="00E47756">
            <w:pPr>
              <w:spacing w:after="0" w:line="240" w:lineRule="auto"/>
              <w:ind w:left="57" w:right="57"/>
              <w:rPr>
                <w:sz w:val="20"/>
                <w:szCs w:val="20"/>
              </w:rPr>
            </w:pPr>
            <w:r w:rsidRPr="00E47756">
              <w:rPr>
                <w:b/>
                <w:sz w:val="20"/>
                <w:u w:val="single"/>
              </w:rPr>
              <w:t>Vysoká priorita</w:t>
            </w:r>
            <w:r w:rsidRPr="00E47756">
              <w:rPr>
                <w:sz w:val="20"/>
              </w:rPr>
              <w:t xml:space="preserve"> – </w:t>
            </w:r>
            <w:r w:rsidRPr="00E47756">
              <w:rPr>
                <w:sz w:val="20"/>
                <w:szCs w:val="20"/>
              </w:rPr>
              <w:t>SR víta zámer riešiť súčasnú neefektívnosť systému riadenia letovej prevádzky (ATM) v Jednotnom európskom nebi (SES) a posilniť ďalšie užitočné aspekty týkajúce sa ATM, čo majú byť ciele prepracovaného znenia návrhu nariadenia o jednotnom európskom nebi. Niektoré aspekty návrhu, ako je dobrovoľný prístup k obstarávaniu vybraných leteckých navigačných služieb za trhových podmienok, zavedenia kategórie služieb údajov o letovej prevádzke, posilnenie koordinácie sieťových funkcií možno podporovať. Avšak pridaná hodnota iných zámerov Európskej komisie nie je zrejmá a SR sa nestotožňuje so zámerom používať ekonomickú reguláciu (ktorá je ako by kostrou návrhu) ako „univerzálny“ nástroj na riešenie problémov. Návrh taktiež prináša niekoľko návrhov a konceptov, ktoré si navzájom odporujú, alebo ktoré si vyžadujú vypracovanie ďalších podrobností a objasnení.</w:t>
            </w:r>
          </w:p>
        </w:tc>
      </w:tr>
      <w:tr w:rsidR="00E47756" w:rsidRPr="00E47756" w14:paraId="41C8A810" w14:textId="77777777" w:rsidTr="001A4016">
        <w:trPr>
          <w:trHeight w:val="756"/>
        </w:trPr>
        <w:tc>
          <w:tcPr>
            <w:tcW w:w="652" w:type="dxa"/>
            <w:gridSpan w:val="2"/>
            <w:tcBorders>
              <w:top w:val="single" w:sz="4" w:space="0" w:color="000000"/>
              <w:left w:val="single" w:sz="4" w:space="0" w:color="000000"/>
              <w:bottom w:val="single" w:sz="4" w:space="0" w:color="000000"/>
              <w:right w:val="single" w:sz="4" w:space="0" w:color="000000"/>
            </w:tcBorders>
          </w:tcPr>
          <w:p w14:paraId="2E1C196B" w14:textId="77777777" w:rsidR="00E47756" w:rsidRPr="00E47756" w:rsidRDefault="00E47756" w:rsidP="00E47756">
            <w:pPr>
              <w:spacing w:after="0" w:line="240" w:lineRule="auto"/>
              <w:ind w:left="67"/>
              <w:jc w:val="center"/>
            </w:pPr>
            <w:r w:rsidRPr="00E47756">
              <w:rPr>
                <w:sz w:val="20"/>
              </w:rPr>
              <w:t>5.</w:t>
            </w:r>
          </w:p>
        </w:tc>
        <w:tc>
          <w:tcPr>
            <w:tcW w:w="6173" w:type="dxa"/>
            <w:tcBorders>
              <w:top w:val="single" w:sz="4" w:space="0" w:color="000000"/>
              <w:left w:val="single" w:sz="4" w:space="0" w:color="000000"/>
              <w:bottom w:val="single" w:sz="4" w:space="0" w:color="000000"/>
              <w:right w:val="single" w:sz="4" w:space="0" w:color="000000"/>
            </w:tcBorders>
          </w:tcPr>
          <w:p w14:paraId="0707DCF7" w14:textId="77777777" w:rsidR="00E47756" w:rsidRPr="00E47756" w:rsidRDefault="00E47756" w:rsidP="00E47756">
            <w:pPr>
              <w:spacing w:after="0" w:line="240" w:lineRule="auto"/>
              <w:ind w:left="57" w:right="57"/>
            </w:pPr>
            <w:r w:rsidRPr="00E47756">
              <w:rPr>
                <w:sz w:val="20"/>
              </w:rPr>
              <w:t xml:space="preserve">návrh NARIADENIE EURÓPSKEHO PARLAMENTU A RADY, ktorým sa mení nariadenie (ES) č. 261/2004, ktorým sa ustanovujú spoločné pravidlá systému náhrad a pomoci cestujúcim pri odmietnutí nástupu do lietadla, v prípade zrušenia alebo veľkého meškania letov, a nariadenie (ES) č. 2027/97 o zodpovednosti leteckého dopravcu pri preprave cestujúcich a ich batožiny v leteckej doprave </w:t>
            </w:r>
          </w:p>
        </w:tc>
        <w:tc>
          <w:tcPr>
            <w:tcW w:w="1985" w:type="dxa"/>
            <w:tcBorders>
              <w:top w:val="single" w:sz="4" w:space="0" w:color="000000"/>
              <w:left w:val="single" w:sz="4" w:space="0" w:color="000000"/>
              <w:bottom w:val="single" w:sz="4" w:space="0" w:color="000000"/>
              <w:right w:val="single" w:sz="4" w:space="0" w:color="000000"/>
            </w:tcBorders>
          </w:tcPr>
          <w:p w14:paraId="53B4A0F5" w14:textId="77777777" w:rsidR="00E47756" w:rsidRPr="00E47756" w:rsidRDefault="00E47756" w:rsidP="00E47756">
            <w:pPr>
              <w:spacing w:after="0" w:line="240" w:lineRule="auto"/>
              <w:ind w:left="57" w:right="57"/>
            </w:pPr>
            <w:r w:rsidRPr="00E47756">
              <w:rPr>
                <w:sz w:val="20"/>
              </w:rPr>
              <w:t xml:space="preserve">COM(2013) 130 </w:t>
            </w:r>
            <w:proofErr w:type="spellStart"/>
            <w:r w:rsidRPr="00E47756">
              <w:rPr>
                <w:sz w:val="20"/>
              </w:rPr>
              <w:t>final</w:t>
            </w:r>
            <w:proofErr w:type="spellEnd"/>
            <w:r w:rsidRPr="00E47756">
              <w:t xml:space="preserve"> </w:t>
            </w:r>
          </w:p>
          <w:p w14:paraId="538FBDCE" w14:textId="77777777" w:rsidR="00E47756" w:rsidRPr="00E47756" w:rsidRDefault="00E47756" w:rsidP="00E47756">
            <w:pPr>
              <w:spacing w:after="0" w:line="240" w:lineRule="auto"/>
              <w:ind w:left="57" w:right="57"/>
            </w:pPr>
            <w:r w:rsidRPr="00E47756">
              <w:rPr>
                <w:sz w:val="20"/>
              </w:rPr>
              <w:t>2013/0072 (COD)</w:t>
            </w:r>
            <w:r w:rsidRPr="00E47756">
              <w:t xml:space="preserve"> </w:t>
            </w:r>
          </w:p>
          <w:p w14:paraId="4C7169C4" w14:textId="77777777" w:rsidR="00E47756" w:rsidRPr="00E47756" w:rsidRDefault="00E47756" w:rsidP="00E47756">
            <w:pPr>
              <w:spacing w:after="0" w:line="240" w:lineRule="auto"/>
              <w:ind w:left="57" w:right="57"/>
            </w:pPr>
            <w:r w:rsidRPr="00E47756">
              <w:rPr>
                <w:sz w:val="20"/>
              </w:rPr>
              <w:t xml:space="preserve">13. 3. 2013 </w:t>
            </w:r>
          </w:p>
        </w:tc>
        <w:tc>
          <w:tcPr>
            <w:tcW w:w="1701" w:type="dxa"/>
            <w:tcBorders>
              <w:top w:val="single" w:sz="4" w:space="0" w:color="000000"/>
              <w:left w:val="single" w:sz="4" w:space="0" w:color="000000"/>
              <w:bottom w:val="single" w:sz="4" w:space="0" w:color="000000"/>
              <w:right w:val="single" w:sz="4" w:space="0" w:color="000000"/>
            </w:tcBorders>
          </w:tcPr>
          <w:p w14:paraId="35F36D8E" w14:textId="77777777" w:rsidR="00E47756" w:rsidRPr="00E47756" w:rsidRDefault="00E47756" w:rsidP="00E47756">
            <w:pPr>
              <w:spacing w:after="0" w:line="240" w:lineRule="auto"/>
              <w:ind w:left="57" w:right="57"/>
              <w:jc w:val="center"/>
              <w:rPr>
                <w:b/>
                <w:sz w:val="20"/>
              </w:rPr>
            </w:pPr>
            <w:r w:rsidRPr="00E47756">
              <w:rPr>
                <w:b/>
                <w:sz w:val="20"/>
              </w:rPr>
              <w:t>MH SR</w:t>
            </w:r>
          </w:p>
          <w:p w14:paraId="56BEA2E5" w14:textId="77777777" w:rsidR="00E47756" w:rsidRPr="00E47756" w:rsidRDefault="00E47756" w:rsidP="00E47756">
            <w:pPr>
              <w:spacing w:after="0" w:line="240" w:lineRule="auto"/>
              <w:ind w:left="57" w:right="57"/>
              <w:jc w:val="center"/>
              <w:rPr>
                <w:b/>
                <w:sz w:val="20"/>
              </w:rPr>
            </w:pPr>
            <w:r w:rsidRPr="00E47756">
              <w:rPr>
                <w:b/>
                <w:sz w:val="20"/>
              </w:rPr>
              <w:t>MDV SR</w:t>
            </w:r>
          </w:p>
          <w:p w14:paraId="6A7C21E0" w14:textId="77777777" w:rsidR="00E47756" w:rsidRPr="00E47756" w:rsidRDefault="00E47756" w:rsidP="00E47756">
            <w:pPr>
              <w:spacing w:after="0" w:line="240" w:lineRule="auto"/>
              <w:ind w:left="57" w:right="57"/>
              <w:jc w:val="center"/>
              <w:rPr>
                <w:b/>
                <w:sz w:val="20"/>
              </w:rPr>
            </w:pPr>
          </w:p>
        </w:tc>
        <w:tc>
          <w:tcPr>
            <w:tcW w:w="4111" w:type="dxa"/>
            <w:tcBorders>
              <w:top w:val="single" w:sz="4" w:space="0" w:color="000000"/>
              <w:left w:val="single" w:sz="4" w:space="0" w:color="000000"/>
              <w:bottom w:val="single" w:sz="4" w:space="0" w:color="000000"/>
              <w:right w:val="single" w:sz="4" w:space="0" w:color="000000"/>
            </w:tcBorders>
          </w:tcPr>
          <w:p w14:paraId="372C83CA" w14:textId="6BBA0AC4" w:rsidR="00E47756" w:rsidRPr="00E47756" w:rsidRDefault="009738F8" w:rsidP="009738F8">
            <w:pPr>
              <w:spacing w:after="0" w:line="240" w:lineRule="auto"/>
              <w:ind w:left="57" w:right="57"/>
              <w:rPr>
                <w:b/>
                <w:sz w:val="20"/>
                <w:u w:val="single"/>
              </w:rPr>
            </w:pPr>
            <w:r w:rsidRPr="00B93830">
              <w:rPr>
                <w:b/>
                <w:sz w:val="20"/>
                <w:u w:val="single"/>
              </w:rPr>
              <w:t>Nízka priorita</w:t>
            </w:r>
            <w:r w:rsidRPr="00B93830">
              <w:rPr>
                <w:sz w:val="20"/>
              </w:rPr>
              <w:t xml:space="preserve"> – SR podporuje revíziu nariadenia a vníma ju ako príležitosť na zlepšenie postavenia cestujúcich v leteckej doprave, zároveň však rešpektuje aj potrebu vyváženia niektorých práv a povinností cestujúcich a leteckých dopravcov. Aktuálne sú diskusie k revízii pozastavené z dôvodu pandémie COVID-19, ktorá zmenila priority v oblasti letectva</w:t>
            </w:r>
            <w:r w:rsidRPr="00B93830">
              <w:rPr>
                <w:color w:val="auto"/>
                <w:sz w:val="20"/>
                <w:szCs w:val="20"/>
              </w:rPr>
              <w:t xml:space="preserve">. Veľmi citlivo vnímame mimoriadny ekonomický vplyv súčasnej krízy na letecký priemysel a na možné riziká s ním spojené v podobe krachu niektorých leteckých dopravcov, ako aj </w:t>
            </w:r>
            <w:proofErr w:type="spellStart"/>
            <w:r w:rsidRPr="00B93830">
              <w:rPr>
                <w:color w:val="auto"/>
                <w:sz w:val="20"/>
                <w:szCs w:val="20"/>
              </w:rPr>
              <w:t>bezprecedentnosť</w:t>
            </w:r>
            <w:proofErr w:type="spellEnd"/>
            <w:r w:rsidRPr="00B93830">
              <w:rPr>
                <w:color w:val="auto"/>
                <w:sz w:val="20"/>
                <w:szCs w:val="20"/>
              </w:rPr>
              <w:t xml:space="preserve"> súčasnej situácie, na ktorú nebolo nariadenie 261/2004 koncipované. </w:t>
            </w:r>
            <w:r w:rsidRPr="00B93830">
              <w:rPr>
                <w:color w:val="auto"/>
                <w:sz w:val="20"/>
                <w:szCs w:val="20"/>
              </w:rPr>
              <w:br/>
              <w:t>Na jednej strane je potrebné, aby podmienky neboli likvidačné pre leteckých dopravcov, ale na druhej strane je nutná ochrana práv cestujúcich, napr. aj možno</w:t>
            </w:r>
            <w:r>
              <w:rPr>
                <w:color w:val="auto"/>
                <w:sz w:val="20"/>
                <w:szCs w:val="20"/>
              </w:rPr>
              <w:t xml:space="preserve">sťou ponuky </w:t>
            </w:r>
            <w:proofErr w:type="spellStart"/>
            <w:r>
              <w:rPr>
                <w:color w:val="auto"/>
                <w:sz w:val="20"/>
                <w:szCs w:val="20"/>
              </w:rPr>
              <w:t>voucherov</w:t>
            </w:r>
            <w:proofErr w:type="spellEnd"/>
            <w:r>
              <w:rPr>
                <w:color w:val="auto"/>
                <w:sz w:val="20"/>
                <w:szCs w:val="20"/>
              </w:rPr>
              <w:t xml:space="preserve">, ale iba </w:t>
            </w:r>
            <w:r w:rsidRPr="00B93830">
              <w:rPr>
                <w:color w:val="auto"/>
                <w:sz w:val="20"/>
                <w:szCs w:val="20"/>
              </w:rPr>
              <w:t xml:space="preserve">za </w:t>
            </w:r>
            <w:r w:rsidRPr="00B93830">
              <w:rPr>
                <w:color w:val="auto"/>
                <w:sz w:val="20"/>
                <w:szCs w:val="20"/>
              </w:rPr>
              <w:lastRenderedPageBreak/>
              <w:t>predpokladu, že sú cestujúcim riadne ponúknuté aj iné možnosti náhrady v  súlade s nariadením 261/2004</w:t>
            </w:r>
            <w:r>
              <w:rPr>
                <w:color w:val="auto"/>
                <w:sz w:val="20"/>
                <w:szCs w:val="20"/>
              </w:rPr>
              <w:t>.</w:t>
            </w:r>
            <w:r w:rsidRPr="00B93830">
              <w:rPr>
                <w:color w:val="auto"/>
                <w:sz w:val="20"/>
                <w:szCs w:val="20"/>
              </w:rPr>
              <w:t xml:space="preserve"> Zároveň bude potrebné byť obozretní, aby sa revíziou nariadenia nesnažili veľký leteckí dop</w:t>
            </w:r>
            <w:r>
              <w:rPr>
                <w:color w:val="auto"/>
                <w:sz w:val="20"/>
                <w:szCs w:val="20"/>
              </w:rPr>
              <w:t xml:space="preserve">ravcovia zlepšiť svoju pozíciu </w:t>
            </w:r>
            <w:r w:rsidRPr="00B93830">
              <w:rPr>
                <w:color w:val="auto"/>
                <w:sz w:val="20"/>
                <w:szCs w:val="20"/>
              </w:rPr>
              <w:t xml:space="preserve">na úkor menších leteckých dopravcov, resp. leteckých dopravcov z tretích krajín, čo by malo </w:t>
            </w:r>
            <w:r w:rsidRPr="00B93830">
              <w:rPr>
                <w:color w:val="auto"/>
                <w:sz w:val="20"/>
                <w:szCs w:val="20"/>
              </w:rPr>
              <w:br/>
              <w:t>za následok ohrozenie konektivity.</w:t>
            </w:r>
          </w:p>
        </w:tc>
      </w:tr>
      <w:tr w:rsidR="00E47756" w:rsidRPr="00E47756" w14:paraId="637E5B6D" w14:textId="77777777" w:rsidTr="001A4016">
        <w:trPr>
          <w:trHeight w:val="987"/>
        </w:trPr>
        <w:tc>
          <w:tcPr>
            <w:tcW w:w="652" w:type="dxa"/>
            <w:gridSpan w:val="2"/>
            <w:tcBorders>
              <w:top w:val="single" w:sz="4" w:space="0" w:color="000000"/>
              <w:left w:val="single" w:sz="4" w:space="0" w:color="000000"/>
              <w:bottom w:val="single" w:sz="4" w:space="0" w:color="auto"/>
              <w:right w:val="single" w:sz="4" w:space="0" w:color="000000"/>
            </w:tcBorders>
          </w:tcPr>
          <w:p w14:paraId="49E432D2" w14:textId="77777777" w:rsidR="00E47756" w:rsidRPr="00E47756" w:rsidRDefault="00E47756" w:rsidP="00E47756">
            <w:pPr>
              <w:spacing w:after="0" w:line="240" w:lineRule="auto"/>
              <w:ind w:left="67"/>
              <w:jc w:val="center"/>
            </w:pPr>
            <w:r w:rsidRPr="00E47756">
              <w:rPr>
                <w:sz w:val="20"/>
              </w:rPr>
              <w:lastRenderedPageBreak/>
              <w:t>6.</w:t>
            </w:r>
          </w:p>
        </w:tc>
        <w:tc>
          <w:tcPr>
            <w:tcW w:w="6173" w:type="dxa"/>
            <w:tcBorders>
              <w:top w:val="single" w:sz="4" w:space="0" w:color="000000"/>
              <w:left w:val="single" w:sz="4" w:space="0" w:color="000000"/>
              <w:bottom w:val="single" w:sz="4" w:space="0" w:color="auto"/>
              <w:right w:val="single" w:sz="4" w:space="0" w:color="000000"/>
            </w:tcBorders>
          </w:tcPr>
          <w:p w14:paraId="527E874B" w14:textId="77777777" w:rsidR="00E47756" w:rsidRPr="00E47756" w:rsidRDefault="00E47756" w:rsidP="00E47756">
            <w:pPr>
              <w:spacing w:after="0" w:line="240" w:lineRule="auto"/>
              <w:ind w:left="57" w:right="57"/>
            </w:pPr>
            <w:r w:rsidRPr="00E47756">
              <w:rPr>
                <w:sz w:val="20"/>
              </w:rPr>
              <w:t xml:space="preserve">návrh NARIADENIE EURÓPSKEHO PARLAMENTU A RADY o spoločných pravidlách prideľovania prevádzkových intervalov na letiskách </w:t>
            </w:r>
          </w:p>
          <w:p w14:paraId="5B191C64" w14:textId="77777777" w:rsidR="00E47756" w:rsidRPr="00E47756" w:rsidRDefault="00E47756" w:rsidP="00E47756">
            <w:pPr>
              <w:spacing w:after="0" w:line="240" w:lineRule="auto"/>
              <w:ind w:left="57" w:right="57"/>
            </w:pPr>
            <w:r w:rsidRPr="00E47756">
              <w:rPr>
                <w:sz w:val="20"/>
              </w:rPr>
              <w:t xml:space="preserve">Európskej únie </w:t>
            </w:r>
          </w:p>
        </w:tc>
        <w:tc>
          <w:tcPr>
            <w:tcW w:w="1985" w:type="dxa"/>
            <w:tcBorders>
              <w:top w:val="single" w:sz="4" w:space="0" w:color="000000"/>
              <w:left w:val="single" w:sz="4" w:space="0" w:color="000000"/>
              <w:bottom w:val="single" w:sz="4" w:space="0" w:color="auto"/>
              <w:right w:val="single" w:sz="4" w:space="0" w:color="000000"/>
            </w:tcBorders>
          </w:tcPr>
          <w:p w14:paraId="6D63017E" w14:textId="77777777" w:rsidR="00E47756" w:rsidRPr="00E47756" w:rsidRDefault="00E47756" w:rsidP="00E47756">
            <w:pPr>
              <w:spacing w:after="0" w:line="240" w:lineRule="auto"/>
              <w:ind w:left="57" w:right="57"/>
            </w:pPr>
            <w:r w:rsidRPr="00E47756">
              <w:rPr>
                <w:sz w:val="20"/>
              </w:rPr>
              <w:t xml:space="preserve">COM(2011) 827 </w:t>
            </w:r>
            <w:proofErr w:type="spellStart"/>
            <w:r w:rsidRPr="00E47756">
              <w:rPr>
                <w:sz w:val="20"/>
              </w:rPr>
              <w:t>final</w:t>
            </w:r>
            <w:proofErr w:type="spellEnd"/>
            <w:r w:rsidRPr="00E47756">
              <w:t xml:space="preserve"> </w:t>
            </w:r>
          </w:p>
          <w:p w14:paraId="0A3D1E76" w14:textId="77777777" w:rsidR="00E47756" w:rsidRPr="00E47756" w:rsidRDefault="00E47756" w:rsidP="00E47756">
            <w:pPr>
              <w:spacing w:after="0" w:line="240" w:lineRule="auto"/>
              <w:ind w:left="57" w:right="57"/>
            </w:pPr>
            <w:r w:rsidRPr="00E47756">
              <w:rPr>
                <w:sz w:val="20"/>
              </w:rPr>
              <w:t>2011/0391 (COD)</w:t>
            </w:r>
            <w:r w:rsidRPr="00E47756">
              <w:t xml:space="preserve"> </w:t>
            </w:r>
          </w:p>
          <w:p w14:paraId="65C646B1" w14:textId="77777777" w:rsidR="00E47756" w:rsidRPr="00E47756" w:rsidRDefault="00E47756" w:rsidP="00E47756">
            <w:pPr>
              <w:spacing w:after="0" w:line="240" w:lineRule="auto"/>
              <w:ind w:left="57" w:right="57"/>
            </w:pPr>
            <w:r w:rsidRPr="00E47756">
              <w:rPr>
                <w:sz w:val="20"/>
              </w:rPr>
              <w:t>1. 12. 2011</w:t>
            </w:r>
            <w:r w:rsidRPr="00E47756">
              <w:t xml:space="preserve"> </w:t>
            </w:r>
          </w:p>
          <w:p w14:paraId="0292EC7D" w14:textId="77777777" w:rsidR="00E47756" w:rsidRPr="00E47756" w:rsidRDefault="00E47756" w:rsidP="00E47756">
            <w:pPr>
              <w:spacing w:after="0" w:line="240" w:lineRule="auto"/>
              <w:ind w:left="57" w:right="57"/>
            </w:pPr>
            <w:r w:rsidRPr="00E47756">
              <w:rPr>
                <w:sz w:val="20"/>
              </w:rPr>
              <w:t xml:space="preserve"> </w:t>
            </w:r>
          </w:p>
        </w:tc>
        <w:tc>
          <w:tcPr>
            <w:tcW w:w="1701" w:type="dxa"/>
            <w:tcBorders>
              <w:top w:val="single" w:sz="4" w:space="0" w:color="000000"/>
              <w:left w:val="single" w:sz="4" w:space="0" w:color="000000"/>
              <w:bottom w:val="single" w:sz="4" w:space="0" w:color="auto"/>
              <w:right w:val="single" w:sz="4" w:space="0" w:color="000000"/>
            </w:tcBorders>
          </w:tcPr>
          <w:p w14:paraId="5987385F" w14:textId="77777777" w:rsidR="00E47756" w:rsidRPr="00E47756" w:rsidRDefault="00E47756" w:rsidP="00E47756">
            <w:pPr>
              <w:spacing w:after="0" w:line="240" w:lineRule="auto"/>
              <w:ind w:left="57" w:right="57"/>
              <w:jc w:val="center"/>
              <w:rPr>
                <w:b/>
                <w:sz w:val="20"/>
              </w:rPr>
            </w:pPr>
            <w:r w:rsidRPr="00E47756">
              <w:rPr>
                <w:b/>
                <w:sz w:val="20"/>
              </w:rPr>
              <w:t>MDV SR</w:t>
            </w:r>
          </w:p>
        </w:tc>
        <w:tc>
          <w:tcPr>
            <w:tcW w:w="4111" w:type="dxa"/>
            <w:tcBorders>
              <w:top w:val="single" w:sz="4" w:space="0" w:color="000000"/>
              <w:left w:val="single" w:sz="4" w:space="0" w:color="000000"/>
              <w:bottom w:val="single" w:sz="4" w:space="0" w:color="auto"/>
              <w:right w:val="single" w:sz="4" w:space="0" w:color="000000"/>
            </w:tcBorders>
          </w:tcPr>
          <w:p w14:paraId="338A80DD" w14:textId="77777777" w:rsidR="00E47756" w:rsidRPr="000A3081" w:rsidRDefault="00E47756" w:rsidP="000A3081">
            <w:pPr>
              <w:spacing w:after="0" w:line="240" w:lineRule="auto"/>
              <w:ind w:left="57" w:right="57"/>
              <w:rPr>
                <w:color w:val="auto"/>
                <w:sz w:val="20"/>
                <w:szCs w:val="20"/>
              </w:rPr>
            </w:pPr>
            <w:r w:rsidRPr="00E47756">
              <w:rPr>
                <w:b/>
                <w:sz w:val="20"/>
                <w:u w:val="single"/>
              </w:rPr>
              <w:t>Nízka priorita</w:t>
            </w:r>
            <w:r w:rsidRPr="00E47756">
              <w:rPr>
                <w:sz w:val="20"/>
              </w:rPr>
              <w:t xml:space="preserve"> – </w:t>
            </w:r>
            <w:r w:rsidRPr="00E47756">
              <w:rPr>
                <w:color w:val="auto"/>
                <w:sz w:val="20"/>
                <w:szCs w:val="20"/>
              </w:rPr>
              <w:t>Na území SR sa nenachádza letisko s prideľovaním prevádzkových intervalov (letiskových slotov), na Letisku M. R. Štefánika Bratislava sa vykonáva iba dobrovoľné zosúlaďovanie prevádzkových intervalov (</w:t>
            </w:r>
            <w:proofErr w:type="spellStart"/>
            <w:r w:rsidRPr="00E47756">
              <w:rPr>
                <w:color w:val="auto"/>
                <w:sz w:val="20"/>
                <w:szCs w:val="20"/>
              </w:rPr>
              <w:t>schedules</w:t>
            </w:r>
            <w:proofErr w:type="spellEnd"/>
            <w:r w:rsidRPr="00E47756">
              <w:rPr>
                <w:color w:val="auto"/>
                <w:sz w:val="20"/>
                <w:szCs w:val="20"/>
              </w:rPr>
              <w:t xml:space="preserve"> </w:t>
            </w:r>
            <w:proofErr w:type="spellStart"/>
            <w:r w:rsidRPr="00E47756">
              <w:rPr>
                <w:color w:val="auto"/>
                <w:sz w:val="20"/>
                <w:szCs w:val="20"/>
              </w:rPr>
              <w:t>facilitation</w:t>
            </w:r>
            <w:proofErr w:type="spellEnd"/>
            <w:r w:rsidRPr="00E47756">
              <w:rPr>
                <w:color w:val="auto"/>
                <w:sz w:val="20"/>
                <w:szCs w:val="20"/>
              </w:rPr>
              <w:t>), nie však na princípe prideľovania. Ani v blízkej budúcnosti nemožno očakávať, že by niektorý z prevádzkovateľov letísk v SR mal záujem pristúpiť k prideľovaniu prevádzkových intervalov. V súčasnosti ani z pohľadu leteckých dopravcov s hlavným miestom podnikania v SR nie je problematika prideľovania prevádzkových intervalov na letiskách EÚ kľúčová, keďže v súčasnosti neprevádzkujú pravidelné lete</w:t>
            </w:r>
            <w:r w:rsidR="000A3081">
              <w:rPr>
                <w:color w:val="auto"/>
                <w:sz w:val="20"/>
                <w:szCs w:val="20"/>
              </w:rPr>
              <w:t>cké spojenia na takéto letiská.</w:t>
            </w:r>
          </w:p>
        </w:tc>
      </w:tr>
      <w:tr w:rsidR="00E47756" w:rsidRPr="00E47756" w14:paraId="664715FF" w14:textId="77777777" w:rsidTr="001A4016">
        <w:tblPrEx>
          <w:tblCellMar>
            <w:top w:w="34" w:type="dxa"/>
          </w:tblCellMar>
        </w:tblPrEx>
        <w:trPr>
          <w:trHeight w:val="403"/>
        </w:trPr>
        <w:tc>
          <w:tcPr>
            <w:tcW w:w="8810" w:type="dxa"/>
            <w:gridSpan w:val="4"/>
            <w:tcBorders>
              <w:top w:val="single" w:sz="4" w:space="0" w:color="auto"/>
              <w:left w:val="single" w:sz="4" w:space="0" w:color="auto"/>
              <w:bottom w:val="single" w:sz="4" w:space="0" w:color="auto"/>
              <w:right w:val="single" w:sz="4" w:space="0" w:color="000000"/>
            </w:tcBorders>
            <w:shd w:val="clear" w:color="auto" w:fill="18BAA8"/>
          </w:tcPr>
          <w:p w14:paraId="018646D5" w14:textId="77777777" w:rsidR="00E47756" w:rsidRPr="00E47756" w:rsidRDefault="00E47756" w:rsidP="00E47756">
            <w:pPr>
              <w:spacing w:after="0"/>
            </w:pPr>
            <w:r w:rsidRPr="00E47756">
              <w:rPr>
                <w:b/>
                <w:sz w:val="20"/>
              </w:rPr>
              <w:t>Európa pripravená na digitálny vek</w:t>
            </w:r>
            <w:r w:rsidRPr="00E47756">
              <w:rPr>
                <w:sz w:val="20"/>
              </w:rPr>
              <w:t xml:space="preserve"> </w:t>
            </w:r>
          </w:p>
        </w:tc>
        <w:tc>
          <w:tcPr>
            <w:tcW w:w="1701" w:type="dxa"/>
            <w:tcBorders>
              <w:top w:val="single" w:sz="4" w:space="0" w:color="auto"/>
              <w:left w:val="single" w:sz="4" w:space="0" w:color="000000"/>
              <w:bottom w:val="single" w:sz="4" w:space="0" w:color="auto"/>
              <w:right w:val="single" w:sz="4" w:space="0" w:color="000000"/>
            </w:tcBorders>
            <w:shd w:val="clear" w:color="auto" w:fill="18BAA8"/>
          </w:tcPr>
          <w:p w14:paraId="175811E1" w14:textId="77777777" w:rsidR="00E47756" w:rsidRPr="00E47756" w:rsidRDefault="00E47756" w:rsidP="00E47756">
            <w:pPr>
              <w:spacing w:after="0"/>
              <w:rPr>
                <w:b/>
                <w:sz w:val="20"/>
              </w:rPr>
            </w:pPr>
          </w:p>
        </w:tc>
        <w:tc>
          <w:tcPr>
            <w:tcW w:w="4111" w:type="dxa"/>
            <w:tcBorders>
              <w:top w:val="single" w:sz="4" w:space="0" w:color="auto"/>
              <w:left w:val="single" w:sz="4" w:space="0" w:color="000000"/>
              <w:bottom w:val="single" w:sz="4" w:space="0" w:color="auto"/>
              <w:right w:val="single" w:sz="4" w:space="0" w:color="auto"/>
            </w:tcBorders>
            <w:shd w:val="clear" w:color="auto" w:fill="18BAA8"/>
          </w:tcPr>
          <w:p w14:paraId="28B29692" w14:textId="77777777" w:rsidR="00E47756" w:rsidRPr="00E47756" w:rsidRDefault="00E47756" w:rsidP="00E47756">
            <w:pPr>
              <w:spacing w:after="0"/>
              <w:rPr>
                <w:b/>
                <w:sz w:val="20"/>
              </w:rPr>
            </w:pPr>
          </w:p>
        </w:tc>
      </w:tr>
      <w:tr w:rsidR="00E47756" w:rsidRPr="00E47756" w14:paraId="0D7139B3" w14:textId="77777777" w:rsidTr="001A4016">
        <w:tblPrEx>
          <w:tblCellMar>
            <w:top w:w="34" w:type="dxa"/>
          </w:tblCellMar>
        </w:tblPrEx>
        <w:trPr>
          <w:trHeight w:val="768"/>
        </w:trPr>
        <w:tc>
          <w:tcPr>
            <w:tcW w:w="632" w:type="dxa"/>
            <w:tcBorders>
              <w:top w:val="single" w:sz="4" w:space="0" w:color="auto"/>
              <w:left w:val="single" w:sz="4" w:space="0" w:color="000000"/>
              <w:bottom w:val="single" w:sz="4" w:space="0" w:color="000000"/>
              <w:right w:val="single" w:sz="4" w:space="0" w:color="000000"/>
            </w:tcBorders>
          </w:tcPr>
          <w:p w14:paraId="5023CD9C" w14:textId="77777777" w:rsidR="00E47756" w:rsidRPr="00E47756" w:rsidRDefault="00E47756" w:rsidP="00E47756">
            <w:pPr>
              <w:spacing w:after="0" w:line="240" w:lineRule="auto"/>
              <w:ind w:left="67"/>
              <w:jc w:val="center"/>
            </w:pPr>
            <w:r w:rsidRPr="00E47756">
              <w:rPr>
                <w:sz w:val="20"/>
              </w:rPr>
              <w:t>7.</w:t>
            </w:r>
          </w:p>
        </w:tc>
        <w:tc>
          <w:tcPr>
            <w:tcW w:w="6193" w:type="dxa"/>
            <w:gridSpan w:val="2"/>
            <w:tcBorders>
              <w:top w:val="single" w:sz="4" w:space="0" w:color="auto"/>
              <w:left w:val="single" w:sz="4" w:space="0" w:color="000000"/>
              <w:bottom w:val="single" w:sz="4" w:space="0" w:color="000000"/>
              <w:right w:val="single" w:sz="4" w:space="0" w:color="000000"/>
            </w:tcBorders>
          </w:tcPr>
          <w:p w14:paraId="0893C679" w14:textId="77777777" w:rsidR="00E47756" w:rsidRPr="00E47756" w:rsidRDefault="00E47756" w:rsidP="00E47756">
            <w:pPr>
              <w:spacing w:after="0" w:line="240" w:lineRule="auto"/>
              <w:ind w:left="57" w:right="57"/>
            </w:pPr>
            <w:r w:rsidRPr="00E47756">
              <w:rPr>
                <w:sz w:val="20"/>
              </w:rPr>
              <w:t xml:space="preserve">návrh SMERNICA EURÓPSKEHO PARLAMENTU A RADY, ktorou sa menia smernice 2006/43/ES, 2009/65/ES, 2009/138/EÚ, 2011/61/EÚ, </w:t>
            </w:r>
          </w:p>
          <w:p w14:paraId="2831B98B" w14:textId="77777777" w:rsidR="00E47756" w:rsidRPr="00E47756" w:rsidRDefault="00E47756" w:rsidP="00E47756">
            <w:pPr>
              <w:spacing w:after="0" w:line="240" w:lineRule="auto"/>
              <w:ind w:left="57" w:right="57"/>
            </w:pPr>
            <w:r w:rsidRPr="00E47756">
              <w:rPr>
                <w:sz w:val="20"/>
              </w:rPr>
              <w:t xml:space="preserve">EÚ/2013/36, 2014/65/EÚ, (EÚ) 2015/2366 a EÚ/2016/2341 </w:t>
            </w:r>
          </w:p>
        </w:tc>
        <w:tc>
          <w:tcPr>
            <w:tcW w:w="1985" w:type="dxa"/>
            <w:tcBorders>
              <w:top w:val="single" w:sz="4" w:space="0" w:color="auto"/>
              <w:left w:val="single" w:sz="4" w:space="0" w:color="000000"/>
              <w:bottom w:val="single" w:sz="4" w:space="0" w:color="000000"/>
              <w:right w:val="single" w:sz="4" w:space="0" w:color="000000"/>
            </w:tcBorders>
          </w:tcPr>
          <w:p w14:paraId="16A7DC12" w14:textId="77777777" w:rsidR="00E47756" w:rsidRPr="00E47756" w:rsidRDefault="00E47756" w:rsidP="00E47756">
            <w:pPr>
              <w:spacing w:after="0" w:line="240" w:lineRule="auto"/>
              <w:ind w:left="57" w:right="57"/>
            </w:pPr>
            <w:r w:rsidRPr="00E47756">
              <w:rPr>
                <w:sz w:val="20"/>
              </w:rPr>
              <w:t xml:space="preserve">COM(2020) 596 </w:t>
            </w:r>
            <w:proofErr w:type="spellStart"/>
            <w:r w:rsidRPr="00E47756">
              <w:rPr>
                <w:sz w:val="20"/>
              </w:rPr>
              <w:t>final</w:t>
            </w:r>
            <w:proofErr w:type="spellEnd"/>
            <w:r w:rsidRPr="00E47756">
              <w:t xml:space="preserve"> </w:t>
            </w:r>
          </w:p>
          <w:p w14:paraId="40B25875" w14:textId="77777777" w:rsidR="00E47756" w:rsidRPr="00E47756" w:rsidRDefault="00E47756" w:rsidP="00E47756">
            <w:pPr>
              <w:spacing w:after="0" w:line="240" w:lineRule="auto"/>
              <w:ind w:left="57" w:right="57"/>
            </w:pPr>
            <w:r w:rsidRPr="00E47756">
              <w:rPr>
                <w:sz w:val="20"/>
              </w:rPr>
              <w:t>2020/0268 (COD)</w:t>
            </w:r>
            <w:r w:rsidRPr="00E47756">
              <w:t xml:space="preserve"> </w:t>
            </w:r>
          </w:p>
          <w:p w14:paraId="14F86A02" w14:textId="77777777" w:rsidR="00E47756" w:rsidRPr="00E47756" w:rsidRDefault="00E47756" w:rsidP="00E47756">
            <w:pPr>
              <w:spacing w:after="0" w:line="240" w:lineRule="auto"/>
              <w:ind w:left="57" w:right="57"/>
            </w:pPr>
            <w:r w:rsidRPr="00E47756">
              <w:rPr>
                <w:sz w:val="20"/>
              </w:rPr>
              <w:t xml:space="preserve">24. 9. 2020 </w:t>
            </w:r>
          </w:p>
        </w:tc>
        <w:tc>
          <w:tcPr>
            <w:tcW w:w="1701" w:type="dxa"/>
            <w:tcBorders>
              <w:top w:val="single" w:sz="4" w:space="0" w:color="auto"/>
              <w:left w:val="single" w:sz="4" w:space="0" w:color="000000"/>
              <w:bottom w:val="single" w:sz="4" w:space="0" w:color="000000"/>
              <w:right w:val="single" w:sz="4" w:space="0" w:color="000000"/>
            </w:tcBorders>
          </w:tcPr>
          <w:p w14:paraId="1907789D" w14:textId="77777777" w:rsidR="00E47756" w:rsidRPr="00E47756" w:rsidRDefault="00E47756" w:rsidP="00E47756">
            <w:pPr>
              <w:spacing w:after="0" w:line="240" w:lineRule="auto"/>
              <w:ind w:left="57" w:right="57"/>
              <w:jc w:val="center"/>
              <w:rPr>
                <w:b/>
                <w:sz w:val="20"/>
              </w:rPr>
            </w:pPr>
            <w:r w:rsidRPr="00E47756">
              <w:rPr>
                <w:b/>
                <w:sz w:val="20"/>
              </w:rPr>
              <w:t>MF SR</w:t>
            </w:r>
          </w:p>
        </w:tc>
        <w:tc>
          <w:tcPr>
            <w:tcW w:w="4111" w:type="dxa"/>
            <w:tcBorders>
              <w:top w:val="single" w:sz="4" w:space="0" w:color="auto"/>
              <w:left w:val="single" w:sz="4" w:space="0" w:color="000000"/>
              <w:bottom w:val="single" w:sz="4" w:space="0" w:color="000000"/>
              <w:right w:val="single" w:sz="4" w:space="0" w:color="000000"/>
            </w:tcBorders>
          </w:tcPr>
          <w:p w14:paraId="4EAAE71E" w14:textId="77777777" w:rsidR="00E47756" w:rsidRPr="00E47756" w:rsidRDefault="00E47756" w:rsidP="00E47756">
            <w:pPr>
              <w:spacing w:after="0" w:line="240" w:lineRule="auto"/>
              <w:ind w:left="57" w:right="57"/>
              <w:rPr>
                <w:b/>
                <w:sz w:val="20"/>
                <w:u w:val="single"/>
              </w:rPr>
            </w:pPr>
            <w:r w:rsidRPr="00E47756">
              <w:rPr>
                <w:b/>
                <w:sz w:val="20"/>
                <w:u w:val="single"/>
              </w:rPr>
              <w:t>Stredná  priorita</w:t>
            </w:r>
            <w:r w:rsidRPr="00E47756">
              <w:rPr>
                <w:sz w:val="20"/>
              </w:rPr>
              <w:t xml:space="preserve"> – SR vo všeobecnosti podporuje rámec návrhu smernice, ktorej cieľom je  zabezpečiť právnu istotu, pokiaľ ide o </w:t>
            </w:r>
            <w:proofErr w:type="spellStart"/>
            <w:r w:rsidRPr="00E47756">
              <w:rPr>
                <w:sz w:val="20"/>
              </w:rPr>
              <w:t>kryptoaktíva</w:t>
            </w:r>
            <w:proofErr w:type="spellEnd"/>
            <w:r w:rsidRPr="00E47756">
              <w:rPr>
                <w:sz w:val="20"/>
              </w:rPr>
              <w:t>, a dosiahnuť ciele posilnenia digitálnej prevádzkovej odolnosti prostredníctvom dočasnej výnimky pre mnohostranné obchodné systémy a zmeniť a doplniť alebo objasniť niektoré ustanovenia v existujúcich smerniciach EÚ o finančných službách.</w:t>
            </w:r>
          </w:p>
        </w:tc>
      </w:tr>
      <w:tr w:rsidR="00E47756" w:rsidRPr="00E47756" w14:paraId="22828D61" w14:textId="77777777" w:rsidTr="001A4016">
        <w:tblPrEx>
          <w:tblCellMar>
            <w:top w:w="34" w:type="dxa"/>
          </w:tblCellMar>
        </w:tblPrEx>
        <w:trPr>
          <w:trHeight w:val="756"/>
        </w:trPr>
        <w:tc>
          <w:tcPr>
            <w:tcW w:w="632" w:type="dxa"/>
            <w:tcBorders>
              <w:top w:val="single" w:sz="4" w:space="0" w:color="000000"/>
              <w:left w:val="single" w:sz="4" w:space="0" w:color="000000"/>
              <w:bottom w:val="single" w:sz="4" w:space="0" w:color="000000"/>
              <w:right w:val="single" w:sz="4" w:space="0" w:color="000000"/>
            </w:tcBorders>
          </w:tcPr>
          <w:p w14:paraId="4BBF4CA9" w14:textId="77777777" w:rsidR="00E47756" w:rsidRPr="00E47756" w:rsidRDefault="00E47756" w:rsidP="00E47756">
            <w:pPr>
              <w:spacing w:after="0" w:line="240" w:lineRule="auto"/>
              <w:ind w:left="67"/>
              <w:jc w:val="center"/>
            </w:pPr>
            <w:r w:rsidRPr="00E47756">
              <w:rPr>
                <w:sz w:val="20"/>
              </w:rPr>
              <w:lastRenderedPageBreak/>
              <w:t>8.</w:t>
            </w:r>
          </w:p>
        </w:tc>
        <w:tc>
          <w:tcPr>
            <w:tcW w:w="6193" w:type="dxa"/>
            <w:gridSpan w:val="2"/>
            <w:tcBorders>
              <w:top w:val="single" w:sz="4" w:space="0" w:color="000000"/>
              <w:left w:val="single" w:sz="4" w:space="0" w:color="000000"/>
              <w:bottom w:val="single" w:sz="4" w:space="0" w:color="000000"/>
              <w:right w:val="single" w:sz="4" w:space="0" w:color="000000"/>
            </w:tcBorders>
          </w:tcPr>
          <w:p w14:paraId="04ECD7EC" w14:textId="77777777" w:rsidR="00E47756" w:rsidRPr="00E47756" w:rsidRDefault="00E47756" w:rsidP="00E47756">
            <w:pPr>
              <w:spacing w:after="0" w:line="240" w:lineRule="auto"/>
              <w:ind w:left="57" w:right="57"/>
            </w:pPr>
            <w:r w:rsidRPr="00E47756">
              <w:rPr>
                <w:sz w:val="20"/>
              </w:rPr>
              <w:t xml:space="preserve">návrh NARIADENIE EURÓPSKEHO PARLAMENTU A RADY o digitálnej prevádzkovej odolnosti finančného sektora a o zmene nariadení (ES) č. 1060/2009, (EÚ) č. 648/2012, (EÚ) č. 600/2014 a (EÚ) č. 909/2014 (DORA) </w:t>
            </w:r>
          </w:p>
        </w:tc>
        <w:tc>
          <w:tcPr>
            <w:tcW w:w="1985" w:type="dxa"/>
            <w:tcBorders>
              <w:top w:val="single" w:sz="4" w:space="0" w:color="000000"/>
              <w:left w:val="single" w:sz="4" w:space="0" w:color="000000"/>
              <w:bottom w:val="single" w:sz="4" w:space="0" w:color="000000"/>
              <w:right w:val="single" w:sz="4" w:space="0" w:color="000000"/>
            </w:tcBorders>
          </w:tcPr>
          <w:p w14:paraId="0D243B20" w14:textId="77777777" w:rsidR="00E47756" w:rsidRPr="00E47756" w:rsidRDefault="00E47756" w:rsidP="00E47756">
            <w:pPr>
              <w:spacing w:after="0" w:line="240" w:lineRule="auto"/>
              <w:ind w:left="57" w:right="57"/>
            </w:pPr>
            <w:r w:rsidRPr="00E47756">
              <w:rPr>
                <w:sz w:val="20"/>
              </w:rPr>
              <w:t xml:space="preserve">COM(2020) 595 </w:t>
            </w:r>
            <w:proofErr w:type="spellStart"/>
            <w:r w:rsidRPr="00E47756">
              <w:rPr>
                <w:sz w:val="20"/>
              </w:rPr>
              <w:t>final</w:t>
            </w:r>
            <w:proofErr w:type="spellEnd"/>
            <w:r w:rsidRPr="00E47756">
              <w:t xml:space="preserve"> </w:t>
            </w:r>
          </w:p>
          <w:p w14:paraId="41FCEB8E" w14:textId="77777777" w:rsidR="00E47756" w:rsidRPr="00E47756" w:rsidRDefault="00E47756" w:rsidP="00E47756">
            <w:pPr>
              <w:spacing w:after="0" w:line="240" w:lineRule="auto"/>
              <w:ind w:left="57" w:right="57"/>
            </w:pPr>
            <w:r w:rsidRPr="00E47756">
              <w:rPr>
                <w:sz w:val="20"/>
              </w:rPr>
              <w:t>2020/0266 (COD)</w:t>
            </w:r>
            <w:r w:rsidRPr="00E47756">
              <w:t xml:space="preserve"> </w:t>
            </w:r>
          </w:p>
          <w:p w14:paraId="1EE57184" w14:textId="77777777" w:rsidR="00E47756" w:rsidRPr="00E47756" w:rsidRDefault="00E47756" w:rsidP="00E47756">
            <w:pPr>
              <w:spacing w:after="0" w:line="240" w:lineRule="auto"/>
              <w:ind w:left="57" w:right="57"/>
            </w:pPr>
            <w:r w:rsidRPr="00E47756">
              <w:rPr>
                <w:sz w:val="20"/>
              </w:rPr>
              <w:t xml:space="preserve">24. 9. 2020 </w:t>
            </w:r>
          </w:p>
        </w:tc>
        <w:tc>
          <w:tcPr>
            <w:tcW w:w="1701" w:type="dxa"/>
            <w:tcBorders>
              <w:top w:val="single" w:sz="4" w:space="0" w:color="000000"/>
              <w:left w:val="single" w:sz="4" w:space="0" w:color="000000"/>
              <w:bottom w:val="single" w:sz="4" w:space="0" w:color="000000"/>
              <w:right w:val="single" w:sz="4" w:space="0" w:color="000000"/>
            </w:tcBorders>
          </w:tcPr>
          <w:p w14:paraId="2DA9FB27" w14:textId="77777777" w:rsidR="00E47756" w:rsidRDefault="00E47756" w:rsidP="00E47756">
            <w:pPr>
              <w:spacing w:after="0" w:line="240" w:lineRule="auto"/>
              <w:ind w:left="57" w:right="57"/>
              <w:jc w:val="center"/>
              <w:rPr>
                <w:b/>
                <w:sz w:val="20"/>
              </w:rPr>
            </w:pPr>
            <w:r w:rsidRPr="00E47756">
              <w:rPr>
                <w:b/>
                <w:sz w:val="20"/>
              </w:rPr>
              <w:t>MF SR</w:t>
            </w:r>
          </w:p>
          <w:p w14:paraId="6340A101" w14:textId="52C386DD" w:rsidR="00F23922" w:rsidRPr="00E47756" w:rsidRDefault="00F23922" w:rsidP="00E47756">
            <w:pPr>
              <w:spacing w:after="0" w:line="240" w:lineRule="auto"/>
              <w:ind w:left="57" w:right="57"/>
              <w:jc w:val="center"/>
              <w:rPr>
                <w:sz w:val="20"/>
              </w:rPr>
            </w:pPr>
            <w:r>
              <w:rPr>
                <w:b/>
                <w:sz w:val="20"/>
              </w:rPr>
              <w:t>NBÚ</w:t>
            </w:r>
          </w:p>
        </w:tc>
        <w:tc>
          <w:tcPr>
            <w:tcW w:w="4111" w:type="dxa"/>
            <w:tcBorders>
              <w:top w:val="single" w:sz="4" w:space="0" w:color="000000"/>
              <w:left w:val="single" w:sz="4" w:space="0" w:color="000000"/>
              <w:bottom w:val="single" w:sz="4" w:space="0" w:color="000000"/>
              <w:right w:val="single" w:sz="4" w:space="0" w:color="000000"/>
            </w:tcBorders>
          </w:tcPr>
          <w:p w14:paraId="416D8B37" w14:textId="77777777" w:rsidR="00E47756" w:rsidRPr="00E47756" w:rsidRDefault="00E47756" w:rsidP="00E47756">
            <w:pPr>
              <w:spacing w:after="0" w:line="240" w:lineRule="auto"/>
              <w:ind w:left="57" w:right="57"/>
              <w:rPr>
                <w:sz w:val="20"/>
              </w:rPr>
            </w:pPr>
            <w:r w:rsidRPr="00E47756">
              <w:rPr>
                <w:b/>
                <w:sz w:val="20"/>
                <w:u w:val="single"/>
              </w:rPr>
              <w:t>Vysoká priorita</w:t>
            </w:r>
            <w:r w:rsidRPr="00E47756">
              <w:rPr>
                <w:sz w:val="20"/>
              </w:rPr>
              <w:t xml:space="preserve"> – V rámci stratégie pre digitálne financie EÚ bol vydaný legislatívny návrh nariadenia k posilneniu digitálnej prevádzkovej odolnosti ktorého cieľom je potláčať kybernetické útoky a posilniť dohľad nad externe zabezpečovanými službami. Ide o zvýšenie odolnosti finančných inštitúcii už nie vo sfére finančných, ale v oblasti prevádzkových rizík. O návrhu sa intenzívne rokuje a je predpoklad, že negociácie budú pokračovať aj v nasledujúcom období.</w:t>
            </w:r>
          </w:p>
        </w:tc>
      </w:tr>
      <w:tr w:rsidR="00E47756" w:rsidRPr="00E47756" w14:paraId="30B5B3F8" w14:textId="77777777" w:rsidTr="001A4016">
        <w:tblPrEx>
          <w:tblCellMar>
            <w:top w:w="34" w:type="dxa"/>
          </w:tblCellMar>
        </w:tblPrEx>
        <w:trPr>
          <w:trHeight w:val="757"/>
        </w:trPr>
        <w:tc>
          <w:tcPr>
            <w:tcW w:w="632" w:type="dxa"/>
            <w:tcBorders>
              <w:top w:val="single" w:sz="4" w:space="0" w:color="000000"/>
              <w:left w:val="single" w:sz="4" w:space="0" w:color="000000"/>
              <w:bottom w:val="single" w:sz="4" w:space="0" w:color="000000"/>
              <w:right w:val="single" w:sz="4" w:space="0" w:color="000000"/>
            </w:tcBorders>
          </w:tcPr>
          <w:p w14:paraId="05769843" w14:textId="77777777" w:rsidR="00E47756" w:rsidRPr="00E47756" w:rsidRDefault="00E47756" w:rsidP="00E47756">
            <w:pPr>
              <w:spacing w:after="0" w:line="240" w:lineRule="auto"/>
              <w:ind w:left="67"/>
              <w:jc w:val="center"/>
            </w:pPr>
            <w:r w:rsidRPr="00E47756">
              <w:rPr>
                <w:sz w:val="20"/>
              </w:rPr>
              <w:t>9.</w:t>
            </w:r>
          </w:p>
        </w:tc>
        <w:tc>
          <w:tcPr>
            <w:tcW w:w="6193" w:type="dxa"/>
            <w:gridSpan w:val="2"/>
            <w:tcBorders>
              <w:top w:val="single" w:sz="4" w:space="0" w:color="000000"/>
              <w:left w:val="single" w:sz="4" w:space="0" w:color="000000"/>
              <w:bottom w:val="single" w:sz="4" w:space="0" w:color="000000"/>
              <w:right w:val="single" w:sz="4" w:space="0" w:color="000000"/>
            </w:tcBorders>
          </w:tcPr>
          <w:p w14:paraId="31BBE389" w14:textId="77777777" w:rsidR="00E47756" w:rsidRPr="00E47756" w:rsidRDefault="00E47756" w:rsidP="00E47756">
            <w:pPr>
              <w:spacing w:after="0" w:line="240" w:lineRule="auto"/>
              <w:ind w:left="57" w:right="57"/>
            </w:pPr>
            <w:r w:rsidRPr="00E47756">
              <w:rPr>
                <w:sz w:val="20"/>
              </w:rPr>
              <w:t xml:space="preserve">návrh NARIADENIE EURÓPSKEHO PARLAMENTU A RADY o pilotnom režime pre trhové infraštruktúry založené na technológii distribuovanej databázy transakcií </w:t>
            </w:r>
          </w:p>
        </w:tc>
        <w:tc>
          <w:tcPr>
            <w:tcW w:w="1985" w:type="dxa"/>
            <w:tcBorders>
              <w:top w:val="single" w:sz="4" w:space="0" w:color="000000"/>
              <w:left w:val="single" w:sz="4" w:space="0" w:color="000000"/>
              <w:bottom w:val="single" w:sz="4" w:space="0" w:color="000000"/>
              <w:right w:val="single" w:sz="4" w:space="0" w:color="000000"/>
            </w:tcBorders>
          </w:tcPr>
          <w:p w14:paraId="1014C428" w14:textId="77777777" w:rsidR="00E47756" w:rsidRPr="00E47756" w:rsidRDefault="00E47756" w:rsidP="00E47756">
            <w:pPr>
              <w:spacing w:after="0" w:line="240" w:lineRule="auto"/>
              <w:ind w:left="57" w:right="57"/>
            </w:pPr>
            <w:r w:rsidRPr="00E47756">
              <w:rPr>
                <w:sz w:val="20"/>
              </w:rPr>
              <w:t xml:space="preserve">COM(2020) 594 </w:t>
            </w:r>
            <w:proofErr w:type="spellStart"/>
            <w:r w:rsidRPr="00E47756">
              <w:rPr>
                <w:sz w:val="20"/>
              </w:rPr>
              <w:t>final</w:t>
            </w:r>
            <w:proofErr w:type="spellEnd"/>
            <w:r w:rsidRPr="00E47756">
              <w:t xml:space="preserve"> </w:t>
            </w:r>
          </w:p>
          <w:p w14:paraId="07B5EDA7" w14:textId="77777777" w:rsidR="00E47756" w:rsidRPr="00E47756" w:rsidRDefault="00E47756" w:rsidP="00E47756">
            <w:pPr>
              <w:spacing w:after="0" w:line="240" w:lineRule="auto"/>
              <w:ind w:left="57" w:right="57"/>
            </w:pPr>
            <w:r w:rsidRPr="00E47756">
              <w:rPr>
                <w:sz w:val="20"/>
              </w:rPr>
              <w:t>2020/0267 (COD)</w:t>
            </w:r>
            <w:r w:rsidRPr="00E47756">
              <w:t xml:space="preserve"> </w:t>
            </w:r>
          </w:p>
          <w:p w14:paraId="696ADF34" w14:textId="77777777" w:rsidR="00E47756" w:rsidRPr="00E47756" w:rsidRDefault="00E47756" w:rsidP="00E47756">
            <w:pPr>
              <w:spacing w:after="0" w:line="240" w:lineRule="auto"/>
              <w:ind w:left="57" w:right="57"/>
            </w:pPr>
            <w:r w:rsidRPr="00E47756">
              <w:rPr>
                <w:sz w:val="20"/>
              </w:rPr>
              <w:t xml:space="preserve">24. 9. 2020 </w:t>
            </w:r>
          </w:p>
        </w:tc>
        <w:tc>
          <w:tcPr>
            <w:tcW w:w="1701" w:type="dxa"/>
            <w:tcBorders>
              <w:top w:val="single" w:sz="4" w:space="0" w:color="000000"/>
              <w:left w:val="single" w:sz="4" w:space="0" w:color="000000"/>
              <w:bottom w:val="single" w:sz="4" w:space="0" w:color="000000"/>
              <w:right w:val="single" w:sz="4" w:space="0" w:color="000000"/>
            </w:tcBorders>
          </w:tcPr>
          <w:p w14:paraId="4401CF4B" w14:textId="77777777" w:rsidR="00E47756" w:rsidRPr="00E47756" w:rsidRDefault="00E47756" w:rsidP="00E47756">
            <w:pPr>
              <w:spacing w:after="0" w:line="240" w:lineRule="auto"/>
              <w:ind w:left="57" w:right="57"/>
              <w:jc w:val="center"/>
              <w:rPr>
                <w:sz w:val="20"/>
              </w:rPr>
            </w:pPr>
            <w:r w:rsidRPr="00E47756">
              <w:rPr>
                <w:b/>
                <w:sz w:val="20"/>
              </w:rPr>
              <w:t>MF SR</w:t>
            </w:r>
          </w:p>
        </w:tc>
        <w:tc>
          <w:tcPr>
            <w:tcW w:w="4111" w:type="dxa"/>
            <w:tcBorders>
              <w:top w:val="single" w:sz="4" w:space="0" w:color="000000"/>
              <w:left w:val="single" w:sz="4" w:space="0" w:color="000000"/>
              <w:bottom w:val="single" w:sz="4" w:space="0" w:color="000000"/>
              <w:right w:val="single" w:sz="4" w:space="0" w:color="000000"/>
            </w:tcBorders>
          </w:tcPr>
          <w:p w14:paraId="147A3E53" w14:textId="77777777" w:rsidR="00E47756" w:rsidRPr="00E47756" w:rsidRDefault="00E47756" w:rsidP="00E47756">
            <w:pPr>
              <w:spacing w:after="0" w:line="240" w:lineRule="auto"/>
              <w:ind w:left="57" w:right="57"/>
              <w:rPr>
                <w:b/>
                <w:sz w:val="20"/>
                <w:u w:val="single"/>
              </w:rPr>
            </w:pPr>
            <w:r w:rsidRPr="00E47756">
              <w:rPr>
                <w:b/>
                <w:sz w:val="20"/>
                <w:u w:val="single"/>
              </w:rPr>
              <w:t>Stredná priorita</w:t>
            </w:r>
            <w:r w:rsidRPr="00E47756">
              <w:rPr>
                <w:b/>
                <w:sz w:val="20"/>
              </w:rPr>
              <w:t xml:space="preserve"> - </w:t>
            </w:r>
            <w:r w:rsidRPr="00E47756">
              <w:rPr>
                <w:sz w:val="20"/>
              </w:rPr>
              <w:t xml:space="preserve">Posledné štádium legislatívneho procesu. Dňa 11.12. 2020 bola dosiahnutá politická dohoda. Následne bude text podliehať jazykovým korektúram pred samotným schválením.    SR vo všeobecnosti podporuje navrhované zmeny, avšak treba venovať zvýšenú pozornosť skutočnosti, že  významné aspekty DLT technológie sú čisto technického charakteru, a legislatívny rámec musí veľmi citlivo reagovať na vývoj v oblasti informačných technológií v oblasti finančného trhu tak, aby bola naďalej zachovaná tak stabilita trhu, ako aj dostatočná ochrana investorov s expozíciami v DLT prevoditeľných cenných papieroch. Zároveň je potrebné už v pilotnej fáze minimalizovať všetky možné prekážky v DLT trhových infraštruktúrach, ktoré by mohli viesť k vyššej fragmentácii investorov, nezáujmu o investovanie do rozvoja európskeho hospodárstva, ako aj k možnosti obchádzania navrhnutého regulačného rámca.   </w:t>
            </w:r>
          </w:p>
        </w:tc>
      </w:tr>
      <w:tr w:rsidR="00E47756" w:rsidRPr="00E47756" w14:paraId="03B0F9FA" w14:textId="77777777" w:rsidTr="001A4016">
        <w:tblPrEx>
          <w:tblCellMar>
            <w:top w:w="34" w:type="dxa"/>
          </w:tblCellMar>
        </w:tblPrEx>
        <w:trPr>
          <w:trHeight w:val="756"/>
        </w:trPr>
        <w:tc>
          <w:tcPr>
            <w:tcW w:w="632" w:type="dxa"/>
            <w:tcBorders>
              <w:top w:val="single" w:sz="4" w:space="0" w:color="000000"/>
              <w:left w:val="single" w:sz="4" w:space="0" w:color="000000"/>
              <w:bottom w:val="single" w:sz="4" w:space="0" w:color="000000"/>
              <w:right w:val="single" w:sz="4" w:space="0" w:color="000000"/>
            </w:tcBorders>
          </w:tcPr>
          <w:p w14:paraId="45C60550" w14:textId="77777777" w:rsidR="00E47756" w:rsidRPr="00E47756" w:rsidRDefault="00E47756" w:rsidP="00E47756">
            <w:pPr>
              <w:spacing w:after="0" w:line="240" w:lineRule="auto"/>
              <w:ind w:left="67"/>
              <w:jc w:val="center"/>
            </w:pPr>
            <w:r w:rsidRPr="00E47756">
              <w:rPr>
                <w:sz w:val="20"/>
              </w:rPr>
              <w:t>10.</w:t>
            </w:r>
          </w:p>
        </w:tc>
        <w:tc>
          <w:tcPr>
            <w:tcW w:w="6193" w:type="dxa"/>
            <w:gridSpan w:val="2"/>
            <w:tcBorders>
              <w:top w:val="single" w:sz="4" w:space="0" w:color="000000"/>
              <w:left w:val="single" w:sz="4" w:space="0" w:color="000000"/>
              <w:bottom w:val="single" w:sz="4" w:space="0" w:color="000000"/>
              <w:right w:val="single" w:sz="4" w:space="0" w:color="000000"/>
            </w:tcBorders>
          </w:tcPr>
          <w:p w14:paraId="58C6AE32" w14:textId="77777777" w:rsidR="00E47756" w:rsidRPr="00E47756" w:rsidRDefault="00E47756" w:rsidP="00E47756">
            <w:pPr>
              <w:spacing w:after="0" w:line="240" w:lineRule="auto"/>
              <w:ind w:left="57" w:right="57"/>
            </w:pPr>
            <w:r w:rsidRPr="00E47756">
              <w:rPr>
                <w:sz w:val="20"/>
              </w:rPr>
              <w:t xml:space="preserve">návrh NARIADENIE EURÓPSKEHO PARLAMENTU A RADY o trhoch s </w:t>
            </w:r>
            <w:proofErr w:type="spellStart"/>
            <w:r w:rsidRPr="00E47756">
              <w:rPr>
                <w:sz w:val="20"/>
              </w:rPr>
              <w:t>kryptoaktívami</w:t>
            </w:r>
            <w:proofErr w:type="spellEnd"/>
            <w:r w:rsidRPr="00E47756">
              <w:rPr>
                <w:sz w:val="20"/>
              </w:rPr>
              <w:t xml:space="preserve"> a o zmene smernice (EÚ) 2019/1937/EÚ (MICA) </w:t>
            </w:r>
          </w:p>
        </w:tc>
        <w:tc>
          <w:tcPr>
            <w:tcW w:w="1985" w:type="dxa"/>
            <w:tcBorders>
              <w:top w:val="single" w:sz="4" w:space="0" w:color="000000"/>
              <w:left w:val="single" w:sz="4" w:space="0" w:color="000000"/>
              <w:bottom w:val="single" w:sz="4" w:space="0" w:color="000000"/>
              <w:right w:val="single" w:sz="4" w:space="0" w:color="000000"/>
            </w:tcBorders>
          </w:tcPr>
          <w:p w14:paraId="59158FBA" w14:textId="77777777" w:rsidR="00E47756" w:rsidRPr="00E47756" w:rsidRDefault="00E47756" w:rsidP="00E47756">
            <w:pPr>
              <w:spacing w:after="0" w:line="240" w:lineRule="auto"/>
              <w:ind w:left="57" w:right="57"/>
            </w:pPr>
            <w:r w:rsidRPr="00E47756">
              <w:rPr>
                <w:sz w:val="20"/>
              </w:rPr>
              <w:t xml:space="preserve">COM(2020) 593 </w:t>
            </w:r>
            <w:proofErr w:type="spellStart"/>
            <w:r w:rsidRPr="00E47756">
              <w:rPr>
                <w:sz w:val="20"/>
              </w:rPr>
              <w:t>final</w:t>
            </w:r>
            <w:proofErr w:type="spellEnd"/>
            <w:r w:rsidRPr="00E47756">
              <w:t xml:space="preserve"> </w:t>
            </w:r>
          </w:p>
          <w:p w14:paraId="2B37AB10" w14:textId="77777777" w:rsidR="00E47756" w:rsidRPr="00E47756" w:rsidRDefault="00E47756" w:rsidP="00E47756">
            <w:pPr>
              <w:spacing w:after="0" w:line="240" w:lineRule="auto"/>
              <w:ind w:left="57" w:right="57"/>
            </w:pPr>
            <w:r w:rsidRPr="00E47756">
              <w:rPr>
                <w:sz w:val="20"/>
              </w:rPr>
              <w:t>2020/0265 (COD)</w:t>
            </w:r>
            <w:r w:rsidRPr="00E47756">
              <w:t xml:space="preserve"> </w:t>
            </w:r>
          </w:p>
          <w:p w14:paraId="11AA4C26" w14:textId="77777777" w:rsidR="00E47756" w:rsidRPr="00E47756" w:rsidRDefault="00E47756" w:rsidP="00E47756">
            <w:pPr>
              <w:spacing w:after="0" w:line="240" w:lineRule="auto"/>
              <w:ind w:left="57" w:right="57"/>
            </w:pPr>
            <w:r w:rsidRPr="00E47756">
              <w:rPr>
                <w:sz w:val="20"/>
              </w:rPr>
              <w:t xml:space="preserve">24. 9. 2020 </w:t>
            </w:r>
          </w:p>
        </w:tc>
        <w:tc>
          <w:tcPr>
            <w:tcW w:w="1701" w:type="dxa"/>
            <w:tcBorders>
              <w:top w:val="single" w:sz="4" w:space="0" w:color="000000"/>
              <w:left w:val="single" w:sz="4" w:space="0" w:color="000000"/>
              <w:bottom w:val="single" w:sz="4" w:space="0" w:color="000000"/>
              <w:right w:val="single" w:sz="4" w:space="0" w:color="000000"/>
            </w:tcBorders>
          </w:tcPr>
          <w:p w14:paraId="4D37FE48" w14:textId="77777777" w:rsidR="00E47756" w:rsidRPr="00E47756" w:rsidRDefault="00E47756" w:rsidP="00E47756">
            <w:pPr>
              <w:spacing w:after="0" w:line="240" w:lineRule="auto"/>
              <w:ind w:left="57" w:right="57"/>
              <w:jc w:val="center"/>
              <w:rPr>
                <w:b/>
                <w:sz w:val="20"/>
              </w:rPr>
            </w:pPr>
            <w:r w:rsidRPr="00E47756">
              <w:rPr>
                <w:b/>
                <w:sz w:val="20"/>
              </w:rPr>
              <w:t>MF SR</w:t>
            </w:r>
          </w:p>
          <w:p w14:paraId="7822FDFF" w14:textId="77777777" w:rsidR="00E47756" w:rsidRPr="00E47756" w:rsidRDefault="00E47756" w:rsidP="00E47756">
            <w:pPr>
              <w:spacing w:after="0" w:line="240" w:lineRule="auto"/>
              <w:ind w:left="57" w:right="57"/>
              <w:jc w:val="center"/>
              <w:rPr>
                <w:b/>
                <w:sz w:val="20"/>
              </w:rPr>
            </w:pPr>
          </w:p>
        </w:tc>
        <w:tc>
          <w:tcPr>
            <w:tcW w:w="4111" w:type="dxa"/>
            <w:tcBorders>
              <w:top w:val="single" w:sz="4" w:space="0" w:color="000000"/>
              <w:left w:val="single" w:sz="4" w:space="0" w:color="000000"/>
              <w:bottom w:val="single" w:sz="4" w:space="0" w:color="000000"/>
              <w:right w:val="single" w:sz="4" w:space="0" w:color="000000"/>
            </w:tcBorders>
          </w:tcPr>
          <w:p w14:paraId="71772AC7" w14:textId="77777777" w:rsidR="00E47756" w:rsidRPr="00E47756" w:rsidRDefault="00E47756" w:rsidP="00E47756">
            <w:pPr>
              <w:spacing w:after="0" w:line="240" w:lineRule="auto"/>
              <w:ind w:left="57" w:right="57"/>
              <w:rPr>
                <w:b/>
                <w:bCs/>
                <w:sz w:val="20"/>
                <w:szCs w:val="20"/>
                <w:u w:val="single"/>
              </w:rPr>
            </w:pPr>
            <w:r w:rsidRPr="00E47756">
              <w:rPr>
                <w:b/>
                <w:bCs/>
                <w:sz w:val="20"/>
                <w:szCs w:val="20"/>
                <w:u w:val="single"/>
              </w:rPr>
              <w:t>Stredná priorita</w:t>
            </w:r>
            <w:r w:rsidRPr="00E47756">
              <w:rPr>
                <w:sz w:val="20"/>
              </w:rPr>
              <w:t xml:space="preserve"> – SR vo všeobecnosti podporuje návrh nariadenia,  ktoré ma za cieľ zabezpečiť právnu istotu, podporiť inovácie, zabezpečiť </w:t>
            </w:r>
            <w:r w:rsidRPr="00E47756">
              <w:rPr>
                <w:sz w:val="20"/>
              </w:rPr>
              <w:lastRenderedPageBreak/>
              <w:t xml:space="preserve">primeranú ochranu pre investorov a spotrebiteľov a zabezpečiť finančnú stabilitu.  </w:t>
            </w:r>
          </w:p>
        </w:tc>
      </w:tr>
      <w:tr w:rsidR="00E47756" w:rsidRPr="00E47756" w14:paraId="5F44DA81" w14:textId="77777777" w:rsidTr="001A4016">
        <w:tblPrEx>
          <w:tblCellMar>
            <w:top w:w="34" w:type="dxa"/>
          </w:tblCellMar>
        </w:tblPrEx>
        <w:trPr>
          <w:trHeight w:val="756"/>
        </w:trPr>
        <w:tc>
          <w:tcPr>
            <w:tcW w:w="632" w:type="dxa"/>
            <w:tcBorders>
              <w:top w:val="single" w:sz="4" w:space="0" w:color="000000"/>
              <w:left w:val="single" w:sz="4" w:space="0" w:color="000000"/>
              <w:bottom w:val="single" w:sz="4" w:space="0" w:color="000000"/>
              <w:right w:val="single" w:sz="4" w:space="0" w:color="000000"/>
            </w:tcBorders>
          </w:tcPr>
          <w:p w14:paraId="37728BAA" w14:textId="77777777" w:rsidR="00E47756" w:rsidRPr="00E47756" w:rsidRDefault="00E47756" w:rsidP="00E47756">
            <w:pPr>
              <w:spacing w:after="0" w:line="240" w:lineRule="auto"/>
              <w:ind w:left="67"/>
              <w:jc w:val="center"/>
            </w:pPr>
            <w:r w:rsidRPr="00E47756">
              <w:rPr>
                <w:sz w:val="20"/>
              </w:rPr>
              <w:lastRenderedPageBreak/>
              <w:t>11.</w:t>
            </w:r>
          </w:p>
        </w:tc>
        <w:tc>
          <w:tcPr>
            <w:tcW w:w="6193" w:type="dxa"/>
            <w:gridSpan w:val="2"/>
            <w:tcBorders>
              <w:top w:val="single" w:sz="4" w:space="0" w:color="000000"/>
              <w:left w:val="single" w:sz="4" w:space="0" w:color="000000"/>
              <w:bottom w:val="single" w:sz="4" w:space="0" w:color="000000"/>
              <w:right w:val="single" w:sz="4" w:space="0" w:color="000000"/>
            </w:tcBorders>
          </w:tcPr>
          <w:p w14:paraId="4064DA2A" w14:textId="77777777" w:rsidR="00E47756" w:rsidRPr="00E47756" w:rsidRDefault="00E47756" w:rsidP="00E47756">
            <w:pPr>
              <w:spacing w:after="0" w:line="240" w:lineRule="auto"/>
              <w:ind w:left="57" w:right="57"/>
            </w:pPr>
            <w:r w:rsidRPr="00E47756">
              <w:rPr>
                <w:sz w:val="20"/>
              </w:rPr>
              <w:t xml:space="preserve">návrh NARIADENIE EURÓPSKEHO PARLAMENTU A RADY, ktorým sa mení nariadenie (ES) č. 715/2007 o typovom schvaľovaní motorových vozidiel so zreteľom na emisie ľahkých osobných a úžitkových vozidiel (Euro 5 a Euro 6) a o prístupe k informáciám o opravách a údržbe vozidiel </w:t>
            </w:r>
          </w:p>
        </w:tc>
        <w:tc>
          <w:tcPr>
            <w:tcW w:w="1985" w:type="dxa"/>
            <w:tcBorders>
              <w:top w:val="single" w:sz="4" w:space="0" w:color="000000"/>
              <w:left w:val="single" w:sz="4" w:space="0" w:color="000000"/>
              <w:bottom w:val="single" w:sz="4" w:space="0" w:color="000000"/>
              <w:right w:val="single" w:sz="4" w:space="0" w:color="000000"/>
            </w:tcBorders>
          </w:tcPr>
          <w:p w14:paraId="78125C30" w14:textId="77777777" w:rsidR="00E47756" w:rsidRPr="00E47756" w:rsidRDefault="00E47756" w:rsidP="00E47756">
            <w:pPr>
              <w:spacing w:after="0" w:line="240" w:lineRule="auto"/>
              <w:ind w:left="57" w:right="57"/>
            </w:pPr>
            <w:r w:rsidRPr="00E47756">
              <w:rPr>
                <w:sz w:val="20"/>
              </w:rPr>
              <w:t xml:space="preserve">COM(2019) 208 </w:t>
            </w:r>
            <w:proofErr w:type="spellStart"/>
            <w:r w:rsidRPr="00E47756">
              <w:rPr>
                <w:sz w:val="20"/>
              </w:rPr>
              <w:t>final</w:t>
            </w:r>
            <w:proofErr w:type="spellEnd"/>
            <w:r w:rsidRPr="00E47756">
              <w:t xml:space="preserve"> </w:t>
            </w:r>
          </w:p>
          <w:p w14:paraId="7367A2F5" w14:textId="77777777" w:rsidR="00E47756" w:rsidRPr="00E47756" w:rsidRDefault="00E47756" w:rsidP="00E47756">
            <w:pPr>
              <w:spacing w:after="0" w:line="240" w:lineRule="auto"/>
              <w:ind w:left="57" w:right="57"/>
            </w:pPr>
            <w:r w:rsidRPr="00E47756">
              <w:rPr>
                <w:sz w:val="20"/>
              </w:rPr>
              <w:t>2019/0101 (COD)</w:t>
            </w:r>
            <w:r w:rsidRPr="00E47756">
              <w:t xml:space="preserve"> </w:t>
            </w:r>
          </w:p>
          <w:p w14:paraId="69E38537" w14:textId="77777777" w:rsidR="00E47756" w:rsidRPr="00E47756" w:rsidRDefault="00E47756" w:rsidP="00E47756">
            <w:pPr>
              <w:spacing w:after="0" w:line="240" w:lineRule="auto"/>
              <w:ind w:left="57" w:right="57"/>
            </w:pPr>
            <w:r w:rsidRPr="00E47756">
              <w:rPr>
                <w:sz w:val="20"/>
              </w:rPr>
              <w:t xml:space="preserve">14. 6. 2019 </w:t>
            </w:r>
          </w:p>
        </w:tc>
        <w:tc>
          <w:tcPr>
            <w:tcW w:w="1701" w:type="dxa"/>
            <w:tcBorders>
              <w:top w:val="single" w:sz="4" w:space="0" w:color="000000"/>
              <w:left w:val="single" w:sz="4" w:space="0" w:color="000000"/>
              <w:bottom w:val="single" w:sz="4" w:space="0" w:color="000000"/>
              <w:right w:val="single" w:sz="4" w:space="0" w:color="000000"/>
            </w:tcBorders>
          </w:tcPr>
          <w:p w14:paraId="587A84B1" w14:textId="77777777" w:rsidR="00E47756" w:rsidRPr="00E47756" w:rsidRDefault="00E47756" w:rsidP="00E47756">
            <w:pPr>
              <w:spacing w:after="0" w:line="240" w:lineRule="auto"/>
              <w:ind w:left="57" w:right="57"/>
              <w:jc w:val="center"/>
              <w:rPr>
                <w:b/>
                <w:sz w:val="20"/>
              </w:rPr>
            </w:pPr>
            <w:r w:rsidRPr="00E47756">
              <w:rPr>
                <w:b/>
                <w:sz w:val="20"/>
              </w:rPr>
              <w:t>MDV SR</w:t>
            </w:r>
          </w:p>
        </w:tc>
        <w:tc>
          <w:tcPr>
            <w:tcW w:w="4111" w:type="dxa"/>
            <w:tcBorders>
              <w:top w:val="single" w:sz="4" w:space="0" w:color="000000"/>
              <w:left w:val="single" w:sz="4" w:space="0" w:color="000000"/>
              <w:bottom w:val="single" w:sz="4" w:space="0" w:color="000000"/>
              <w:right w:val="single" w:sz="4" w:space="0" w:color="000000"/>
            </w:tcBorders>
          </w:tcPr>
          <w:p w14:paraId="716C3547" w14:textId="00445FD7" w:rsidR="00E47756" w:rsidRPr="00F46B8A" w:rsidRDefault="00E47756" w:rsidP="00F46B8A">
            <w:pPr>
              <w:spacing w:after="0" w:line="240" w:lineRule="auto"/>
              <w:ind w:left="57" w:right="57"/>
              <w:rPr>
                <w:sz w:val="20"/>
                <w:szCs w:val="20"/>
                <w:shd w:val="clear" w:color="auto" w:fill="FFFFFF"/>
              </w:rPr>
            </w:pPr>
            <w:r w:rsidRPr="00E47756">
              <w:rPr>
                <w:b/>
                <w:bCs/>
                <w:sz w:val="20"/>
                <w:szCs w:val="20"/>
                <w:u w:val="single"/>
              </w:rPr>
              <w:t>Vysoká priorita</w:t>
            </w:r>
            <w:r w:rsidRPr="00E47756">
              <w:rPr>
                <w:sz w:val="20"/>
              </w:rPr>
              <w:t xml:space="preserve"> – </w:t>
            </w:r>
            <w:r w:rsidRPr="00E47756">
              <w:rPr>
                <w:sz w:val="20"/>
                <w:szCs w:val="20"/>
                <w:shd w:val="clear" w:color="auto" w:fill="FFFFFF"/>
              </w:rPr>
              <w:t>V oblasti typového schválenia je nevyhnutné, aby bolo nariadenie prijaté a to z dôvodu aby sa zabránilo právnej neistote v súvislosti s už udelenými typovými schváleniami. SK má silné zastúpenie automobilového priemyslu, preto všetky zmeny v legislatíve pre toto odvetvie vnímame veľmi citlivo. Veľmi dôležitým prvkom každého návrhu je realizovateľnosť navrhnutých opatrení pre vozidlá uvádzané na trh. Z tohto dôvodu je veľmi dôležité posúdenie vplyvu navrhovaného opatrenia  a skutočný prínos pre životné prostredie pred tým ako príde k zvý</w:t>
            </w:r>
            <w:r w:rsidR="00F46B8A">
              <w:rPr>
                <w:sz w:val="20"/>
                <w:szCs w:val="20"/>
                <w:shd w:val="clear" w:color="auto" w:fill="FFFFFF"/>
              </w:rPr>
              <w:t>šeniu cieľov pre toto odvetvie.</w:t>
            </w:r>
          </w:p>
        </w:tc>
      </w:tr>
      <w:tr w:rsidR="00E47756" w:rsidRPr="00E47756" w14:paraId="6A4120BC" w14:textId="77777777" w:rsidTr="001A4016">
        <w:tblPrEx>
          <w:tblCellMar>
            <w:top w:w="34" w:type="dxa"/>
          </w:tblCellMar>
        </w:tblPrEx>
        <w:trPr>
          <w:trHeight w:val="756"/>
        </w:trPr>
        <w:tc>
          <w:tcPr>
            <w:tcW w:w="632" w:type="dxa"/>
            <w:tcBorders>
              <w:top w:val="single" w:sz="4" w:space="0" w:color="000000"/>
              <w:left w:val="single" w:sz="4" w:space="0" w:color="000000"/>
              <w:bottom w:val="single" w:sz="4" w:space="0" w:color="000000"/>
              <w:right w:val="single" w:sz="4" w:space="0" w:color="000000"/>
            </w:tcBorders>
          </w:tcPr>
          <w:p w14:paraId="6F7F6E7D" w14:textId="77777777" w:rsidR="00E47756" w:rsidRPr="00E47756" w:rsidRDefault="00E47756" w:rsidP="00E47756">
            <w:pPr>
              <w:spacing w:after="0" w:line="240" w:lineRule="auto"/>
              <w:ind w:left="67"/>
              <w:jc w:val="center"/>
            </w:pPr>
            <w:r w:rsidRPr="00E47756">
              <w:rPr>
                <w:sz w:val="20"/>
              </w:rPr>
              <w:t>12.</w:t>
            </w:r>
          </w:p>
        </w:tc>
        <w:tc>
          <w:tcPr>
            <w:tcW w:w="6193" w:type="dxa"/>
            <w:gridSpan w:val="2"/>
            <w:tcBorders>
              <w:top w:val="single" w:sz="4" w:space="0" w:color="000000"/>
              <w:left w:val="single" w:sz="4" w:space="0" w:color="000000"/>
              <w:bottom w:val="single" w:sz="4" w:space="0" w:color="000000"/>
              <w:right w:val="single" w:sz="4" w:space="0" w:color="000000"/>
            </w:tcBorders>
          </w:tcPr>
          <w:p w14:paraId="06BE9345" w14:textId="77777777" w:rsidR="00E47756" w:rsidRPr="00E47756" w:rsidRDefault="00E47756" w:rsidP="00E47756">
            <w:pPr>
              <w:spacing w:after="0" w:line="240" w:lineRule="auto"/>
              <w:ind w:left="57" w:right="57"/>
            </w:pPr>
            <w:r w:rsidRPr="00E47756">
              <w:rPr>
                <w:sz w:val="20"/>
              </w:rPr>
              <w:t xml:space="preserve">návrh NARIADENIE EURÓPSKEHO PARLAMENTU A RADY, ktorým sa zriaďuje Európske centrum odvetvových, technologických a výskumných kompetencií v oblasti kybernetickej bezpečnosti a sieť národných koordinačných centier  </w:t>
            </w:r>
          </w:p>
        </w:tc>
        <w:tc>
          <w:tcPr>
            <w:tcW w:w="1985" w:type="dxa"/>
            <w:tcBorders>
              <w:top w:val="single" w:sz="4" w:space="0" w:color="000000"/>
              <w:left w:val="single" w:sz="4" w:space="0" w:color="000000"/>
              <w:bottom w:val="single" w:sz="4" w:space="0" w:color="000000"/>
              <w:right w:val="single" w:sz="4" w:space="0" w:color="000000"/>
            </w:tcBorders>
          </w:tcPr>
          <w:p w14:paraId="58247A3C" w14:textId="77777777" w:rsidR="00E47756" w:rsidRPr="00E47756" w:rsidRDefault="00E47756" w:rsidP="00E47756">
            <w:pPr>
              <w:spacing w:after="0" w:line="240" w:lineRule="auto"/>
              <w:ind w:left="57" w:right="57"/>
            </w:pPr>
            <w:r w:rsidRPr="00E47756">
              <w:rPr>
                <w:sz w:val="20"/>
              </w:rPr>
              <w:t xml:space="preserve">COM(2018) 630 </w:t>
            </w:r>
            <w:proofErr w:type="spellStart"/>
            <w:r w:rsidRPr="00E47756">
              <w:rPr>
                <w:sz w:val="20"/>
              </w:rPr>
              <w:t>final</w:t>
            </w:r>
            <w:proofErr w:type="spellEnd"/>
            <w:r w:rsidRPr="00E47756">
              <w:t xml:space="preserve"> </w:t>
            </w:r>
          </w:p>
          <w:p w14:paraId="0A72242B" w14:textId="77777777" w:rsidR="00E47756" w:rsidRPr="00E47756" w:rsidRDefault="00E47756" w:rsidP="00E47756">
            <w:pPr>
              <w:spacing w:after="0" w:line="240" w:lineRule="auto"/>
              <w:ind w:left="57" w:right="57"/>
            </w:pPr>
            <w:r w:rsidRPr="00E47756">
              <w:rPr>
                <w:sz w:val="20"/>
              </w:rPr>
              <w:t>2018/0328 (COD)</w:t>
            </w:r>
            <w:r w:rsidRPr="00E47756">
              <w:t xml:space="preserve"> </w:t>
            </w:r>
          </w:p>
          <w:p w14:paraId="57E24D54" w14:textId="77777777" w:rsidR="00E47756" w:rsidRPr="00E47756" w:rsidRDefault="00E47756" w:rsidP="00E47756">
            <w:pPr>
              <w:spacing w:after="0" w:line="240" w:lineRule="auto"/>
              <w:ind w:left="57" w:right="57"/>
            </w:pPr>
            <w:r w:rsidRPr="00E47756">
              <w:rPr>
                <w:sz w:val="20"/>
              </w:rPr>
              <w:t xml:space="preserve">12. 9. 2019 </w:t>
            </w:r>
          </w:p>
        </w:tc>
        <w:tc>
          <w:tcPr>
            <w:tcW w:w="1701" w:type="dxa"/>
            <w:tcBorders>
              <w:top w:val="single" w:sz="4" w:space="0" w:color="000000"/>
              <w:left w:val="single" w:sz="4" w:space="0" w:color="000000"/>
              <w:bottom w:val="single" w:sz="4" w:space="0" w:color="000000"/>
              <w:right w:val="single" w:sz="4" w:space="0" w:color="000000"/>
            </w:tcBorders>
          </w:tcPr>
          <w:p w14:paraId="1FBD62D7" w14:textId="631077FD" w:rsidR="00E47756" w:rsidRPr="00E47756" w:rsidRDefault="00E47756" w:rsidP="00E47756">
            <w:pPr>
              <w:spacing w:after="0" w:line="240" w:lineRule="auto"/>
              <w:ind w:left="57" w:right="57"/>
              <w:jc w:val="center"/>
              <w:rPr>
                <w:b/>
                <w:sz w:val="20"/>
              </w:rPr>
            </w:pPr>
            <w:r w:rsidRPr="00E47756">
              <w:rPr>
                <w:b/>
                <w:sz w:val="20"/>
              </w:rPr>
              <w:t xml:space="preserve">NBÚ </w:t>
            </w:r>
          </w:p>
          <w:p w14:paraId="3F8584FB" w14:textId="0546DF74" w:rsidR="00E47756" w:rsidRPr="00E47756" w:rsidRDefault="00E47756" w:rsidP="00E47756">
            <w:pPr>
              <w:spacing w:after="0" w:line="240" w:lineRule="auto"/>
              <w:ind w:left="57" w:right="57"/>
              <w:jc w:val="center"/>
              <w:rPr>
                <w:b/>
                <w:sz w:val="20"/>
                <w:highlight w:val="yellow"/>
              </w:rPr>
            </w:pPr>
          </w:p>
        </w:tc>
        <w:tc>
          <w:tcPr>
            <w:tcW w:w="4111" w:type="dxa"/>
            <w:tcBorders>
              <w:top w:val="single" w:sz="4" w:space="0" w:color="000000"/>
              <w:left w:val="single" w:sz="4" w:space="0" w:color="000000"/>
              <w:bottom w:val="single" w:sz="4" w:space="0" w:color="000000"/>
              <w:right w:val="single" w:sz="4" w:space="0" w:color="000000"/>
            </w:tcBorders>
          </w:tcPr>
          <w:p w14:paraId="004B77D7" w14:textId="77777777" w:rsidR="00E47756" w:rsidRPr="00E47756" w:rsidRDefault="00E47756" w:rsidP="00E47756">
            <w:pPr>
              <w:spacing w:after="0" w:line="240" w:lineRule="auto"/>
              <w:ind w:left="57" w:right="57"/>
              <w:rPr>
                <w:b/>
                <w:color w:val="auto"/>
                <w:sz w:val="20"/>
                <w:szCs w:val="20"/>
                <w:u w:val="single"/>
              </w:rPr>
            </w:pPr>
            <w:r w:rsidRPr="00E47756">
              <w:rPr>
                <w:b/>
                <w:sz w:val="20"/>
                <w:szCs w:val="20"/>
                <w:u w:val="single"/>
              </w:rPr>
              <w:t>Vysoká priorita</w:t>
            </w:r>
            <w:r w:rsidRPr="00E47756">
              <w:rPr>
                <w:sz w:val="20"/>
              </w:rPr>
              <w:t xml:space="preserve"> – </w:t>
            </w:r>
            <w:r w:rsidRPr="00E47756">
              <w:rPr>
                <w:sz w:val="20"/>
                <w:szCs w:val="20"/>
              </w:rPr>
              <w:t>Posledné štádium legislatívneho procesu. Dňa 11.12. 2020 bola dosiahnutá politická dohoda. Následne bude text podliehať jazykovým korektúram pred samotným schválením</w:t>
            </w:r>
            <w:r w:rsidRPr="00E47756">
              <w:rPr>
                <w:sz w:val="23"/>
                <w:szCs w:val="23"/>
              </w:rPr>
              <w:t xml:space="preserve">.    </w:t>
            </w:r>
          </w:p>
        </w:tc>
      </w:tr>
      <w:tr w:rsidR="00E47756" w:rsidRPr="00E47756" w14:paraId="12A507E9" w14:textId="77777777" w:rsidTr="001A4016">
        <w:tblPrEx>
          <w:tblCellMar>
            <w:top w:w="34" w:type="dxa"/>
          </w:tblCellMar>
        </w:tblPrEx>
        <w:trPr>
          <w:trHeight w:val="768"/>
        </w:trPr>
        <w:tc>
          <w:tcPr>
            <w:tcW w:w="632" w:type="dxa"/>
            <w:tcBorders>
              <w:top w:val="single" w:sz="4" w:space="0" w:color="000000"/>
              <w:left w:val="single" w:sz="4" w:space="0" w:color="000000"/>
              <w:bottom w:val="single" w:sz="4" w:space="0" w:color="auto"/>
              <w:right w:val="single" w:sz="4" w:space="0" w:color="000000"/>
            </w:tcBorders>
          </w:tcPr>
          <w:p w14:paraId="5F91BDE3" w14:textId="77777777" w:rsidR="00E47756" w:rsidRPr="00E47756" w:rsidRDefault="00E47756" w:rsidP="00E47756">
            <w:pPr>
              <w:spacing w:after="0" w:line="240" w:lineRule="auto"/>
              <w:ind w:left="67"/>
              <w:jc w:val="center"/>
            </w:pPr>
            <w:r w:rsidRPr="00E47756">
              <w:rPr>
                <w:sz w:val="20"/>
              </w:rPr>
              <w:t>13.</w:t>
            </w:r>
          </w:p>
        </w:tc>
        <w:tc>
          <w:tcPr>
            <w:tcW w:w="6193" w:type="dxa"/>
            <w:gridSpan w:val="2"/>
            <w:tcBorders>
              <w:top w:val="single" w:sz="4" w:space="0" w:color="000000"/>
              <w:left w:val="single" w:sz="4" w:space="0" w:color="000000"/>
              <w:bottom w:val="single" w:sz="4" w:space="0" w:color="auto"/>
              <w:right w:val="single" w:sz="4" w:space="0" w:color="000000"/>
            </w:tcBorders>
          </w:tcPr>
          <w:p w14:paraId="752EA3C6" w14:textId="77777777" w:rsidR="00E47756" w:rsidRPr="00E47756" w:rsidRDefault="00E47756" w:rsidP="00E47756">
            <w:pPr>
              <w:spacing w:after="0" w:line="240" w:lineRule="auto"/>
              <w:ind w:left="57" w:right="57"/>
            </w:pPr>
            <w:r w:rsidRPr="00E47756">
              <w:rPr>
                <w:sz w:val="20"/>
              </w:rPr>
              <w:t xml:space="preserve">návrh NARIADENIE EURÓPSKEHO PARLAMENTU A RADY o rešpektovaní súkromného života a ochrane osobných údajov v elektronických komunikáciách a o zrušení smernice 2002/58/ES (smernica o súkromí a elektronických komunikáciách) </w:t>
            </w:r>
          </w:p>
        </w:tc>
        <w:tc>
          <w:tcPr>
            <w:tcW w:w="1985" w:type="dxa"/>
            <w:tcBorders>
              <w:top w:val="single" w:sz="4" w:space="0" w:color="000000"/>
              <w:left w:val="single" w:sz="4" w:space="0" w:color="000000"/>
              <w:bottom w:val="single" w:sz="4" w:space="0" w:color="auto"/>
              <w:right w:val="single" w:sz="4" w:space="0" w:color="000000"/>
            </w:tcBorders>
          </w:tcPr>
          <w:p w14:paraId="194DDBDE" w14:textId="77777777" w:rsidR="00E47756" w:rsidRPr="00E47756" w:rsidRDefault="00E47756" w:rsidP="00E47756">
            <w:pPr>
              <w:spacing w:after="0" w:line="240" w:lineRule="auto"/>
              <w:ind w:left="57" w:right="57"/>
            </w:pPr>
            <w:r w:rsidRPr="00E47756">
              <w:rPr>
                <w:sz w:val="20"/>
              </w:rPr>
              <w:t xml:space="preserve">COM(2017) 10 </w:t>
            </w:r>
            <w:proofErr w:type="spellStart"/>
            <w:r w:rsidRPr="00E47756">
              <w:rPr>
                <w:sz w:val="20"/>
              </w:rPr>
              <w:t>final</w:t>
            </w:r>
            <w:proofErr w:type="spellEnd"/>
            <w:r w:rsidRPr="00E47756">
              <w:t xml:space="preserve"> </w:t>
            </w:r>
          </w:p>
          <w:p w14:paraId="5AF88DB7" w14:textId="77777777" w:rsidR="00E47756" w:rsidRPr="00E47756" w:rsidRDefault="00E47756" w:rsidP="00E47756">
            <w:pPr>
              <w:spacing w:after="0" w:line="240" w:lineRule="auto"/>
              <w:ind w:left="57" w:right="57"/>
            </w:pPr>
            <w:r w:rsidRPr="00E47756">
              <w:rPr>
                <w:sz w:val="20"/>
              </w:rPr>
              <w:t>2017/0003 (COD)</w:t>
            </w:r>
            <w:r w:rsidRPr="00E47756">
              <w:t xml:space="preserve"> </w:t>
            </w:r>
          </w:p>
          <w:p w14:paraId="0C619CEB" w14:textId="77777777" w:rsidR="00E47756" w:rsidRPr="00E47756" w:rsidRDefault="00E47756" w:rsidP="00E47756">
            <w:pPr>
              <w:spacing w:after="0" w:line="240" w:lineRule="auto"/>
              <w:ind w:left="57" w:right="57"/>
            </w:pPr>
            <w:r w:rsidRPr="00E47756">
              <w:rPr>
                <w:sz w:val="20"/>
              </w:rPr>
              <w:t xml:space="preserve">10. 1. 2017 </w:t>
            </w:r>
          </w:p>
        </w:tc>
        <w:tc>
          <w:tcPr>
            <w:tcW w:w="1701" w:type="dxa"/>
            <w:tcBorders>
              <w:top w:val="single" w:sz="4" w:space="0" w:color="000000"/>
              <w:left w:val="single" w:sz="4" w:space="0" w:color="000000"/>
              <w:bottom w:val="single" w:sz="4" w:space="0" w:color="auto"/>
              <w:right w:val="single" w:sz="4" w:space="0" w:color="000000"/>
            </w:tcBorders>
          </w:tcPr>
          <w:p w14:paraId="17CDAB61" w14:textId="77777777" w:rsidR="00E47756" w:rsidRPr="00E47756" w:rsidRDefault="00E47756" w:rsidP="00E47756">
            <w:pPr>
              <w:spacing w:after="0" w:line="240" w:lineRule="auto"/>
              <w:ind w:left="57" w:right="57"/>
              <w:jc w:val="center"/>
              <w:rPr>
                <w:b/>
                <w:sz w:val="20"/>
              </w:rPr>
            </w:pPr>
            <w:r w:rsidRPr="00E47756">
              <w:rPr>
                <w:b/>
                <w:sz w:val="20"/>
              </w:rPr>
              <w:t xml:space="preserve">ÚOOÚ SR </w:t>
            </w:r>
          </w:p>
          <w:p w14:paraId="48347112" w14:textId="77777777" w:rsidR="00E47756" w:rsidRPr="00E47756" w:rsidRDefault="00E47756" w:rsidP="00E47756">
            <w:pPr>
              <w:spacing w:after="0" w:line="240" w:lineRule="auto"/>
              <w:ind w:left="57" w:right="57"/>
              <w:jc w:val="center"/>
              <w:rPr>
                <w:b/>
                <w:sz w:val="20"/>
              </w:rPr>
            </w:pPr>
            <w:r w:rsidRPr="00E47756">
              <w:rPr>
                <w:b/>
                <w:sz w:val="20"/>
              </w:rPr>
              <w:t>MDV SR</w:t>
            </w:r>
          </w:p>
          <w:p w14:paraId="1EE2884C" w14:textId="77777777" w:rsidR="00E47756" w:rsidRPr="00E47756" w:rsidRDefault="00E47756" w:rsidP="00E47756">
            <w:pPr>
              <w:spacing w:after="0" w:line="240" w:lineRule="auto"/>
              <w:ind w:left="57" w:right="57"/>
              <w:jc w:val="center"/>
              <w:rPr>
                <w:b/>
                <w:sz w:val="20"/>
              </w:rPr>
            </w:pPr>
          </w:p>
          <w:p w14:paraId="73938D65" w14:textId="77777777" w:rsidR="00E47756" w:rsidRPr="00E47756" w:rsidRDefault="00E47756" w:rsidP="00E47756">
            <w:pPr>
              <w:spacing w:after="0" w:line="240" w:lineRule="auto"/>
              <w:ind w:left="57" w:right="57"/>
              <w:jc w:val="center"/>
              <w:rPr>
                <w:b/>
                <w:sz w:val="20"/>
              </w:rPr>
            </w:pPr>
          </w:p>
          <w:p w14:paraId="7EA447F6" w14:textId="77777777" w:rsidR="00E47756" w:rsidRPr="00E47756" w:rsidRDefault="00E47756" w:rsidP="00E47756">
            <w:pPr>
              <w:spacing w:after="0" w:line="240" w:lineRule="auto"/>
              <w:ind w:left="57" w:right="57"/>
              <w:jc w:val="center"/>
              <w:rPr>
                <w:b/>
                <w:sz w:val="20"/>
              </w:rPr>
            </w:pPr>
          </w:p>
          <w:p w14:paraId="7F699456" w14:textId="77777777" w:rsidR="00E47756" w:rsidRPr="00E47756" w:rsidRDefault="00E47756" w:rsidP="00E47756">
            <w:pPr>
              <w:spacing w:after="0" w:line="240" w:lineRule="auto"/>
              <w:ind w:left="57" w:right="57"/>
              <w:jc w:val="center"/>
              <w:rPr>
                <w:b/>
                <w:sz w:val="20"/>
              </w:rPr>
            </w:pPr>
          </w:p>
          <w:p w14:paraId="106C9DB5" w14:textId="77777777" w:rsidR="00E47756" w:rsidRPr="00E47756" w:rsidRDefault="00E47756" w:rsidP="00E47756">
            <w:pPr>
              <w:spacing w:after="0" w:line="240" w:lineRule="auto"/>
              <w:ind w:left="57" w:right="57"/>
              <w:jc w:val="center"/>
              <w:rPr>
                <w:b/>
                <w:sz w:val="20"/>
              </w:rPr>
            </w:pPr>
          </w:p>
          <w:p w14:paraId="31EAE2F9" w14:textId="77777777" w:rsidR="00E47756" w:rsidRPr="00E47756" w:rsidRDefault="00E47756" w:rsidP="00E47756">
            <w:pPr>
              <w:spacing w:after="0" w:line="240" w:lineRule="auto"/>
              <w:ind w:left="57" w:right="57"/>
              <w:jc w:val="center"/>
              <w:rPr>
                <w:b/>
                <w:sz w:val="20"/>
              </w:rPr>
            </w:pPr>
          </w:p>
          <w:p w14:paraId="1B124978" w14:textId="77777777" w:rsidR="00E47756" w:rsidRPr="00E47756" w:rsidRDefault="00E47756" w:rsidP="00E47756">
            <w:pPr>
              <w:spacing w:after="0" w:line="240" w:lineRule="auto"/>
              <w:ind w:left="57" w:right="57"/>
              <w:jc w:val="center"/>
              <w:rPr>
                <w:b/>
                <w:sz w:val="20"/>
              </w:rPr>
            </w:pPr>
          </w:p>
          <w:p w14:paraId="2799405C" w14:textId="77777777" w:rsidR="00E47756" w:rsidRPr="00E47756" w:rsidRDefault="00E47756" w:rsidP="00E47756">
            <w:pPr>
              <w:spacing w:after="0" w:line="240" w:lineRule="auto"/>
              <w:ind w:left="57" w:right="57"/>
              <w:jc w:val="center"/>
              <w:rPr>
                <w:b/>
                <w:sz w:val="20"/>
              </w:rPr>
            </w:pPr>
          </w:p>
          <w:p w14:paraId="3D46D300" w14:textId="77777777" w:rsidR="00E47756" w:rsidRPr="00E47756" w:rsidRDefault="00E47756" w:rsidP="00E47756">
            <w:pPr>
              <w:spacing w:after="0" w:line="240" w:lineRule="auto"/>
              <w:ind w:left="57" w:right="57"/>
              <w:rPr>
                <w:b/>
                <w:sz w:val="20"/>
              </w:rPr>
            </w:pPr>
          </w:p>
          <w:p w14:paraId="61198F13" w14:textId="77777777" w:rsidR="00E47756" w:rsidRPr="00E47756" w:rsidRDefault="00E47756" w:rsidP="00E47756">
            <w:pPr>
              <w:spacing w:after="0" w:line="240" w:lineRule="auto"/>
              <w:ind w:left="57" w:right="57"/>
              <w:jc w:val="center"/>
              <w:rPr>
                <w:b/>
                <w:sz w:val="20"/>
              </w:rPr>
            </w:pPr>
          </w:p>
        </w:tc>
        <w:tc>
          <w:tcPr>
            <w:tcW w:w="4111" w:type="dxa"/>
            <w:tcBorders>
              <w:top w:val="single" w:sz="4" w:space="0" w:color="000000"/>
              <w:left w:val="single" w:sz="4" w:space="0" w:color="000000"/>
              <w:bottom w:val="single" w:sz="4" w:space="0" w:color="auto"/>
              <w:right w:val="single" w:sz="4" w:space="0" w:color="000000"/>
            </w:tcBorders>
          </w:tcPr>
          <w:p w14:paraId="2C92B135" w14:textId="77777777" w:rsidR="00A41E9A" w:rsidRPr="00E47756" w:rsidRDefault="00E47756" w:rsidP="00A41E9A">
            <w:pPr>
              <w:spacing w:after="0" w:line="240" w:lineRule="auto"/>
              <w:ind w:left="57" w:right="57"/>
              <w:rPr>
                <w:sz w:val="20"/>
                <w:szCs w:val="20"/>
              </w:rPr>
            </w:pPr>
            <w:r w:rsidRPr="00E47756">
              <w:rPr>
                <w:b/>
                <w:bCs/>
                <w:sz w:val="20"/>
                <w:szCs w:val="20"/>
                <w:u w:val="single"/>
              </w:rPr>
              <w:t>Vysoká priorita</w:t>
            </w:r>
            <w:r w:rsidRPr="00E47756">
              <w:rPr>
                <w:sz w:val="20"/>
              </w:rPr>
              <w:t xml:space="preserve"> – </w:t>
            </w:r>
            <w:r w:rsidRPr="00E47756">
              <w:rPr>
                <w:sz w:val="20"/>
                <w:szCs w:val="20"/>
              </w:rPr>
              <w:t xml:space="preserve">SR považuje za dôležité zabezpečiť vysokú úroveň ochrany súkromia v elektronických komunikáciách a ich prepojenie s už platnými pravidlami o ochrane osobných údajov. SR má stále výhrady k niektorým aspektom nariadenia (k spolupráci medzi orgánmi dohľadu; ku kompatibilnému spracúvaniu </w:t>
            </w:r>
            <w:proofErr w:type="spellStart"/>
            <w:r w:rsidRPr="00E47756">
              <w:rPr>
                <w:sz w:val="20"/>
                <w:szCs w:val="20"/>
              </w:rPr>
              <w:t>metaúdajov</w:t>
            </w:r>
            <w:proofErr w:type="spellEnd"/>
            <w:r w:rsidRPr="00E47756">
              <w:rPr>
                <w:sz w:val="20"/>
                <w:szCs w:val="20"/>
              </w:rPr>
              <w:t xml:space="preserve"> elektronických komunikácií na ďalšie použitie; nedostatočnej úprave tzv. </w:t>
            </w:r>
            <w:proofErr w:type="spellStart"/>
            <w:r w:rsidRPr="00E47756">
              <w:rPr>
                <w:sz w:val="20"/>
                <w:szCs w:val="20"/>
              </w:rPr>
              <w:t>cookies</w:t>
            </w:r>
            <w:proofErr w:type="spellEnd"/>
            <w:r w:rsidRPr="00E47756">
              <w:rPr>
                <w:sz w:val="20"/>
                <w:szCs w:val="20"/>
              </w:rPr>
              <w:t xml:space="preserve"> a </w:t>
            </w:r>
            <w:proofErr w:type="spellStart"/>
            <w:r w:rsidRPr="00E47756">
              <w:rPr>
                <w:sz w:val="20"/>
                <w:szCs w:val="20"/>
              </w:rPr>
              <w:t>cookies</w:t>
            </w:r>
            <w:proofErr w:type="spellEnd"/>
            <w:r w:rsidRPr="00E47756">
              <w:rPr>
                <w:sz w:val="20"/>
                <w:szCs w:val="20"/>
              </w:rPr>
              <w:t xml:space="preserve"> </w:t>
            </w:r>
            <w:proofErr w:type="spellStart"/>
            <w:r w:rsidRPr="00E47756">
              <w:rPr>
                <w:sz w:val="20"/>
                <w:szCs w:val="20"/>
              </w:rPr>
              <w:t>walls</w:t>
            </w:r>
            <w:proofErr w:type="spellEnd"/>
            <w:r w:rsidRPr="00E47756">
              <w:rPr>
                <w:sz w:val="20"/>
                <w:szCs w:val="20"/>
              </w:rPr>
              <w:t>; k všeobecným výnimkám napriek širokému zákazu spracovania elektronických komunikačných údajov).</w:t>
            </w:r>
          </w:p>
        </w:tc>
      </w:tr>
      <w:tr w:rsidR="00E47756" w:rsidRPr="00E47756" w14:paraId="7D18EA96" w14:textId="77777777" w:rsidTr="001A4016">
        <w:tblPrEx>
          <w:tblCellMar>
            <w:top w:w="34" w:type="dxa"/>
          </w:tblCellMar>
        </w:tblPrEx>
        <w:trPr>
          <w:trHeight w:val="620"/>
        </w:trPr>
        <w:tc>
          <w:tcPr>
            <w:tcW w:w="8810" w:type="dxa"/>
            <w:gridSpan w:val="4"/>
            <w:tcBorders>
              <w:top w:val="single" w:sz="4" w:space="0" w:color="auto"/>
              <w:left w:val="single" w:sz="4" w:space="0" w:color="auto"/>
              <w:bottom w:val="single" w:sz="4" w:space="0" w:color="auto"/>
              <w:right w:val="single" w:sz="4" w:space="0" w:color="000000"/>
            </w:tcBorders>
            <w:shd w:val="clear" w:color="auto" w:fill="F68A42"/>
          </w:tcPr>
          <w:p w14:paraId="602D3E53" w14:textId="77777777" w:rsidR="00E47756" w:rsidRPr="00E47756" w:rsidRDefault="00E47756" w:rsidP="00E47756">
            <w:pPr>
              <w:spacing w:after="0"/>
            </w:pPr>
            <w:r w:rsidRPr="00E47756">
              <w:rPr>
                <w:b/>
                <w:color w:val="FFFFFF"/>
                <w:sz w:val="20"/>
              </w:rPr>
              <w:lastRenderedPageBreak/>
              <w:t>Hospodárstvo, ktoré pracuje v prospech ľudí</w:t>
            </w:r>
            <w:r w:rsidRPr="00E47756">
              <w:rPr>
                <w:sz w:val="20"/>
              </w:rPr>
              <w:t xml:space="preserve"> </w:t>
            </w:r>
          </w:p>
        </w:tc>
        <w:tc>
          <w:tcPr>
            <w:tcW w:w="1701" w:type="dxa"/>
            <w:tcBorders>
              <w:top w:val="single" w:sz="4" w:space="0" w:color="auto"/>
              <w:left w:val="single" w:sz="4" w:space="0" w:color="000000"/>
              <w:bottom w:val="single" w:sz="4" w:space="0" w:color="auto"/>
              <w:right w:val="single" w:sz="4" w:space="0" w:color="000000"/>
            </w:tcBorders>
            <w:shd w:val="clear" w:color="auto" w:fill="F68A42"/>
          </w:tcPr>
          <w:p w14:paraId="42BCD756" w14:textId="77777777" w:rsidR="00E47756" w:rsidRPr="00E47756" w:rsidRDefault="00E47756" w:rsidP="00E47756">
            <w:pPr>
              <w:spacing w:after="0"/>
              <w:rPr>
                <w:b/>
                <w:color w:val="FFFFFF"/>
                <w:sz w:val="20"/>
              </w:rPr>
            </w:pPr>
          </w:p>
        </w:tc>
        <w:tc>
          <w:tcPr>
            <w:tcW w:w="4111" w:type="dxa"/>
            <w:tcBorders>
              <w:top w:val="single" w:sz="4" w:space="0" w:color="auto"/>
              <w:left w:val="single" w:sz="4" w:space="0" w:color="000000"/>
              <w:bottom w:val="single" w:sz="4" w:space="0" w:color="auto"/>
              <w:right w:val="single" w:sz="4" w:space="0" w:color="auto"/>
            </w:tcBorders>
            <w:shd w:val="clear" w:color="auto" w:fill="F68A42"/>
          </w:tcPr>
          <w:p w14:paraId="619DC845" w14:textId="77777777" w:rsidR="00E47756" w:rsidRPr="00E47756" w:rsidRDefault="00E47756" w:rsidP="00E47756">
            <w:pPr>
              <w:spacing w:after="0"/>
              <w:rPr>
                <w:b/>
                <w:color w:val="FFFFFF"/>
                <w:sz w:val="20"/>
              </w:rPr>
            </w:pPr>
          </w:p>
        </w:tc>
      </w:tr>
      <w:tr w:rsidR="00E47756" w:rsidRPr="00E47756" w14:paraId="0B65F5AB" w14:textId="77777777" w:rsidTr="001A4016">
        <w:tblPrEx>
          <w:tblCellMar>
            <w:top w:w="34" w:type="dxa"/>
          </w:tblCellMar>
        </w:tblPrEx>
        <w:trPr>
          <w:trHeight w:val="769"/>
        </w:trPr>
        <w:tc>
          <w:tcPr>
            <w:tcW w:w="632" w:type="dxa"/>
            <w:tcBorders>
              <w:top w:val="single" w:sz="4" w:space="0" w:color="auto"/>
              <w:left w:val="single" w:sz="4" w:space="0" w:color="000000"/>
              <w:bottom w:val="single" w:sz="4" w:space="0" w:color="000000"/>
              <w:right w:val="single" w:sz="4" w:space="0" w:color="000000"/>
            </w:tcBorders>
          </w:tcPr>
          <w:p w14:paraId="3FEC6F6F" w14:textId="77777777" w:rsidR="00E47756" w:rsidRPr="00E47756" w:rsidRDefault="00E47756" w:rsidP="00E47756">
            <w:pPr>
              <w:spacing w:after="0" w:line="240" w:lineRule="auto"/>
              <w:ind w:left="67"/>
              <w:jc w:val="center"/>
            </w:pPr>
            <w:r w:rsidRPr="00E47756">
              <w:rPr>
                <w:sz w:val="20"/>
              </w:rPr>
              <w:t>14.</w:t>
            </w:r>
          </w:p>
        </w:tc>
        <w:tc>
          <w:tcPr>
            <w:tcW w:w="6193" w:type="dxa"/>
            <w:gridSpan w:val="2"/>
            <w:tcBorders>
              <w:top w:val="single" w:sz="4" w:space="0" w:color="auto"/>
              <w:left w:val="single" w:sz="4" w:space="0" w:color="000000"/>
              <w:bottom w:val="single" w:sz="4" w:space="0" w:color="000000"/>
              <w:right w:val="single" w:sz="4" w:space="0" w:color="000000"/>
            </w:tcBorders>
          </w:tcPr>
          <w:p w14:paraId="6C7BC160" w14:textId="77777777" w:rsidR="00E47756" w:rsidRPr="00E47756" w:rsidRDefault="00E47756" w:rsidP="00E47756">
            <w:pPr>
              <w:spacing w:after="0" w:line="240" w:lineRule="auto"/>
              <w:ind w:left="57" w:right="57"/>
            </w:pPr>
            <w:r w:rsidRPr="00E47756">
              <w:rPr>
                <w:sz w:val="20"/>
              </w:rPr>
              <w:t xml:space="preserve">návrh NARIADENIE EURÓPSKEHO PARLAMENTU A RADY, ktorým sa mení nariadenie (EÚ) 2016/1011, pokiaľ ide o výnimku pre určité devízové referenčné hodnoty tretích krajín a o určenie náhradných referenčných hodnôt pre určité referenčné hodnoty, ktorých poskytovanie sa ukončuje </w:t>
            </w:r>
          </w:p>
        </w:tc>
        <w:tc>
          <w:tcPr>
            <w:tcW w:w="1985" w:type="dxa"/>
            <w:tcBorders>
              <w:top w:val="single" w:sz="4" w:space="0" w:color="auto"/>
              <w:left w:val="single" w:sz="4" w:space="0" w:color="000000"/>
              <w:bottom w:val="single" w:sz="4" w:space="0" w:color="000000"/>
              <w:right w:val="single" w:sz="4" w:space="0" w:color="000000"/>
            </w:tcBorders>
          </w:tcPr>
          <w:p w14:paraId="62B667B9" w14:textId="77777777" w:rsidR="00E47756" w:rsidRPr="00E47756" w:rsidRDefault="00E47756" w:rsidP="00E47756">
            <w:pPr>
              <w:spacing w:after="0" w:line="240" w:lineRule="auto"/>
              <w:ind w:left="57" w:right="57"/>
            </w:pPr>
            <w:r w:rsidRPr="00E47756">
              <w:rPr>
                <w:sz w:val="20"/>
              </w:rPr>
              <w:t xml:space="preserve">COM(2020) 337 </w:t>
            </w:r>
            <w:proofErr w:type="spellStart"/>
            <w:r w:rsidRPr="00E47756">
              <w:rPr>
                <w:sz w:val="20"/>
              </w:rPr>
              <w:t>final</w:t>
            </w:r>
            <w:proofErr w:type="spellEnd"/>
            <w:r w:rsidRPr="00E47756">
              <w:t xml:space="preserve"> </w:t>
            </w:r>
          </w:p>
          <w:p w14:paraId="0AB61B1F" w14:textId="77777777" w:rsidR="00E47756" w:rsidRPr="00E47756" w:rsidRDefault="00E47756" w:rsidP="00E47756">
            <w:pPr>
              <w:spacing w:after="0" w:line="240" w:lineRule="auto"/>
              <w:ind w:left="57" w:right="57"/>
            </w:pPr>
            <w:r w:rsidRPr="00E47756">
              <w:rPr>
                <w:sz w:val="20"/>
              </w:rPr>
              <w:t>2020/0154 (COD)</w:t>
            </w:r>
            <w:r w:rsidRPr="00E47756">
              <w:t xml:space="preserve"> </w:t>
            </w:r>
          </w:p>
          <w:p w14:paraId="073B31DB" w14:textId="77777777" w:rsidR="00E47756" w:rsidRPr="00E47756" w:rsidRDefault="00E47756" w:rsidP="00E47756">
            <w:pPr>
              <w:spacing w:after="0" w:line="240" w:lineRule="auto"/>
              <w:ind w:left="57" w:right="57"/>
            </w:pPr>
            <w:r w:rsidRPr="00E47756">
              <w:rPr>
                <w:sz w:val="20"/>
              </w:rPr>
              <w:t xml:space="preserve">24. 7. 2020 </w:t>
            </w:r>
          </w:p>
        </w:tc>
        <w:tc>
          <w:tcPr>
            <w:tcW w:w="1701" w:type="dxa"/>
            <w:tcBorders>
              <w:top w:val="single" w:sz="4" w:space="0" w:color="auto"/>
              <w:left w:val="single" w:sz="4" w:space="0" w:color="000000"/>
              <w:bottom w:val="single" w:sz="4" w:space="0" w:color="000000"/>
              <w:right w:val="single" w:sz="4" w:space="0" w:color="000000"/>
            </w:tcBorders>
          </w:tcPr>
          <w:p w14:paraId="04F45DE0" w14:textId="77777777" w:rsidR="00E47756" w:rsidRPr="00E47756" w:rsidRDefault="00E47756" w:rsidP="00E47756">
            <w:pPr>
              <w:spacing w:after="0" w:line="240" w:lineRule="auto"/>
              <w:ind w:left="57" w:right="57"/>
              <w:jc w:val="center"/>
              <w:rPr>
                <w:b/>
                <w:sz w:val="20"/>
              </w:rPr>
            </w:pPr>
            <w:r w:rsidRPr="00E47756">
              <w:rPr>
                <w:b/>
                <w:sz w:val="20"/>
              </w:rPr>
              <w:t>MF SR</w:t>
            </w:r>
          </w:p>
        </w:tc>
        <w:tc>
          <w:tcPr>
            <w:tcW w:w="4111" w:type="dxa"/>
            <w:tcBorders>
              <w:top w:val="single" w:sz="4" w:space="0" w:color="auto"/>
              <w:left w:val="single" w:sz="4" w:space="0" w:color="000000"/>
              <w:bottom w:val="single" w:sz="4" w:space="0" w:color="000000"/>
              <w:right w:val="single" w:sz="4" w:space="0" w:color="000000"/>
            </w:tcBorders>
          </w:tcPr>
          <w:p w14:paraId="2DC22082" w14:textId="77777777" w:rsidR="00E47756" w:rsidRPr="00653E13" w:rsidRDefault="00E47756" w:rsidP="00653E13">
            <w:pPr>
              <w:spacing w:after="0" w:line="240" w:lineRule="auto"/>
              <w:ind w:left="57" w:right="57"/>
              <w:rPr>
                <w:sz w:val="20"/>
              </w:rPr>
            </w:pPr>
            <w:r w:rsidRPr="00E47756">
              <w:rPr>
                <w:b/>
                <w:bCs/>
                <w:sz w:val="20"/>
                <w:szCs w:val="20"/>
                <w:u w:val="single"/>
              </w:rPr>
              <w:t>Nízka priorita</w:t>
            </w:r>
            <w:r w:rsidRPr="00E47756">
              <w:rPr>
                <w:sz w:val="20"/>
              </w:rPr>
              <w:t xml:space="preserve"> – SR vo všeobecnosti podporuje návrh nariadenia a jeho ciele, ktorými sú znížiť právnu neistotu a riziká pre finančnú stabilitu a zachovanie prístupu európskych spoločností k </w:t>
            </w:r>
            <w:proofErr w:type="spellStart"/>
            <w:r w:rsidRPr="00E47756">
              <w:rPr>
                <w:sz w:val="20"/>
              </w:rPr>
              <w:t>hedžingovým</w:t>
            </w:r>
            <w:proofErr w:type="spellEnd"/>
            <w:r w:rsidRPr="00E47756">
              <w:rPr>
                <w:sz w:val="20"/>
              </w:rPr>
              <w:t xml:space="preserve"> nástrojom proti </w:t>
            </w:r>
            <w:proofErr w:type="spellStart"/>
            <w:r w:rsidRPr="00E47756">
              <w:rPr>
                <w:sz w:val="20"/>
              </w:rPr>
              <w:t>volatilite</w:t>
            </w:r>
            <w:proofErr w:type="spellEnd"/>
            <w:r w:rsidRPr="00E47756">
              <w:rPr>
                <w:sz w:val="20"/>
              </w:rPr>
              <w:t xml:space="preserve"> mien, ktoré nie sú voľne konvertibilné na ich základnú menu, čím sa zabezpečí plynulé pokračovanie ich obchodných činností v zahraniční po uplynutí prechodného obdobia na konci roka 2021.</w:t>
            </w:r>
          </w:p>
        </w:tc>
      </w:tr>
      <w:tr w:rsidR="00E47756" w:rsidRPr="00E47756" w14:paraId="01501E28" w14:textId="77777777" w:rsidTr="001A4016">
        <w:tblPrEx>
          <w:tblCellMar>
            <w:top w:w="34" w:type="dxa"/>
          </w:tblCellMar>
        </w:tblPrEx>
        <w:trPr>
          <w:trHeight w:val="756"/>
        </w:trPr>
        <w:tc>
          <w:tcPr>
            <w:tcW w:w="632" w:type="dxa"/>
            <w:tcBorders>
              <w:top w:val="single" w:sz="4" w:space="0" w:color="000000"/>
              <w:left w:val="single" w:sz="4" w:space="0" w:color="000000"/>
              <w:bottom w:val="single" w:sz="4" w:space="0" w:color="000000"/>
              <w:right w:val="single" w:sz="4" w:space="0" w:color="000000"/>
            </w:tcBorders>
          </w:tcPr>
          <w:p w14:paraId="618E5DD0" w14:textId="77777777" w:rsidR="00E47756" w:rsidRPr="00E47756" w:rsidRDefault="00E47756" w:rsidP="00E47756">
            <w:pPr>
              <w:spacing w:after="0" w:line="240" w:lineRule="auto"/>
              <w:ind w:left="67"/>
              <w:jc w:val="center"/>
            </w:pPr>
            <w:r w:rsidRPr="00E47756">
              <w:rPr>
                <w:sz w:val="20"/>
              </w:rPr>
              <w:t>15.</w:t>
            </w:r>
          </w:p>
        </w:tc>
        <w:tc>
          <w:tcPr>
            <w:tcW w:w="6193" w:type="dxa"/>
            <w:gridSpan w:val="2"/>
            <w:tcBorders>
              <w:top w:val="single" w:sz="4" w:space="0" w:color="000000"/>
              <w:left w:val="single" w:sz="4" w:space="0" w:color="000000"/>
              <w:bottom w:val="single" w:sz="4" w:space="0" w:color="000000"/>
              <w:right w:val="single" w:sz="4" w:space="0" w:color="000000"/>
            </w:tcBorders>
          </w:tcPr>
          <w:p w14:paraId="2DB1D359" w14:textId="77777777" w:rsidR="00E47756" w:rsidRPr="00E47756" w:rsidRDefault="00E47756" w:rsidP="00E47756">
            <w:pPr>
              <w:spacing w:after="0" w:line="240" w:lineRule="auto"/>
              <w:ind w:left="57" w:right="57"/>
            </w:pPr>
            <w:r w:rsidRPr="00E47756">
              <w:rPr>
                <w:sz w:val="20"/>
              </w:rPr>
              <w:t xml:space="preserve">návrh SMERNICA RADY, ktorou sa mení smernica 2011/16/EÚ o administratívnej spolupráci v oblasti daní </w:t>
            </w:r>
          </w:p>
        </w:tc>
        <w:tc>
          <w:tcPr>
            <w:tcW w:w="1985" w:type="dxa"/>
            <w:tcBorders>
              <w:top w:val="single" w:sz="4" w:space="0" w:color="000000"/>
              <w:left w:val="single" w:sz="4" w:space="0" w:color="000000"/>
              <w:bottom w:val="single" w:sz="4" w:space="0" w:color="000000"/>
              <w:right w:val="single" w:sz="4" w:space="0" w:color="000000"/>
            </w:tcBorders>
          </w:tcPr>
          <w:p w14:paraId="1A05CE8F" w14:textId="77777777" w:rsidR="00E47756" w:rsidRPr="00E47756" w:rsidRDefault="00E47756" w:rsidP="00E47756">
            <w:pPr>
              <w:spacing w:after="0" w:line="240" w:lineRule="auto"/>
              <w:ind w:left="57" w:right="57"/>
            </w:pPr>
            <w:r w:rsidRPr="00E47756">
              <w:rPr>
                <w:sz w:val="20"/>
              </w:rPr>
              <w:t xml:space="preserve">COM(2020) 314 </w:t>
            </w:r>
            <w:proofErr w:type="spellStart"/>
            <w:r w:rsidRPr="00E47756">
              <w:rPr>
                <w:sz w:val="20"/>
              </w:rPr>
              <w:t>final</w:t>
            </w:r>
            <w:proofErr w:type="spellEnd"/>
            <w:r w:rsidRPr="00E47756">
              <w:t xml:space="preserve"> </w:t>
            </w:r>
          </w:p>
          <w:p w14:paraId="6BD1F387" w14:textId="77777777" w:rsidR="00E47756" w:rsidRPr="00E47756" w:rsidRDefault="00E47756" w:rsidP="00E47756">
            <w:pPr>
              <w:spacing w:after="0" w:line="240" w:lineRule="auto"/>
              <w:ind w:left="57" w:right="57"/>
            </w:pPr>
            <w:r w:rsidRPr="00E47756">
              <w:rPr>
                <w:sz w:val="20"/>
              </w:rPr>
              <w:t>2020/0148 (CNS)</w:t>
            </w:r>
            <w:r w:rsidRPr="00E47756">
              <w:t xml:space="preserve"> </w:t>
            </w:r>
          </w:p>
          <w:p w14:paraId="707868FE" w14:textId="77777777" w:rsidR="00E47756" w:rsidRPr="00E47756" w:rsidRDefault="00E47756" w:rsidP="00E47756">
            <w:pPr>
              <w:spacing w:after="0" w:line="240" w:lineRule="auto"/>
              <w:ind w:left="57" w:right="57"/>
            </w:pPr>
            <w:r w:rsidRPr="00E47756">
              <w:rPr>
                <w:sz w:val="20"/>
              </w:rPr>
              <w:t xml:space="preserve">15. 7. 2020 </w:t>
            </w:r>
          </w:p>
        </w:tc>
        <w:tc>
          <w:tcPr>
            <w:tcW w:w="1701" w:type="dxa"/>
            <w:tcBorders>
              <w:top w:val="single" w:sz="4" w:space="0" w:color="000000"/>
              <w:left w:val="single" w:sz="4" w:space="0" w:color="000000"/>
              <w:bottom w:val="single" w:sz="4" w:space="0" w:color="000000"/>
              <w:right w:val="single" w:sz="4" w:space="0" w:color="000000"/>
            </w:tcBorders>
          </w:tcPr>
          <w:p w14:paraId="5660C84A" w14:textId="77777777" w:rsidR="00E47756" w:rsidRPr="00E47756" w:rsidRDefault="00E47756" w:rsidP="00E47756">
            <w:pPr>
              <w:spacing w:after="0" w:line="240" w:lineRule="auto"/>
              <w:ind w:left="57" w:right="57"/>
              <w:jc w:val="center"/>
              <w:rPr>
                <w:b/>
                <w:sz w:val="20"/>
              </w:rPr>
            </w:pPr>
            <w:r w:rsidRPr="00E47756">
              <w:rPr>
                <w:b/>
                <w:sz w:val="20"/>
              </w:rPr>
              <w:t>MF SR</w:t>
            </w:r>
          </w:p>
        </w:tc>
        <w:tc>
          <w:tcPr>
            <w:tcW w:w="4111" w:type="dxa"/>
            <w:tcBorders>
              <w:top w:val="single" w:sz="4" w:space="0" w:color="000000"/>
              <w:left w:val="single" w:sz="4" w:space="0" w:color="000000"/>
              <w:bottom w:val="single" w:sz="4" w:space="0" w:color="000000"/>
              <w:right w:val="single" w:sz="4" w:space="0" w:color="000000"/>
            </w:tcBorders>
          </w:tcPr>
          <w:p w14:paraId="59F0AE00" w14:textId="37A2369A" w:rsidR="00E47756" w:rsidRPr="00653E13" w:rsidRDefault="00E47756" w:rsidP="00653E13">
            <w:pPr>
              <w:spacing w:after="0" w:line="240" w:lineRule="auto"/>
              <w:ind w:left="57" w:right="57"/>
              <w:rPr>
                <w:sz w:val="20"/>
              </w:rPr>
            </w:pPr>
            <w:r w:rsidRPr="00E47756">
              <w:rPr>
                <w:b/>
                <w:bCs/>
                <w:sz w:val="20"/>
                <w:szCs w:val="20"/>
                <w:u w:val="single"/>
              </w:rPr>
              <w:t>Vysoká priorita</w:t>
            </w:r>
            <w:r w:rsidRPr="00E47756">
              <w:rPr>
                <w:sz w:val="20"/>
              </w:rPr>
              <w:t xml:space="preserve"> – Na za</w:t>
            </w:r>
            <w:r w:rsidR="000E4458">
              <w:rPr>
                <w:sz w:val="20"/>
              </w:rPr>
              <w:t>sa</w:t>
            </w:r>
            <w:r w:rsidRPr="00E47756">
              <w:rPr>
                <w:sz w:val="20"/>
              </w:rPr>
              <w:t xml:space="preserve">daní ministerskej Rady </w:t>
            </w:r>
            <w:proofErr w:type="spellStart"/>
            <w:r w:rsidRPr="00E47756">
              <w:rPr>
                <w:sz w:val="20"/>
              </w:rPr>
              <w:t>Ecofin</w:t>
            </w:r>
            <w:proofErr w:type="spellEnd"/>
            <w:r w:rsidRPr="00E47756">
              <w:rPr>
                <w:sz w:val="20"/>
              </w:rPr>
              <w:t xml:space="preserve"> 1.12.2020 bol prijatý všeobecný prístup (</w:t>
            </w:r>
            <w:proofErr w:type="spellStart"/>
            <w:r w:rsidRPr="00E47756">
              <w:rPr>
                <w:sz w:val="20"/>
              </w:rPr>
              <w:t>general</w:t>
            </w:r>
            <w:proofErr w:type="spellEnd"/>
            <w:r w:rsidRPr="00E47756">
              <w:rPr>
                <w:sz w:val="20"/>
              </w:rPr>
              <w:t xml:space="preserve"> </w:t>
            </w:r>
            <w:proofErr w:type="spellStart"/>
            <w:r w:rsidRPr="00E47756">
              <w:rPr>
                <w:sz w:val="20"/>
              </w:rPr>
              <w:t>approach</w:t>
            </w:r>
            <w:proofErr w:type="spellEnd"/>
            <w:r w:rsidRPr="00E47756">
              <w:rPr>
                <w:sz w:val="20"/>
              </w:rPr>
              <w:t>) ku kompromisnému návrhu smernice (tzv. DAC 7). SR vo všeobecnosti podporuje ciele smernice v kontexte boja proti daňovým únikom a zvyšovania daňovej transparentnosti. Súhlasíme s kompromisným znením smernice, ktorý sa podarilo DE PRES v rámci negociácií dosiahnuť. Podporujeme rozšírenie vecného rozsahu smernice  o informácie o predávajúcich a ich príjmoch dosahovaných prostredníctvom platforiem, ktorý považujeme za cenný zdroj informácií pri zabezpečovaní plnenia daňových povinností. Zároveň vítame spresnenia a vylepšenia ustanovení v existujúcej smernici, vrátane zavedenia nového nástroja užšej spolupráce medzi členskými štátmi vo forme spoločných kontrol. Transpozičná lehota na zapracovanie návrhu do vnútroštátnej legislatívy je  31.12.2022, okrem ustanovení čl. 12a o spoločných kontrolách, kde je transpozičná lehota stanovená na 31.12.2023</w:t>
            </w:r>
            <w:r w:rsidR="00653E13">
              <w:rPr>
                <w:sz w:val="20"/>
              </w:rPr>
              <w:t>.</w:t>
            </w:r>
          </w:p>
        </w:tc>
      </w:tr>
      <w:tr w:rsidR="00E47756" w:rsidRPr="00E47756" w14:paraId="58F6F2AB" w14:textId="77777777" w:rsidTr="001A4016">
        <w:tblPrEx>
          <w:tblCellMar>
            <w:top w:w="34" w:type="dxa"/>
          </w:tblCellMar>
        </w:tblPrEx>
        <w:trPr>
          <w:trHeight w:val="756"/>
        </w:trPr>
        <w:tc>
          <w:tcPr>
            <w:tcW w:w="632" w:type="dxa"/>
            <w:tcBorders>
              <w:top w:val="single" w:sz="4" w:space="0" w:color="000000"/>
              <w:left w:val="single" w:sz="4" w:space="0" w:color="000000"/>
              <w:bottom w:val="single" w:sz="4" w:space="0" w:color="000000"/>
              <w:right w:val="single" w:sz="4" w:space="0" w:color="000000"/>
            </w:tcBorders>
          </w:tcPr>
          <w:p w14:paraId="79A18413" w14:textId="77777777" w:rsidR="00E47756" w:rsidRPr="00E47756" w:rsidRDefault="00E47756" w:rsidP="00E47756">
            <w:pPr>
              <w:spacing w:after="0" w:line="240" w:lineRule="auto"/>
              <w:ind w:left="67"/>
              <w:jc w:val="center"/>
            </w:pPr>
            <w:r w:rsidRPr="00E47756">
              <w:rPr>
                <w:sz w:val="20"/>
              </w:rPr>
              <w:lastRenderedPageBreak/>
              <w:t>16.</w:t>
            </w:r>
          </w:p>
        </w:tc>
        <w:tc>
          <w:tcPr>
            <w:tcW w:w="6193" w:type="dxa"/>
            <w:gridSpan w:val="2"/>
            <w:tcBorders>
              <w:top w:val="single" w:sz="4" w:space="0" w:color="000000"/>
              <w:left w:val="single" w:sz="4" w:space="0" w:color="000000"/>
              <w:bottom w:val="single" w:sz="4" w:space="0" w:color="000000"/>
              <w:right w:val="single" w:sz="4" w:space="0" w:color="000000"/>
            </w:tcBorders>
          </w:tcPr>
          <w:p w14:paraId="4454B8CD" w14:textId="77777777" w:rsidR="00E47756" w:rsidRPr="00E47756" w:rsidRDefault="00E47756" w:rsidP="00E47756">
            <w:pPr>
              <w:spacing w:after="0" w:line="240" w:lineRule="auto"/>
              <w:ind w:left="57" w:right="57"/>
            </w:pPr>
            <w:r w:rsidRPr="00E47756">
              <w:rPr>
                <w:sz w:val="20"/>
              </w:rPr>
              <w:t xml:space="preserve">návrh NARIADENIE EURÓPSKEHO PARLAMENTU A RADY, ktorým sa mení nariadenie (EÚ) č. 575/2013, pokiaľ ide o úpravy </w:t>
            </w:r>
            <w:proofErr w:type="spellStart"/>
            <w:r w:rsidRPr="00E47756">
              <w:rPr>
                <w:sz w:val="20"/>
              </w:rPr>
              <w:t>sekuritizačného</w:t>
            </w:r>
            <w:proofErr w:type="spellEnd"/>
            <w:r w:rsidRPr="00E47756">
              <w:rPr>
                <w:sz w:val="20"/>
              </w:rPr>
              <w:t xml:space="preserve"> rámca na podporu obnovy hospodárstva v reakcii na pandémiu ochorenia </w:t>
            </w:r>
            <w:r w:rsidR="00C00726">
              <w:rPr>
                <w:sz w:val="20"/>
              </w:rPr>
              <w:t>COVID</w:t>
            </w:r>
            <w:r w:rsidRPr="00E47756">
              <w:rPr>
                <w:sz w:val="20"/>
              </w:rPr>
              <w:t xml:space="preserve">-19 </w:t>
            </w:r>
          </w:p>
        </w:tc>
        <w:tc>
          <w:tcPr>
            <w:tcW w:w="1985" w:type="dxa"/>
            <w:tcBorders>
              <w:top w:val="single" w:sz="4" w:space="0" w:color="000000"/>
              <w:left w:val="single" w:sz="4" w:space="0" w:color="000000"/>
              <w:bottom w:val="single" w:sz="4" w:space="0" w:color="000000"/>
              <w:right w:val="single" w:sz="4" w:space="0" w:color="000000"/>
            </w:tcBorders>
          </w:tcPr>
          <w:p w14:paraId="01426512" w14:textId="77777777" w:rsidR="00E47756" w:rsidRPr="00E47756" w:rsidRDefault="00E47756" w:rsidP="00E47756">
            <w:pPr>
              <w:spacing w:after="0" w:line="240" w:lineRule="auto"/>
              <w:ind w:left="57" w:right="57"/>
            </w:pPr>
            <w:r w:rsidRPr="00E47756">
              <w:rPr>
                <w:sz w:val="20"/>
              </w:rPr>
              <w:t xml:space="preserve">COM(2020) 283 </w:t>
            </w:r>
            <w:proofErr w:type="spellStart"/>
            <w:r w:rsidRPr="00E47756">
              <w:rPr>
                <w:sz w:val="20"/>
              </w:rPr>
              <w:t>final</w:t>
            </w:r>
            <w:proofErr w:type="spellEnd"/>
            <w:r w:rsidRPr="00E47756">
              <w:t xml:space="preserve"> </w:t>
            </w:r>
          </w:p>
          <w:p w14:paraId="6B2C19C9" w14:textId="77777777" w:rsidR="00E47756" w:rsidRPr="00E47756" w:rsidRDefault="00E47756" w:rsidP="00E47756">
            <w:pPr>
              <w:spacing w:after="0" w:line="240" w:lineRule="auto"/>
              <w:ind w:left="57" w:right="57"/>
            </w:pPr>
            <w:r w:rsidRPr="00E47756">
              <w:rPr>
                <w:sz w:val="20"/>
              </w:rPr>
              <w:t>2020/0156 (COD)</w:t>
            </w:r>
            <w:r w:rsidRPr="00E47756">
              <w:t xml:space="preserve"> </w:t>
            </w:r>
          </w:p>
          <w:p w14:paraId="15E62158" w14:textId="77777777" w:rsidR="00E47756" w:rsidRPr="00E47756" w:rsidRDefault="00E47756" w:rsidP="00E47756">
            <w:pPr>
              <w:spacing w:after="0" w:line="240" w:lineRule="auto"/>
              <w:ind w:left="57" w:right="57"/>
            </w:pPr>
            <w:r w:rsidRPr="00E47756">
              <w:rPr>
                <w:sz w:val="20"/>
              </w:rPr>
              <w:t xml:space="preserve">24. 7. 2020 </w:t>
            </w:r>
          </w:p>
        </w:tc>
        <w:tc>
          <w:tcPr>
            <w:tcW w:w="1701" w:type="dxa"/>
            <w:tcBorders>
              <w:top w:val="single" w:sz="4" w:space="0" w:color="000000"/>
              <w:left w:val="single" w:sz="4" w:space="0" w:color="000000"/>
              <w:bottom w:val="single" w:sz="4" w:space="0" w:color="000000"/>
              <w:right w:val="single" w:sz="4" w:space="0" w:color="000000"/>
            </w:tcBorders>
          </w:tcPr>
          <w:p w14:paraId="3899EC95" w14:textId="77777777" w:rsidR="00E47756" w:rsidRPr="00E47756" w:rsidRDefault="00E47756" w:rsidP="00E47756">
            <w:pPr>
              <w:spacing w:after="0" w:line="240" w:lineRule="auto"/>
              <w:ind w:left="57" w:right="57"/>
              <w:jc w:val="center"/>
              <w:rPr>
                <w:b/>
                <w:sz w:val="20"/>
              </w:rPr>
            </w:pPr>
            <w:r w:rsidRPr="00E47756">
              <w:rPr>
                <w:b/>
                <w:sz w:val="20"/>
              </w:rPr>
              <w:t>MF SR</w:t>
            </w:r>
          </w:p>
        </w:tc>
        <w:tc>
          <w:tcPr>
            <w:tcW w:w="4111" w:type="dxa"/>
            <w:tcBorders>
              <w:top w:val="single" w:sz="4" w:space="0" w:color="000000"/>
              <w:left w:val="single" w:sz="4" w:space="0" w:color="000000"/>
              <w:bottom w:val="single" w:sz="4" w:space="0" w:color="000000"/>
              <w:right w:val="single" w:sz="4" w:space="0" w:color="000000"/>
            </w:tcBorders>
          </w:tcPr>
          <w:p w14:paraId="0415F224" w14:textId="77777777" w:rsidR="00E47756" w:rsidRPr="00E47756" w:rsidRDefault="00E47756" w:rsidP="00E47756">
            <w:pPr>
              <w:spacing w:after="0" w:line="240" w:lineRule="auto"/>
              <w:ind w:left="57" w:right="57"/>
              <w:rPr>
                <w:sz w:val="20"/>
                <w:szCs w:val="20"/>
              </w:rPr>
            </w:pPr>
            <w:r w:rsidRPr="00E47756">
              <w:rPr>
                <w:b/>
                <w:bCs/>
                <w:sz w:val="20"/>
                <w:szCs w:val="20"/>
                <w:u w:val="single"/>
              </w:rPr>
              <w:t>Stredná priorita</w:t>
            </w:r>
            <w:r w:rsidRPr="00E47756">
              <w:rPr>
                <w:sz w:val="20"/>
              </w:rPr>
              <w:t xml:space="preserve"> – MF SR vo všeobecnosti podporuje návrh nariadenia a jeho ciele, ktorými sú podpora európskeho hospodárstva prostredníctvom sekuritizácie problémových expozícií a zavedenie súvahovej STS sekuritizácie. Navrhované zmeny umožnia udržať vysoký objem úverov poskytovaných ekonomike, prípadne ešte aj zvýšiť úverové kapacity, a to presunutím problémových expozícií, a uplatnením citlivejšieho zaobchádzania voči rizikám v súvislosti s nadriadenou </w:t>
            </w:r>
            <w:proofErr w:type="spellStart"/>
            <w:r w:rsidRPr="00E47756">
              <w:rPr>
                <w:sz w:val="20"/>
              </w:rPr>
              <w:t>tranžou</w:t>
            </w:r>
            <w:proofErr w:type="spellEnd"/>
            <w:r w:rsidRPr="00E47756">
              <w:rPr>
                <w:sz w:val="20"/>
              </w:rPr>
              <w:t xml:space="preserve"> v prípade súvahovej STS sekuritizácie.</w:t>
            </w:r>
          </w:p>
        </w:tc>
      </w:tr>
      <w:tr w:rsidR="00E47756" w:rsidRPr="00E47756" w14:paraId="33FDC276" w14:textId="77777777" w:rsidTr="001A4016">
        <w:tblPrEx>
          <w:tblCellMar>
            <w:top w:w="34" w:type="dxa"/>
          </w:tblCellMar>
        </w:tblPrEx>
        <w:trPr>
          <w:trHeight w:val="756"/>
        </w:trPr>
        <w:tc>
          <w:tcPr>
            <w:tcW w:w="632" w:type="dxa"/>
            <w:tcBorders>
              <w:top w:val="single" w:sz="4" w:space="0" w:color="000000"/>
              <w:left w:val="single" w:sz="4" w:space="0" w:color="000000"/>
              <w:bottom w:val="single" w:sz="4" w:space="0" w:color="000000"/>
              <w:right w:val="single" w:sz="4" w:space="0" w:color="000000"/>
            </w:tcBorders>
          </w:tcPr>
          <w:p w14:paraId="14C86EAE" w14:textId="77777777" w:rsidR="00E47756" w:rsidRPr="00E47756" w:rsidRDefault="00E47756" w:rsidP="00E47756">
            <w:pPr>
              <w:spacing w:after="0" w:line="240" w:lineRule="auto"/>
              <w:ind w:left="67"/>
              <w:jc w:val="center"/>
            </w:pPr>
            <w:r w:rsidRPr="00E47756">
              <w:rPr>
                <w:sz w:val="20"/>
              </w:rPr>
              <w:t>17.</w:t>
            </w:r>
          </w:p>
        </w:tc>
        <w:tc>
          <w:tcPr>
            <w:tcW w:w="6193" w:type="dxa"/>
            <w:gridSpan w:val="2"/>
            <w:tcBorders>
              <w:top w:val="single" w:sz="4" w:space="0" w:color="000000"/>
              <w:left w:val="single" w:sz="4" w:space="0" w:color="000000"/>
              <w:bottom w:val="single" w:sz="4" w:space="0" w:color="000000"/>
              <w:right w:val="single" w:sz="4" w:space="0" w:color="000000"/>
            </w:tcBorders>
          </w:tcPr>
          <w:p w14:paraId="684AB38B" w14:textId="77777777" w:rsidR="00E47756" w:rsidRPr="00E47756" w:rsidRDefault="00E47756" w:rsidP="00E47756">
            <w:pPr>
              <w:spacing w:after="0" w:line="240" w:lineRule="auto"/>
              <w:ind w:left="57" w:right="57"/>
            </w:pPr>
            <w:r w:rsidRPr="00E47756">
              <w:rPr>
                <w:sz w:val="20"/>
              </w:rPr>
              <w:t xml:space="preserve">návrh NARIADENIE EURÓPSKEHO PARLAMENTU A RADY, ktorým sa mení nariadenie (EÚ) 2017/2402, ktorým sa stanovuje všeobecný rámec pre sekuritizáciu a vytvára sa osobitný rámec pre jednoduchú, transparentnú a štandardizovanú sekuritizáciu v záujme pomoci pri obnove po pandémii ochorenia </w:t>
            </w:r>
            <w:r w:rsidR="00C00726">
              <w:rPr>
                <w:sz w:val="20"/>
              </w:rPr>
              <w:t>COVID</w:t>
            </w:r>
            <w:r w:rsidRPr="00E47756">
              <w:rPr>
                <w:sz w:val="20"/>
              </w:rPr>
              <w:t xml:space="preserve">-19 </w:t>
            </w:r>
          </w:p>
        </w:tc>
        <w:tc>
          <w:tcPr>
            <w:tcW w:w="1985" w:type="dxa"/>
            <w:tcBorders>
              <w:top w:val="single" w:sz="4" w:space="0" w:color="000000"/>
              <w:left w:val="single" w:sz="4" w:space="0" w:color="000000"/>
              <w:bottom w:val="single" w:sz="4" w:space="0" w:color="000000"/>
              <w:right w:val="single" w:sz="4" w:space="0" w:color="000000"/>
            </w:tcBorders>
          </w:tcPr>
          <w:p w14:paraId="14D6CD64" w14:textId="77777777" w:rsidR="00E47756" w:rsidRPr="00E47756" w:rsidRDefault="00E47756" w:rsidP="00E47756">
            <w:pPr>
              <w:spacing w:after="0" w:line="240" w:lineRule="auto"/>
              <w:ind w:left="57" w:right="57"/>
            </w:pPr>
            <w:r w:rsidRPr="00E47756">
              <w:rPr>
                <w:sz w:val="20"/>
              </w:rPr>
              <w:t xml:space="preserve">COM(2020) 282 </w:t>
            </w:r>
            <w:proofErr w:type="spellStart"/>
            <w:r w:rsidRPr="00E47756">
              <w:rPr>
                <w:sz w:val="20"/>
              </w:rPr>
              <w:t>final</w:t>
            </w:r>
            <w:proofErr w:type="spellEnd"/>
            <w:r w:rsidRPr="00E47756">
              <w:t xml:space="preserve">  </w:t>
            </w:r>
          </w:p>
          <w:p w14:paraId="0F922C67" w14:textId="77777777" w:rsidR="00E47756" w:rsidRPr="00E47756" w:rsidRDefault="00E47756" w:rsidP="00E47756">
            <w:pPr>
              <w:spacing w:after="0" w:line="240" w:lineRule="auto"/>
              <w:ind w:left="57" w:right="57"/>
            </w:pPr>
            <w:r w:rsidRPr="00E47756">
              <w:rPr>
                <w:sz w:val="20"/>
              </w:rPr>
              <w:t>2020/0151 (COD)</w:t>
            </w:r>
            <w:r w:rsidRPr="00E47756">
              <w:t xml:space="preserve"> </w:t>
            </w:r>
          </w:p>
          <w:p w14:paraId="75BE324C" w14:textId="77777777" w:rsidR="00E47756" w:rsidRPr="00E47756" w:rsidRDefault="00E47756" w:rsidP="00E47756">
            <w:pPr>
              <w:spacing w:after="0" w:line="240" w:lineRule="auto"/>
              <w:ind w:left="57" w:right="57"/>
            </w:pPr>
            <w:r w:rsidRPr="00E47756">
              <w:rPr>
                <w:sz w:val="20"/>
              </w:rPr>
              <w:t xml:space="preserve">24. 7. 2020 </w:t>
            </w:r>
          </w:p>
        </w:tc>
        <w:tc>
          <w:tcPr>
            <w:tcW w:w="1701" w:type="dxa"/>
            <w:tcBorders>
              <w:top w:val="single" w:sz="4" w:space="0" w:color="000000"/>
              <w:left w:val="single" w:sz="4" w:space="0" w:color="000000"/>
              <w:bottom w:val="single" w:sz="4" w:space="0" w:color="000000"/>
              <w:right w:val="single" w:sz="4" w:space="0" w:color="000000"/>
            </w:tcBorders>
          </w:tcPr>
          <w:p w14:paraId="1C9C875F" w14:textId="77777777" w:rsidR="00E47756" w:rsidRPr="00E47756" w:rsidRDefault="00E47756" w:rsidP="00E47756">
            <w:pPr>
              <w:spacing w:after="0" w:line="240" w:lineRule="auto"/>
              <w:ind w:left="57" w:right="57"/>
              <w:jc w:val="center"/>
              <w:rPr>
                <w:sz w:val="20"/>
              </w:rPr>
            </w:pPr>
            <w:r w:rsidRPr="00E47756">
              <w:rPr>
                <w:b/>
                <w:sz w:val="20"/>
              </w:rPr>
              <w:t>MF SR</w:t>
            </w:r>
          </w:p>
        </w:tc>
        <w:tc>
          <w:tcPr>
            <w:tcW w:w="4111" w:type="dxa"/>
            <w:tcBorders>
              <w:top w:val="single" w:sz="4" w:space="0" w:color="000000"/>
              <w:left w:val="single" w:sz="4" w:space="0" w:color="000000"/>
              <w:bottom w:val="single" w:sz="4" w:space="0" w:color="000000"/>
              <w:right w:val="single" w:sz="4" w:space="0" w:color="000000"/>
            </w:tcBorders>
          </w:tcPr>
          <w:p w14:paraId="3C02016F" w14:textId="77777777" w:rsidR="00E47756" w:rsidRPr="00E47756" w:rsidRDefault="00E47756" w:rsidP="00E47756">
            <w:pPr>
              <w:spacing w:after="0" w:line="240" w:lineRule="auto"/>
              <w:ind w:left="57" w:right="57"/>
              <w:rPr>
                <w:sz w:val="20"/>
                <w:szCs w:val="20"/>
              </w:rPr>
            </w:pPr>
            <w:r w:rsidRPr="00E47756">
              <w:rPr>
                <w:b/>
                <w:bCs/>
                <w:sz w:val="20"/>
                <w:szCs w:val="20"/>
                <w:u w:val="single"/>
              </w:rPr>
              <w:t>Stredná priorita</w:t>
            </w:r>
            <w:r w:rsidRPr="00E47756">
              <w:rPr>
                <w:sz w:val="20"/>
              </w:rPr>
              <w:t xml:space="preserve"> – SR vo všeobecnosti podporuje návrh nariadenia a jeho ciele, ktorými sú podpora európskeho hospodárstva prostredníctvom sekuritizácie problémových expozícií a zavedenie súvahovej syntetickej STS sekuritizácie. Súčasné nariadenie neobsahovalo ustanovenia pre syntetické STS sekuritizácie, navrhované zmeny umožnia udržať vysoký objem úverov poskytovaných ekonomike, prípadne ešte aj zvýšiť úverové kapacity, a to presunutím problémových expozícií v rámci súvahových syntetických STS sekuritizácií, pričom tento </w:t>
            </w:r>
            <w:proofErr w:type="spellStart"/>
            <w:r w:rsidRPr="00E47756">
              <w:rPr>
                <w:sz w:val="20"/>
              </w:rPr>
              <w:t>novozavádzaný</w:t>
            </w:r>
            <w:proofErr w:type="spellEnd"/>
            <w:r w:rsidRPr="00E47756">
              <w:rPr>
                <w:sz w:val="20"/>
              </w:rPr>
              <w:t xml:space="preserve"> rámec bude plne porovnateľný s doterajšou úpravou platnou pre STS sekuritizácie.</w:t>
            </w:r>
          </w:p>
        </w:tc>
      </w:tr>
      <w:tr w:rsidR="00E47756" w:rsidRPr="00E47756" w14:paraId="0F978AD7" w14:textId="77777777" w:rsidTr="001A4016">
        <w:tblPrEx>
          <w:tblCellMar>
            <w:top w:w="31" w:type="dxa"/>
          </w:tblCellMar>
        </w:tblPrEx>
        <w:trPr>
          <w:trHeight w:val="768"/>
        </w:trPr>
        <w:tc>
          <w:tcPr>
            <w:tcW w:w="652" w:type="dxa"/>
            <w:gridSpan w:val="2"/>
            <w:tcBorders>
              <w:top w:val="single" w:sz="4" w:space="0" w:color="000000"/>
              <w:left w:val="single" w:sz="4" w:space="0" w:color="000000"/>
              <w:bottom w:val="single" w:sz="4" w:space="0" w:color="000000"/>
              <w:right w:val="single" w:sz="4" w:space="0" w:color="000000"/>
            </w:tcBorders>
          </w:tcPr>
          <w:p w14:paraId="2919F91E" w14:textId="77777777" w:rsidR="00E47756" w:rsidRPr="00E47756" w:rsidRDefault="00E47756" w:rsidP="00E47756">
            <w:pPr>
              <w:spacing w:after="0" w:line="240" w:lineRule="auto"/>
              <w:ind w:left="57" w:right="57"/>
              <w:jc w:val="center"/>
            </w:pPr>
            <w:r w:rsidRPr="00E47756">
              <w:rPr>
                <w:sz w:val="20"/>
              </w:rPr>
              <w:t>18.</w:t>
            </w:r>
          </w:p>
        </w:tc>
        <w:tc>
          <w:tcPr>
            <w:tcW w:w="6173" w:type="dxa"/>
            <w:tcBorders>
              <w:top w:val="single" w:sz="4" w:space="0" w:color="000000"/>
              <w:left w:val="single" w:sz="4" w:space="0" w:color="000000"/>
              <w:bottom w:val="single" w:sz="4" w:space="0" w:color="000000"/>
              <w:right w:val="single" w:sz="4" w:space="0" w:color="000000"/>
            </w:tcBorders>
          </w:tcPr>
          <w:p w14:paraId="6476BBFA" w14:textId="77777777" w:rsidR="00E47756" w:rsidRPr="00E47756" w:rsidRDefault="00E47756" w:rsidP="00E47756">
            <w:pPr>
              <w:spacing w:after="0" w:line="240" w:lineRule="auto"/>
              <w:ind w:left="57" w:right="57"/>
            </w:pPr>
            <w:r w:rsidRPr="00E47756">
              <w:rPr>
                <w:sz w:val="20"/>
              </w:rPr>
              <w:t xml:space="preserve">návrh NARIADENIE EURÓPSKEHO PARLAMENTU A RADY, ktorým sa mení nariadenie (EÚ) 2017/1129, pokiaľ ide o prospekt obnovy EÚ a cielené úpravy týkajúce sa finančných sprostredkovateľov v záujme pomoci pri obnove po pandémii ochorenia </w:t>
            </w:r>
            <w:r w:rsidR="00C00726">
              <w:rPr>
                <w:sz w:val="20"/>
              </w:rPr>
              <w:t>COVID</w:t>
            </w:r>
            <w:r w:rsidRPr="00E47756">
              <w:rPr>
                <w:sz w:val="20"/>
              </w:rPr>
              <w:t xml:space="preserve">-19 </w:t>
            </w:r>
          </w:p>
        </w:tc>
        <w:tc>
          <w:tcPr>
            <w:tcW w:w="1985" w:type="dxa"/>
            <w:tcBorders>
              <w:top w:val="single" w:sz="4" w:space="0" w:color="000000"/>
              <w:left w:val="single" w:sz="4" w:space="0" w:color="000000"/>
              <w:bottom w:val="single" w:sz="4" w:space="0" w:color="000000"/>
              <w:right w:val="single" w:sz="4" w:space="0" w:color="000000"/>
            </w:tcBorders>
          </w:tcPr>
          <w:p w14:paraId="3A165BFC" w14:textId="77777777" w:rsidR="00E47756" w:rsidRPr="00E47756" w:rsidRDefault="00E47756" w:rsidP="00E47756">
            <w:pPr>
              <w:spacing w:after="0" w:line="240" w:lineRule="auto"/>
              <w:ind w:left="57" w:right="57"/>
            </w:pPr>
            <w:r w:rsidRPr="00E47756">
              <w:rPr>
                <w:sz w:val="20"/>
              </w:rPr>
              <w:t xml:space="preserve">COM(2020) 281 </w:t>
            </w:r>
            <w:proofErr w:type="spellStart"/>
            <w:r w:rsidRPr="00E47756">
              <w:rPr>
                <w:sz w:val="20"/>
              </w:rPr>
              <w:t>final</w:t>
            </w:r>
            <w:proofErr w:type="spellEnd"/>
            <w:r w:rsidRPr="00E47756">
              <w:t xml:space="preserve">  </w:t>
            </w:r>
          </w:p>
          <w:p w14:paraId="06D3972F" w14:textId="77777777" w:rsidR="00E47756" w:rsidRPr="00E47756" w:rsidRDefault="00E47756" w:rsidP="00E47756">
            <w:pPr>
              <w:spacing w:after="0" w:line="240" w:lineRule="auto"/>
              <w:ind w:left="57" w:right="57"/>
            </w:pPr>
            <w:r w:rsidRPr="00E47756">
              <w:rPr>
                <w:sz w:val="20"/>
              </w:rPr>
              <w:t>2020/0155 (COD)</w:t>
            </w:r>
            <w:r w:rsidRPr="00E47756">
              <w:t xml:space="preserve">  </w:t>
            </w:r>
          </w:p>
          <w:p w14:paraId="7E5BA83C" w14:textId="77777777" w:rsidR="00E47756" w:rsidRPr="00E47756" w:rsidRDefault="00E47756" w:rsidP="00E47756">
            <w:pPr>
              <w:spacing w:after="0" w:line="240" w:lineRule="auto"/>
              <w:ind w:left="57" w:right="57"/>
            </w:pPr>
            <w:r w:rsidRPr="00E47756">
              <w:rPr>
                <w:sz w:val="20"/>
              </w:rPr>
              <w:t xml:space="preserve">24. 7. 2020 </w:t>
            </w:r>
          </w:p>
        </w:tc>
        <w:tc>
          <w:tcPr>
            <w:tcW w:w="1701" w:type="dxa"/>
            <w:tcBorders>
              <w:top w:val="single" w:sz="4" w:space="0" w:color="000000"/>
              <w:left w:val="single" w:sz="4" w:space="0" w:color="000000"/>
              <w:bottom w:val="single" w:sz="4" w:space="0" w:color="000000"/>
              <w:right w:val="single" w:sz="4" w:space="0" w:color="000000"/>
            </w:tcBorders>
          </w:tcPr>
          <w:p w14:paraId="1D51EE8D" w14:textId="77777777" w:rsidR="00E47756" w:rsidRPr="00E47756" w:rsidRDefault="00E47756" w:rsidP="00E47756">
            <w:pPr>
              <w:spacing w:after="0" w:line="240" w:lineRule="auto"/>
              <w:ind w:left="57" w:right="57"/>
              <w:jc w:val="center"/>
              <w:rPr>
                <w:b/>
                <w:sz w:val="20"/>
              </w:rPr>
            </w:pPr>
            <w:r w:rsidRPr="00E47756">
              <w:rPr>
                <w:b/>
                <w:sz w:val="20"/>
              </w:rPr>
              <w:t>MF SR</w:t>
            </w:r>
          </w:p>
        </w:tc>
        <w:tc>
          <w:tcPr>
            <w:tcW w:w="4111" w:type="dxa"/>
            <w:tcBorders>
              <w:top w:val="single" w:sz="4" w:space="0" w:color="000000"/>
              <w:left w:val="single" w:sz="4" w:space="0" w:color="000000"/>
              <w:bottom w:val="single" w:sz="4" w:space="0" w:color="000000"/>
              <w:right w:val="single" w:sz="4" w:space="0" w:color="000000"/>
            </w:tcBorders>
          </w:tcPr>
          <w:p w14:paraId="6B39484C" w14:textId="77777777" w:rsidR="00E47756" w:rsidRPr="00E47756" w:rsidRDefault="00E47756" w:rsidP="00E47756">
            <w:pPr>
              <w:spacing w:after="0" w:line="240" w:lineRule="auto"/>
              <w:ind w:left="57" w:right="57"/>
              <w:rPr>
                <w:sz w:val="20"/>
                <w:szCs w:val="20"/>
              </w:rPr>
            </w:pPr>
            <w:r w:rsidRPr="00E47756">
              <w:rPr>
                <w:b/>
                <w:bCs/>
                <w:sz w:val="20"/>
                <w:szCs w:val="20"/>
                <w:u w:val="single"/>
              </w:rPr>
              <w:t>Stredná priorita</w:t>
            </w:r>
            <w:r w:rsidRPr="00E47756">
              <w:rPr>
                <w:sz w:val="20"/>
              </w:rPr>
              <w:t xml:space="preserve"> – SR vo všeobecnosti podporuje návrh nariadenia a jeho ciele, ktorými sú najmä zníženie administratívneho zaťaženia emitentov a ich nákladov na dodržiavanie predpisov, ktoré vyplývajú z uplatňovania nariadenia o prospekte, ako aj vytvorenie vhodných podmienok  pre prístup ku kapitálu najmä zo strany malých a stredných podnikov.</w:t>
            </w:r>
          </w:p>
        </w:tc>
      </w:tr>
      <w:tr w:rsidR="00E47756" w:rsidRPr="00E47756" w14:paraId="3F08E0B6" w14:textId="77777777" w:rsidTr="001A4016">
        <w:tblPrEx>
          <w:tblCellMar>
            <w:top w:w="31" w:type="dxa"/>
          </w:tblCellMar>
        </w:tblPrEx>
        <w:trPr>
          <w:trHeight w:val="756"/>
        </w:trPr>
        <w:tc>
          <w:tcPr>
            <w:tcW w:w="652" w:type="dxa"/>
            <w:gridSpan w:val="2"/>
            <w:tcBorders>
              <w:top w:val="single" w:sz="4" w:space="0" w:color="000000"/>
              <w:left w:val="single" w:sz="4" w:space="0" w:color="000000"/>
              <w:bottom w:val="single" w:sz="4" w:space="0" w:color="000000"/>
              <w:right w:val="single" w:sz="4" w:space="0" w:color="000000"/>
            </w:tcBorders>
          </w:tcPr>
          <w:p w14:paraId="43B61E11" w14:textId="77777777" w:rsidR="00E47756" w:rsidRPr="00E47756" w:rsidRDefault="00E47756" w:rsidP="00E47756">
            <w:pPr>
              <w:spacing w:after="0" w:line="240" w:lineRule="auto"/>
              <w:ind w:left="57" w:right="57"/>
              <w:jc w:val="center"/>
            </w:pPr>
            <w:r w:rsidRPr="00E47756">
              <w:rPr>
                <w:sz w:val="20"/>
              </w:rPr>
              <w:lastRenderedPageBreak/>
              <w:t>19.</w:t>
            </w:r>
          </w:p>
        </w:tc>
        <w:tc>
          <w:tcPr>
            <w:tcW w:w="6173" w:type="dxa"/>
            <w:tcBorders>
              <w:top w:val="single" w:sz="4" w:space="0" w:color="000000"/>
              <w:left w:val="single" w:sz="4" w:space="0" w:color="000000"/>
              <w:bottom w:val="single" w:sz="4" w:space="0" w:color="000000"/>
              <w:right w:val="single" w:sz="4" w:space="0" w:color="000000"/>
            </w:tcBorders>
          </w:tcPr>
          <w:p w14:paraId="3CAC4259" w14:textId="77777777" w:rsidR="00E47756" w:rsidRPr="00E47756" w:rsidRDefault="00E47756" w:rsidP="00E47756">
            <w:pPr>
              <w:spacing w:after="0" w:line="240" w:lineRule="auto"/>
              <w:ind w:left="57" w:right="57"/>
            </w:pPr>
            <w:r w:rsidRPr="00E47756">
              <w:rPr>
                <w:sz w:val="20"/>
              </w:rPr>
              <w:t xml:space="preserve">návrh SMERNICA EURÓPSKEHO PARLAMENTU A RADY, ktorou sa mení smernica 2014/65/EÚ, pokiaľ ide o požiadavky na informácie, správu produktov a obmedzenia pozícií v záujme pomoci pri obnove po pandémii ochorenia </w:t>
            </w:r>
            <w:r w:rsidR="00C00726">
              <w:rPr>
                <w:sz w:val="20"/>
              </w:rPr>
              <w:t>COVID</w:t>
            </w:r>
            <w:r w:rsidRPr="00E47756">
              <w:rPr>
                <w:sz w:val="20"/>
              </w:rPr>
              <w:t xml:space="preserve">-19 </w:t>
            </w:r>
          </w:p>
        </w:tc>
        <w:tc>
          <w:tcPr>
            <w:tcW w:w="1985" w:type="dxa"/>
            <w:tcBorders>
              <w:top w:val="single" w:sz="4" w:space="0" w:color="000000"/>
              <w:left w:val="single" w:sz="4" w:space="0" w:color="000000"/>
              <w:bottom w:val="single" w:sz="4" w:space="0" w:color="000000"/>
              <w:right w:val="single" w:sz="4" w:space="0" w:color="000000"/>
            </w:tcBorders>
          </w:tcPr>
          <w:p w14:paraId="377A37CF" w14:textId="77777777" w:rsidR="00E47756" w:rsidRPr="00E47756" w:rsidRDefault="00E47756" w:rsidP="00E47756">
            <w:pPr>
              <w:spacing w:after="0" w:line="240" w:lineRule="auto"/>
              <w:ind w:left="57" w:right="57"/>
            </w:pPr>
            <w:r w:rsidRPr="00E47756">
              <w:rPr>
                <w:sz w:val="20"/>
              </w:rPr>
              <w:t xml:space="preserve">COM(2020) 280 </w:t>
            </w:r>
            <w:proofErr w:type="spellStart"/>
            <w:r w:rsidRPr="00E47756">
              <w:rPr>
                <w:sz w:val="20"/>
              </w:rPr>
              <w:t>final</w:t>
            </w:r>
            <w:proofErr w:type="spellEnd"/>
            <w:r w:rsidRPr="00E47756">
              <w:t xml:space="preserve">  </w:t>
            </w:r>
          </w:p>
          <w:p w14:paraId="66BBD41E" w14:textId="77777777" w:rsidR="00E47756" w:rsidRPr="00E47756" w:rsidRDefault="00E47756" w:rsidP="00E47756">
            <w:pPr>
              <w:spacing w:after="0" w:line="240" w:lineRule="auto"/>
              <w:ind w:left="57" w:right="57"/>
            </w:pPr>
            <w:r w:rsidRPr="00E47756">
              <w:rPr>
                <w:sz w:val="20"/>
              </w:rPr>
              <w:t>2020/0152 (COD)</w:t>
            </w:r>
            <w:r w:rsidRPr="00E47756">
              <w:t xml:space="preserve">  </w:t>
            </w:r>
          </w:p>
          <w:p w14:paraId="4EC56D85" w14:textId="77777777" w:rsidR="00E47756" w:rsidRPr="00E47756" w:rsidRDefault="00E47756" w:rsidP="00E47756">
            <w:pPr>
              <w:spacing w:after="0" w:line="240" w:lineRule="auto"/>
              <w:ind w:left="57" w:right="57"/>
            </w:pPr>
            <w:r w:rsidRPr="00E47756">
              <w:rPr>
                <w:sz w:val="20"/>
              </w:rPr>
              <w:t xml:space="preserve">24. 7. 2020 </w:t>
            </w:r>
          </w:p>
        </w:tc>
        <w:tc>
          <w:tcPr>
            <w:tcW w:w="1701" w:type="dxa"/>
            <w:tcBorders>
              <w:top w:val="single" w:sz="4" w:space="0" w:color="000000"/>
              <w:left w:val="single" w:sz="4" w:space="0" w:color="000000"/>
              <w:bottom w:val="single" w:sz="4" w:space="0" w:color="000000"/>
              <w:right w:val="single" w:sz="4" w:space="0" w:color="000000"/>
            </w:tcBorders>
          </w:tcPr>
          <w:p w14:paraId="0707735E" w14:textId="77777777" w:rsidR="00E47756" w:rsidRPr="00E47756" w:rsidRDefault="00E47756" w:rsidP="00E47756">
            <w:pPr>
              <w:spacing w:after="0" w:line="240" w:lineRule="auto"/>
              <w:ind w:left="57" w:right="57"/>
              <w:jc w:val="center"/>
              <w:rPr>
                <w:sz w:val="20"/>
              </w:rPr>
            </w:pPr>
            <w:r w:rsidRPr="00E47756">
              <w:rPr>
                <w:b/>
                <w:sz w:val="20"/>
              </w:rPr>
              <w:t>MF SR</w:t>
            </w:r>
          </w:p>
        </w:tc>
        <w:tc>
          <w:tcPr>
            <w:tcW w:w="4111" w:type="dxa"/>
            <w:tcBorders>
              <w:top w:val="single" w:sz="4" w:space="0" w:color="000000"/>
              <w:left w:val="single" w:sz="4" w:space="0" w:color="000000"/>
              <w:bottom w:val="single" w:sz="4" w:space="0" w:color="000000"/>
              <w:right w:val="single" w:sz="4" w:space="0" w:color="000000"/>
            </w:tcBorders>
          </w:tcPr>
          <w:p w14:paraId="43E18DC7" w14:textId="77777777" w:rsidR="00E47756" w:rsidRPr="00E47756" w:rsidRDefault="00E47756" w:rsidP="00E47756">
            <w:pPr>
              <w:spacing w:after="0" w:line="240" w:lineRule="auto"/>
              <w:ind w:left="57" w:right="57"/>
              <w:rPr>
                <w:sz w:val="20"/>
                <w:szCs w:val="20"/>
              </w:rPr>
            </w:pPr>
            <w:r w:rsidRPr="00E47756">
              <w:rPr>
                <w:b/>
                <w:bCs/>
                <w:sz w:val="20"/>
                <w:szCs w:val="20"/>
                <w:u w:val="single"/>
              </w:rPr>
              <w:t>Stredná priorita</w:t>
            </w:r>
            <w:r w:rsidRPr="00E47756">
              <w:rPr>
                <w:sz w:val="20"/>
              </w:rPr>
              <w:t xml:space="preserve"> – SR vo všeobecnosti podporuje návrh smernice a jej ciele, ktorými sú zavedenie dočasných opatrení, ktorými sa uľahčí poskytovanie investičných služieb a eliminujú niektoré zaťažujúce povinnosti pre obchodníkov s cennými papiermi, čo im umožní koncentrovať sa na podstatné úlohy, čo  môže viesť k rýchlejšej obnove financovania podnikov, a to pri nezmenenej úrovni ochrany neprofesionálnych klientov.                         </w:t>
            </w:r>
          </w:p>
        </w:tc>
      </w:tr>
      <w:tr w:rsidR="00E47756" w:rsidRPr="00E47756" w14:paraId="1A5D1A29" w14:textId="77777777" w:rsidTr="001A4016">
        <w:tblPrEx>
          <w:tblCellMar>
            <w:top w:w="31" w:type="dxa"/>
          </w:tblCellMar>
        </w:tblPrEx>
        <w:trPr>
          <w:trHeight w:val="757"/>
        </w:trPr>
        <w:tc>
          <w:tcPr>
            <w:tcW w:w="652" w:type="dxa"/>
            <w:gridSpan w:val="2"/>
            <w:tcBorders>
              <w:top w:val="single" w:sz="4" w:space="0" w:color="000000"/>
              <w:left w:val="single" w:sz="4" w:space="0" w:color="000000"/>
              <w:bottom w:val="single" w:sz="4" w:space="0" w:color="000000"/>
              <w:right w:val="single" w:sz="4" w:space="0" w:color="000000"/>
            </w:tcBorders>
          </w:tcPr>
          <w:p w14:paraId="52A182A7" w14:textId="77777777" w:rsidR="00E47756" w:rsidRPr="00E47756" w:rsidRDefault="00E47756" w:rsidP="00E47756">
            <w:pPr>
              <w:spacing w:after="0" w:line="240" w:lineRule="auto"/>
              <w:ind w:left="57" w:right="57"/>
              <w:jc w:val="center"/>
            </w:pPr>
            <w:r w:rsidRPr="00E47756">
              <w:rPr>
                <w:sz w:val="20"/>
              </w:rPr>
              <w:t>20.</w:t>
            </w:r>
          </w:p>
        </w:tc>
        <w:tc>
          <w:tcPr>
            <w:tcW w:w="6173" w:type="dxa"/>
            <w:tcBorders>
              <w:top w:val="single" w:sz="4" w:space="0" w:color="000000"/>
              <w:left w:val="single" w:sz="4" w:space="0" w:color="000000"/>
              <w:bottom w:val="single" w:sz="4" w:space="0" w:color="000000"/>
              <w:right w:val="single" w:sz="4" w:space="0" w:color="000000"/>
            </w:tcBorders>
          </w:tcPr>
          <w:p w14:paraId="191E2706" w14:textId="77777777" w:rsidR="00E47756" w:rsidRPr="00E47756" w:rsidRDefault="00E47756" w:rsidP="00E47756">
            <w:pPr>
              <w:spacing w:after="0" w:line="240" w:lineRule="auto"/>
              <w:ind w:left="57" w:right="57"/>
            </w:pPr>
            <w:r w:rsidRPr="00E47756">
              <w:rPr>
                <w:sz w:val="20"/>
              </w:rPr>
              <w:t xml:space="preserve">návrh SMERNICA EURÓPSKEHO PARLAMENTU A RADY, ktorou sa mení smernica Európskeho parlamentu a Rady 2009/103/ES zo </w:t>
            </w:r>
          </w:p>
          <w:p w14:paraId="34CBC94D" w14:textId="77777777" w:rsidR="00E47756" w:rsidRPr="00E47756" w:rsidRDefault="00E47756" w:rsidP="00E47756">
            <w:pPr>
              <w:spacing w:after="0" w:line="240" w:lineRule="auto"/>
              <w:ind w:left="57" w:right="57"/>
            </w:pPr>
            <w:r w:rsidRPr="00E47756">
              <w:rPr>
                <w:sz w:val="20"/>
              </w:rPr>
              <w:t xml:space="preserve">16. septembra 2009 o poistení zodpovednosti za škodu spôsobenú prevádzkou motorových vozidiel a o kontrole plnenia povinnosti poistenia tejto zodpovednosti </w:t>
            </w:r>
          </w:p>
        </w:tc>
        <w:tc>
          <w:tcPr>
            <w:tcW w:w="1985" w:type="dxa"/>
            <w:tcBorders>
              <w:top w:val="single" w:sz="4" w:space="0" w:color="000000"/>
              <w:left w:val="single" w:sz="4" w:space="0" w:color="000000"/>
              <w:bottom w:val="single" w:sz="4" w:space="0" w:color="000000"/>
              <w:right w:val="single" w:sz="4" w:space="0" w:color="000000"/>
            </w:tcBorders>
          </w:tcPr>
          <w:p w14:paraId="08F66AB0" w14:textId="77777777" w:rsidR="00E47756" w:rsidRPr="00E47756" w:rsidRDefault="00E47756" w:rsidP="00E47756">
            <w:pPr>
              <w:spacing w:after="0" w:line="240" w:lineRule="auto"/>
              <w:ind w:left="57" w:right="57"/>
            </w:pPr>
            <w:r w:rsidRPr="00E47756">
              <w:rPr>
                <w:sz w:val="20"/>
              </w:rPr>
              <w:t xml:space="preserve">COM(2018) 336 </w:t>
            </w:r>
            <w:proofErr w:type="spellStart"/>
            <w:r w:rsidRPr="00E47756">
              <w:rPr>
                <w:sz w:val="20"/>
              </w:rPr>
              <w:t>final</w:t>
            </w:r>
            <w:proofErr w:type="spellEnd"/>
            <w:r w:rsidRPr="00E47756">
              <w:t xml:space="preserve">  </w:t>
            </w:r>
          </w:p>
          <w:p w14:paraId="7067A200" w14:textId="77777777" w:rsidR="00E47756" w:rsidRPr="00E47756" w:rsidRDefault="00E47756" w:rsidP="00E47756">
            <w:pPr>
              <w:spacing w:after="0" w:line="240" w:lineRule="auto"/>
              <w:ind w:left="57" w:right="57"/>
            </w:pPr>
            <w:r w:rsidRPr="00E47756">
              <w:rPr>
                <w:sz w:val="20"/>
              </w:rPr>
              <w:t>2018/0168 (COD)</w:t>
            </w:r>
            <w:r w:rsidRPr="00E47756">
              <w:t xml:space="preserve">  </w:t>
            </w:r>
          </w:p>
          <w:p w14:paraId="52BEBF74" w14:textId="77777777" w:rsidR="00E47756" w:rsidRPr="00E47756" w:rsidRDefault="00E47756" w:rsidP="00E47756">
            <w:pPr>
              <w:spacing w:after="0" w:line="240" w:lineRule="auto"/>
              <w:ind w:left="57" w:right="57"/>
            </w:pPr>
            <w:r w:rsidRPr="00E47756">
              <w:rPr>
                <w:sz w:val="20"/>
              </w:rPr>
              <w:t xml:space="preserve">24. 5. 2018 </w:t>
            </w:r>
          </w:p>
        </w:tc>
        <w:tc>
          <w:tcPr>
            <w:tcW w:w="1701" w:type="dxa"/>
            <w:tcBorders>
              <w:top w:val="single" w:sz="4" w:space="0" w:color="000000"/>
              <w:left w:val="single" w:sz="4" w:space="0" w:color="000000"/>
              <w:bottom w:val="single" w:sz="4" w:space="0" w:color="000000"/>
              <w:right w:val="single" w:sz="4" w:space="0" w:color="000000"/>
            </w:tcBorders>
          </w:tcPr>
          <w:p w14:paraId="7AC39CE1" w14:textId="77777777" w:rsidR="00E47756" w:rsidRPr="00E47756" w:rsidRDefault="00E47756" w:rsidP="00E47756">
            <w:pPr>
              <w:spacing w:after="0" w:line="240" w:lineRule="auto"/>
              <w:ind w:left="57" w:right="57"/>
              <w:jc w:val="center"/>
              <w:rPr>
                <w:sz w:val="20"/>
              </w:rPr>
            </w:pPr>
            <w:r w:rsidRPr="00E47756">
              <w:rPr>
                <w:b/>
                <w:sz w:val="20"/>
              </w:rPr>
              <w:t>MF SR</w:t>
            </w:r>
          </w:p>
        </w:tc>
        <w:tc>
          <w:tcPr>
            <w:tcW w:w="4111" w:type="dxa"/>
            <w:tcBorders>
              <w:top w:val="single" w:sz="4" w:space="0" w:color="000000"/>
              <w:left w:val="single" w:sz="4" w:space="0" w:color="000000"/>
              <w:bottom w:val="single" w:sz="4" w:space="0" w:color="000000"/>
              <w:right w:val="single" w:sz="4" w:space="0" w:color="000000"/>
            </w:tcBorders>
          </w:tcPr>
          <w:p w14:paraId="3D66587A" w14:textId="77777777" w:rsidR="00E47756" w:rsidRPr="00E47756" w:rsidRDefault="00E47756" w:rsidP="00E47756">
            <w:pPr>
              <w:spacing w:after="0" w:line="240" w:lineRule="auto"/>
              <w:ind w:left="57" w:right="57"/>
              <w:rPr>
                <w:sz w:val="20"/>
                <w:szCs w:val="20"/>
              </w:rPr>
            </w:pPr>
            <w:r w:rsidRPr="00E47756">
              <w:rPr>
                <w:b/>
                <w:bCs/>
                <w:sz w:val="20"/>
                <w:szCs w:val="20"/>
                <w:u w:val="single"/>
              </w:rPr>
              <w:t>Stredná priorita</w:t>
            </w:r>
            <w:r w:rsidRPr="00E47756">
              <w:rPr>
                <w:sz w:val="20"/>
              </w:rPr>
              <w:t xml:space="preserve"> – SR v zásade návrh smernice podporuje. Medzi kľúčové oblasti ktoré návrh upravuje patrí rozsah pôsobnosti smernice, a teda vymedzenie typov vozidiel na ktoré sa má vzťahovať povinnosť uzavrieť povinné zmluvné poistenie. Návrh smernice upravuje aj proces kompenzácie poškodených pri cezhraničnom poskytovaní služieb poisťovňami, ktoré sa stali insolventným a umožňuje členským štátom vykonávať na svojom území nediskriminačné kontroly vozidiel obvykle sa nachádzajúcich na území iného členského štátu.  Okrem týchto oblastí návrh smernice upravuje aj viacero technických oblastí.</w:t>
            </w:r>
          </w:p>
        </w:tc>
      </w:tr>
      <w:tr w:rsidR="00E47756" w:rsidRPr="00E47756" w14:paraId="5C4A68BB" w14:textId="77777777" w:rsidTr="001A4016">
        <w:tblPrEx>
          <w:tblCellMar>
            <w:top w:w="31" w:type="dxa"/>
          </w:tblCellMar>
        </w:tblPrEx>
        <w:trPr>
          <w:trHeight w:val="986"/>
        </w:trPr>
        <w:tc>
          <w:tcPr>
            <w:tcW w:w="652" w:type="dxa"/>
            <w:gridSpan w:val="2"/>
            <w:tcBorders>
              <w:top w:val="single" w:sz="4" w:space="0" w:color="000000"/>
              <w:left w:val="single" w:sz="4" w:space="0" w:color="000000"/>
              <w:bottom w:val="single" w:sz="4" w:space="0" w:color="000000"/>
              <w:right w:val="single" w:sz="4" w:space="0" w:color="000000"/>
            </w:tcBorders>
          </w:tcPr>
          <w:p w14:paraId="00C16892" w14:textId="77777777" w:rsidR="00E47756" w:rsidRPr="00E47756" w:rsidRDefault="00E47756" w:rsidP="00E47756">
            <w:pPr>
              <w:spacing w:after="0" w:line="240" w:lineRule="auto"/>
              <w:ind w:left="57" w:right="57"/>
              <w:jc w:val="center"/>
            </w:pPr>
            <w:r w:rsidRPr="00E47756">
              <w:rPr>
                <w:sz w:val="20"/>
              </w:rPr>
              <w:t>21.</w:t>
            </w:r>
          </w:p>
        </w:tc>
        <w:tc>
          <w:tcPr>
            <w:tcW w:w="6173" w:type="dxa"/>
            <w:tcBorders>
              <w:top w:val="single" w:sz="4" w:space="0" w:color="000000"/>
              <w:left w:val="single" w:sz="4" w:space="0" w:color="000000"/>
              <w:bottom w:val="single" w:sz="4" w:space="0" w:color="000000"/>
              <w:right w:val="single" w:sz="4" w:space="0" w:color="000000"/>
            </w:tcBorders>
          </w:tcPr>
          <w:p w14:paraId="16D55C11" w14:textId="77777777" w:rsidR="00E47756" w:rsidRPr="00E47756" w:rsidRDefault="00E47756" w:rsidP="00E47756">
            <w:pPr>
              <w:spacing w:after="0" w:line="240" w:lineRule="auto"/>
              <w:ind w:left="57" w:right="57"/>
            </w:pPr>
            <w:r w:rsidRPr="00E47756">
              <w:rPr>
                <w:sz w:val="20"/>
              </w:rPr>
              <w:t xml:space="preserve">návrh SMERNICA EURÓPSKEHO PARLAMENTU A RADY o správcoch úverov, nákupcoch úverov a vymáhaní </w:t>
            </w:r>
            <w:proofErr w:type="spellStart"/>
            <w:r w:rsidRPr="00E47756">
              <w:rPr>
                <w:sz w:val="20"/>
              </w:rPr>
              <w:t>kolaterálu</w:t>
            </w:r>
            <w:proofErr w:type="spellEnd"/>
            <w:r w:rsidRPr="00E47756">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239C668" w14:textId="77777777" w:rsidR="00E47756" w:rsidRPr="00E47756" w:rsidRDefault="00E47756" w:rsidP="00E47756">
            <w:pPr>
              <w:spacing w:after="0" w:line="240" w:lineRule="auto"/>
              <w:ind w:left="57" w:right="57"/>
            </w:pPr>
            <w:r w:rsidRPr="00E47756">
              <w:rPr>
                <w:sz w:val="20"/>
              </w:rPr>
              <w:t xml:space="preserve">COM(2018) 135 </w:t>
            </w:r>
            <w:proofErr w:type="spellStart"/>
            <w:r w:rsidRPr="00E47756">
              <w:rPr>
                <w:sz w:val="20"/>
              </w:rPr>
              <w:t>final</w:t>
            </w:r>
            <w:proofErr w:type="spellEnd"/>
            <w:r w:rsidRPr="00E47756">
              <w:t xml:space="preserve">  </w:t>
            </w:r>
          </w:p>
          <w:p w14:paraId="4D7D34AC" w14:textId="77777777" w:rsidR="00E47756" w:rsidRPr="00E47756" w:rsidRDefault="00E47756" w:rsidP="00E47756">
            <w:pPr>
              <w:spacing w:after="0" w:line="240" w:lineRule="auto"/>
              <w:ind w:left="57" w:right="57"/>
            </w:pPr>
            <w:r w:rsidRPr="00E47756">
              <w:rPr>
                <w:sz w:val="20"/>
              </w:rPr>
              <w:t>2018/0063A (COD)</w:t>
            </w:r>
            <w:r w:rsidRPr="00E47756">
              <w:t xml:space="preserve">  </w:t>
            </w:r>
          </w:p>
          <w:p w14:paraId="575A851C" w14:textId="77777777" w:rsidR="00E47756" w:rsidRPr="00E47756" w:rsidRDefault="00E47756" w:rsidP="00E47756">
            <w:pPr>
              <w:spacing w:after="0" w:line="240" w:lineRule="auto"/>
              <w:ind w:left="57" w:right="57"/>
            </w:pPr>
            <w:r w:rsidRPr="00E47756">
              <w:rPr>
                <w:sz w:val="20"/>
              </w:rPr>
              <w:t>2018/0063B (COD)</w:t>
            </w:r>
            <w:r w:rsidRPr="00E47756">
              <w:t xml:space="preserve">  </w:t>
            </w:r>
          </w:p>
          <w:p w14:paraId="46B1646E" w14:textId="77777777" w:rsidR="00E47756" w:rsidRPr="00E47756" w:rsidRDefault="00E47756" w:rsidP="00E47756">
            <w:pPr>
              <w:spacing w:after="0" w:line="240" w:lineRule="auto"/>
              <w:ind w:left="57" w:right="57"/>
            </w:pPr>
            <w:r w:rsidRPr="00E47756">
              <w:rPr>
                <w:sz w:val="20"/>
              </w:rPr>
              <w:t xml:space="preserve">14. 3. 2018 </w:t>
            </w:r>
          </w:p>
        </w:tc>
        <w:tc>
          <w:tcPr>
            <w:tcW w:w="1701" w:type="dxa"/>
            <w:tcBorders>
              <w:top w:val="single" w:sz="4" w:space="0" w:color="000000"/>
              <w:left w:val="single" w:sz="4" w:space="0" w:color="000000"/>
              <w:bottom w:val="single" w:sz="4" w:space="0" w:color="000000"/>
              <w:right w:val="single" w:sz="4" w:space="0" w:color="000000"/>
            </w:tcBorders>
          </w:tcPr>
          <w:p w14:paraId="1E66A0F6" w14:textId="77777777" w:rsidR="00E47756" w:rsidRPr="00E47756" w:rsidRDefault="00E47756" w:rsidP="00E47756">
            <w:pPr>
              <w:spacing w:after="0" w:line="240" w:lineRule="auto"/>
              <w:ind w:left="57" w:right="57"/>
              <w:jc w:val="center"/>
              <w:rPr>
                <w:sz w:val="20"/>
              </w:rPr>
            </w:pPr>
            <w:r w:rsidRPr="00E47756">
              <w:rPr>
                <w:b/>
                <w:sz w:val="20"/>
              </w:rPr>
              <w:t>MF SR</w:t>
            </w:r>
          </w:p>
        </w:tc>
        <w:tc>
          <w:tcPr>
            <w:tcW w:w="4111" w:type="dxa"/>
            <w:tcBorders>
              <w:top w:val="single" w:sz="4" w:space="0" w:color="000000"/>
              <w:left w:val="single" w:sz="4" w:space="0" w:color="000000"/>
              <w:bottom w:val="single" w:sz="4" w:space="0" w:color="000000"/>
              <w:right w:val="single" w:sz="4" w:space="0" w:color="000000"/>
            </w:tcBorders>
          </w:tcPr>
          <w:p w14:paraId="6239BE67" w14:textId="77777777" w:rsidR="00E47756" w:rsidRPr="00E47756" w:rsidRDefault="00E47756" w:rsidP="00E47756">
            <w:pPr>
              <w:spacing w:after="0" w:line="240" w:lineRule="auto"/>
              <w:ind w:left="57" w:right="57"/>
              <w:rPr>
                <w:b/>
                <w:sz w:val="20"/>
              </w:rPr>
            </w:pPr>
            <w:r w:rsidRPr="00E47756">
              <w:rPr>
                <w:b/>
                <w:sz w:val="20"/>
                <w:u w:val="single"/>
              </w:rPr>
              <w:t>Nízka priorita</w:t>
            </w:r>
            <w:r w:rsidRPr="00E47756">
              <w:rPr>
                <w:sz w:val="20"/>
              </w:rPr>
              <w:t xml:space="preserve"> – SR podporuje návrh smernice, ktorý štandardizuje regulačný režim pre správcov úverov a nákupcov úverov. Cieľom je minimalizovať rozdiely vo vnútroštátnych právnych predpisoch a vykonávaní v členských štátoch a prispieť tak k zlepšeniu rámca predaja nesplácaných úverov v niektorých členských štátoch s vysokým pomerom nesplácaných úverov.Za posledné obdobie nenastal žiaden posun v rokovaniach.</w:t>
            </w:r>
          </w:p>
        </w:tc>
      </w:tr>
      <w:tr w:rsidR="00E47756" w:rsidRPr="00E47756" w14:paraId="1645D066" w14:textId="77777777" w:rsidTr="001A4016">
        <w:tblPrEx>
          <w:tblCellMar>
            <w:top w:w="31" w:type="dxa"/>
          </w:tblCellMar>
        </w:tblPrEx>
        <w:trPr>
          <w:trHeight w:val="756"/>
        </w:trPr>
        <w:tc>
          <w:tcPr>
            <w:tcW w:w="652" w:type="dxa"/>
            <w:gridSpan w:val="2"/>
            <w:tcBorders>
              <w:top w:val="single" w:sz="4" w:space="0" w:color="000000"/>
              <w:left w:val="single" w:sz="4" w:space="0" w:color="000000"/>
              <w:bottom w:val="single" w:sz="4" w:space="0" w:color="000000"/>
              <w:right w:val="single" w:sz="4" w:space="0" w:color="000000"/>
            </w:tcBorders>
          </w:tcPr>
          <w:p w14:paraId="2DA0BCAE" w14:textId="77777777" w:rsidR="00E47756" w:rsidRPr="00E47756" w:rsidRDefault="00E47756" w:rsidP="00E47756">
            <w:pPr>
              <w:spacing w:after="0" w:line="240" w:lineRule="auto"/>
              <w:ind w:left="57" w:right="57"/>
              <w:jc w:val="center"/>
            </w:pPr>
            <w:r w:rsidRPr="00E47756">
              <w:rPr>
                <w:sz w:val="20"/>
              </w:rPr>
              <w:lastRenderedPageBreak/>
              <w:t>22.</w:t>
            </w:r>
          </w:p>
        </w:tc>
        <w:tc>
          <w:tcPr>
            <w:tcW w:w="6173" w:type="dxa"/>
            <w:tcBorders>
              <w:top w:val="single" w:sz="4" w:space="0" w:color="000000"/>
              <w:left w:val="single" w:sz="4" w:space="0" w:color="000000"/>
              <w:bottom w:val="single" w:sz="4" w:space="0" w:color="000000"/>
              <w:right w:val="single" w:sz="4" w:space="0" w:color="000000"/>
            </w:tcBorders>
          </w:tcPr>
          <w:p w14:paraId="0A732486" w14:textId="77777777" w:rsidR="00E47756" w:rsidRPr="00E47756" w:rsidRDefault="00E47756" w:rsidP="00E47756">
            <w:pPr>
              <w:spacing w:after="0" w:line="240" w:lineRule="auto"/>
              <w:ind w:left="57" w:right="57"/>
            </w:pPr>
            <w:r w:rsidRPr="00E47756">
              <w:rPr>
                <w:sz w:val="20"/>
              </w:rPr>
              <w:t xml:space="preserve">návrh NARIADENIE EURÓPSKEHO PARLAMENTU A RADY, ktorým sa mení nariadenie (ES) č. 883/2004 o koordinácii systémov sociálneho zabezpečenia a nariadenie (ES) č. 987/2009, ktorým sa stanovuje postup vykonávania nariadenia (ES) č. 883/2004 (Text s významom pre EHP a Švajčiarsko) </w:t>
            </w:r>
          </w:p>
        </w:tc>
        <w:tc>
          <w:tcPr>
            <w:tcW w:w="1985" w:type="dxa"/>
            <w:tcBorders>
              <w:top w:val="single" w:sz="4" w:space="0" w:color="000000"/>
              <w:left w:val="single" w:sz="4" w:space="0" w:color="000000"/>
              <w:bottom w:val="single" w:sz="4" w:space="0" w:color="000000"/>
              <w:right w:val="single" w:sz="4" w:space="0" w:color="000000"/>
            </w:tcBorders>
          </w:tcPr>
          <w:p w14:paraId="7E4CDCD4" w14:textId="77777777" w:rsidR="00E47756" w:rsidRPr="00E47756" w:rsidRDefault="00E47756" w:rsidP="00E47756">
            <w:pPr>
              <w:spacing w:after="0" w:line="240" w:lineRule="auto"/>
              <w:ind w:left="57" w:right="57"/>
            </w:pPr>
            <w:r w:rsidRPr="00E47756">
              <w:rPr>
                <w:sz w:val="20"/>
              </w:rPr>
              <w:t xml:space="preserve">COM(2016) 815 </w:t>
            </w:r>
            <w:proofErr w:type="spellStart"/>
            <w:r w:rsidRPr="00E47756">
              <w:rPr>
                <w:sz w:val="20"/>
              </w:rPr>
              <w:t>final</w:t>
            </w:r>
            <w:proofErr w:type="spellEnd"/>
            <w:r w:rsidRPr="00E47756">
              <w:t xml:space="preserve">  </w:t>
            </w:r>
          </w:p>
          <w:p w14:paraId="65C09B0A" w14:textId="77777777" w:rsidR="00E47756" w:rsidRPr="00E47756" w:rsidRDefault="00E47756" w:rsidP="00E47756">
            <w:pPr>
              <w:spacing w:after="0" w:line="240" w:lineRule="auto"/>
              <w:ind w:left="57" w:right="57"/>
            </w:pPr>
            <w:r w:rsidRPr="00E47756">
              <w:rPr>
                <w:sz w:val="20"/>
              </w:rPr>
              <w:t>2016/0397 (COD)</w:t>
            </w:r>
            <w:r w:rsidRPr="00E47756">
              <w:t xml:space="preserve">  </w:t>
            </w:r>
          </w:p>
          <w:p w14:paraId="2908A95F" w14:textId="77777777" w:rsidR="00E47756" w:rsidRPr="00E47756" w:rsidRDefault="00E47756" w:rsidP="00E47756">
            <w:pPr>
              <w:spacing w:after="0" w:line="240" w:lineRule="auto"/>
              <w:ind w:left="57" w:right="57"/>
            </w:pPr>
            <w:r w:rsidRPr="00E47756">
              <w:rPr>
                <w:sz w:val="20"/>
              </w:rPr>
              <w:t xml:space="preserve">14. 12. 2016 </w:t>
            </w:r>
          </w:p>
        </w:tc>
        <w:tc>
          <w:tcPr>
            <w:tcW w:w="1701" w:type="dxa"/>
            <w:tcBorders>
              <w:top w:val="single" w:sz="4" w:space="0" w:color="000000"/>
              <w:left w:val="single" w:sz="4" w:space="0" w:color="000000"/>
              <w:bottom w:val="single" w:sz="4" w:space="0" w:color="000000"/>
              <w:right w:val="single" w:sz="4" w:space="0" w:color="000000"/>
            </w:tcBorders>
          </w:tcPr>
          <w:p w14:paraId="4C567A14" w14:textId="77777777" w:rsidR="00E47756" w:rsidRPr="00E47756" w:rsidRDefault="00E47756" w:rsidP="00E47756">
            <w:pPr>
              <w:spacing w:after="0" w:line="240" w:lineRule="auto"/>
              <w:ind w:left="57" w:right="57"/>
              <w:jc w:val="center"/>
              <w:rPr>
                <w:sz w:val="20"/>
              </w:rPr>
            </w:pPr>
            <w:r w:rsidRPr="00E47756">
              <w:rPr>
                <w:b/>
                <w:sz w:val="20"/>
              </w:rPr>
              <w:t>MPSVR SR</w:t>
            </w:r>
          </w:p>
        </w:tc>
        <w:tc>
          <w:tcPr>
            <w:tcW w:w="4111" w:type="dxa"/>
            <w:tcBorders>
              <w:top w:val="single" w:sz="4" w:space="0" w:color="000000"/>
              <w:left w:val="single" w:sz="4" w:space="0" w:color="000000"/>
              <w:bottom w:val="single" w:sz="4" w:space="0" w:color="000000"/>
              <w:right w:val="single" w:sz="4" w:space="0" w:color="000000"/>
            </w:tcBorders>
          </w:tcPr>
          <w:p w14:paraId="2C961F91" w14:textId="77777777" w:rsidR="00E47756" w:rsidRPr="00E47756" w:rsidRDefault="00E47756" w:rsidP="00E47756">
            <w:pPr>
              <w:spacing w:after="0" w:line="240" w:lineRule="auto"/>
              <w:ind w:left="57" w:right="57"/>
              <w:rPr>
                <w:sz w:val="20"/>
                <w:szCs w:val="20"/>
              </w:rPr>
            </w:pPr>
            <w:r w:rsidRPr="00E47756">
              <w:rPr>
                <w:b/>
                <w:sz w:val="20"/>
                <w:szCs w:val="20"/>
                <w:u w:val="single"/>
              </w:rPr>
              <w:t>Vysoká priorita</w:t>
            </w:r>
            <w:r w:rsidRPr="00E47756">
              <w:rPr>
                <w:sz w:val="20"/>
              </w:rPr>
              <w:t xml:space="preserve"> – </w:t>
            </w:r>
            <w:r w:rsidRPr="00E47756">
              <w:rPr>
                <w:sz w:val="20"/>
                <w:szCs w:val="20"/>
              </w:rPr>
              <w:t xml:space="preserve">Spis je ťažiskovou reguláciou EÚ pre ochranu mobilných pracovníkov v oblasti sociálneho zabezpečenia, keďže určuje, v ktorom štáte bude pracovník poistený, a ktorý štát zodpovedá za dávky. Spis sa prerokováva od roku 2017, vzhľadom na technickú náročnosť a vysokú politickú citlivosť sa ešte nepodarilo nájsť dohodu. 15. </w:t>
            </w:r>
            <w:proofErr w:type="spellStart"/>
            <w:r w:rsidRPr="00E47756">
              <w:rPr>
                <w:sz w:val="20"/>
                <w:szCs w:val="20"/>
              </w:rPr>
              <w:t>trialóg</w:t>
            </w:r>
            <w:proofErr w:type="spellEnd"/>
            <w:r w:rsidRPr="00E47756">
              <w:rPr>
                <w:sz w:val="20"/>
                <w:szCs w:val="20"/>
              </w:rPr>
              <w:t xml:space="preserve"> k spisu sa uskutočnil dňa 7.12.2020. Ani na tomto </w:t>
            </w:r>
            <w:proofErr w:type="spellStart"/>
            <w:r w:rsidRPr="00E47756">
              <w:rPr>
                <w:sz w:val="20"/>
                <w:szCs w:val="20"/>
              </w:rPr>
              <w:t>trialógu</w:t>
            </w:r>
            <w:proofErr w:type="spellEnd"/>
            <w:r w:rsidRPr="00E47756">
              <w:rPr>
                <w:sz w:val="20"/>
                <w:szCs w:val="20"/>
              </w:rPr>
              <w:t xml:space="preserve"> sa nepodarilo preklenúť rozdiely medzi </w:t>
            </w:r>
            <w:proofErr w:type="spellStart"/>
            <w:r w:rsidRPr="00E47756">
              <w:rPr>
                <w:sz w:val="20"/>
                <w:szCs w:val="20"/>
              </w:rPr>
              <w:t>zákonodárcami</w:t>
            </w:r>
            <w:proofErr w:type="spellEnd"/>
            <w:r w:rsidRPr="00E47756">
              <w:rPr>
                <w:sz w:val="20"/>
                <w:szCs w:val="20"/>
              </w:rPr>
              <w:t xml:space="preserve"> v kľúčovej otázke výnimiek z predchádzajúcej notifikácie. Hoci EP bol po prvýkrát ochotný uvažovať o horizontálnej časovej výnimke (3 dni), nespokojnosť EP  s prístupom DE PRES vyústila do pokračovania rokovaní počas PT PRES.SR zotrváva na svojej pozícii – časová výnimka z predchádzajúcej notifikácie, vymazanie kritéria pracovného času a také riešenie v dávkach v nezamestnanosti, ktoré čo možno najviac posilní zodpovednosť ČŠ posledného zamestnania za dávky pre cezhraničných pracovníkov. Vysoká politická citlivosť pre SR – priamy dopad na dávky občanov a prácu inštitúcií (Sociálna poisťovňa, úrady práce, zdravotné poisťovne).</w:t>
            </w:r>
          </w:p>
        </w:tc>
      </w:tr>
      <w:tr w:rsidR="00E47756" w:rsidRPr="00E47756" w14:paraId="3C3967A6" w14:textId="77777777" w:rsidTr="001A4016">
        <w:tblPrEx>
          <w:tblCellMar>
            <w:top w:w="31" w:type="dxa"/>
          </w:tblCellMar>
        </w:tblPrEx>
        <w:trPr>
          <w:trHeight w:val="756"/>
        </w:trPr>
        <w:tc>
          <w:tcPr>
            <w:tcW w:w="652" w:type="dxa"/>
            <w:gridSpan w:val="2"/>
            <w:tcBorders>
              <w:top w:val="single" w:sz="4" w:space="0" w:color="000000"/>
              <w:left w:val="single" w:sz="4" w:space="0" w:color="000000"/>
              <w:bottom w:val="single" w:sz="4" w:space="0" w:color="000000"/>
              <w:right w:val="single" w:sz="4" w:space="0" w:color="000000"/>
            </w:tcBorders>
          </w:tcPr>
          <w:p w14:paraId="0F58A0EA" w14:textId="77777777" w:rsidR="00E47756" w:rsidRPr="00E47756" w:rsidRDefault="00E47756" w:rsidP="00E47756">
            <w:pPr>
              <w:spacing w:after="0" w:line="240" w:lineRule="auto"/>
              <w:ind w:left="57" w:right="57"/>
              <w:jc w:val="center"/>
            </w:pPr>
            <w:r w:rsidRPr="00E47756">
              <w:rPr>
                <w:sz w:val="20"/>
              </w:rPr>
              <w:t>23.</w:t>
            </w:r>
          </w:p>
        </w:tc>
        <w:tc>
          <w:tcPr>
            <w:tcW w:w="6173" w:type="dxa"/>
            <w:tcBorders>
              <w:top w:val="single" w:sz="4" w:space="0" w:color="000000"/>
              <w:left w:val="single" w:sz="4" w:space="0" w:color="000000"/>
              <w:bottom w:val="single" w:sz="4" w:space="0" w:color="000000"/>
              <w:right w:val="single" w:sz="4" w:space="0" w:color="000000"/>
            </w:tcBorders>
          </w:tcPr>
          <w:p w14:paraId="5621EBE7" w14:textId="77777777" w:rsidR="00E47756" w:rsidRPr="00E47756" w:rsidRDefault="00E47756" w:rsidP="00E47756">
            <w:pPr>
              <w:spacing w:after="0" w:line="240" w:lineRule="auto"/>
              <w:ind w:left="57" w:right="57"/>
            </w:pPr>
            <w:r w:rsidRPr="00E47756">
              <w:rPr>
                <w:sz w:val="20"/>
              </w:rPr>
              <w:t xml:space="preserve">návrh SMERNICA RADY o spoločnom konsolidovanom základe dane z príjmov právnických osôb (CCCTB) </w:t>
            </w:r>
          </w:p>
        </w:tc>
        <w:tc>
          <w:tcPr>
            <w:tcW w:w="1985" w:type="dxa"/>
            <w:tcBorders>
              <w:top w:val="single" w:sz="4" w:space="0" w:color="000000"/>
              <w:left w:val="single" w:sz="4" w:space="0" w:color="000000"/>
              <w:bottom w:val="single" w:sz="4" w:space="0" w:color="000000"/>
              <w:right w:val="single" w:sz="4" w:space="0" w:color="000000"/>
            </w:tcBorders>
          </w:tcPr>
          <w:p w14:paraId="6E63CDEA" w14:textId="77777777" w:rsidR="00E47756" w:rsidRPr="00E47756" w:rsidRDefault="00E47756" w:rsidP="00E47756">
            <w:pPr>
              <w:spacing w:after="0" w:line="240" w:lineRule="auto"/>
              <w:ind w:left="57" w:right="57"/>
            </w:pPr>
            <w:r w:rsidRPr="00E47756">
              <w:rPr>
                <w:sz w:val="20"/>
              </w:rPr>
              <w:t xml:space="preserve">COM(2016) 683 </w:t>
            </w:r>
            <w:proofErr w:type="spellStart"/>
            <w:r w:rsidRPr="00E47756">
              <w:rPr>
                <w:sz w:val="20"/>
              </w:rPr>
              <w:t>final</w:t>
            </w:r>
            <w:proofErr w:type="spellEnd"/>
            <w:r w:rsidRPr="00E47756">
              <w:t xml:space="preserve">  </w:t>
            </w:r>
          </w:p>
          <w:p w14:paraId="05DF716A" w14:textId="77777777" w:rsidR="00E47756" w:rsidRPr="00E47756" w:rsidRDefault="00E47756" w:rsidP="00E47756">
            <w:pPr>
              <w:spacing w:after="0" w:line="240" w:lineRule="auto"/>
              <w:ind w:left="57" w:right="57"/>
            </w:pPr>
            <w:r w:rsidRPr="00E47756">
              <w:rPr>
                <w:sz w:val="20"/>
              </w:rPr>
              <w:t>2016/0336 (CNS)</w:t>
            </w:r>
            <w:r w:rsidRPr="00E47756">
              <w:t xml:space="preserve">  </w:t>
            </w:r>
          </w:p>
          <w:p w14:paraId="680E9618" w14:textId="77777777" w:rsidR="00E47756" w:rsidRPr="00E47756" w:rsidRDefault="00E47756" w:rsidP="00E47756">
            <w:pPr>
              <w:spacing w:after="0" w:line="240" w:lineRule="auto"/>
              <w:ind w:left="57" w:right="57"/>
            </w:pPr>
            <w:r w:rsidRPr="00E47756">
              <w:rPr>
                <w:sz w:val="20"/>
              </w:rPr>
              <w:t xml:space="preserve">26. 10. 2016 </w:t>
            </w:r>
          </w:p>
        </w:tc>
        <w:tc>
          <w:tcPr>
            <w:tcW w:w="1701" w:type="dxa"/>
            <w:tcBorders>
              <w:top w:val="single" w:sz="4" w:space="0" w:color="000000"/>
              <w:left w:val="single" w:sz="4" w:space="0" w:color="000000"/>
              <w:bottom w:val="single" w:sz="4" w:space="0" w:color="000000"/>
              <w:right w:val="single" w:sz="4" w:space="0" w:color="000000"/>
            </w:tcBorders>
          </w:tcPr>
          <w:p w14:paraId="12A10577" w14:textId="77777777" w:rsidR="00E47756" w:rsidRPr="00E47756" w:rsidRDefault="00E47756" w:rsidP="00E47756">
            <w:pPr>
              <w:spacing w:after="0" w:line="240" w:lineRule="auto"/>
              <w:ind w:left="57" w:right="57"/>
              <w:jc w:val="center"/>
              <w:rPr>
                <w:b/>
                <w:sz w:val="20"/>
              </w:rPr>
            </w:pPr>
            <w:r w:rsidRPr="00E47756">
              <w:rPr>
                <w:b/>
                <w:sz w:val="20"/>
              </w:rPr>
              <w:t>MF SR</w:t>
            </w:r>
          </w:p>
        </w:tc>
        <w:tc>
          <w:tcPr>
            <w:tcW w:w="4111" w:type="dxa"/>
            <w:tcBorders>
              <w:top w:val="single" w:sz="4" w:space="0" w:color="000000"/>
              <w:left w:val="single" w:sz="4" w:space="0" w:color="000000"/>
              <w:bottom w:val="single" w:sz="4" w:space="0" w:color="000000"/>
              <w:right w:val="single" w:sz="4" w:space="0" w:color="000000"/>
            </w:tcBorders>
          </w:tcPr>
          <w:p w14:paraId="465B6B8A" w14:textId="77777777" w:rsidR="00E47756" w:rsidRPr="00E47756" w:rsidRDefault="00E47756" w:rsidP="00E47756">
            <w:pPr>
              <w:spacing w:after="0" w:line="240" w:lineRule="auto"/>
              <w:ind w:left="57" w:right="57"/>
              <w:rPr>
                <w:sz w:val="20"/>
              </w:rPr>
            </w:pPr>
            <w:r w:rsidRPr="00E47756">
              <w:rPr>
                <w:b/>
                <w:sz w:val="20"/>
                <w:u w:val="single"/>
              </w:rPr>
              <w:t>Stredná priorita</w:t>
            </w:r>
            <w:r w:rsidRPr="00E47756">
              <w:rPr>
                <w:sz w:val="20"/>
              </w:rPr>
              <w:t xml:space="preserve"> – SR podporuje skúmanie návrhu smernice Rady  o spoločnom konsolidovanom základe dane z príjmov právnických osôb (CCCTB) po ukončení prác na návrhu smernice Rady o spoločnom základe dane z príjmov právnických osôb. Predbežne sa diskusie posúvajú za horizont riešenia modernizácie pravidiel medzinárodného zdaňovania G20/OECD.</w:t>
            </w:r>
          </w:p>
        </w:tc>
      </w:tr>
      <w:tr w:rsidR="00E47756" w:rsidRPr="00E47756" w14:paraId="3C700B4A" w14:textId="77777777" w:rsidTr="001A4016">
        <w:tblPrEx>
          <w:tblCellMar>
            <w:top w:w="31" w:type="dxa"/>
          </w:tblCellMar>
        </w:tblPrEx>
        <w:trPr>
          <w:trHeight w:val="756"/>
        </w:trPr>
        <w:tc>
          <w:tcPr>
            <w:tcW w:w="652" w:type="dxa"/>
            <w:gridSpan w:val="2"/>
            <w:tcBorders>
              <w:top w:val="single" w:sz="4" w:space="0" w:color="000000"/>
              <w:left w:val="single" w:sz="4" w:space="0" w:color="000000"/>
              <w:bottom w:val="single" w:sz="4" w:space="0" w:color="000000"/>
              <w:right w:val="single" w:sz="4" w:space="0" w:color="000000"/>
            </w:tcBorders>
          </w:tcPr>
          <w:p w14:paraId="014A0EF8" w14:textId="77777777" w:rsidR="00E47756" w:rsidRPr="00E47756" w:rsidRDefault="00E47756" w:rsidP="00E47756">
            <w:pPr>
              <w:spacing w:after="0" w:line="240" w:lineRule="auto"/>
              <w:ind w:left="57" w:right="57"/>
              <w:jc w:val="center"/>
            </w:pPr>
            <w:r w:rsidRPr="00E47756">
              <w:rPr>
                <w:sz w:val="20"/>
              </w:rPr>
              <w:lastRenderedPageBreak/>
              <w:t>24.</w:t>
            </w:r>
          </w:p>
        </w:tc>
        <w:tc>
          <w:tcPr>
            <w:tcW w:w="6173" w:type="dxa"/>
            <w:tcBorders>
              <w:top w:val="single" w:sz="4" w:space="0" w:color="000000"/>
              <w:left w:val="single" w:sz="4" w:space="0" w:color="000000"/>
              <w:bottom w:val="single" w:sz="4" w:space="0" w:color="000000"/>
              <w:right w:val="single" w:sz="4" w:space="0" w:color="000000"/>
            </w:tcBorders>
          </w:tcPr>
          <w:p w14:paraId="112CF466" w14:textId="77777777" w:rsidR="00E47756" w:rsidRPr="00E47756" w:rsidRDefault="00E47756" w:rsidP="00E47756">
            <w:pPr>
              <w:spacing w:after="0" w:line="240" w:lineRule="auto"/>
              <w:ind w:left="57" w:right="57"/>
            </w:pPr>
            <w:r w:rsidRPr="00E47756">
              <w:rPr>
                <w:sz w:val="20"/>
              </w:rPr>
              <w:t xml:space="preserve">návrh SMERNICA EURÓPSKEHO PARLAMENTU A RADY, ktorou sa mení smernica 2013/34/EÚ, pokiaľ ide o zverejňovanie informácií o dani z príjmu určitými podnikmi a pobočkami </w:t>
            </w:r>
          </w:p>
        </w:tc>
        <w:tc>
          <w:tcPr>
            <w:tcW w:w="1985" w:type="dxa"/>
            <w:tcBorders>
              <w:top w:val="single" w:sz="4" w:space="0" w:color="000000"/>
              <w:left w:val="single" w:sz="4" w:space="0" w:color="000000"/>
              <w:bottom w:val="single" w:sz="4" w:space="0" w:color="000000"/>
              <w:right w:val="single" w:sz="4" w:space="0" w:color="000000"/>
            </w:tcBorders>
          </w:tcPr>
          <w:p w14:paraId="04A8984B" w14:textId="77777777" w:rsidR="00E47756" w:rsidRPr="00E47756" w:rsidRDefault="00E47756" w:rsidP="00E47756">
            <w:pPr>
              <w:spacing w:after="0" w:line="240" w:lineRule="auto"/>
              <w:ind w:left="57" w:right="57"/>
            </w:pPr>
            <w:r w:rsidRPr="00E47756">
              <w:rPr>
                <w:sz w:val="20"/>
              </w:rPr>
              <w:t xml:space="preserve">COM(2016) 198 </w:t>
            </w:r>
            <w:proofErr w:type="spellStart"/>
            <w:r w:rsidRPr="00E47756">
              <w:rPr>
                <w:sz w:val="20"/>
              </w:rPr>
              <w:t>final</w:t>
            </w:r>
            <w:proofErr w:type="spellEnd"/>
            <w:r w:rsidRPr="00E47756">
              <w:t xml:space="preserve">  </w:t>
            </w:r>
          </w:p>
          <w:p w14:paraId="52E72CCE" w14:textId="77777777" w:rsidR="00E47756" w:rsidRPr="00E47756" w:rsidRDefault="00E47756" w:rsidP="00E47756">
            <w:pPr>
              <w:spacing w:after="0" w:line="240" w:lineRule="auto"/>
              <w:ind w:left="57" w:right="57"/>
            </w:pPr>
            <w:r w:rsidRPr="00E47756">
              <w:rPr>
                <w:sz w:val="20"/>
              </w:rPr>
              <w:t>2016/0107 (COD)</w:t>
            </w:r>
            <w:r w:rsidRPr="00E47756">
              <w:t xml:space="preserve">  </w:t>
            </w:r>
          </w:p>
          <w:p w14:paraId="09AEBBD6" w14:textId="77777777" w:rsidR="00E47756" w:rsidRPr="00E47756" w:rsidRDefault="00E47756" w:rsidP="00E47756">
            <w:pPr>
              <w:spacing w:after="0" w:line="240" w:lineRule="auto"/>
              <w:ind w:left="57" w:right="57"/>
            </w:pPr>
            <w:r w:rsidRPr="00E47756">
              <w:rPr>
                <w:sz w:val="20"/>
              </w:rPr>
              <w:t xml:space="preserve">13. 4. 2016 </w:t>
            </w:r>
          </w:p>
        </w:tc>
        <w:tc>
          <w:tcPr>
            <w:tcW w:w="1701" w:type="dxa"/>
            <w:tcBorders>
              <w:top w:val="single" w:sz="4" w:space="0" w:color="000000"/>
              <w:left w:val="single" w:sz="4" w:space="0" w:color="000000"/>
              <w:bottom w:val="single" w:sz="4" w:space="0" w:color="000000"/>
              <w:right w:val="single" w:sz="4" w:space="0" w:color="000000"/>
            </w:tcBorders>
          </w:tcPr>
          <w:p w14:paraId="0F68A636" w14:textId="77777777" w:rsidR="00E47756" w:rsidRPr="00E47756" w:rsidRDefault="00E47756" w:rsidP="00E47756">
            <w:pPr>
              <w:spacing w:after="0" w:line="240" w:lineRule="auto"/>
              <w:ind w:left="57" w:right="57"/>
              <w:jc w:val="center"/>
              <w:rPr>
                <w:b/>
                <w:sz w:val="20"/>
              </w:rPr>
            </w:pPr>
            <w:r w:rsidRPr="00E47756">
              <w:rPr>
                <w:b/>
                <w:sz w:val="20"/>
              </w:rPr>
              <w:t>MF SR</w:t>
            </w:r>
          </w:p>
        </w:tc>
        <w:tc>
          <w:tcPr>
            <w:tcW w:w="4111" w:type="dxa"/>
            <w:tcBorders>
              <w:top w:val="single" w:sz="4" w:space="0" w:color="000000"/>
              <w:left w:val="single" w:sz="4" w:space="0" w:color="000000"/>
              <w:bottom w:val="single" w:sz="4" w:space="0" w:color="000000"/>
              <w:right w:val="single" w:sz="4" w:space="0" w:color="000000"/>
            </w:tcBorders>
          </w:tcPr>
          <w:p w14:paraId="3CBD1233" w14:textId="77777777" w:rsidR="00E47756" w:rsidRPr="00E47756" w:rsidRDefault="00E47756" w:rsidP="00E47756">
            <w:pPr>
              <w:spacing w:after="0" w:line="240" w:lineRule="auto"/>
              <w:ind w:left="57" w:right="57"/>
              <w:rPr>
                <w:sz w:val="20"/>
                <w:szCs w:val="20"/>
              </w:rPr>
            </w:pPr>
            <w:r w:rsidRPr="00E47756">
              <w:rPr>
                <w:b/>
                <w:bCs/>
                <w:sz w:val="20"/>
                <w:szCs w:val="20"/>
                <w:u w:val="single"/>
              </w:rPr>
              <w:t>Nízka priorita</w:t>
            </w:r>
            <w:r w:rsidRPr="00E47756">
              <w:rPr>
                <w:sz w:val="20"/>
              </w:rPr>
              <w:t xml:space="preserve"> – Cieľom návrhu smernice je zvýšiť transparentnosť nadnárodných spoločností zavedením ich povinnosti verejne zverejňovať vybrané informácie týkajúce sa dane z príjmov podľa krajín (EÚ aj mimo EÚ). Keďže smernica sa má vzťahovať na podniky, ktoré majú konsolidovaný čistý obrat viac ako 750 mil. eur a na stredné podniky, ktorých konečná materská spoločnosť so sídlom mimo EÚ má uvedený obrat, nepredpokladá sa významný vplyv na podniky so sídlom v SR. Vo všeobecnosti SR podporuje iniciatívu zameranú na zvyšovanie transparentnosti. Otvorenou otázkou naďalej ostáva správnosť právneho základu.</w:t>
            </w:r>
          </w:p>
        </w:tc>
      </w:tr>
      <w:tr w:rsidR="00E47756" w:rsidRPr="00E47756" w14:paraId="786459A7" w14:textId="77777777" w:rsidTr="001A4016">
        <w:tblPrEx>
          <w:tblCellMar>
            <w:top w:w="31" w:type="dxa"/>
          </w:tblCellMar>
        </w:tblPrEx>
        <w:trPr>
          <w:trHeight w:val="756"/>
        </w:trPr>
        <w:tc>
          <w:tcPr>
            <w:tcW w:w="652" w:type="dxa"/>
            <w:gridSpan w:val="2"/>
            <w:tcBorders>
              <w:top w:val="single" w:sz="4" w:space="0" w:color="000000"/>
              <w:left w:val="single" w:sz="4" w:space="0" w:color="000000"/>
              <w:bottom w:val="single" w:sz="4" w:space="0" w:color="000000"/>
              <w:right w:val="single" w:sz="4" w:space="0" w:color="000000"/>
            </w:tcBorders>
          </w:tcPr>
          <w:p w14:paraId="316DEAC7" w14:textId="77777777" w:rsidR="00E47756" w:rsidRPr="00E47756" w:rsidRDefault="00E47756" w:rsidP="00E47756">
            <w:pPr>
              <w:spacing w:after="0" w:line="240" w:lineRule="auto"/>
              <w:ind w:left="57" w:right="57"/>
              <w:jc w:val="center"/>
            </w:pPr>
            <w:r w:rsidRPr="00E47756">
              <w:rPr>
                <w:sz w:val="20"/>
              </w:rPr>
              <w:t>25.</w:t>
            </w:r>
          </w:p>
        </w:tc>
        <w:tc>
          <w:tcPr>
            <w:tcW w:w="6173" w:type="dxa"/>
            <w:tcBorders>
              <w:top w:val="single" w:sz="4" w:space="0" w:color="000000"/>
              <w:left w:val="single" w:sz="4" w:space="0" w:color="000000"/>
              <w:bottom w:val="single" w:sz="4" w:space="0" w:color="000000"/>
              <w:right w:val="single" w:sz="4" w:space="0" w:color="000000"/>
            </w:tcBorders>
          </w:tcPr>
          <w:p w14:paraId="60D4A66A" w14:textId="77777777" w:rsidR="00E47756" w:rsidRPr="00E47756" w:rsidRDefault="00E47756" w:rsidP="00E47756">
            <w:pPr>
              <w:spacing w:after="0" w:line="240" w:lineRule="auto"/>
              <w:ind w:left="57" w:right="57"/>
            </w:pPr>
            <w:r w:rsidRPr="00E47756">
              <w:rPr>
                <w:sz w:val="20"/>
              </w:rPr>
              <w:t xml:space="preserve">návrh NARIADENIE EURÓPSKEHO PARLAMENTU A RADY, ktorým sa mení nariadenie (EÚ) č. 806/2014 s cieľom vytvoriť európsky systém ochrany vkladov </w:t>
            </w:r>
          </w:p>
        </w:tc>
        <w:tc>
          <w:tcPr>
            <w:tcW w:w="1985" w:type="dxa"/>
            <w:tcBorders>
              <w:top w:val="single" w:sz="4" w:space="0" w:color="000000"/>
              <w:left w:val="single" w:sz="4" w:space="0" w:color="000000"/>
              <w:bottom w:val="single" w:sz="4" w:space="0" w:color="000000"/>
              <w:right w:val="single" w:sz="4" w:space="0" w:color="000000"/>
            </w:tcBorders>
          </w:tcPr>
          <w:p w14:paraId="59010D58" w14:textId="77777777" w:rsidR="00E47756" w:rsidRPr="00E47756" w:rsidRDefault="00E47756" w:rsidP="00E47756">
            <w:pPr>
              <w:spacing w:after="0" w:line="240" w:lineRule="auto"/>
              <w:ind w:left="57" w:right="57"/>
            </w:pPr>
            <w:r w:rsidRPr="00E47756">
              <w:rPr>
                <w:sz w:val="20"/>
              </w:rPr>
              <w:t xml:space="preserve">COM(2015) 586 </w:t>
            </w:r>
            <w:proofErr w:type="spellStart"/>
            <w:r w:rsidRPr="00E47756">
              <w:rPr>
                <w:sz w:val="20"/>
              </w:rPr>
              <w:t>final</w:t>
            </w:r>
            <w:proofErr w:type="spellEnd"/>
            <w:r w:rsidRPr="00E47756">
              <w:t xml:space="preserve">  </w:t>
            </w:r>
          </w:p>
          <w:p w14:paraId="1869C4D5" w14:textId="77777777" w:rsidR="00E47756" w:rsidRPr="00E47756" w:rsidRDefault="00E47756" w:rsidP="00E47756">
            <w:pPr>
              <w:spacing w:after="0" w:line="240" w:lineRule="auto"/>
              <w:ind w:left="57" w:right="57"/>
            </w:pPr>
            <w:r w:rsidRPr="00E47756">
              <w:rPr>
                <w:sz w:val="20"/>
              </w:rPr>
              <w:t>2015/0270 (COD)</w:t>
            </w:r>
            <w:r w:rsidRPr="00E47756">
              <w:t xml:space="preserve">  </w:t>
            </w:r>
          </w:p>
          <w:p w14:paraId="2CB0ED61" w14:textId="77777777" w:rsidR="00E47756" w:rsidRPr="00E47756" w:rsidRDefault="00E47756" w:rsidP="00E47756">
            <w:pPr>
              <w:spacing w:after="0" w:line="240" w:lineRule="auto"/>
              <w:ind w:left="57" w:right="57"/>
            </w:pPr>
            <w:r w:rsidRPr="00E47756">
              <w:rPr>
                <w:sz w:val="20"/>
              </w:rPr>
              <w:t xml:space="preserve">24. 11. 2015 </w:t>
            </w:r>
          </w:p>
        </w:tc>
        <w:tc>
          <w:tcPr>
            <w:tcW w:w="1701" w:type="dxa"/>
            <w:tcBorders>
              <w:top w:val="single" w:sz="4" w:space="0" w:color="000000"/>
              <w:left w:val="single" w:sz="4" w:space="0" w:color="000000"/>
              <w:bottom w:val="single" w:sz="4" w:space="0" w:color="000000"/>
              <w:right w:val="single" w:sz="4" w:space="0" w:color="000000"/>
            </w:tcBorders>
          </w:tcPr>
          <w:p w14:paraId="1A8F7F74" w14:textId="77777777" w:rsidR="00E47756" w:rsidRPr="00E47756" w:rsidRDefault="00E47756" w:rsidP="00E47756">
            <w:pPr>
              <w:spacing w:after="0" w:line="240" w:lineRule="auto"/>
              <w:ind w:left="57" w:right="57"/>
              <w:jc w:val="center"/>
              <w:rPr>
                <w:sz w:val="20"/>
              </w:rPr>
            </w:pPr>
            <w:r w:rsidRPr="00E47756">
              <w:rPr>
                <w:b/>
                <w:sz w:val="20"/>
              </w:rPr>
              <w:t>MF SR</w:t>
            </w:r>
          </w:p>
        </w:tc>
        <w:tc>
          <w:tcPr>
            <w:tcW w:w="4111" w:type="dxa"/>
            <w:tcBorders>
              <w:top w:val="single" w:sz="4" w:space="0" w:color="000000"/>
              <w:left w:val="single" w:sz="4" w:space="0" w:color="000000"/>
              <w:bottom w:val="single" w:sz="4" w:space="0" w:color="000000"/>
              <w:right w:val="single" w:sz="4" w:space="0" w:color="000000"/>
            </w:tcBorders>
          </w:tcPr>
          <w:p w14:paraId="0E19371F" w14:textId="77777777" w:rsidR="00E47756" w:rsidRPr="00E47756" w:rsidRDefault="00E47756" w:rsidP="00E47756">
            <w:pPr>
              <w:spacing w:after="0" w:line="240" w:lineRule="auto"/>
              <w:ind w:left="57" w:right="57"/>
              <w:rPr>
                <w:sz w:val="20"/>
                <w:szCs w:val="20"/>
              </w:rPr>
            </w:pPr>
            <w:r w:rsidRPr="00E47756">
              <w:rPr>
                <w:b/>
                <w:bCs/>
                <w:sz w:val="20"/>
                <w:szCs w:val="20"/>
                <w:u w:val="single"/>
              </w:rPr>
              <w:t>Stredná priorita</w:t>
            </w:r>
            <w:r w:rsidRPr="00E47756">
              <w:rPr>
                <w:sz w:val="20"/>
              </w:rPr>
              <w:t xml:space="preserve"> – SR podporuje dobudovanie bankovej únie po dostatočnom znížení rizík v bankovom sektore, a to najmä pokiaľ ide o vysoký objem nesplácaných úverov.</w:t>
            </w:r>
          </w:p>
        </w:tc>
      </w:tr>
      <w:tr w:rsidR="00E47756" w:rsidRPr="00E47756" w14:paraId="32FA0313" w14:textId="77777777" w:rsidTr="001A4016">
        <w:tblPrEx>
          <w:tblCellMar>
            <w:top w:w="31" w:type="dxa"/>
          </w:tblCellMar>
        </w:tblPrEx>
        <w:trPr>
          <w:trHeight w:val="766"/>
        </w:trPr>
        <w:tc>
          <w:tcPr>
            <w:tcW w:w="652" w:type="dxa"/>
            <w:gridSpan w:val="2"/>
            <w:tcBorders>
              <w:top w:val="single" w:sz="4" w:space="0" w:color="000000"/>
              <w:left w:val="single" w:sz="4" w:space="0" w:color="000000"/>
              <w:bottom w:val="single" w:sz="4" w:space="0" w:color="auto"/>
              <w:right w:val="single" w:sz="4" w:space="0" w:color="000000"/>
            </w:tcBorders>
          </w:tcPr>
          <w:p w14:paraId="3CD0611E" w14:textId="77777777" w:rsidR="00E47756" w:rsidRPr="00E47756" w:rsidRDefault="00E47756" w:rsidP="00E47756">
            <w:pPr>
              <w:spacing w:after="0" w:line="240" w:lineRule="auto"/>
              <w:ind w:left="57" w:right="57"/>
              <w:jc w:val="center"/>
            </w:pPr>
            <w:r w:rsidRPr="00E47756">
              <w:rPr>
                <w:sz w:val="20"/>
              </w:rPr>
              <w:t>26.</w:t>
            </w:r>
          </w:p>
        </w:tc>
        <w:tc>
          <w:tcPr>
            <w:tcW w:w="6173" w:type="dxa"/>
            <w:tcBorders>
              <w:top w:val="single" w:sz="4" w:space="0" w:color="000000"/>
              <w:left w:val="single" w:sz="4" w:space="0" w:color="000000"/>
              <w:bottom w:val="single" w:sz="4" w:space="0" w:color="auto"/>
              <w:right w:val="single" w:sz="4" w:space="0" w:color="000000"/>
            </w:tcBorders>
          </w:tcPr>
          <w:p w14:paraId="212A82B5" w14:textId="77777777" w:rsidR="00E47756" w:rsidRPr="00E47756" w:rsidRDefault="00E47756" w:rsidP="00E47756">
            <w:pPr>
              <w:spacing w:after="0" w:line="240" w:lineRule="auto"/>
              <w:ind w:left="57" w:right="57"/>
            </w:pPr>
            <w:r w:rsidRPr="00E47756">
              <w:rPr>
                <w:sz w:val="20"/>
              </w:rPr>
              <w:t xml:space="preserve">návrh SMERNICA RADY, ktorou sa vykonáva posilnená spolupráca v oblasti dane z finančných transakcií </w:t>
            </w:r>
          </w:p>
        </w:tc>
        <w:tc>
          <w:tcPr>
            <w:tcW w:w="1985" w:type="dxa"/>
            <w:tcBorders>
              <w:top w:val="single" w:sz="4" w:space="0" w:color="000000"/>
              <w:left w:val="single" w:sz="4" w:space="0" w:color="000000"/>
              <w:bottom w:val="single" w:sz="4" w:space="0" w:color="auto"/>
              <w:right w:val="single" w:sz="4" w:space="0" w:color="000000"/>
            </w:tcBorders>
          </w:tcPr>
          <w:p w14:paraId="76E5262E" w14:textId="77777777" w:rsidR="00E47756" w:rsidRPr="00E47756" w:rsidRDefault="00E47756" w:rsidP="00E47756">
            <w:pPr>
              <w:spacing w:after="0" w:line="240" w:lineRule="auto"/>
              <w:ind w:left="57" w:right="57"/>
            </w:pPr>
            <w:r w:rsidRPr="00E47756">
              <w:rPr>
                <w:sz w:val="20"/>
              </w:rPr>
              <w:t xml:space="preserve">COM(2013) 71 </w:t>
            </w:r>
            <w:proofErr w:type="spellStart"/>
            <w:r w:rsidRPr="00E47756">
              <w:rPr>
                <w:sz w:val="20"/>
              </w:rPr>
              <w:t>final</w:t>
            </w:r>
            <w:proofErr w:type="spellEnd"/>
            <w:r w:rsidRPr="00E47756">
              <w:t xml:space="preserve">  </w:t>
            </w:r>
          </w:p>
          <w:p w14:paraId="4FF6970A" w14:textId="77777777" w:rsidR="00E47756" w:rsidRPr="00E47756" w:rsidRDefault="00E47756" w:rsidP="00E47756">
            <w:pPr>
              <w:spacing w:after="0" w:line="240" w:lineRule="auto"/>
              <w:ind w:left="57" w:right="57"/>
            </w:pPr>
            <w:r w:rsidRPr="00E47756">
              <w:rPr>
                <w:sz w:val="20"/>
              </w:rPr>
              <w:t>2013/0045 (CNS)</w:t>
            </w:r>
            <w:r w:rsidRPr="00E47756">
              <w:t xml:space="preserve">  </w:t>
            </w:r>
          </w:p>
          <w:p w14:paraId="420D3CDD" w14:textId="77777777" w:rsidR="00E47756" w:rsidRPr="00E47756" w:rsidRDefault="00E47756" w:rsidP="00E47756">
            <w:pPr>
              <w:spacing w:after="0" w:line="240" w:lineRule="auto"/>
              <w:ind w:left="57" w:right="57"/>
            </w:pPr>
            <w:r w:rsidRPr="00E47756">
              <w:rPr>
                <w:sz w:val="20"/>
              </w:rPr>
              <w:t xml:space="preserve">14. 2. 2013 </w:t>
            </w:r>
          </w:p>
        </w:tc>
        <w:tc>
          <w:tcPr>
            <w:tcW w:w="1701" w:type="dxa"/>
            <w:tcBorders>
              <w:top w:val="single" w:sz="4" w:space="0" w:color="000000"/>
              <w:left w:val="single" w:sz="4" w:space="0" w:color="000000"/>
              <w:bottom w:val="single" w:sz="4" w:space="0" w:color="auto"/>
              <w:right w:val="single" w:sz="4" w:space="0" w:color="000000"/>
            </w:tcBorders>
          </w:tcPr>
          <w:p w14:paraId="10E4C926" w14:textId="77777777" w:rsidR="00E47756" w:rsidRPr="00E47756" w:rsidRDefault="00E47756" w:rsidP="00E47756">
            <w:pPr>
              <w:spacing w:after="0" w:line="240" w:lineRule="auto"/>
              <w:ind w:left="57" w:right="57"/>
              <w:jc w:val="center"/>
              <w:rPr>
                <w:sz w:val="20"/>
              </w:rPr>
            </w:pPr>
            <w:r w:rsidRPr="00E47756">
              <w:rPr>
                <w:b/>
                <w:sz w:val="20"/>
              </w:rPr>
              <w:t>MF SR</w:t>
            </w:r>
          </w:p>
        </w:tc>
        <w:tc>
          <w:tcPr>
            <w:tcW w:w="4111" w:type="dxa"/>
            <w:tcBorders>
              <w:top w:val="single" w:sz="4" w:space="0" w:color="000000"/>
              <w:left w:val="single" w:sz="4" w:space="0" w:color="000000"/>
              <w:bottom w:val="single" w:sz="4" w:space="0" w:color="auto"/>
              <w:right w:val="single" w:sz="4" w:space="0" w:color="000000"/>
            </w:tcBorders>
          </w:tcPr>
          <w:p w14:paraId="0B14AB3D" w14:textId="1ED23774" w:rsidR="000A3081" w:rsidRPr="00F46B8A" w:rsidRDefault="00E47756" w:rsidP="00F46B8A">
            <w:pPr>
              <w:spacing w:after="0" w:line="240" w:lineRule="auto"/>
              <w:ind w:left="57" w:right="57"/>
              <w:rPr>
                <w:sz w:val="20"/>
              </w:rPr>
            </w:pPr>
            <w:r w:rsidRPr="00E47756">
              <w:rPr>
                <w:b/>
                <w:bCs/>
                <w:sz w:val="20"/>
                <w:szCs w:val="20"/>
                <w:u w:val="single"/>
              </w:rPr>
              <w:t>Stredná priorita</w:t>
            </w:r>
            <w:r w:rsidRPr="00E47756">
              <w:rPr>
                <w:sz w:val="20"/>
              </w:rPr>
              <w:t xml:space="preserve"> – SR má záujem o zavedenie smernice v rámci posilnenej spolupráce v oblasti dane z finančných transakcií avšak nie bezvýhradne.</w:t>
            </w:r>
          </w:p>
        </w:tc>
      </w:tr>
      <w:tr w:rsidR="00E47756" w:rsidRPr="00E47756" w14:paraId="0ACDE607" w14:textId="77777777" w:rsidTr="001A4016">
        <w:tblPrEx>
          <w:tblCellMar>
            <w:top w:w="31" w:type="dxa"/>
          </w:tblCellMar>
        </w:tblPrEx>
        <w:trPr>
          <w:trHeight w:val="394"/>
        </w:trPr>
        <w:tc>
          <w:tcPr>
            <w:tcW w:w="8810" w:type="dxa"/>
            <w:gridSpan w:val="4"/>
            <w:tcBorders>
              <w:top w:val="single" w:sz="4" w:space="0" w:color="auto"/>
              <w:left w:val="single" w:sz="4" w:space="0" w:color="auto"/>
              <w:bottom w:val="single" w:sz="4" w:space="0" w:color="auto"/>
              <w:right w:val="single" w:sz="4" w:space="0" w:color="000000"/>
            </w:tcBorders>
            <w:shd w:val="clear" w:color="auto" w:fill="585EAA"/>
          </w:tcPr>
          <w:p w14:paraId="3C54C76B" w14:textId="77777777" w:rsidR="00E47756" w:rsidRPr="00E47756" w:rsidRDefault="00E47756" w:rsidP="00E47756">
            <w:pPr>
              <w:spacing w:after="0"/>
            </w:pPr>
            <w:r w:rsidRPr="00E47756">
              <w:rPr>
                <w:b/>
                <w:sz w:val="20"/>
              </w:rPr>
              <w:t>Silnejšia Európa vo svete</w:t>
            </w:r>
            <w:r w:rsidRPr="00E47756">
              <w:rPr>
                <w:sz w:val="20"/>
              </w:rPr>
              <w:t xml:space="preserve"> </w:t>
            </w:r>
          </w:p>
        </w:tc>
        <w:tc>
          <w:tcPr>
            <w:tcW w:w="1701" w:type="dxa"/>
            <w:tcBorders>
              <w:top w:val="single" w:sz="4" w:space="0" w:color="auto"/>
              <w:left w:val="single" w:sz="4" w:space="0" w:color="000000"/>
              <w:bottom w:val="single" w:sz="4" w:space="0" w:color="auto"/>
              <w:right w:val="single" w:sz="4" w:space="0" w:color="000000"/>
            </w:tcBorders>
            <w:shd w:val="clear" w:color="auto" w:fill="585EAA"/>
          </w:tcPr>
          <w:p w14:paraId="1B7333B5" w14:textId="77777777" w:rsidR="00E47756" w:rsidRPr="00E47756" w:rsidRDefault="00E47756" w:rsidP="00E47756">
            <w:pPr>
              <w:spacing w:after="0"/>
              <w:rPr>
                <w:b/>
                <w:sz w:val="20"/>
              </w:rPr>
            </w:pPr>
          </w:p>
        </w:tc>
        <w:tc>
          <w:tcPr>
            <w:tcW w:w="4111" w:type="dxa"/>
            <w:tcBorders>
              <w:top w:val="single" w:sz="4" w:space="0" w:color="auto"/>
              <w:left w:val="single" w:sz="4" w:space="0" w:color="000000"/>
              <w:bottom w:val="single" w:sz="4" w:space="0" w:color="auto"/>
              <w:right w:val="single" w:sz="4" w:space="0" w:color="auto"/>
            </w:tcBorders>
            <w:shd w:val="clear" w:color="auto" w:fill="585EAA"/>
          </w:tcPr>
          <w:p w14:paraId="2D936672" w14:textId="77777777" w:rsidR="00E47756" w:rsidRPr="00E47756" w:rsidRDefault="00E47756" w:rsidP="00E47756">
            <w:pPr>
              <w:spacing w:after="0"/>
              <w:rPr>
                <w:b/>
                <w:sz w:val="20"/>
              </w:rPr>
            </w:pPr>
          </w:p>
        </w:tc>
      </w:tr>
      <w:tr w:rsidR="00E47756" w:rsidRPr="00E47756" w14:paraId="2278B9DB" w14:textId="77777777" w:rsidTr="001A4016">
        <w:tblPrEx>
          <w:tblCellMar>
            <w:top w:w="31" w:type="dxa"/>
          </w:tblCellMar>
        </w:tblPrEx>
        <w:trPr>
          <w:trHeight w:val="768"/>
        </w:trPr>
        <w:tc>
          <w:tcPr>
            <w:tcW w:w="652" w:type="dxa"/>
            <w:gridSpan w:val="2"/>
            <w:tcBorders>
              <w:top w:val="single" w:sz="4" w:space="0" w:color="auto"/>
              <w:left w:val="single" w:sz="4" w:space="0" w:color="000000"/>
              <w:bottom w:val="single" w:sz="4" w:space="0" w:color="000000"/>
              <w:right w:val="single" w:sz="4" w:space="0" w:color="000000"/>
            </w:tcBorders>
          </w:tcPr>
          <w:p w14:paraId="17FE6061" w14:textId="77777777" w:rsidR="00E47756" w:rsidRPr="00E47756" w:rsidRDefault="00E47756" w:rsidP="00E47756">
            <w:pPr>
              <w:spacing w:after="0" w:line="240" w:lineRule="auto"/>
              <w:ind w:left="57" w:right="57"/>
              <w:jc w:val="center"/>
            </w:pPr>
            <w:r w:rsidRPr="00E47756">
              <w:rPr>
                <w:sz w:val="20"/>
              </w:rPr>
              <w:t>27.</w:t>
            </w:r>
          </w:p>
        </w:tc>
        <w:tc>
          <w:tcPr>
            <w:tcW w:w="6173" w:type="dxa"/>
            <w:tcBorders>
              <w:top w:val="single" w:sz="4" w:space="0" w:color="auto"/>
              <w:left w:val="single" w:sz="4" w:space="0" w:color="000000"/>
              <w:bottom w:val="single" w:sz="4" w:space="0" w:color="000000"/>
              <w:right w:val="single" w:sz="4" w:space="0" w:color="000000"/>
            </w:tcBorders>
          </w:tcPr>
          <w:p w14:paraId="14C427CE" w14:textId="77777777" w:rsidR="00E47756" w:rsidRPr="00E47756" w:rsidRDefault="00E47756" w:rsidP="00E47756">
            <w:pPr>
              <w:spacing w:after="0" w:line="240" w:lineRule="auto"/>
              <w:ind w:left="57" w:right="57"/>
            </w:pPr>
            <w:r w:rsidRPr="00E47756">
              <w:rPr>
                <w:sz w:val="20"/>
              </w:rPr>
              <w:t xml:space="preserve">návrh NARIADENIE EURÓPSKEHO PARLAMENTU A RADY, ktorým sa mení nariadenie Rady (ES) č. 1215/2009, ktorým sa zavádzajú výnimočné obchodné opatrenia pre krajiny a územia zúčastňujúce sa na procese stabilizácie a pristúpenia k Európskej únii </w:t>
            </w:r>
          </w:p>
        </w:tc>
        <w:tc>
          <w:tcPr>
            <w:tcW w:w="1985" w:type="dxa"/>
            <w:tcBorders>
              <w:top w:val="single" w:sz="4" w:space="0" w:color="auto"/>
              <w:left w:val="single" w:sz="4" w:space="0" w:color="000000"/>
              <w:bottom w:val="single" w:sz="4" w:space="0" w:color="000000"/>
              <w:right w:val="single" w:sz="4" w:space="0" w:color="000000"/>
            </w:tcBorders>
          </w:tcPr>
          <w:p w14:paraId="4437D703" w14:textId="77777777" w:rsidR="00E47756" w:rsidRPr="00E47756" w:rsidRDefault="00E47756" w:rsidP="00E47756">
            <w:pPr>
              <w:spacing w:after="0" w:line="240" w:lineRule="auto"/>
              <w:ind w:left="57" w:right="57"/>
            </w:pPr>
            <w:r w:rsidRPr="00E47756">
              <w:rPr>
                <w:sz w:val="20"/>
              </w:rPr>
              <w:t xml:space="preserve">COM(2020) 135 </w:t>
            </w:r>
            <w:proofErr w:type="spellStart"/>
            <w:r w:rsidRPr="00E47756">
              <w:rPr>
                <w:sz w:val="20"/>
              </w:rPr>
              <w:t>final</w:t>
            </w:r>
            <w:proofErr w:type="spellEnd"/>
            <w:r w:rsidRPr="00E47756">
              <w:t xml:space="preserve">  </w:t>
            </w:r>
          </w:p>
          <w:p w14:paraId="2D406B61" w14:textId="77777777" w:rsidR="00E47756" w:rsidRPr="00E47756" w:rsidRDefault="00E47756" w:rsidP="00E47756">
            <w:pPr>
              <w:spacing w:after="0" w:line="240" w:lineRule="auto"/>
              <w:ind w:left="57" w:right="57"/>
            </w:pPr>
            <w:r w:rsidRPr="00E47756">
              <w:rPr>
                <w:sz w:val="20"/>
              </w:rPr>
              <w:t>2020/0051 (COD)</w:t>
            </w:r>
            <w:r w:rsidRPr="00E47756">
              <w:t xml:space="preserve">  </w:t>
            </w:r>
          </w:p>
          <w:p w14:paraId="1B642130" w14:textId="77777777" w:rsidR="00E47756" w:rsidRPr="00E47756" w:rsidRDefault="00E47756" w:rsidP="00E47756">
            <w:pPr>
              <w:spacing w:after="0" w:line="240" w:lineRule="auto"/>
              <w:ind w:left="57" w:right="57"/>
            </w:pPr>
            <w:r w:rsidRPr="00E47756">
              <w:rPr>
                <w:sz w:val="20"/>
              </w:rPr>
              <w:t xml:space="preserve">3. 4. 2020 </w:t>
            </w:r>
          </w:p>
        </w:tc>
        <w:tc>
          <w:tcPr>
            <w:tcW w:w="1701" w:type="dxa"/>
            <w:tcBorders>
              <w:top w:val="single" w:sz="4" w:space="0" w:color="auto"/>
              <w:left w:val="single" w:sz="4" w:space="0" w:color="000000"/>
              <w:bottom w:val="single" w:sz="4" w:space="0" w:color="000000"/>
              <w:right w:val="single" w:sz="4" w:space="0" w:color="000000"/>
            </w:tcBorders>
          </w:tcPr>
          <w:p w14:paraId="6B59E3B6" w14:textId="77777777" w:rsidR="00E47756" w:rsidRPr="00E47756" w:rsidRDefault="00E47756" w:rsidP="00E47756">
            <w:pPr>
              <w:spacing w:after="0" w:line="240" w:lineRule="auto"/>
              <w:ind w:left="57" w:right="57"/>
              <w:jc w:val="center"/>
              <w:rPr>
                <w:b/>
                <w:sz w:val="20"/>
              </w:rPr>
            </w:pPr>
            <w:r w:rsidRPr="00E47756">
              <w:rPr>
                <w:b/>
                <w:sz w:val="20"/>
              </w:rPr>
              <w:t xml:space="preserve">MH SR </w:t>
            </w:r>
          </w:p>
        </w:tc>
        <w:tc>
          <w:tcPr>
            <w:tcW w:w="4111" w:type="dxa"/>
            <w:tcBorders>
              <w:top w:val="single" w:sz="4" w:space="0" w:color="auto"/>
              <w:left w:val="single" w:sz="4" w:space="0" w:color="000000"/>
              <w:bottom w:val="single" w:sz="4" w:space="0" w:color="000000"/>
              <w:right w:val="single" w:sz="4" w:space="0" w:color="000000"/>
            </w:tcBorders>
          </w:tcPr>
          <w:p w14:paraId="72819C93" w14:textId="77777777" w:rsidR="00E47756" w:rsidRPr="00E47756" w:rsidRDefault="00E47756" w:rsidP="00E47756">
            <w:pPr>
              <w:spacing w:after="0" w:line="240" w:lineRule="auto"/>
              <w:ind w:left="57" w:right="57"/>
              <w:rPr>
                <w:sz w:val="20"/>
                <w:szCs w:val="20"/>
              </w:rPr>
            </w:pPr>
            <w:r w:rsidRPr="00E47756">
              <w:rPr>
                <w:b/>
                <w:bCs/>
                <w:sz w:val="20"/>
                <w:szCs w:val="20"/>
                <w:u w:val="single"/>
              </w:rPr>
              <w:t>Nízka  priorita</w:t>
            </w:r>
            <w:r w:rsidRPr="00E47756">
              <w:rPr>
                <w:sz w:val="20"/>
                <w:szCs w:val="20"/>
              </w:rPr>
              <w:t xml:space="preserve"> </w:t>
            </w:r>
          </w:p>
          <w:p w14:paraId="71609D20" w14:textId="77777777" w:rsidR="00E47756" w:rsidRPr="00E47756" w:rsidRDefault="00E47756" w:rsidP="00E47756">
            <w:pPr>
              <w:spacing w:after="0" w:line="240" w:lineRule="auto"/>
              <w:ind w:left="57" w:right="57"/>
              <w:rPr>
                <w:b/>
                <w:sz w:val="20"/>
                <w:highlight w:val="yellow"/>
              </w:rPr>
            </w:pPr>
          </w:p>
        </w:tc>
      </w:tr>
      <w:tr w:rsidR="00E47756" w:rsidRPr="00E47756" w14:paraId="2D43BDC0" w14:textId="77777777" w:rsidTr="001A4016">
        <w:tblPrEx>
          <w:tblCellMar>
            <w:top w:w="31" w:type="dxa"/>
          </w:tblCellMar>
        </w:tblPrEx>
        <w:trPr>
          <w:trHeight w:val="756"/>
        </w:trPr>
        <w:tc>
          <w:tcPr>
            <w:tcW w:w="652" w:type="dxa"/>
            <w:gridSpan w:val="2"/>
            <w:tcBorders>
              <w:top w:val="single" w:sz="4" w:space="0" w:color="000000"/>
              <w:left w:val="single" w:sz="4" w:space="0" w:color="000000"/>
              <w:bottom w:val="single" w:sz="4" w:space="0" w:color="000000"/>
              <w:right w:val="single" w:sz="4" w:space="0" w:color="000000"/>
            </w:tcBorders>
          </w:tcPr>
          <w:p w14:paraId="0C7EC953" w14:textId="77777777" w:rsidR="00E47756" w:rsidRPr="00E47756" w:rsidRDefault="00E47756" w:rsidP="00E47756">
            <w:pPr>
              <w:spacing w:after="0" w:line="240" w:lineRule="auto"/>
              <w:ind w:left="57" w:right="57"/>
              <w:jc w:val="center"/>
            </w:pPr>
            <w:r w:rsidRPr="00E47756">
              <w:rPr>
                <w:sz w:val="20"/>
              </w:rPr>
              <w:t>28.</w:t>
            </w:r>
          </w:p>
        </w:tc>
        <w:tc>
          <w:tcPr>
            <w:tcW w:w="6173" w:type="dxa"/>
            <w:tcBorders>
              <w:top w:val="single" w:sz="4" w:space="0" w:color="000000"/>
              <w:left w:val="single" w:sz="4" w:space="0" w:color="000000"/>
              <w:bottom w:val="single" w:sz="4" w:space="0" w:color="000000"/>
              <w:right w:val="single" w:sz="4" w:space="0" w:color="000000"/>
            </w:tcBorders>
          </w:tcPr>
          <w:p w14:paraId="76FE228E" w14:textId="77777777" w:rsidR="00E47756" w:rsidRPr="00E47756" w:rsidRDefault="00E47756" w:rsidP="00E47756">
            <w:pPr>
              <w:spacing w:after="0" w:line="240" w:lineRule="auto"/>
              <w:ind w:left="57" w:right="57"/>
            </w:pPr>
            <w:r w:rsidRPr="00E47756">
              <w:rPr>
                <w:sz w:val="20"/>
              </w:rPr>
              <w:t xml:space="preserve">návrh NARIADENIE EURÓPSKEHO PARLAMENTU A RADY, ktorým sa mení nariadenie Európskeho parlamentu a Rady (EÚ) č. 654/2014 o výkone práv Únie na účely uplatňovania a presadzovania pravidiel medzinárodného obchodu </w:t>
            </w:r>
          </w:p>
        </w:tc>
        <w:tc>
          <w:tcPr>
            <w:tcW w:w="1985" w:type="dxa"/>
            <w:tcBorders>
              <w:top w:val="single" w:sz="4" w:space="0" w:color="000000"/>
              <w:left w:val="single" w:sz="4" w:space="0" w:color="000000"/>
              <w:bottom w:val="single" w:sz="4" w:space="0" w:color="000000"/>
              <w:right w:val="single" w:sz="4" w:space="0" w:color="000000"/>
            </w:tcBorders>
          </w:tcPr>
          <w:p w14:paraId="0E80A4A4" w14:textId="77777777" w:rsidR="00E47756" w:rsidRPr="00E47756" w:rsidRDefault="00E47756" w:rsidP="00E47756">
            <w:pPr>
              <w:spacing w:after="0" w:line="240" w:lineRule="auto"/>
              <w:ind w:left="57" w:right="57"/>
            </w:pPr>
            <w:r w:rsidRPr="00E47756">
              <w:rPr>
                <w:sz w:val="20"/>
              </w:rPr>
              <w:t xml:space="preserve">COM(2019) 623 </w:t>
            </w:r>
            <w:proofErr w:type="spellStart"/>
            <w:r w:rsidRPr="00E47756">
              <w:rPr>
                <w:sz w:val="20"/>
              </w:rPr>
              <w:t>final</w:t>
            </w:r>
            <w:proofErr w:type="spellEnd"/>
            <w:r w:rsidRPr="00E47756">
              <w:t xml:space="preserve">  </w:t>
            </w:r>
          </w:p>
          <w:p w14:paraId="7838CF36" w14:textId="77777777" w:rsidR="00E47756" w:rsidRPr="00E47756" w:rsidRDefault="00E47756" w:rsidP="00E47756">
            <w:pPr>
              <w:spacing w:after="0" w:line="240" w:lineRule="auto"/>
              <w:ind w:left="57" w:right="57"/>
            </w:pPr>
            <w:r w:rsidRPr="00E47756">
              <w:rPr>
                <w:sz w:val="20"/>
              </w:rPr>
              <w:t>2019/0273 (COD)</w:t>
            </w:r>
            <w:r w:rsidRPr="00E47756">
              <w:t xml:space="preserve">  </w:t>
            </w:r>
          </w:p>
          <w:p w14:paraId="36724E31" w14:textId="77777777" w:rsidR="00E47756" w:rsidRPr="00E47756" w:rsidRDefault="00E47756" w:rsidP="00E47756">
            <w:pPr>
              <w:spacing w:after="0" w:line="240" w:lineRule="auto"/>
              <w:ind w:left="57" w:right="57"/>
            </w:pPr>
            <w:r w:rsidRPr="00E47756">
              <w:rPr>
                <w:sz w:val="20"/>
              </w:rPr>
              <w:t xml:space="preserve">12. 12. 2019 </w:t>
            </w:r>
          </w:p>
        </w:tc>
        <w:tc>
          <w:tcPr>
            <w:tcW w:w="1701" w:type="dxa"/>
            <w:tcBorders>
              <w:top w:val="single" w:sz="4" w:space="0" w:color="000000"/>
              <w:left w:val="single" w:sz="4" w:space="0" w:color="000000"/>
              <w:bottom w:val="single" w:sz="4" w:space="0" w:color="000000"/>
              <w:right w:val="single" w:sz="4" w:space="0" w:color="000000"/>
            </w:tcBorders>
          </w:tcPr>
          <w:p w14:paraId="5A2E8624" w14:textId="77777777" w:rsidR="00E47756" w:rsidRPr="00E47756" w:rsidRDefault="00E47756" w:rsidP="00E47756">
            <w:pPr>
              <w:spacing w:after="0" w:line="240" w:lineRule="auto"/>
              <w:ind w:left="57" w:right="57"/>
              <w:jc w:val="center"/>
              <w:rPr>
                <w:b/>
                <w:sz w:val="20"/>
              </w:rPr>
            </w:pPr>
            <w:r w:rsidRPr="00E47756">
              <w:rPr>
                <w:b/>
                <w:sz w:val="20"/>
              </w:rPr>
              <w:t xml:space="preserve">MH SR </w:t>
            </w:r>
          </w:p>
        </w:tc>
        <w:tc>
          <w:tcPr>
            <w:tcW w:w="4111" w:type="dxa"/>
            <w:tcBorders>
              <w:top w:val="single" w:sz="4" w:space="0" w:color="000000"/>
              <w:left w:val="single" w:sz="4" w:space="0" w:color="000000"/>
              <w:bottom w:val="single" w:sz="4" w:space="0" w:color="000000"/>
              <w:right w:val="single" w:sz="4" w:space="0" w:color="000000"/>
            </w:tcBorders>
          </w:tcPr>
          <w:p w14:paraId="485CDAD3" w14:textId="56C07897" w:rsidR="00E47756" w:rsidRPr="00AC771C" w:rsidRDefault="00AC771C" w:rsidP="00AC771C">
            <w:pPr>
              <w:spacing w:after="0" w:line="240" w:lineRule="auto"/>
              <w:ind w:left="57" w:right="57"/>
              <w:rPr>
                <w:sz w:val="20"/>
                <w:szCs w:val="20"/>
              </w:rPr>
            </w:pPr>
            <w:r>
              <w:rPr>
                <w:b/>
                <w:bCs/>
                <w:sz w:val="20"/>
                <w:szCs w:val="20"/>
                <w:u w:val="single"/>
              </w:rPr>
              <w:t xml:space="preserve">Nízka </w:t>
            </w:r>
            <w:r w:rsidR="00E47756" w:rsidRPr="00E47756">
              <w:rPr>
                <w:b/>
                <w:bCs/>
                <w:sz w:val="20"/>
                <w:szCs w:val="20"/>
                <w:u w:val="single"/>
              </w:rPr>
              <w:t>priorita</w:t>
            </w:r>
            <w:r w:rsidR="00E47756" w:rsidRPr="00E47756">
              <w:rPr>
                <w:sz w:val="20"/>
                <w:szCs w:val="20"/>
              </w:rPr>
              <w:t xml:space="preserve"> </w:t>
            </w:r>
            <w:r>
              <w:rPr>
                <w:sz w:val="20"/>
                <w:szCs w:val="20"/>
              </w:rPr>
              <w:t xml:space="preserve">- </w:t>
            </w:r>
            <w:r w:rsidRPr="00BA47F5">
              <w:rPr>
                <w:sz w:val="20"/>
                <w:szCs w:val="20"/>
              </w:rPr>
              <w:t>Cieľom revidovaného nariadenia je lepšie chrániť obchodné záujmy EÚ a práva v kontexte nefu</w:t>
            </w:r>
            <w:r>
              <w:rPr>
                <w:sz w:val="20"/>
                <w:szCs w:val="20"/>
              </w:rPr>
              <w:t xml:space="preserve">nkčného Odvolacieho orgánu WTO. </w:t>
            </w:r>
            <w:r w:rsidRPr="00BA47F5">
              <w:rPr>
                <w:sz w:val="20"/>
                <w:szCs w:val="20"/>
              </w:rPr>
              <w:t xml:space="preserve">V tejto súvislosti bolo potrebné aktualizovať existujúce pravidlá, aby </w:t>
            </w:r>
            <w:r>
              <w:rPr>
                <w:sz w:val="20"/>
                <w:szCs w:val="20"/>
              </w:rPr>
              <w:t xml:space="preserve">EÚ </w:t>
            </w:r>
            <w:r w:rsidRPr="00BA47F5">
              <w:rPr>
                <w:sz w:val="20"/>
                <w:szCs w:val="20"/>
              </w:rPr>
              <w:t>mohla  zaviesť protiopatrenia, ak získa priaznivé rozhodnutie panelu vo WTO</w:t>
            </w:r>
            <w:r>
              <w:rPr>
                <w:sz w:val="20"/>
                <w:szCs w:val="20"/>
              </w:rPr>
              <w:t>, ale druhá strana sa odvolá na dočasne nefungujúci odvolací orgán,</w:t>
            </w:r>
            <w:r w:rsidRPr="00BA47F5">
              <w:rPr>
                <w:sz w:val="20"/>
                <w:szCs w:val="20"/>
              </w:rPr>
              <w:t xml:space="preserve"> </w:t>
            </w:r>
            <w:r w:rsidRPr="00BA47F5">
              <w:rPr>
                <w:sz w:val="20"/>
                <w:szCs w:val="20"/>
              </w:rPr>
              <w:lastRenderedPageBreak/>
              <w:t xml:space="preserve">a tým spor zablokuje. Nariadenie súčasne zaručuje, že EÚ si bude môcť vymôcť svoje práva v rámci mechanizmu riešenia sporov, </w:t>
            </w:r>
            <w:r>
              <w:rPr>
                <w:sz w:val="20"/>
                <w:szCs w:val="20"/>
              </w:rPr>
              <w:t xml:space="preserve">ktorý je súčasťou bilaterálnych </w:t>
            </w:r>
            <w:r w:rsidRPr="00BA47F5">
              <w:rPr>
                <w:sz w:val="20"/>
                <w:szCs w:val="20"/>
              </w:rPr>
              <w:t xml:space="preserve">a regionálnych obchodných dohôd. </w:t>
            </w:r>
            <w:r>
              <w:rPr>
                <w:sz w:val="20"/>
                <w:szCs w:val="20"/>
              </w:rPr>
              <w:t>EÚ</w:t>
            </w:r>
            <w:r w:rsidRPr="00BA47F5">
              <w:rPr>
                <w:sz w:val="20"/>
                <w:szCs w:val="20"/>
              </w:rPr>
              <w:t xml:space="preserve"> bude mať právo prijať protiopatrenia, ak obchodný partner zavedie neoprávnené opatrenia a následne bude blokovať riešenie sporu v rámci príslušnej dohody.</w:t>
            </w:r>
          </w:p>
        </w:tc>
      </w:tr>
      <w:tr w:rsidR="00E47756" w:rsidRPr="00E47756" w14:paraId="34F5AA61" w14:textId="77777777" w:rsidTr="001A4016">
        <w:tblPrEx>
          <w:tblCellMar>
            <w:top w:w="31" w:type="dxa"/>
          </w:tblCellMar>
        </w:tblPrEx>
        <w:trPr>
          <w:trHeight w:val="925"/>
        </w:trPr>
        <w:tc>
          <w:tcPr>
            <w:tcW w:w="652" w:type="dxa"/>
            <w:gridSpan w:val="2"/>
            <w:tcBorders>
              <w:top w:val="single" w:sz="4" w:space="0" w:color="000000"/>
              <w:left w:val="single" w:sz="4" w:space="0" w:color="000000"/>
              <w:bottom w:val="single" w:sz="4" w:space="0" w:color="000000"/>
              <w:right w:val="single" w:sz="4" w:space="0" w:color="000000"/>
            </w:tcBorders>
          </w:tcPr>
          <w:p w14:paraId="1AD33436" w14:textId="77777777" w:rsidR="00E47756" w:rsidRPr="00E47756" w:rsidRDefault="00E47756" w:rsidP="00E47756">
            <w:pPr>
              <w:spacing w:after="0" w:line="240" w:lineRule="auto"/>
              <w:ind w:left="57" w:right="57"/>
              <w:jc w:val="center"/>
            </w:pPr>
            <w:r w:rsidRPr="00E47756">
              <w:rPr>
                <w:sz w:val="20"/>
              </w:rPr>
              <w:lastRenderedPageBreak/>
              <w:t>29.</w:t>
            </w:r>
          </w:p>
        </w:tc>
        <w:tc>
          <w:tcPr>
            <w:tcW w:w="6173" w:type="dxa"/>
            <w:tcBorders>
              <w:top w:val="single" w:sz="4" w:space="0" w:color="000000"/>
              <w:left w:val="single" w:sz="4" w:space="0" w:color="000000"/>
              <w:bottom w:val="single" w:sz="4" w:space="0" w:color="000000"/>
              <w:right w:val="single" w:sz="4" w:space="0" w:color="000000"/>
            </w:tcBorders>
          </w:tcPr>
          <w:p w14:paraId="3386BDB4" w14:textId="77777777" w:rsidR="00E47756" w:rsidRPr="00E47756" w:rsidRDefault="00E47756" w:rsidP="00E47756">
            <w:pPr>
              <w:spacing w:after="0" w:line="240" w:lineRule="auto"/>
              <w:ind w:left="57" w:right="57"/>
            </w:pPr>
            <w:r w:rsidRPr="00E47756">
              <w:rPr>
                <w:sz w:val="20"/>
              </w:rPr>
              <w:t xml:space="preserve">návrh NARIADENIE EURÓPSKEHO PARLAMENTU A RADY, ktorým sa stanovuje režim Únie na kontrolu vývozov, transferu, sprostredkovania, technickej pomoci a tranzitu položiek s dvojakým použitím (prepracované znenie)  </w:t>
            </w:r>
          </w:p>
        </w:tc>
        <w:tc>
          <w:tcPr>
            <w:tcW w:w="1985" w:type="dxa"/>
            <w:tcBorders>
              <w:top w:val="single" w:sz="4" w:space="0" w:color="000000"/>
              <w:left w:val="single" w:sz="4" w:space="0" w:color="000000"/>
              <w:bottom w:val="single" w:sz="4" w:space="0" w:color="000000"/>
              <w:right w:val="single" w:sz="4" w:space="0" w:color="000000"/>
            </w:tcBorders>
          </w:tcPr>
          <w:p w14:paraId="5328842C" w14:textId="77777777" w:rsidR="00E47756" w:rsidRPr="00E47756" w:rsidRDefault="00E47756" w:rsidP="00E47756">
            <w:pPr>
              <w:spacing w:after="0" w:line="240" w:lineRule="auto"/>
              <w:ind w:left="57" w:right="57"/>
            </w:pPr>
            <w:r w:rsidRPr="00E47756">
              <w:rPr>
                <w:sz w:val="20"/>
              </w:rPr>
              <w:t xml:space="preserve">COM(2016) 616 </w:t>
            </w:r>
            <w:proofErr w:type="spellStart"/>
            <w:r w:rsidRPr="00E47756">
              <w:rPr>
                <w:sz w:val="20"/>
              </w:rPr>
              <w:t>final</w:t>
            </w:r>
            <w:proofErr w:type="spellEnd"/>
            <w:r w:rsidRPr="00E47756">
              <w:t xml:space="preserve">  </w:t>
            </w:r>
          </w:p>
          <w:p w14:paraId="54636765" w14:textId="77777777" w:rsidR="00E47756" w:rsidRPr="00E47756" w:rsidRDefault="00E47756" w:rsidP="00E47756">
            <w:pPr>
              <w:spacing w:after="0" w:line="240" w:lineRule="auto"/>
              <w:ind w:left="57" w:right="57"/>
            </w:pPr>
            <w:r w:rsidRPr="00E47756">
              <w:rPr>
                <w:sz w:val="20"/>
              </w:rPr>
              <w:t>2016/0295 (COD)</w:t>
            </w:r>
            <w:r w:rsidRPr="00E47756">
              <w:t xml:space="preserve">  </w:t>
            </w:r>
          </w:p>
          <w:p w14:paraId="04827E9D" w14:textId="77777777" w:rsidR="00E47756" w:rsidRPr="00E47756" w:rsidRDefault="00E47756" w:rsidP="00E47756">
            <w:pPr>
              <w:spacing w:after="0" w:line="240" w:lineRule="auto"/>
              <w:ind w:left="57" w:right="57"/>
            </w:pPr>
            <w:r w:rsidRPr="00E47756">
              <w:rPr>
                <w:sz w:val="20"/>
              </w:rPr>
              <w:t xml:space="preserve">28. 9. 2016 </w:t>
            </w:r>
          </w:p>
        </w:tc>
        <w:tc>
          <w:tcPr>
            <w:tcW w:w="1701" w:type="dxa"/>
            <w:tcBorders>
              <w:top w:val="single" w:sz="4" w:space="0" w:color="000000"/>
              <w:left w:val="single" w:sz="4" w:space="0" w:color="000000"/>
              <w:bottom w:val="single" w:sz="4" w:space="0" w:color="000000"/>
              <w:right w:val="single" w:sz="4" w:space="0" w:color="000000"/>
            </w:tcBorders>
          </w:tcPr>
          <w:p w14:paraId="0CA9E312" w14:textId="77777777" w:rsidR="00E47756" w:rsidRDefault="00E47756" w:rsidP="00E47756">
            <w:pPr>
              <w:spacing w:after="0" w:line="240" w:lineRule="auto"/>
              <w:ind w:left="57" w:right="57"/>
              <w:jc w:val="center"/>
              <w:rPr>
                <w:b/>
                <w:color w:val="auto"/>
                <w:sz w:val="20"/>
              </w:rPr>
            </w:pPr>
            <w:r w:rsidRPr="00E47756">
              <w:rPr>
                <w:b/>
                <w:color w:val="auto"/>
                <w:sz w:val="20"/>
              </w:rPr>
              <w:t>MH SR</w:t>
            </w:r>
          </w:p>
          <w:p w14:paraId="1D3FF640" w14:textId="54BD3A2C" w:rsidR="00433728" w:rsidRPr="00E47756" w:rsidRDefault="00433728" w:rsidP="00E47756">
            <w:pPr>
              <w:spacing w:after="0" w:line="240" w:lineRule="auto"/>
              <w:ind w:left="57" w:right="57"/>
              <w:jc w:val="center"/>
              <w:rPr>
                <w:sz w:val="20"/>
              </w:rPr>
            </w:pPr>
            <w:r>
              <w:rPr>
                <w:b/>
                <w:color w:val="auto"/>
                <w:sz w:val="20"/>
              </w:rPr>
              <w:t>ÚJD SR</w:t>
            </w:r>
          </w:p>
        </w:tc>
        <w:tc>
          <w:tcPr>
            <w:tcW w:w="4111" w:type="dxa"/>
            <w:tcBorders>
              <w:top w:val="single" w:sz="4" w:space="0" w:color="000000"/>
              <w:left w:val="single" w:sz="4" w:space="0" w:color="000000"/>
              <w:bottom w:val="single" w:sz="4" w:space="0" w:color="000000"/>
              <w:right w:val="single" w:sz="4" w:space="0" w:color="000000"/>
            </w:tcBorders>
          </w:tcPr>
          <w:p w14:paraId="39D6A4FB" w14:textId="19CB2E95" w:rsidR="00E47756" w:rsidRPr="00E47756" w:rsidRDefault="006C63A7" w:rsidP="00E47756">
            <w:pPr>
              <w:spacing w:after="0" w:line="240" w:lineRule="auto"/>
              <w:ind w:left="57" w:right="57"/>
              <w:rPr>
                <w:sz w:val="20"/>
                <w:szCs w:val="20"/>
              </w:rPr>
            </w:pPr>
            <w:r>
              <w:rPr>
                <w:b/>
                <w:bCs/>
                <w:sz w:val="20"/>
                <w:szCs w:val="20"/>
                <w:u w:val="single"/>
              </w:rPr>
              <w:t xml:space="preserve">Vysoká </w:t>
            </w:r>
            <w:r w:rsidR="00E47756" w:rsidRPr="00E47756">
              <w:rPr>
                <w:b/>
                <w:bCs/>
                <w:sz w:val="20"/>
                <w:szCs w:val="20"/>
                <w:u w:val="single"/>
              </w:rPr>
              <w:t>priorita</w:t>
            </w:r>
            <w:r w:rsidR="00E47756" w:rsidRPr="00E47756">
              <w:rPr>
                <w:sz w:val="20"/>
                <w:szCs w:val="20"/>
              </w:rPr>
              <w:t xml:space="preserve"> - </w:t>
            </w:r>
            <w:r w:rsidR="00E47756" w:rsidRPr="00E47756">
              <w:rPr>
                <w:color w:val="212121"/>
                <w:sz w:val="20"/>
                <w:szCs w:val="20"/>
                <w:shd w:val="clear" w:color="auto" w:fill="FFFFFF"/>
              </w:rPr>
              <w:t>Cieľom návrhu nariadenia je jeho lepšie uplatňovanie, právna istota pre členské štáty, systematický prístup v zmysle lepšie cielených kontrol a zníženie administratívnej záťaže. V priebehu roka 2020 bolo hlavným cieľom ukončenie legislatívneho procesu a úspešné sfinalizovanie tohto dokumentu. V novembri 2020 sa proces skoro 5 rokov trvajúceho legislatívneho procesu ukončil. Prijatie revidovaného nariadenia, publikácia a následná aplikácia regulácie členskými štátmi sa predpokladá na apríl - máj 2021. </w:t>
            </w:r>
          </w:p>
          <w:p w14:paraId="7A83FFB5" w14:textId="77777777" w:rsidR="000A3081" w:rsidRPr="000A3081" w:rsidRDefault="00E47756" w:rsidP="000A3081">
            <w:pPr>
              <w:spacing w:after="0" w:line="240" w:lineRule="auto"/>
              <w:ind w:left="57" w:right="57"/>
              <w:rPr>
                <w:color w:val="212121"/>
                <w:sz w:val="20"/>
                <w:szCs w:val="20"/>
              </w:rPr>
            </w:pPr>
            <w:r w:rsidRPr="00E47756">
              <w:rPr>
                <w:color w:val="212121"/>
                <w:sz w:val="20"/>
                <w:szCs w:val="20"/>
              </w:rPr>
              <w:t>Prepracované znenie nariadenia bude potrebné v slovenskej legislatíve zohľadniť v znení zákona č. 39/2011 Z. z. o položkách s dvojakým použitím a o zmene zákona Národnej rady Slovenskej republiky č. 145/1995 Z. z. o správnych poplatkoch, ktorý je z dôvodu vývoja aplikačnej praxe potrebné v blízkej budúcnosti novelizovať, resp. začať legislatívny proces smerujúci k jeho zmene a doplneniu. Návrh plánovanej novely zákona č. 39/2011 Z. z. bude z dôvodu efektívnosti vypracovaný v definitívnom znení a predložený do ďalšieho legislatívneho procesu až po prijatí predmetného prepracovaného znenia nariadenia. </w:t>
            </w:r>
          </w:p>
        </w:tc>
      </w:tr>
      <w:tr w:rsidR="00E47756" w:rsidRPr="00E47756" w14:paraId="41E5E82B" w14:textId="77777777" w:rsidTr="001A4016">
        <w:tblPrEx>
          <w:tblCellMar>
            <w:top w:w="31" w:type="dxa"/>
          </w:tblCellMar>
        </w:tblPrEx>
        <w:trPr>
          <w:trHeight w:val="925"/>
        </w:trPr>
        <w:tc>
          <w:tcPr>
            <w:tcW w:w="652" w:type="dxa"/>
            <w:gridSpan w:val="2"/>
            <w:tcBorders>
              <w:top w:val="single" w:sz="4" w:space="0" w:color="000000"/>
              <w:left w:val="single" w:sz="4" w:space="0" w:color="000000"/>
              <w:bottom w:val="single" w:sz="4" w:space="0" w:color="000000"/>
              <w:right w:val="single" w:sz="4" w:space="0" w:color="000000"/>
            </w:tcBorders>
          </w:tcPr>
          <w:p w14:paraId="4F962D2B" w14:textId="77777777" w:rsidR="00E47756" w:rsidRPr="00E47756" w:rsidRDefault="00E47756" w:rsidP="00E47756">
            <w:pPr>
              <w:spacing w:after="0" w:line="240" w:lineRule="auto"/>
              <w:ind w:left="57" w:right="57"/>
              <w:jc w:val="center"/>
              <w:rPr>
                <w:sz w:val="20"/>
              </w:rPr>
            </w:pPr>
            <w:r w:rsidRPr="00E47756">
              <w:rPr>
                <w:sz w:val="20"/>
              </w:rPr>
              <w:lastRenderedPageBreak/>
              <w:t>30.</w:t>
            </w:r>
          </w:p>
        </w:tc>
        <w:tc>
          <w:tcPr>
            <w:tcW w:w="6173" w:type="dxa"/>
            <w:tcBorders>
              <w:top w:val="single" w:sz="4" w:space="0" w:color="000000"/>
              <w:left w:val="single" w:sz="4" w:space="0" w:color="000000"/>
              <w:bottom w:val="single" w:sz="4" w:space="0" w:color="000000"/>
              <w:right w:val="single" w:sz="4" w:space="0" w:color="000000"/>
            </w:tcBorders>
          </w:tcPr>
          <w:p w14:paraId="4F4FB3F8" w14:textId="77777777" w:rsidR="00E47756" w:rsidRPr="00E47756" w:rsidRDefault="00E47756" w:rsidP="00E47756">
            <w:pPr>
              <w:spacing w:after="0" w:line="240" w:lineRule="auto"/>
              <w:ind w:left="57" w:right="57"/>
              <w:rPr>
                <w:sz w:val="20"/>
              </w:rPr>
            </w:pPr>
            <w:r w:rsidRPr="00E47756">
              <w:rPr>
                <w:sz w:val="20"/>
              </w:rPr>
              <w:t xml:space="preserve">návrh NARIADENIE EURÓPSKEHO PARLAMENTU A RADY o prístupe tovaru a služieb tretích krajín na vnútorný trh verejného obstarávania Únie a o postupoch podporujúcich rokovania o prístupe tovaru a služieb Únie na trhy verejného obstarávania tretích krajín </w:t>
            </w:r>
          </w:p>
        </w:tc>
        <w:tc>
          <w:tcPr>
            <w:tcW w:w="1985" w:type="dxa"/>
            <w:tcBorders>
              <w:top w:val="single" w:sz="4" w:space="0" w:color="000000"/>
              <w:left w:val="single" w:sz="4" w:space="0" w:color="000000"/>
              <w:bottom w:val="single" w:sz="4" w:space="0" w:color="000000"/>
              <w:right w:val="single" w:sz="4" w:space="0" w:color="000000"/>
            </w:tcBorders>
          </w:tcPr>
          <w:p w14:paraId="3FB819C5" w14:textId="77777777" w:rsidR="00E47756" w:rsidRPr="00E47756" w:rsidRDefault="00E47756" w:rsidP="00E47756">
            <w:pPr>
              <w:spacing w:after="0" w:line="240" w:lineRule="auto"/>
              <w:ind w:left="57" w:right="57"/>
            </w:pPr>
            <w:r w:rsidRPr="00E47756">
              <w:rPr>
                <w:sz w:val="20"/>
              </w:rPr>
              <w:t xml:space="preserve">COM(2012) 124 </w:t>
            </w:r>
            <w:proofErr w:type="spellStart"/>
            <w:r w:rsidRPr="00E47756">
              <w:rPr>
                <w:sz w:val="20"/>
              </w:rPr>
              <w:t>final</w:t>
            </w:r>
            <w:proofErr w:type="spellEnd"/>
            <w:r w:rsidRPr="00E47756">
              <w:t xml:space="preserve">  </w:t>
            </w:r>
          </w:p>
          <w:p w14:paraId="14C16AE4" w14:textId="77777777" w:rsidR="00E47756" w:rsidRPr="00E47756" w:rsidRDefault="00E47756" w:rsidP="00E47756">
            <w:pPr>
              <w:spacing w:after="0" w:line="240" w:lineRule="auto"/>
              <w:ind w:left="57" w:right="57"/>
            </w:pPr>
            <w:r w:rsidRPr="00E47756">
              <w:rPr>
                <w:sz w:val="20"/>
              </w:rPr>
              <w:t>2012/0060 (COD)</w:t>
            </w:r>
            <w:r w:rsidRPr="00E47756">
              <w:t xml:space="preserve">  </w:t>
            </w:r>
          </w:p>
          <w:p w14:paraId="5B2E7BE0" w14:textId="77777777" w:rsidR="00E47756" w:rsidRPr="00E47756" w:rsidRDefault="00E47756" w:rsidP="00E47756">
            <w:pPr>
              <w:spacing w:after="0" w:line="240" w:lineRule="auto"/>
              <w:ind w:left="57" w:right="57"/>
              <w:rPr>
                <w:sz w:val="20"/>
              </w:rPr>
            </w:pPr>
            <w:r w:rsidRPr="00E47756">
              <w:rPr>
                <w:sz w:val="20"/>
              </w:rPr>
              <w:t xml:space="preserve">21. 3. 2012 </w:t>
            </w:r>
          </w:p>
        </w:tc>
        <w:tc>
          <w:tcPr>
            <w:tcW w:w="1701" w:type="dxa"/>
            <w:tcBorders>
              <w:top w:val="single" w:sz="4" w:space="0" w:color="000000"/>
              <w:left w:val="single" w:sz="4" w:space="0" w:color="000000"/>
              <w:bottom w:val="single" w:sz="4" w:space="0" w:color="000000"/>
              <w:right w:val="single" w:sz="4" w:space="0" w:color="000000"/>
            </w:tcBorders>
          </w:tcPr>
          <w:p w14:paraId="2153326B" w14:textId="77777777" w:rsidR="00E47756" w:rsidRPr="00E47756" w:rsidRDefault="00E47756" w:rsidP="00E47756">
            <w:pPr>
              <w:spacing w:after="0" w:line="240" w:lineRule="auto"/>
              <w:ind w:left="57" w:right="57"/>
              <w:jc w:val="center"/>
              <w:rPr>
                <w:b/>
                <w:sz w:val="20"/>
              </w:rPr>
            </w:pPr>
            <w:r w:rsidRPr="00E47756">
              <w:rPr>
                <w:b/>
                <w:sz w:val="20"/>
              </w:rPr>
              <w:t>ÚVO SR</w:t>
            </w:r>
          </w:p>
          <w:p w14:paraId="0FC1F7E2" w14:textId="77777777" w:rsidR="00E47756" w:rsidRPr="00E47756" w:rsidRDefault="00E47756" w:rsidP="00E47756">
            <w:pPr>
              <w:spacing w:after="0" w:line="240" w:lineRule="auto"/>
              <w:ind w:left="57" w:right="57"/>
              <w:jc w:val="center"/>
              <w:rPr>
                <w:b/>
                <w:color w:val="auto"/>
                <w:sz w:val="20"/>
              </w:rPr>
            </w:pPr>
            <w:r w:rsidRPr="00E47756">
              <w:rPr>
                <w:b/>
                <w:sz w:val="20"/>
              </w:rPr>
              <w:t>MH SR</w:t>
            </w:r>
          </w:p>
        </w:tc>
        <w:tc>
          <w:tcPr>
            <w:tcW w:w="4111" w:type="dxa"/>
            <w:tcBorders>
              <w:top w:val="single" w:sz="4" w:space="0" w:color="000000"/>
              <w:left w:val="single" w:sz="4" w:space="0" w:color="000000"/>
              <w:bottom w:val="single" w:sz="4" w:space="0" w:color="000000"/>
              <w:right w:val="single" w:sz="4" w:space="0" w:color="000000"/>
            </w:tcBorders>
          </w:tcPr>
          <w:p w14:paraId="1F4F57BE" w14:textId="77777777" w:rsidR="00E47756" w:rsidRPr="00E47756" w:rsidRDefault="00E47756" w:rsidP="00E47756">
            <w:pPr>
              <w:spacing w:after="0" w:line="240" w:lineRule="auto"/>
              <w:ind w:left="57" w:right="57"/>
              <w:rPr>
                <w:b/>
                <w:bCs/>
                <w:sz w:val="20"/>
                <w:szCs w:val="20"/>
                <w:u w:val="single"/>
              </w:rPr>
            </w:pPr>
            <w:r w:rsidRPr="00E47756">
              <w:rPr>
                <w:b/>
                <w:bCs/>
                <w:sz w:val="20"/>
                <w:szCs w:val="20"/>
                <w:u w:val="single"/>
              </w:rPr>
              <w:t>Stredná priorita</w:t>
            </w:r>
            <w:r w:rsidRPr="00E47756">
              <w:rPr>
                <w:sz w:val="20"/>
              </w:rPr>
              <w:t xml:space="preserve"> – SR hodnotí koncept návrhu nariadenia ako potrebný a efektívny nástroj uplatňovania reciprocity v podmienkach medzinárodného obchodu, resp. presadzovania obchodných záujmov EÚ a jej členských štátov v rámci prístupu na trhy tretích krajín. </w:t>
            </w:r>
          </w:p>
        </w:tc>
      </w:tr>
      <w:tr w:rsidR="00201FCC" w:rsidRPr="00E47756" w14:paraId="5A1F7B14" w14:textId="77777777" w:rsidTr="00291238">
        <w:tblPrEx>
          <w:tblCellMar>
            <w:top w:w="31" w:type="dxa"/>
          </w:tblCellMar>
        </w:tblPrEx>
        <w:trPr>
          <w:trHeight w:val="925"/>
        </w:trPr>
        <w:tc>
          <w:tcPr>
            <w:tcW w:w="8810" w:type="dxa"/>
            <w:gridSpan w:val="4"/>
            <w:tcBorders>
              <w:top w:val="single" w:sz="4" w:space="0" w:color="auto"/>
              <w:left w:val="single" w:sz="4" w:space="0" w:color="000000"/>
              <w:bottom w:val="single" w:sz="4" w:space="0" w:color="000000"/>
              <w:right w:val="single" w:sz="4" w:space="0" w:color="000000"/>
            </w:tcBorders>
            <w:shd w:val="clear" w:color="auto" w:fill="DA5C57"/>
            <w:vAlign w:val="center"/>
          </w:tcPr>
          <w:p w14:paraId="2C0892CA" w14:textId="77777777" w:rsidR="00201FCC" w:rsidRPr="00E47756" w:rsidRDefault="00201FCC" w:rsidP="00201FCC">
            <w:pPr>
              <w:spacing w:after="0"/>
              <w:jc w:val="left"/>
              <w:rPr>
                <w:b/>
                <w:color w:val="FFFFFF"/>
                <w:sz w:val="20"/>
              </w:rPr>
            </w:pPr>
            <w:r w:rsidRPr="00E47756">
              <w:rPr>
                <w:b/>
                <w:color w:val="FFFFFF"/>
                <w:sz w:val="20"/>
              </w:rPr>
              <w:t>Podpora európskeho spôsobu života</w:t>
            </w:r>
          </w:p>
        </w:tc>
        <w:tc>
          <w:tcPr>
            <w:tcW w:w="1701" w:type="dxa"/>
            <w:tcBorders>
              <w:top w:val="single" w:sz="4" w:space="0" w:color="auto"/>
              <w:left w:val="single" w:sz="4" w:space="0" w:color="000000"/>
              <w:bottom w:val="single" w:sz="4" w:space="0" w:color="000000"/>
              <w:right w:val="single" w:sz="4" w:space="0" w:color="000000"/>
            </w:tcBorders>
            <w:shd w:val="clear" w:color="auto" w:fill="DA5C57"/>
            <w:vAlign w:val="center"/>
          </w:tcPr>
          <w:p w14:paraId="5FF408B4" w14:textId="77777777" w:rsidR="00201FCC" w:rsidRPr="00E47756" w:rsidRDefault="00201FCC" w:rsidP="00201FCC">
            <w:pPr>
              <w:spacing w:after="0"/>
              <w:jc w:val="left"/>
              <w:rPr>
                <w:b/>
                <w:color w:val="FFFFFF"/>
                <w:sz w:val="20"/>
              </w:rPr>
            </w:pPr>
          </w:p>
        </w:tc>
        <w:tc>
          <w:tcPr>
            <w:tcW w:w="4111" w:type="dxa"/>
            <w:tcBorders>
              <w:top w:val="single" w:sz="4" w:space="0" w:color="auto"/>
              <w:left w:val="single" w:sz="4" w:space="0" w:color="000000"/>
              <w:bottom w:val="single" w:sz="4" w:space="0" w:color="000000"/>
              <w:right w:val="single" w:sz="4" w:space="0" w:color="000000"/>
            </w:tcBorders>
            <w:shd w:val="clear" w:color="auto" w:fill="DA5C57"/>
            <w:vAlign w:val="center"/>
          </w:tcPr>
          <w:p w14:paraId="2FFEB982" w14:textId="77777777" w:rsidR="00201FCC" w:rsidRPr="00E47756" w:rsidRDefault="00201FCC" w:rsidP="00201FCC">
            <w:pPr>
              <w:spacing w:after="0"/>
              <w:jc w:val="left"/>
              <w:rPr>
                <w:b/>
                <w:color w:val="FFFFFF"/>
                <w:sz w:val="20"/>
              </w:rPr>
            </w:pPr>
          </w:p>
        </w:tc>
      </w:tr>
      <w:tr w:rsidR="00201FCC" w:rsidRPr="00E47756" w14:paraId="3EB4698D" w14:textId="77777777" w:rsidTr="001A4016">
        <w:tblPrEx>
          <w:tblCellMar>
            <w:top w:w="31" w:type="dxa"/>
          </w:tblCellMar>
        </w:tblPrEx>
        <w:trPr>
          <w:trHeight w:val="925"/>
        </w:trPr>
        <w:tc>
          <w:tcPr>
            <w:tcW w:w="652" w:type="dxa"/>
            <w:gridSpan w:val="2"/>
            <w:tcBorders>
              <w:top w:val="single" w:sz="4" w:space="0" w:color="000000"/>
              <w:left w:val="single" w:sz="4" w:space="0" w:color="000000"/>
              <w:bottom w:val="single" w:sz="4" w:space="0" w:color="000000"/>
              <w:right w:val="single" w:sz="4" w:space="0" w:color="000000"/>
            </w:tcBorders>
          </w:tcPr>
          <w:p w14:paraId="04C199B7" w14:textId="77777777" w:rsidR="00201FCC" w:rsidRPr="00E47756" w:rsidRDefault="00201FCC" w:rsidP="00201FCC">
            <w:pPr>
              <w:spacing w:after="0" w:line="240" w:lineRule="auto"/>
              <w:ind w:left="57" w:right="57"/>
              <w:jc w:val="center"/>
            </w:pPr>
            <w:r w:rsidRPr="00E47756">
              <w:rPr>
                <w:sz w:val="20"/>
              </w:rPr>
              <w:t>31.</w:t>
            </w:r>
          </w:p>
        </w:tc>
        <w:tc>
          <w:tcPr>
            <w:tcW w:w="6173" w:type="dxa"/>
            <w:tcBorders>
              <w:top w:val="single" w:sz="4" w:space="0" w:color="000000"/>
              <w:left w:val="single" w:sz="4" w:space="0" w:color="000000"/>
              <w:bottom w:val="single" w:sz="4" w:space="0" w:color="000000"/>
              <w:right w:val="single" w:sz="4" w:space="0" w:color="000000"/>
            </w:tcBorders>
          </w:tcPr>
          <w:p w14:paraId="1232C718" w14:textId="77777777" w:rsidR="00201FCC" w:rsidRPr="00E47756" w:rsidRDefault="00201FCC" w:rsidP="00201FCC">
            <w:pPr>
              <w:spacing w:after="0" w:line="240" w:lineRule="auto"/>
              <w:ind w:left="57" w:right="57"/>
            </w:pPr>
            <w:r w:rsidRPr="00E47756">
              <w:rPr>
                <w:sz w:val="20"/>
              </w:rPr>
              <w:t xml:space="preserve">návrh NARIADENIE EURÓPSKEHO PARLAMENTU A RADY, ktorým sa riešia krízové situácie a vyššia moc v oblasti migrácie a azylu </w:t>
            </w:r>
          </w:p>
        </w:tc>
        <w:tc>
          <w:tcPr>
            <w:tcW w:w="1985" w:type="dxa"/>
            <w:tcBorders>
              <w:top w:val="single" w:sz="4" w:space="0" w:color="000000"/>
              <w:left w:val="single" w:sz="4" w:space="0" w:color="000000"/>
              <w:bottom w:val="single" w:sz="4" w:space="0" w:color="000000"/>
              <w:right w:val="single" w:sz="4" w:space="0" w:color="000000"/>
            </w:tcBorders>
          </w:tcPr>
          <w:p w14:paraId="410C8D61" w14:textId="77777777" w:rsidR="00201FCC" w:rsidRPr="00E47756" w:rsidRDefault="00201FCC" w:rsidP="00201FCC">
            <w:pPr>
              <w:spacing w:after="0" w:line="240" w:lineRule="auto"/>
              <w:ind w:left="57" w:right="57"/>
            </w:pPr>
            <w:r w:rsidRPr="00E47756">
              <w:rPr>
                <w:sz w:val="20"/>
              </w:rPr>
              <w:t xml:space="preserve">COM(2020) 613 </w:t>
            </w:r>
            <w:proofErr w:type="spellStart"/>
            <w:r w:rsidRPr="00E47756">
              <w:rPr>
                <w:sz w:val="20"/>
              </w:rPr>
              <w:t>final</w:t>
            </w:r>
            <w:proofErr w:type="spellEnd"/>
            <w:r w:rsidRPr="00E47756">
              <w:t xml:space="preserve">  </w:t>
            </w:r>
          </w:p>
          <w:p w14:paraId="19989BC8" w14:textId="77777777" w:rsidR="00201FCC" w:rsidRPr="00E47756" w:rsidRDefault="00201FCC" w:rsidP="00201FCC">
            <w:pPr>
              <w:spacing w:after="0" w:line="240" w:lineRule="auto"/>
              <w:ind w:left="57" w:right="57"/>
            </w:pPr>
            <w:r w:rsidRPr="00E47756">
              <w:rPr>
                <w:sz w:val="20"/>
              </w:rPr>
              <w:t>2020/0277 (COD)</w:t>
            </w:r>
            <w:r w:rsidRPr="00E47756">
              <w:t xml:space="preserve">  </w:t>
            </w:r>
          </w:p>
          <w:p w14:paraId="0E9CFD75" w14:textId="77777777" w:rsidR="00201FCC" w:rsidRPr="00E47756" w:rsidRDefault="00201FCC" w:rsidP="00201FCC">
            <w:pPr>
              <w:spacing w:after="0" w:line="240" w:lineRule="auto"/>
              <w:ind w:left="57" w:right="57"/>
            </w:pPr>
            <w:r w:rsidRPr="00E47756">
              <w:rPr>
                <w:sz w:val="20"/>
              </w:rPr>
              <w:t xml:space="preserve">23. 9. 2020 </w:t>
            </w:r>
          </w:p>
        </w:tc>
        <w:tc>
          <w:tcPr>
            <w:tcW w:w="1701" w:type="dxa"/>
            <w:tcBorders>
              <w:top w:val="single" w:sz="4" w:space="0" w:color="000000"/>
              <w:left w:val="single" w:sz="4" w:space="0" w:color="000000"/>
              <w:bottom w:val="single" w:sz="4" w:space="0" w:color="000000"/>
              <w:right w:val="single" w:sz="4" w:space="0" w:color="000000"/>
            </w:tcBorders>
          </w:tcPr>
          <w:p w14:paraId="37B43504" w14:textId="77777777" w:rsidR="00201FCC" w:rsidRPr="00E47756" w:rsidRDefault="00201FCC" w:rsidP="00201FCC">
            <w:pPr>
              <w:spacing w:after="0" w:line="240" w:lineRule="auto"/>
              <w:ind w:left="57" w:right="57"/>
              <w:jc w:val="center"/>
              <w:rPr>
                <w:sz w:val="20"/>
              </w:rPr>
            </w:pPr>
            <w:r w:rsidRPr="00E47756">
              <w:rPr>
                <w:b/>
                <w:sz w:val="20"/>
              </w:rPr>
              <w:t>MV SR</w:t>
            </w:r>
          </w:p>
        </w:tc>
        <w:tc>
          <w:tcPr>
            <w:tcW w:w="4111" w:type="dxa"/>
            <w:tcBorders>
              <w:top w:val="single" w:sz="4" w:space="0" w:color="000000"/>
              <w:left w:val="single" w:sz="4" w:space="0" w:color="000000"/>
              <w:bottom w:val="single" w:sz="4" w:space="0" w:color="000000"/>
              <w:right w:val="single" w:sz="4" w:space="0" w:color="000000"/>
            </w:tcBorders>
          </w:tcPr>
          <w:p w14:paraId="1762A72F" w14:textId="77777777" w:rsidR="00201FCC" w:rsidRPr="00E47756" w:rsidRDefault="00201FCC" w:rsidP="00201FCC">
            <w:pPr>
              <w:spacing w:after="0" w:line="240" w:lineRule="auto"/>
              <w:ind w:left="57" w:right="57"/>
              <w:rPr>
                <w:sz w:val="20"/>
              </w:rPr>
            </w:pPr>
            <w:r w:rsidRPr="00E47756">
              <w:rPr>
                <w:b/>
                <w:sz w:val="20"/>
                <w:u w:val="single"/>
              </w:rPr>
              <w:t>Vysoká priorita</w:t>
            </w:r>
            <w:r w:rsidRPr="00E47756">
              <w:rPr>
                <w:sz w:val="20"/>
              </w:rPr>
              <w:t xml:space="preserve"> – Návrh predložený v rámci Paktu o migrácii a azyle v septembri 2020. Cieľom je zabezpečiť nevyhnutné prispôsobenie pravidiel týkajúcich sa konaní o azyle a návrate, ako aj mechanizmu solidarity stanoveného v nariadení o riadení azylu a migrácie, aby sa zabezpečilo, že členské štáty dokážu riešiť krízové situácie a situácie vyššej moci v oblasti riadenia azylu a migrácie v rámci EÚ. SR si uplatní pripomienky, podporujeme tzv. balíkový prístup ku všetkým návrhom v rámci Paktu a k súvisiacim návrhom.</w:t>
            </w:r>
          </w:p>
        </w:tc>
      </w:tr>
      <w:tr w:rsidR="00201FCC" w:rsidRPr="00E47756" w14:paraId="4ED7BCDF" w14:textId="77777777" w:rsidTr="001A4016">
        <w:tblPrEx>
          <w:tblCellMar>
            <w:top w:w="31" w:type="dxa"/>
          </w:tblCellMar>
        </w:tblPrEx>
        <w:trPr>
          <w:trHeight w:val="925"/>
        </w:trPr>
        <w:tc>
          <w:tcPr>
            <w:tcW w:w="652" w:type="dxa"/>
            <w:gridSpan w:val="2"/>
            <w:tcBorders>
              <w:top w:val="single" w:sz="4" w:space="0" w:color="000000"/>
              <w:left w:val="single" w:sz="4" w:space="0" w:color="000000"/>
              <w:bottom w:val="single" w:sz="4" w:space="0" w:color="000000"/>
              <w:right w:val="single" w:sz="4" w:space="0" w:color="000000"/>
            </w:tcBorders>
          </w:tcPr>
          <w:p w14:paraId="2A4217E5" w14:textId="77777777" w:rsidR="00201FCC" w:rsidRPr="00E47756" w:rsidRDefault="00201FCC" w:rsidP="00201FCC">
            <w:pPr>
              <w:spacing w:after="0" w:line="240" w:lineRule="auto"/>
              <w:ind w:left="57" w:right="57"/>
              <w:jc w:val="center"/>
            </w:pPr>
            <w:r w:rsidRPr="00E47756">
              <w:rPr>
                <w:sz w:val="20"/>
              </w:rPr>
              <w:t>32.</w:t>
            </w:r>
          </w:p>
        </w:tc>
        <w:tc>
          <w:tcPr>
            <w:tcW w:w="6173" w:type="dxa"/>
            <w:tcBorders>
              <w:top w:val="single" w:sz="4" w:space="0" w:color="000000"/>
              <w:left w:val="single" w:sz="4" w:space="0" w:color="000000"/>
              <w:bottom w:val="single" w:sz="4" w:space="0" w:color="000000"/>
              <w:right w:val="single" w:sz="4" w:space="0" w:color="000000"/>
            </w:tcBorders>
          </w:tcPr>
          <w:p w14:paraId="449B8595" w14:textId="77777777" w:rsidR="00201FCC" w:rsidRPr="00E47756" w:rsidRDefault="00201FCC" w:rsidP="00201FCC">
            <w:pPr>
              <w:spacing w:after="0" w:line="240" w:lineRule="auto"/>
              <w:ind w:left="57" w:right="57"/>
            </w:pPr>
            <w:r w:rsidRPr="00E47756">
              <w:rPr>
                <w:sz w:val="20"/>
              </w:rPr>
              <w:t xml:space="preserve">návrh NARIADENIE EURÓPSKEHO PARLAMENTU A RADY, ktorým sa zavádza preverovanie štátnych príslušníkov tretích krajín na vonkajších hraniciach a ktorým sa menia nariadenia (ES) č. 767/2008, (EÚ) 2017/2226, (EÚ) 2018/1240 a (EÚ) 2019/817 </w:t>
            </w:r>
          </w:p>
        </w:tc>
        <w:tc>
          <w:tcPr>
            <w:tcW w:w="1985" w:type="dxa"/>
            <w:tcBorders>
              <w:top w:val="single" w:sz="4" w:space="0" w:color="000000"/>
              <w:left w:val="single" w:sz="4" w:space="0" w:color="000000"/>
              <w:bottom w:val="single" w:sz="4" w:space="0" w:color="000000"/>
              <w:right w:val="single" w:sz="4" w:space="0" w:color="000000"/>
            </w:tcBorders>
          </w:tcPr>
          <w:p w14:paraId="1D60735B" w14:textId="77777777" w:rsidR="00201FCC" w:rsidRPr="00E47756" w:rsidRDefault="00201FCC" w:rsidP="00201FCC">
            <w:pPr>
              <w:spacing w:after="0" w:line="240" w:lineRule="auto"/>
              <w:ind w:left="57" w:right="57"/>
            </w:pPr>
            <w:r w:rsidRPr="00E47756">
              <w:rPr>
                <w:sz w:val="20"/>
              </w:rPr>
              <w:t xml:space="preserve">COM(2020) 612 </w:t>
            </w:r>
            <w:proofErr w:type="spellStart"/>
            <w:r w:rsidRPr="00E47756">
              <w:rPr>
                <w:sz w:val="20"/>
              </w:rPr>
              <w:t>final</w:t>
            </w:r>
            <w:proofErr w:type="spellEnd"/>
            <w:r w:rsidRPr="00E47756">
              <w:t xml:space="preserve">  </w:t>
            </w:r>
          </w:p>
          <w:p w14:paraId="183635D0" w14:textId="77777777" w:rsidR="00201FCC" w:rsidRPr="00E47756" w:rsidRDefault="00201FCC" w:rsidP="00201FCC">
            <w:pPr>
              <w:spacing w:after="0" w:line="240" w:lineRule="auto"/>
              <w:ind w:left="57" w:right="57"/>
            </w:pPr>
            <w:r w:rsidRPr="00E47756">
              <w:rPr>
                <w:sz w:val="20"/>
              </w:rPr>
              <w:t>2020/0278 (COD)</w:t>
            </w:r>
            <w:r w:rsidRPr="00E47756">
              <w:t xml:space="preserve">  </w:t>
            </w:r>
          </w:p>
          <w:p w14:paraId="72BB3889" w14:textId="77777777" w:rsidR="00201FCC" w:rsidRPr="00E47756" w:rsidRDefault="00201FCC" w:rsidP="00201FCC">
            <w:pPr>
              <w:spacing w:after="0" w:line="240" w:lineRule="auto"/>
              <w:ind w:left="57" w:right="57"/>
            </w:pPr>
            <w:r w:rsidRPr="00E47756">
              <w:rPr>
                <w:sz w:val="20"/>
              </w:rPr>
              <w:t xml:space="preserve">23. 9. 2020 </w:t>
            </w:r>
          </w:p>
        </w:tc>
        <w:tc>
          <w:tcPr>
            <w:tcW w:w="1701" w:type="dxa"/>
            <w:tcBorders>
              <w:top w:val="single" w:sz="4" w:space="0" w:color="000000"/>
              <w:left w:val="single" w:sz="4" w:space="0" w:color="000000"/>
              <w:bottom w:val="single" w:sz="4" w:space="0" w:color="000000"/>
              <w:right w:val="single" w:sz="4" w:space="0" w:color="000000"/>
            </w:tcBorders>
          </w:tcPr>
          <w:p w14:paraId="1374E705" w14:textId="77777777" w:rsidR="00201FCC" w:rsidRPr="00E47756" w:rsidRDefault="00201FCC" w:rsidP="00201FCC">
            <w:pPr>
              <w:spacing w:after="0" w:line="240" w:lineRule="auto"/>
              <w:ind w:left="57" w:right="57"/>
              <w:jc w:val="center"/>
              <w:rPr>
                <w:b/>
                <w:sz w:val="20"/>
              </w:rPr>
            </w:pPr>
            <w:r w:rsidRPr="00E47756">
              <w:rPr>
                <w:b/>
                <w:sz w:val="20"/>
              </w:rPr>
              <w:t>MV SR</w:t>
            </w:r>
          </w:p>
        </w:tc>
        <w:tc>
          <w:tcPr>
            <w:tcW w:w="4111" w:type="dxa"/>
            <w:tcBorders>
              <w:top w:val="single" w:sz="4" w:space="0" w:color="000000"/>
              <w:left w:val="single" w:sz="4" w:space="0" w:color="000000"/>
              <w:bottom w:val="single" w:sz="4" w:space="0" w:color="000000"/>
              <w:right w:val="single" w:sz="4" w:space="0" w:color="000000"/>
            </w:tcBorders>
          </w:tcPr>
          <w:p w14:paraId="06CF590D" w14:textId="77777777" w:rsidR="00201FCC" w:rsidRPr="00E47756" w:rsidRDefault="00201FCC" w:rsidP="00201FCC">
            <w:pPr>
              <w:spacing w:after="0" w:line="240" w:lineRule="auto"/>
              <w:ind w:left="57" w:right="57"/>
              <w:rPr>
                <w:sz w:val="20"/>
              </w:rPr>
            </w:pPr>
            <w:r w:rsidRPr="00E47756">
              <w:rPr>
                <w:b/>
                <w:sz w:val="20"/>
                <w:u w:val="single"/>
              </w:rPr>
              <w:t>Vysoká priorita</w:t>
            </w:r>
            <w:r w:rsidRPr="00E47756">
              <w:rPr>
                <w:sz w:val="20"/>
              </w:rPr>
              <w:t xml:space="preserve"> – Návrh predložený v rámci Paktu o migrácii a azyle v septembri 2020. V tomto návrhu sa zavádza preverovanie pred vstupom, ktoré by sa malo uplatňovať na všetkých štátnych príslušníkov tretích krajín, ktorí sa nachádzajú na vonkajších hraniciach, ale nespĺňajú podmienky pre vstup, alebo boli na vonkajších hraniciach vylodení po pátracej a záchrannej operácii. SR konanie na hranici neodmieta, k návrhu si uplatníme pripomienky, podporujeme tzv. balíkový prístup ku všetkým návrhom v rámci Paktu a k súvisiacim návrhom.</w:t>
            </w:r>
          </w:p>
          <w:p w14:paraId="5B97FDF8" w14:textId="77777777" w:rsidR="00201FCC" w:rsidRPr="00E47756" w:rsidRDefault="00201FCC" w:rsidP="00201FCC">
            <w:pPr>
              <w:spacing w:after="0" w:line="240" w:lineRule="auto"/>
              <w:ind w:left="57" w:right="57"/>
              <w:rPr>
                <w:sz w:val="20"/>
              </w:rPr>
            </w:pPr>
          </w:p>
          <w:p w14:paraId="70F70069" w14:textId="77777777" w:rsidR="00201FCC" w:rsidRPr="00E47756" w:rsidRDefault="00201FCC" w:rsidP="00201FCC">
            <w:pPr>
              <w:spacing w:after="0" w:line="240" w:lineRule="auto"/>
              <w:ind w:left="57" w:right="57"/>
              <w:rPr>
                <w:sz w:val="20"/>
              </w:rPr>
            </w:pPr>
          </w:p>
        </w:tc>
      </w:tr>
      <w:tr w:rsidR="00201FCC" w:rsidRPr="00E47756" w14:paraId="0D43B293" w14:textId="77777777" w:rsidTr="001A4016">
        <w:tblPrEx>
          <w:tblCellMar>
            <w:top w:w="31" w:type="dxa"/>
          </w:tblCellMar>
        </w:tblPrEx>
        <w:trPr>
          <w:trHeight w:val="925"/>
        </w:trPr>
        <w:tc>
          <w:tcPr>
            <w:tcW w:w="652" w:type="dxa"/>
            <w:gridSpan w:val="2"/>
            <w:tcBorders>
              <w:top w:val="single" w:sz="4" w:space="0" w:color="000000"/>
              <w:left w:val="single" w:sz="4" w:space="0" w:color="000000"/>
              <w:bottom w:val="single" w:sz="4" w:space="0" w:color="000000"/>
              <w:right w:val="single" w:sz="4" w:space="0" w:color="000000"/>
            </w:tcBorders>
          </w:tcPr>
          <w:p w14:paraId="45759340" w14:textId="77777777" w:rsidR="00201FCC" w:rsidRPr="00E47756" w:rsidRDefault="00201FCC" w:rsidP="00201FCC">
            <w:pPr>
              <w:spacing w:after="0" w:line="240" w:lineRule="auto"/>
              <w:ind w:left="57" w:right="57"/>
              <w:jc w:val="center"/>
            </w:pPr>
            <w:r w:rsidRPr="00E47756">
              <w:rPr>
                <w:sz w:val="20"/>
              </w:rPr>
              <w:lastRenderedPageBreak/>
              <w:t>33.</w:t>
            </w:r>
          </w:p>
        </w:tc>
        <w:tc>
          <w:tcPr>
            <w:tcW w:w="6173" w:type="dxa"/>
            <w:tcBorders>
              <w:top w:val="single" w:sz="4" w:space="0" w:color="000000"/>
              <w:left w:val="single" w:sz="4" w:space="0" w:color="000000"/>
              <w:bottom w:val="single" w:sz="4" w:space="0" w:color="000000"/>
              <w:right w:val="single" w:sz="4" w:space="0" w:color="000000"/>
            </w:tcBorders>
          </w:tcPr>
          <w:p w14:paraId="4A9EC8BA" w14:textId="77777777" w:rsidR="00201FCC" w:rsidRPr="00E47756" w:rsidRDefault="00201FCC" w:rsidP="00201FCC">
            <w:pPr>
              <w:spacing w:after="0" w:line="240" w:lineRule="auto"/>
              <w:ind w:left="57" w:right="57"/>
            </w:pPr>
            <w:r w:rsidRPr="00E47756">
              <w:rPr>
                <w:sz w:val="20"/>
              </w:rPr>
              <w:t xml:space="preserve">návrh NARIADENIE EURÓPSKEHO PARLAMENTU A RADY o riadení azylu a migrácie a o zmene smernice Rady (ES) 2003/109 a navrhovaného nariadenia (EÚ) XXX/XXX [Fond pre azyl a migráciu] </w:t>
            </w:r>
          </w:p>
        </w:tc>
        <w:tc>
          <w:tcPr>
            <w:tcW w:w="1985" w:type="dxa"/>
            <w:tcBorders>
              <w:top w:val="single" w:sz="4" w:space="0" w:color="000000"/>
              <w:left w:val="single" w:sz="4" w:space="0" w:color="000000"/>
              <w:bottom w:val="single" w:sz="4" w:space="0" w:color="000000"/>
              <w:right w:val="single" w:sz="4" w:space="0" w:color="000000"/>
            </w:tcBorders>
          </w:tcPr>
          <w:p w14:paraId="4887768A" w14:textId="77777777" w:rsidR="00201FCC" w:rsidRPr="00E47756" w:rsidRDefault="00201FCC" w:rsidP="00201FCC">
            <w:pPr>
              <w:spacing w:after="0" w:line="240" w:lineRule="auto"/>
              <w:ind w:left="57" w:right="57"/>
            </w:pPr>
            <w:r w:rsidRPr="00E47756">
              <w:rPr>
                <w:sz w:val="20"/>
              </w:rPr>
              <w:t xml:space="preserve">COM(2020) 610 </w:t>
            </w:r>
            <w:proofErr w:type="spellStart"/>
            <w:r w:rsidRPr="00E47756">
              <w:rPr>
                <w:sz w:val="20"/>
              </w:rPr>
              <w:t>final</w:t>
            </w:r>
            <w:proofErr w:type="spellEnd"/>
            <w:r w:rsidRPr="00E47756">
              <w:t xml:space="preserve">  </w:t>
            </w:r>
          </w:p>
          <w:p w14:paraId="0FDB665A" w14:textId="77777777" w:rsidR="00201FCC" w:rsidRPr="00E47756" w:rsidRDefault="00201FCC" w:rsidP="00201FCC">
            <w:pPr>
              <w:spacing w:after="0" w:line="240" w:lineRule="auto"/>
              <w:ind w:left="57" w:right="57"/>
            </w:pPr>
            <w:r w:rsidRPr="00E47756">
              <w:rPr>
                <w:sz w:val="20"/>
              </w:rPr>
              <w:t>2020/0279 (COD)</w:t>
            </w:r>
            <w:r w:rsidRPr="00E47756">
              <w:t xml:space="preserve">  </w:t>
            </w:r>
          </w:p>
          <w:p w14:paraId="6EF2327B" w14:textId="77777777" w:rsidR="00201FCC" w:rsidRPr="00E47756" w:rsidRDefault="00201FCC" w:rsidP="00201FCC">
            <w:pPr>
              <w:spacing w:after="0" w:line="240" w:lineRule="auto"/>
              <w:ind w:left="57" w:right="57"/>
            </w:pPr>
            <w:r w:rsidRPr="00E47756">
              <w:rPr>
                <w:sz w:val="20"/>
              </w:rPr>
              <w:t xml:space="preserve">23. 9. 2020 </w:t>
            </w:r>
          </w:p>
        </w:tc>
        <w:tc>
          <w:tcPr>
            <w:tcW w:w="1701" w:type="dxa"/>
            <w:tcBorders>
              <w:top w:val="single" w:sz="4" w:space="0" w:color="000000"/>
              <w:left w:val="single" w:sz="4" w:space="0" w:color="000000"/>
              <w:bottom w:val="single" w:sz="4" w:space="0" w:color="000000"/>
              <w:right w:val="single" w:sz="4" w:space="0" w:color="000000"/>
            </w:tcBorders>
          </w:tcPr>
          <w:p w14:paraId="5C8783D4" w14:textId="77777777" w:rsidR="00201FCC" w:rsidRPr="00E47756" w:rsidRDefault="00201FCC" w:rsidP="00201FCC">
            <w:pPr>
              <w:spacing w:after="0" w:line="240" w:lineRule="auto"/>
              <w:ind w:left="57" w:right="57"/>
              <w:jc w:val="center"/>
              <w:rPr>
                <w:sz w:val="20"/>
              </w:rPr>
            </w:pPr>
            <w:r w:rsidRPr="00E47756">
              <w:rPr>
                <w:b/>
                <w:sz w:val="20"/>
              </w:rPr>
              <w:t>MV SR</w:t>
            </w:r>
          </w:p>
        </w:tc>
        <w:tc>
          <w:tcPr>
            <w:tcW w:w="4111" w:type="dxa"/>
            <w:tcBorders>
              <w:top w:val="single" w:sz="4" w:space="0" w:color="000000"/>
              <w:left w:val="single" w:sz="4" w:space="0" w:color="000000"/>
              <w:bottom w:val="single" w:sz="4" w:space="0" w:color="000000"/>
              <w:right w:val="single" w:sz="4" w:space="0" w:color="000000"/>
            </w:tcBorders>
          </w:tcPr>
          <w:p w14:paraId="55D952A0" w14:textId="77777777" w:rsidR="00201FCC" w:rsidRPr="00E47756" w:rsidRDefault="00201FCC" w:rsidP="00201FCC">
            <w:pPr>
              <w:spacing w:after="0" w:line="240" w:lineRule="auto"/>
              <w:ind w:left="57" w:right="57"/>
              <w:rPr>
                <w:sz w:val="20"/>
              </w:rPr>
            </w:pPr>
            <w:r w:rsidRPr="00E47756">
              <w:rPr>
                <w:b/>
                <w:sz w:val="20"/>
                <w:u w:val="single"/>
              </w:rPr>
              <w:t>Vysoká priorita</w:t>
            </w:r>
            <w:r w:rsidRPr="00E47756">
              <w:rPr>
                <w:sz w:val="20"/>
              </w:rPr>
              <w:t xml:space="preserve"> – Návrh predložený v rámci Paktu o migrácii a azyle v septembri 2020. Návrh má nahradiť súčasné dublinské nariadenie, stanovuje spoločný rámec, ktorý, podľa Komisie, prispeje ku komplexnému prístupu k riadeniu migrácie prostredníctvom integrovanej tvorby politík v oblasti riadenia azylu a migrácie, vrátane jeho vnútorných aj vonkajších prvkov. Umožní sa zohľadniť nadrezortný prístup a zabezpečí sa koherentnosť a účinnosť všetkých krokov a opatrení prijatých zo strany Únie a jej členských štátov. Návrh zahŕňa nový a komplexnejší mechanizmus solidarity, ako aj zjednodušené kritériá a efektívnejšie mechanizmy na stanovenie členského štátu zodpovedného za posúdenie žiadosti o medzinárodnú ochranu. SR odmieta akúkoľvek formu povinných kvót, návrh momentálne vnímame ako veľmi problematický až neprijateľný. Podporujeme tzv. balíkový prístup ku všetkým návrhom v rámci Paktu a k súvisiacim návrhom</w:t>
            </w:r>
          </w:p>
        </w:tc>
      </w:tr>
      <w:tr w:rsidR="00201FCC" w:rsidRPr="00E47756" w14:paraId="14E6C52C" w14:textId="77777777" w:rsidTr="001A4016">
        <w:tblPrEx>
          <w:tblCellMar>
            <w:top w:w="31" w:type="dxa"/>
          </w:tblCellMar>
        </w:tblPrEx>
        <w:trPr>
          <w:trHeight w:val="925"/>
        </w:trPr>
        <w:tc>
          <w:tcPr>
            <w:tcW w:w="652" w:type="dxa"/>
            <w:gridSpan w:val="2"/>
            <w:tcBorders>
              <w:top w:val="single" w:sz="4" w:space="0" w:color="000000"/>
              <w:left w:val="single" w:sz="4" w:space="0" w:color="000000"/>
              <w:bottom w:val="single" w:sz="4" w:space="0" w:color="000000"/>
              <w:right w:val="single" w:sz="4" w:space="0" w:color="000000"/>
            </w:tcBorders>
          </w:tcPr>
          <w:p w14:paraId="79265AD6" w14:textId="77777777" w:rsidR="00201FCC" w:rsidRPr="00E47756" w:rsidRDefault="00201FCC" w:rsidP="00201FCC">
            <w:pPr>
              <w:spacing w:after="0" w:line="240" w:lineRule="auto"/>
              <w:ind w:left="57" w:right="57"/>
              <w:jc w:val="center"/>
            </w:pPr>
            <w:r w:rsidRPr="00E47756">
              <w:rPr>
                <w:sz w:val="20"/>
              </w:rPr>
              <w:t>34.</w:t>
            </w:r>
          </w:p>
        </w:tc>
        <w:tc>
          <w:tcPr>
            <w:tcW w:w="6173" w:type="dxa"/>
            <w:tcBorders>
              <w:top w:val="single" w:sz="4" w:space="0" w:color="000000"/>
              <w:left w:val="single" w:sz="4" w:space="0" w:color="000000"/>
              <w:bottom w:val="single" w:sz="4" w:space="0" w:color="000000"/>
              <w:right w:val="single" w:sz="4" w:space="0" w:color="000000"/>
            </w:tcBorders>
          </w:tcPr>
          <w:p w14:paraId="4F77AEBD" w14:textId="77777777" w:rsidR="00201FCC" w:rsidRPr="00E47756" w:rsidRDefault="00201FCC" w:rsidP="00201FCC">
            <w:pPr>
              <w:spacing w:after="0" w:line="240" w:lineRule="auto"/>
              <w:ind w:left="57" w:right="57"/>
            </w:pPr>
            <w:r w:rsidRPr="00E47756">
              <w:rPr>
                <w:sz w:val="20"/>
              </w:rPr>
              <w:t xml:space="preserve">návrh ROZHODNUTIE EURÓPSKEHO PARLAMENTU A RADY, ktorým sa mení rozhodnutie č. 445/2014/EÚ, ktorým sa ustanovuje akcia Únie s názvom Európske hlavné mestá kultúry na roky 2020 až 2033 </w:t>
            </w:r>
          </w:p>
        </w:tc>
        <w:tc>
          <w:tcPr>
            <w:tcW w:w="1985" w:type="dxa"/>
            <w:tcBorders>
              <w:top w:val="single" w:sz="4" w:space="0" w:color="000000"/>
              <w:left w:val="single" w:sz="4" w:space="0" w:color="000000"/>
              <w:bottom w:val="single" w:sz="4" w:space="0" w:color="000000"/>
              <w:right w:val="single" w:sz="4" w:space="0" w:color="000000"/>
            </w:tcBorders>
          </w:tcPr>
          <w:p w14:paraId="3D777130" w14:textId="77777777" w:rsidR="00201FCC" w:rsidRPr="00E47756" w:rsidRDefault="00201FCC" w:rsidP="00201FCC">
            <w:pPr>
              <w:spacing w:after="0" w:line="240" w:lineRule="auto"/>
              <w:ind w:left="57" w:right="57"/>
            </w:pPr>
            <w:r w:rsidRPr="00E47756">
              <w:rPr>
                <w:sz w:val="20"/>
              </w:rPr>
              <w:t xml:space="preserve">COM(2020) 384 </w:t>
            </w:r>
            <w:proofErr w:type="spellStart"/>
            <w:r w:rsidRPr="00E47756">
              <w:rPr>
                <w:sz w:val="20"/>
              </w:rPr>
              <w:t>final</w:t>
            </w:r>
            <w:proofErr w:type="spellEnd"/>
            <w:r w:rsidRPr="00E47756">
              <w:t xml:space="preserve">  </w:t>
            </w:r>
          </w:p>
          <w:p w14:paraId="2A3E00D3" w14:textId="77777777" w:rsidR="00201FCC" w:rsidRPr="00E47756" w:rsidRDefault="00201FCC" w:rsidP="00201FCC">
            <w:pPr>
              <w:spacing w:after="0" w:line="240" w:lineRule="auto"/>
              <w:ind w:left="57" w:right="57"/>
            </w:pPr>
            <w:r w:rsidRPr="00E47756">
              <w:rPr>
                <w:sz w:val="20"/>
              </w:rPr>
              <w:t>2020/0179 (COD)</w:t>
            </w:r>
            <w:r w:rsidRPr="00E47756">
              <w:t xml:space="preserve">  </w:t>
            </w:r>
          </w:p>
          <w:p w14:paraId="27B275F2" w14:textId="77777777" w:rsidR="00201FCC" w:rsidRPr="00E47756" w:rsidRDefault="00201FCC" w:rsidP="00201FCC">
            <w:pPr>
              <w:spacing w:after="0" w:line="240" w:lineRule="auto"/>
              <w:ind w:left="57" w:right="57"/>
            </w:pPr>
            <w:r w:rsidRPr="00E47756">
              <w:rPr>
                <w:sz w:val="20"/>
              </w:rPr>
              <w:t xml:space="preserve">18. 8. 2020 </w:t>
            </w:r>
          </w:p>
        </w:tc>
        <w:tc>
          <w:tcPr>
            <w:tcW w:w="1701" w:type="dxa"/>
            <w:tcBorders>
              <w:top w:val="single" w:sz="4" w:space="0" w:color="000000"/>
              <w:left w:val="single" w:sz="4" w:space="0" w:color="000000"/>
              <w:bottom w:val="single" w:sz="4" w:space="0" w:color="000000"/>
              <w:right w:val="single" w:sz="4" w:space="0" w:color="000000"/>
            </w:tcBorders>
          </w:tcPr>
          <w:p w14:paraId="04638FD9" w14:textId="77777777" w:rsidR="00201FCC" w:rsidRPr="00E47756" w:rsidRDefault="00201FCC" w:rsidP="00201FCC">
            <w:pPr>
              <w:spacing w:after="0" w:line="240" w:lineRule="auto"/>
              <w:ind w:left="57" w:right="57"/>
              <w:jc w:val="center"/>
              <w:rPr>
                <w:sz w:val="20"/>
              </w:rPr>
            </w:pPr>
            <w:r w:rsidRPr="00E47756">
              <w:rPr>
                <w:b/>
                <w:sz w:val="20"/>
              </w:rPr>
              <w:t>MK SR</w:t>
            </w:r>
          </w:p>
        </w:tc>
        <w:tc>
          <w:tcPr>
            <w:tcW w:w="4111" w:type="dxa"/>
            <w:tcBorders>
              <w:top w:val="single" w:sz="4" w:space="0" w:color="000000"/>
              <w:left w:val="single" w:sz="4" w:space="0" w:color="000000"/>
              <w:bottom w:val="single" w:sz="4" w:space="0" w:color="000000"/>
              <w:right w:val="single" w:sz="4" w:space="0" w:color="000000"/>
            </w:tcBorders>
          </w:tcPr>
          <w:p w14:paraId="52835F2B" w14:textId="69DD1684" w:rsidR="00201FCC" w:rsidRPr="00F46B8A" w:rsidRDefault="00201FCC" w:rsidP="00F46B8A">
            <w:pPr>
              <w:spacing w:after="0" w:line="240" w:lineRule="auto"/>
              <w:ind w:left="57" w:right="57"/>
              <w:rPr>
                <w:color w:val="auto"/>
                <w:sz w:val="20"/>
              </w:rPr>
            </w:pPr>
            <w:r w:rsidRPr="00E47756">
              <w:rPr>
                <w:b/>
                <w:sz w:val="20"/>
                <w:u w:val="single"/>
              </w:rPr>
              <w:t>Nízka priorita</w:t>
            </w:r>
            <w:r w:rsidRPr="00E47756">
              <w:rPr>
                <w:sz w:val="20"/>
              </w:rPr>
              <w:t xml:space="preserve"> – </w:t>
            </w:r>
            <w:r w:rsidRPr="00E47756">
              <w:rPr>
                <w:color w:val="auto"/>
                <w:sz w:val="20"/>
              </w:rPr>
              <w:t xml:space="preserve">Návrh KOM a aktualizovaný kalendár EHMK nijako neovplyvní termín Akcie Európske hlavné mesto kultúry – Slovenská republika 2026 a harmonogram výberového procesu držiteľa titulu EHMK – SR 2026.  Z tohto dôvodu MK SR hodnotí predmetný </w:t>
            </w:r>
            <w:r w:rsidR="00706134">
              <w:rPr>
                <w:color w:val="auto"/>
                <w:sz w:val="20"/>
              </w:rPr>
              <w:t xml:space="preserve">legislatívny akt ako návrh </w:t>
            </w:r>
            <w:r w:rsidR="00F46B8A">
              <w:rPr>
                <w:color w:val="auto"/>
                <w:sz w:val="20"/>
              </w:rPr>
              <w:t>s nižšou dôležitosťou.</w:t>
            </w:r>
          </w:p>
        </w:tc>
      </w:tr>
      <w:tr w:rsidR="00201FCC" w:rsidRPr="00E47756" w14:paraId="4C198AA7" w14:textId="77777777" w:rsidTr="001A4016">
        <w:tblPrEx>
          <w:tblCellMar>
            <w:top w:w="31" w:type="dxa"/>
          </w:tblCellMar>
        </w:tblPrEx>
        <w:trPr>
          <w:trHeight w:val="925"/>
        </w:trPr>
        <w:tc>
          <w:tcPr>
            <w:tcW w:w="652" w:type="dxa"/>
            <w:gridSpan w:val="2"/>
            <w:tcBorders>
              <w:top w:val="single" w:sz="4" w:space="0" w:color="000000"/>
              <w:left w:val="single" w:sz="4" w:space="0" w:color="000000"/>
              <w:bottom w:val="single" w:sz="4" w:space="0" w:color="000000"/>
              <w:right w:val="single" w:sz="4" w:space="0" w:color="000000"/>
            </w:tcBorders>
          </w:tcPr>
          <w:p w14:paraId="7426E693" w14:textId="77777777" w:rsidR="00201FCC" w:rsidRPr="00E47756" w:rsidRDefault="00201FCC" w:rsidP="00201FCC">
            <w:pPr>
              <w:spacing w:after="0" w:line="240" w:lineRule="auto"/>
              <w:ind w:left="57" w:right="57"/>
              <w:jc w:val="center"/>
            </w:pPr>
            <w:r w:rsidRPr="00E47756">
              <w:rPr>
                <w:sz w:val="20"/>
              </w:rPr>
              <w:t>35.</w:t>
            </w:r>
          </w:p>
        </w:tc>
        <w:tc>
          <w:tcPr>
            <w:tcW w:w="6173" w:type="dxa"/>
            <w:tcBorders>
              <w:top w:val="single" w:sz="4" w:space="0" w:color="000000"/>
              <w:left w:val="single" w:sz="4" w:space="0" w:color="000000"/>
              <w:bottom w:val="single" w:sz="4" w:space="0" w:color="000000"/>
              <w:right w:val="single" w:sz="4" w:space="0" w:color="000000"/>
            </w:tcBorders>
          </w:tcPr>
          <w:p w14:paraId="13687B15" w14:textId="77777777" w:rsidR="00201FCC" w:rsidRPr="00E47756" w:rsidRDefault="00201FCC" w:rsidP="00201FCC">
            <w:pPr>
              <w:spacing w:after="0" w:line="240" w:lineRule="auto"/>
              <w:ind w:left="57" w:right="57"/>
            </w:pPr>
            <w:r w:rsidRPr="00E47756">
              <w:rPr>
                <w:sz w:val="20"/>
              </w:rPr>
              <w:t xml:space="preserve">návrh NARIADENIE EURÓPSKEHO PARLAMENTU A RADY, ktorým sa stanovujú podmienky prístupu do iných informačných systémov EÚ na účely systému ETIAS a ktorým sa mení nariadenie (EÚ) 2018/1240, nariadenie (ES) č. 767/2008, nariadenie (EÚ) 2017/2226 a nariadenie (EÚ) 2018/1861 </w:t>
            </w:r>
          </w:p>
        </w:tc>
        <w:tc>
          <w:tcPr>
            <w:tcW w:w="1985" w:type="dxa"/>
            <w:tcBorders>
              <w:top w:val="single" w:sz="4" w:space="0" w:color="000000"/>
              <w:left w:val="single" w:sz="4" w:space="0" w:color="000000"/>
              <w:bottom w:val="single" w:sz="4" w:space="0" w:color="000000"/>
              <w:right w:val="single" w:sz="4" w:space="0" w:color="000000"/>
            </w:tcBorders>
          </w:tcPr>
          <w:p w14:paraId="2A469AD7" w14:textId="77777777" w:rsidR="00201FCC" w:rsidRPr="00E47756" w:rsidRDefault="00201FCC" w:rsidP="00201FCC">
            <w:pPr>
              <w:spacing w:after="0" w:line="240" w:lineRule="auto"/>
              <w:ind w:left="57" w:right="57"/>
            </w:pPr>
            <w:r w:rsidRPr="00E47756">
              <w:rPr>
                <w:sz w:val="20"/>
              </w:rPr>
              <w:t xml:space="preserve">COM(2019) 4 </w:t>
            </w:r>
            <w:proofErr w:type="spellStart"/>
            <w:r w:rsidRPr="00E47756">
              <w:rPr>
                <w:sz w:val="20"/>
              </w:rPr>
              <w:t>final</w:t>
            </w:r>
            <w:proofErr w:type="spellEnd"/>
            <w:r w:rsidRPr="00E47756">
              <w:t xml:space="preserve">  </w:t>
            </w:r>
          </w:p>
          <w:p w14:paraId="71AEE525" w14:textId="77777777" w:rsidR="00201FCC" w:rsidRPr="00E47756" w:rsidRDefault="00201FCC" w:rsidP="00201FCC">
            <w:pPr>
              <w:spacing w:after="0" w:line="240" w:lineRule="auto"/>
              <w:ind w:left="57" w:right="57"/>
            </w:pPr>
            <w:r w:rsidRPr="00E47756">
              <w:rPr>
                <w:sz w:val="20"/>
              </w:rPr>
              <w:t>2019/0002 (COD)</w:t>
            </w:r>
            <w:r w:rsidRPr="00E47756">
              <w:t xml:space="preserve">  </w:t>
            </w:r>
          </w:p>
          <w:p w14:paraId="5D99C1BD" w14:textId="77777777" w:rsidR="00201FCC" w:rsidRPr="00E47756" w:rsidRDefault="00201FCC" w:rsidP="00201FCC">
            <w:pPr>
              <w:spacing w:after="0" w:line="240" w:lineRule="auto"/>
              <w:ind w:left="57" w:right="57"/>
            </w:pPr>
            <w:r w:rsidRPr="00E47756">
              <w:rPr>
                <w:sz w:val="20"/>
              </w:rPr>
              <w:t xml:space="preserve">7. 1. 2019 </w:t>
            </w:r>
          </w:p>
        </w:tc>
        <w:tc>
          <w:tcPr>
            <w:tcW w:w="1701" w:type="dxa"/>
            <w:tcBorders>
              <w:top w:val="single" w:sz="4" w:space="0" w:color="000000"/>
              <w:left w:val="single" w:sz="4" w:space="0" w:color="000000"/>
              <w:bottom w:val="single" w:sz="4" w:space="0" w:color="000000"/>
              <w:right w:val="single" w:sz="4" w:space="0" w:color="000000"/>
            </w:tcBorders>
          </w:tcPr>
          <w:p w14:paraId="6EAA4EE4" w14:textId="77777777" w:rsidR="00201FCC" w:rsidRPr="00E47756" w:rsidRDefault="00201FCC" w:rsidP="00201FCC">
            <w:pPr>
              <w:spacing w:after="0" w:line="240" w:lineRule="auto"/>
              <w:ind w:left="57" w:right="57"/>
              <w:jc w:val="center"/>
              <w:rPr>
                <w:b/>
                <w:sz w:val="20"/>
              </w:rPr>
            </w:pPr>
            <w:r w:rsidRPr="00E47756">
              <w:rPr>
                <w:b/>
                <w:sz w:val="20"/>
              </w:rPr>
              <w:t>MV SR</w:t>
            </w:r>
          </w:p>
        </w:tc>
        <w:tc>
          <w:tcPr>
            <w:tcW w:w="4111" w:type="dxa"/>
            <w:tcBorders>
              <w:top w:val="single" w:sz="4" w:space="0" w:color="000000"/>
              <w:left w:val="single" w:sz="4" w:space="0" w:color="000000"/>
              <w:bottom w:val="single" w:sz="4" w:space="0" w:color="000000"/>
              <w:right w:val="single" w:sz="4" w:space="0" w:color="000000"/>
            </w:tcBorders>
          </w:tcPr>
          <w:p w14:paraId="16A17BDD" w14:textId="7E197CAF" w:rsidR="00706134" w:rsidRPr="00E47756" w:rsidRDefault="00201FCC" w:rsidP="00AE3C6F">
            <w:pPr>
              <w:spacing w:after="0" w:line="240" w:lineRule="auto"/>
              <w:ind w:left="57" w:right="57"/>
              <w:rPr>
                <w:sz w:val="20"/>
              </w:rPr>
            </w:pPr>
            <w:r w:rsidRPr="00E47756">
              <w:rPr>
                <w:b/>
                <w:sz w:val="20"/>
                <w:u w:val="single"/>
              </w:rPr>
              <w:t>Stredná priorita</w:t>
            </w:r>
            <w:r w:rsidRPr="00E47756">
              <w:rPr>
                <w:sz w:val="20"/>
              </w:rPr>
              <w:t xml:space="preserve"> – Cieľom tohto návrhu je stanoviť technické zmeny potrebné na plne funkčné zriadenie systému ETIAS prostredníctvom zmeny právnych aktov systémov informačných technológií EÚ, v ktorých systém ETIAS vyhľadáva. SR nemala k návrhu pripomienky. Rada</w:t>
            </w:r>
            <w:r w:rsidR="00EC598E">
              <w:rPr>
                <w:sz w:val="20"/>
              </w:rPr>
              <w:t xml:space="preserve"> EÚ</w:t>
            </w:r>
            <w:r w:rsidRPr="00E47756">
              <w:rPr>
                <w:sz w:val="20"/>
              </w:rPr>
              <w:t xml:space="preserve"> v júli 2019 schválila všeobecné smerovanie aj s podporou SR.</w:t>
            </w:r>
          </w:p>
        </w:tc>
      </w:tr>
      <w:tr w:rsidR="00201FCC" w:rsidRPr="00E47756" w14:paraId="3F6AC460" w14:textId="77777777" w:rsidTr="001A4016">
        <w:tblPrEx>
          <w:tblCellMar>
            <w:top w:w="31" w:type="dxa"/>
          </w:tblCellMar>
        </w:tblPrEx>
        <w:trPr>
          <w:trHeight w:val="925"/>
        </w:trPr>
        <w:tc>
          <w:tcPr>
            <w:tcW w:w="652" w:type="dxa"/>
            <w:gridSpan w:val="2"/>
            <w:tcBorders>
              <w:top w:val="single" w:sz="4" w:space="0" w:color="000000"/>
              <w:left w:val="single" w:sz="4" w:space="0" w:color="000000"/>
              <w:bottom w:val="single" w:sz="4" w:space="0" w:color="000000"/>
              <w:right w:val="single" w:sz="4" w:space="0" w:color="000000"/>
            </w:tcBorders>
          </w:tcPr>
          <w:p w14:paraId="0AE8F972" w14:textId="77777777" w:rsidR="00201FCC" w:rsidRPr="00E47756" w:rsidRDefault="00201FCC" w:rsidP="00201FCC">
            <w:pPr>
              <w:spacing w:after="0" w:line="240" w:lineRule="auto"/>
              <w:ind w:left="57" w:right="57"/>
              <w:jc w:val="center"/>
            </w:pPr>
            <w:r w:rsidRPr="00E47756">
              <w:rPr>
                <w:sz w:val="20"/>
              </w:rPr>
              <w:lastRenderedPageBreak/>
              <w:t>36.</w:t>
            </w:r>
          </w:p>
        </w:tc>
        <w:tc>
          <w:tcPr>
            <w:tcW w:w="6173" w:type="dxa"/>
            <w:tcBorders>
              <w:top w:val="single" w:sz="4" w:space="0" w:color="000000"/>
              <w:left w:val="single" w:sz="4" w:space="0" w:color="000000"/>
              <w:bottom w:val="single" w:sz="4" w:space="0" w:color="000000"/>
              <w:right w:val="single" w:sz="4" w:space="0" w:color="000000"/>
            </w:tcBorders>
          </w:tcPr>
          <w:p w14:paraId="26B6368C" w14:textId="77777777" w:rsidR="00201FCC" w:rsidRPr="00E47756" w:rsidRDefault="00201FCC" w:rsidP="00201FCC">
            <w:pPr>
              <w:spacing w:after="0" w:line="240" w:lineRule="auto"/>
              <w:ind w:left="57" w:right="57"/>
            </w:pPr>
            <w:r w:rsidRPr="00E47756">
              <w:rPr>
                <w:sz w:val="20"/>
              </w:rPr>
              <w:t xml:space="preserve">návrh NARIADENIE EURÓPSKEHO PARLAMENTU A RADY, ktorým sa stanovujú podmienky prístupu do iných informačných systémov EÚ a ktorým sa mení nariadenie (EÚ) 2018/1862 a nariadenie (EÚ) </w:t>
            </w:r>
            <w:proofErr w:type="spellStart"/>
            <w:r w:rsidRPr="00E47756">
              <w:rPr>
                <w:sz w:val="20"/>
              </w:rPr>
              <w:t>rrrr</w:t>
            </w:r>
            <w:proofErr w:type="spellEnd"/>
            <w:r w:rsidRPr="00E47756">
              <w:rPr>
                <w:sz w:val="20"/>
              </w:rPr>
              <w:t xml:space="preserve">/xxx [ECRIS-TCN] </w:t>
            </w:r>
          </w:p>
        </w:tc>
        <w:tc>
          <w:tcPr>
            <w:tcW w:w="1985" w:type="dxa"/>
            <w:tcBorders>
              <w:top w:val="single" w:sz="4" w:space="0" w:color="000000"/>
              <w:left w:val="single" w:sz="4" w:space="0" w:color="000000"/>
              <w:bottom w:val="single" w:sz="4" w:space="0" w:color="000000"/>
              <w:right w:val="single" w:sz="4" w:space="0" w:color="000000"/>
            </w:tcBorders>
          </w:tcPr>
          <w:p w14:paraId="3757722D" w14:textId="77777777" w:rsidR="00201FCC" w:rsidRPr="00E47756" w:rsidRDefault="00201FCC" w:rsidP="00201FCC">
            <w:pPr>
              <w:spacing w:after="0" w:line="240" w:lineRule="auto"/>
              <w:ind w:left="57" w:right="57"/>
            </w:pPr>
            <w:r w:rsidRPr="00E47756">
              <w:rPr>
                <w:sz w:val="20"/>
              </w:rPr>
              <w:t xml:space="preserve">COM(2019) 3 </w:t>
            </w:r>
            <w:proofErr w:type="spellStart"/>
            <w:r w:rsidRPr="00E47756">
              <w:rPr>
                <w:sz w:val="20"/>
              </w:rPr>
              <w:t>final</w:t>
            </w:r>
            <w:proofErr w:type="spellEnd"/>
            <w:r w:rsidRPr="00E47756">
              <w:t xml:space="preserve">  </w:t>
            </w:r>
          </w:p>
          <w:p w14:paraId="30C3EF9B" w14:textId="77777777" w:rsidR="00201FCC" w:rsidRPr="00E47756" w:rsidRDefault="00201FCC" w:rsidP="00201FCC">
            <w:pPr>
              <w:spacing w:after="0" w:line="240" w:lineRule="auto"/>
              <w:ind w:left="57" w:right="57"/>
            </w:pPr>
            <w:r w:rsidRPr="00E47756">
              <w:rPr>
                <w:sz w:val="20"/>
              </w:rPr>
              <w:t>2019/0001 (COD)</w:t>
            </w:r>
            <w:r w:rsidRPr="00E47756">
              <w:t xml:space="preserve">  </w:t>
            </w:r>
          </w:p>
          <w:p w14:paraId="67CBDD2E" w14:textId="77777777" w:rsidR="00201FCC" w:rsidRPr="00E47756" w:rsidRDefault="00201FCC" w:rsidP="00201FCC">
            <w:pPr>
              <w:spacing w:after="0" w:line="240" w:lineRule="auto"/>
              <w:ind w:left="57" w:right="57"/>
            </w:pPr>
            <w:r w:rsidRPr="00E47756">
              <w:rPr>
                <w:sz w:val="20"/>
              </w:rPr>
              <w:t xml:space="preserve">7. 1. 2020 </w:t>
            </w:r>
          </w:p>
        </w:tc>
        <w:tc>
          <w:tcPr>
            <w:tcW w:w="1701" w:type="dxa"/>
            <w:tcBorders>
              <w:top w:val="single" w:sz="4" w:space="0" w:color="000000"/>
              <w:left w:val="single" w:sz="4" w:space="0" w:color="000000"/>
              <w:bottom w:val="single" w:sz="4" w:space="0" w:color="000000"/>
              <w:right w:val="single" w:sz="4" w:space="0" w:color="000000"/>
            </w:tcBorders>
          </w:tcPr>
          <w:p w14:paraId="12F11FAE" w14:textId="77777777" w:rsidR="00201FCC" w:rsidRPr="00E47756" w:rsidRDefault="00201FCC" w:rsidP="00201FCC">
            <w:pPr>
              <w:spacing w:after="0" w:line="240" w:lineRule="auto"/>
              <w:ind w:left="57" w:right="57"/>
              <w:jc w:val="center"/>
              <w:rPr>
                <w:sz w:val="20"/>
              </w:rPr>
            </w:pPr>
            <w:r w:rsidRPr="00E47756">
              <w:rPr>
                <w:b/>
                <w:sz w:val="20"/>
              </w:rPr>
              <w:t>MV SR</w:t>
            </w:r>
          </w:p>
        </w:tc>
        <w:tc>
          <w:tcPr>
            <w:tcW w:w="4111" w:type="dxa"/>
            <w:tcBorders>
              <w:top w:val="single" w:sz="4" w:space="0" w:color="000000"/>
              <w:left w:val="single" w:sz="4" w:space="0" w:color="000000"/>
              <w:bottom w:val="single" w:sz="4" w:space="0" w:color="000000"/>
              <w:right w:val="single" w:sz="4" w:space="0" w:color="000000"/>
            </w:tcBorders>
          </w:tcPr>
          <w:p w14:paraId="47591440" w14:textId="77777777" w:rsidR="00201FCC" w:rsidRPr="00E47756" w:rsidRDefault="00766170" w:rsidP="00766170">
            <w:pPr>
              <w:spacing w:after="0" w:line="240" w:lineRule="auto"/>
              <w:ind w:left="57" w:right="57"/>
              <w:rPr>
                <w:sz w:val="20"/>
              </w:rPr>
            </w:pPr>
            <w:r w:rsidRPr="00E97C09">
              <w:rPr>
                <w:b/>
                <w:sz w:val="20"/>
                <w:u w:val="single"/>
              </w:rPr>
              <w:t>Stredná priorita</w:t>
            </w:r>
            <w:r w:rsidRPr="00E97C09">
              <w:rPr>
                <w:sz w:val="20"/>
              </w:rPr>
              <w:t xml:space="preserve"> - Cieľom tohto návrhu je stanoviť technické zmeny potrebné na plne funkčné zriadenie systému ETIAS prostredníctvom zmeny právnych aktov systémov informačných technológií EÚ, v ktorých systém ETIAS vyhľadáva. SR nemala k návrhu pripomienky.</w:t>
            </w:r>
            <w:r>
              <w:rPr>
                <w:sz w:val="20"/>
              </w:rPr>
              <w:t xml:space="preserve"> </w:t>
            </w:r>
            <w:r w:rsidRPr="00E97C09">
              <w:rPr>
                <w:sz w:val="20"/>
              </w:rPr>
              <w:t>Rada</w:t>
            </w:r>
            <w:r w:rsidR="00EC598E">
              <w:rPr>
                <w:sz w:val="20"/>
              </w:rPr>
              <w:t xml:space="preserve"> EÚ</w:t>
            </w:r>
            <w:r w:rsidRPr="00E97C09">
              <w:rPr>
                <w:sz w:val="20"/>
              </w:rPr>
              <w:t xml:space="preserve"> v júli 2019 schválila všeobecné smerovanie aj s podporou SR.</w:t>
            </w:r>
          </w:p>
        </w:tc>
      </w:tr>
      <w:tr w:rsidR="009E2991" w:rsidRPr="00E47756" w14:paraId="37A7BB51" w14:textId="77777777" w:rsidTr="001A4016">
        <w:tblPrEx>
          <w:tblCellMar>
            <w:top w:w="31" w:type="dxa"/>
          </w:tblCellMar>
        </w:tblPrEx>
        <w:trPr>
          <w:trHeight w:val="925"/>
        </w:trPr>
        <w:tc>
          <w:tcPr>
            <w:tcW w:w="652" w:type="dxa"/>
            <w:gridSpan w:val="2"/>
            <w:tcBorders>
              <w:top w:val="single" w:sz="4" w:space="0" w:color="000000"/>
              <w:left w:val="single" w:sz="4" w:space="0" w:color="000000"/>
              <w:bottom w:val="single" w:sz="4" w:space="0" w:color="000000"/>
              <w:right w:val="single" w:sz="4" w:space="0" w:color="000000"/>
            </w:tcBorders>
          </w:tcPr>
          <w:p w14:paraId="7DFC6AA4" w14:textId="77777777" w:rsidR="009E2991" w:rsidRPr="00E47756" w:rsidRDefault="009E2991" w:rsidP="009E2991">
            <w:pPr>
              <w:spacing w:after="0" w:line="240" w:lineRule="auto"/>
              <w:ind w:left="57" w:right="57"/>
              <w:jc w:val="center"/>
            </w:pPr>
            <w:r w:rsidRPr="00E47756">
              <w:rPr>
                <w:sz w:val="20"/>
              </w:rPr>
              <w:t>37.</w:t>
            </w:r>
          </w:p>
        </w:tc>
        <w:tc>
          <w:tcPr>
            <w:tcW w:w="6173" w:type="dxa"/>
            <w:tcBorders>
              <w:top w:val="single" w:sz="4" w:space="0" w:color="000000"/>
              <w:left w:val="single" w:sz="4" w:space="0" w:color="000000"/>
              <w:bottom w:val="single" w:sz="4" w:space="0" w:color="000000"/>
              <w:right w:val="single" w:sz="4" w:space="0" w:color="000000"/>
            </w:tcBorders>
          </w:tcPr>
          <w:p w14:paraId="579418A0" w14:textId="77777777" w:rsidR="009E2991" w:rsidRPr="00E47756" w:rsidRDefault="009E2991" w:rsidP="009E2991">
            <w:pPr>
              <w:spacing w:after="0" w:line="240" w:lineRule="auto"/>
              <w:ind w:left="57" w:right="57"/>
            </w:pPr>
            <w:r w:rsidRPr="00E47756">
              <w:rPr>
                <w:sz w:val="20"/>
              </w:rPr>
              <w:t xml:space="preserve">návrh NARIADENIE EURÓPSKEHO PARLAMENTU A RADY o predchádzaní šíreniu teroristického obsahu online  </w:t>
            </w:r>
          </w:p>
        </w:tc>
        <w:tc>
          <w:tcPr>
            <w:tcW w:w="1985" w:type="dxa"/>
            <w:tcBorders>
              <w:top w:val="single" w:sz="4" w:space="0" w:color="000000"/>
              <w:left w:val="single" w:sz="4" w:space="0" w:color="000000"/>
              <w:bottom w:val="single" w:sz="4" w:space="0" w:color="000000"/>
              <w:right w:val="single" w:sz="4" w:space="0" w:color="000000"/>
            </w:tcBorders>
          </w:tcPr>
          <w:p w14:paraId="6781A67D" w14:textId="77777777" w:rsidR="009E2991" w:rsidRPr="00E47756" w:rsidRDefault="009E2991" w:rsidP="009E2991">
            <w:pPr>
              <w:spacing w:after="0" w:line="240" w:lineRule="auto"/>
              <w:ind w:left="57" w:right="57"/>
            </w:pPr>
            <w:r w:rsidRPr="00E47756">
              <w:rPr>
                <w:sz w:val="20"/>
              </w:rPr>
              <w:t xml:space="preserve">COM(2018) 640 </w:t>
            </w:r>
            <w:proofErr w:type="spellStart"/>
            <w:r w:rsidRPr="00E47756">
              <w:rPr>
                <w:sz w:val="20"/>
              </w:rPr>
              <w:t>final</w:t>
            </w:r>
            <w:proofErr w:type="spellEnd"/>
            <w:r w:rsidRPr="00E47756">
              <w:t xml:space="preserve">  </w:t>
            </w:r>
          </w:p>
          <w:p w14:paraId="73DCE69E" w14:textId="77777777" w:rsidR="009E2991" w:rsidRPr="00E47756" w:rsidRDefault="009E2991" w:rsidP="009E2991">
            <w:pPr>
              <w:spacing w:after="0" w:line="240" w:lineRule="auto"/>
              <w:ind w:left="57" w:right="57"/>
            </w:pPr>
            <w:r w:rsidRPr="00E47756">
              <w:rPr>
                <w:sz w:val="20"/>
              </w:rPr>
              <w:t>2018/0331 (COD)</w:t>
            </w:r>
            <w:r w:rsidRPr="00E47756">
              <w:t xml:space="preserve">  </w:t>
            </w:r>
          </w:p>
          <w:p w14:paraId="7C883A19" w14:textId="77777777" w:rsidR="009E2991" w:rsidRPr="00E47756" w:rsidRDefault="009E2991" w:rsidP="009E2991">
            <w:pPr>
              <w:spacing w:after="0" w:line="240" w:lineRule="auto"/>
              <w:ind w:left="57" w:right="57"/>
            </w:pPr>
            <w:r w:rsidRPr="00E47756">
              <w:rPr>
                <w:sz w:val="20"/>
              </w:rPr>
              <w:t xml:space="preserve">12. 9. 2018 </w:t>
            </w:r>
          </w:p>
        </w:tc>
        <w:tc>
          <w:tcPr>
            <w:tcW w:w="1701" w:type="dxa"/>
            <w:tcBorders>
              <w:top w:val="single" w:sz="4" w:space="0" w:color="000000"/>
              <w:left w:val="single" w:sz="4" w:space="0" w:color="000000"/>
              <w:bottom w:val="single" w:sz="4" w:space="0" w:color="000000"/>
              <w:right w:val="single" w:sz="4" w:space="0" w:color="000000"/>
            </w:tcBorders>
          </w:tcPr>
          <w:p w14:paraId="1129D748" w14:textId="77777777" w:rsidR="009E2991" w:rsidRPr="00E47756" w:rsidRDefault="009E2991" w:rsidP="009E2991">
            <w:pPr>
              <w:spacing w:after="0" w:line="240" w:lineRule="auto"/>
              <w:ind w:left="57" w:right="57"/>
              <w:jc w:val="center"/>
              <w:rPr>
                <w:sz w:val="20"/>
              </w:rPr>
            </w:pPr>
            <w:r w:rsidRPr="00E47756">
              <w:rPr>
                <w:b/>
                <w:sz w:val="20"/>
              </w:rPr>
              <w:t>MV SR</w:t>
            </w:r>
          </w:p>
        </w:tc>
        <w:tc>
          <w:tcPr>
            <w:tcW w:w="4111" w:type="dxa"/>
            <w:tcBorders>
              <w:top w:val="single" w:sz="4" w:space="0" w:color="000000"/>
              <w:left w:val="single" w:sz="4" w:space="0" w:color="000000"/>
              <w:bottom w:val="single" w:sz="4" w:space="0" w:color="000000"/>
              <w:right w:val="single" w:sz="4" w:space="0" w:color="000000"/>
            </w:tcBorders>
          </w:tcPr>
          <w:p w14:paraId="0D34A4EC" w14:textId="77777777" w:rsidR="009E2991" w:rsidRPr="00E47756" w:rsidRDefault="009E2991" w:rsidP="009E2991">
            <w:pPr>
              <w:spacing w:after="0" w:line="240" w:lineRule="auto"/>
              <w:ind w:left="57" w:right="57"/>
              <w:rPr>
                <w:sz w:val="20"/>
              </w:rPr>
            </w:pPr>
            <w:r w:rsidRPr="00E47756">
              <w:rPr>
                <w:b/>
                <w:sz w:val="20"/>
                <w:u w:val="single"/>
              </w:rPr>
              <w:t>Stredná priorita</w:t>
            </w:r>
            <w:r w:rsidRPr="00E47756">
              <w:rPr>
                <w:sz w:val="20"/>
              </w:rPr>
              <w:t xml:space="preserve"> – SR sa k cieľom predmetného návrhu nariadenia, smerujúcim k obmedzeniu, resp. znemožneniu dostupnosti teroristického obsahu na internete, stavia pozitívne. Počas rokovania v orgánoch Rady SR uplatnila svoje pripomienky. Rada</w:t>
            </w:r>
            <w:r w:rsidR="00EC598E">
              <w:rPr>
                <w:sz w:val="20"/>
              </w:rPr>
              <w:t xml:space="preserve"> EÚ</w:t>
            </w:r>
            <w:r w:rsidRPr="00E47756">
              <w:rPr>
                <w:sz w:val="20"/>
              </w:rPr>
              <w:t xml:space="preserve"> schválila v roku 2018 k návrhu všeobecné smerovanie, ktoré SR podporila. V decembri 2020 bola dosiahnutá dohoda s EP.</w:t>
            </w:r>
          </w:p>
        </w:tc>
      </w:tr>
      <w:tr w:rsidR="009E2991" w:rsidRPr="00E47756" w14:paraId="378AE507" w14:textId="77777777" w:rsidTr="001A4016">
        <w:tblPrEx>
          <w:tblCellMar>
            <w:top w:w="31" w:type="dxa"/>
          </w:tblCellMar>
        </w:tblPrEx>
        <w:trPr>
          <w:trHeight w:val="925"/>
        </w:trPr>
        <w:tc>
          <w:tcPr>
            <w:tcW w:w="652" w:type="dxa"/>
            <w:gridSpan w:val="2"/>
            <w:tcBorders>
              <w:top w:val="single" w:sz="4" w:space="0" w:color="000000"/>
              <w:left w:val="single" w:sz="4" w:space="0" w:color="000000"/>
              <w:bottom w:val="single" w:sz="4" w:space="0" w:color="000000"/>
              <w:right w:val="single" w:sz="4" w:space="0" w:color="000000"/>
            </w:tcBorders>
          </w:tcPr>
          <w:p w14:paraId="38C9D423" w14:textId="77777777" w:rsidR="009E2991" w:rsidRPr="00E47756" w:rsidRDefault="009E2991" w:rsidP="009E2991">
            <w:pPr>
              <w:spacing w:after="0" w:line="240" w:lineRule="auto"/>
              <w:ind w:left="57" w:right="57"/>
              <w:jc w:val="center"/>
            </w:pPr>
            <w:r w:rsidRPr="00E47756">
              <w:rPr>
                <w:sz w:val="20"/>
              </w:rPr>
              <w:t>38.</w:t>
            </w:r>
          </w:p>
        </w:tc>
        <w:tc>
          <w:tcPr>
            <w:tcW w:w="6173" w:type="dxa"/>
            <w:tcBorders>
              <w:top w:val="single" w:sz="4" w:space="0" w:color="000000"/>
              <w:left w:val="single" w:sz="4" w:space="0" w:color="000000"/>
              <w:bottom w:val="single" w:sz="4" w:space="0" w:color="000000"/>
              <w:right w:val="single" w:sz="4" w:space="0" w:color="000000"/>
            </w:tcBorders>
          </w:tcPr>
          <w:p w14:paraId="31DC2805" w14:textId="77777777" w:rsidR="009E2991" w:rsidRPr="00E47756" w:rsidRDefault="009E2991" w:rsidP="009E2991">
            <w:pPr>
              <w:spacing w:after="0" w:line="240" w:lineRule="auto"/>
              <w:ind w:left="57" w:right="57"/>
            </w:pPr>
            <w:r w:rsidRPr="00E47756">
              <w:rPr>
                <w:sz w:val="20"/>
              </w:rPr>
              <w:t xml:space="preserve">návrh SMERNICA EURÓPSKEHO PARLAMENTU A RADY spoločných normách a postupoch členských štátov na účely návratu štátnych príslušníkov tretích krajín, ktorí sa neoprávnene zdržiavajú na ich území (prepracované znenie)  </w:t>
            </w:r>
          </w:p>
        </w:tc>
        <w:tc>
          <w:tcPr>
            <w:tcW w:w="1985" w:type="dxa"/>
            <w:tcBorders>
              <w:top w:val="single" w:sz="4" w:space="0" w:color="000000"/>
              <w:left w:val="single" w:sz="4" w:space="0" w:color="000000"/>
              <w:bottom w:val="single" w:sz="4" w:space="0" w:color="000000"/>
              <w:right w:val="single" w:sz="4" w:space="0" w:color="000000"/>
            </w:tcBorders>
          </w:tcPr>
          <w:p w14:paraId="65F81178" w14:textId="77777777" w:rsidR="009E2991" w:rsidRPr="00E47756" w:rsidRDefault="009E2991" w:rsidP="009E2991">
            <w:pPr>
              <w:spacing w:after="0" w:line="240" w:lineRule="auto"/>
              <w:ind w:left="57" w:right="57"/>
            </w:pPr>
            <w:r w:rsidRPr="00E47756">
              <w:rPr>
                <w:sz w:val="20"/>
              </w:rPr>
              <w:t xml:space="preserve">COM(2018) 634 </w:t>
            </w:r>
            <w:proofErr w:type="spellStart"/>
            <w:r w:rsidRPr="00E47756">
              <w:rPr>
                <w:sz w:val="20"/>
              </w:rPr>
              <w:t>final</w:t>
            </w:r>
            <w:proofErr w:type="spellEnd"/>
            <w:r w:rsidRPr="00E47756">
              <w:t xml:space="preserve">  </w:t>
            </w:r>
          </w:p>
          <w:p w14:paraId="78C317A2" w14:textId="77777777" w:rsidR="009E2991" w:rsidRPr="00E47756" w:rsidRDefault="009E2991" w:rsidP="009E2991">
            <w:pPr>
              <w:spacing w:after="0" w:line="240" w:lineRule="auto"/>
              <w:ind w:left="57" w:right="57"/>
            </w:pPr>
            <w:r w:rsidRPr="00E47756">
              <w:rPr>
                <w:sz w:val="20"/>
              </w:rPr>
              <w:t>2018/0329 (COD)</w:t>
            </w:r>
            <w:r w:rsidRPr="00E47756">
              <w:t xml:space="preserve"> </w:t>
            </w:r>
          </w:p>
          <w:p w14:paraId="6F6EA965" w14:textId="77777777" w:rsidR="009E2991" w:rsidRPr="00E47756" w:rsidRDefault="009E2991" w:rsidP="009E2991">
            <w:pPr>
              <w:spacing w:after="0" w:line="240" w:lineRule="auto"/>
              <w:ind w:left="57" w:right="57"/>
            </w:pPr>
            <w:r w:rsidRPr="00E47756">
              <w:rPr>
                <w:sz w:val="20"/>
              </w:rPr>
              <w:t xml:space="preserve">12. 9. 2018 </w:t>
            </w:r>
          </w:p>
        </w:tc>
        <w:tc>
          <w:tcPr>
            <w:tcW w:w="1701" w:type="dxa"/>
            <w:tcBorders>
              <w:top w:val="single" w:sz="4" w:space="0" w:color="000000"/>
              <w:left w:val="single" w:sz="4" w:space="0" w:color="000000"/>
              <w:bottom w:val="single" w:sz="4" w:space="0" w:color="000000"/>
              <w:right w:val="single" w:sz="4" w:space="0" w:color="000000"/>
            </w:tcBorders>
          </w:tcPr>
          <w:p w14:paraId="0365782A" w14:textId="77777777" w:rsidR="009E2991" w:rsidRPr="00E47756" w:rsidRDefault="009E2991" w:rsidP="009E2991">
            <w:pPr>
              <w:spacing w:after="0" w:line="240" w:lineRule="auto"/>
              <w:ind w:left="57" w:right="57"/>
              <w:jc w:val="center"/>
              <w:rPr>
                <w:b/>
                <w:sz w:val="20"/>
              </w:rPr>
            </w:pPr>
            <w:r w:rsidRPr="00E47756">
              <w:rPr>
                <w:b/>
                <w:sz w:val="20"/>
              </w:rPr>
              <w:t>MV SR</w:t>
            </w:r>
          </w:p>
        </w:tc>
        <w:tc>
          <w:tcPr>
            <w:tcW w:w="4111" w:type="dxa"/>
            <w:tcBorders>
              <w:top w:val="single" w:sz="4" w:space="0" w:color="000000"/>
              <w:left w:val="single" w:sz="4" w:space="0" w:color="000000"/>
              <w:bottom w:val="single" w:sz="4" w:space="0" w:color="000000"/>
              <w:right w:val="single" w:sz="4" w:space="0" w:color="000000"/>
            </w:tcBorders>
          </w:tcPr>
          <w:p w14:paraId="66BF8918" w14:textId="77777777" w:rsidR="009E2991" w:rsidRPr="00E47756" w:rsidRDefault="009E2991" w:rsidP="009E2991">
            <w:pPr>
              <w:spacing w:after="0" w:line="240" w:lineRule="auto"/>
              <w:ind w:left="57" w:right="57"/>
              <w:rPr>
                <w:sz w:val="20"/>
              </w:rPr>
            </w:pPr>
            <w:r w:rsidRPr="00E47756">
              <w:rPr>
                <w:b/>
                <w:sz w:val="20"/>
                <w:u w:val="single"/>
              </w:rPr>
              <w:t>Stredná priorita</w:t>
            </w:r>
            <w:r w:rsidRPr="00E47756">
              <w:rPr>
                <w:sz w:val="20"/>
              </w:rPr>
              <w:t xml:space="preserve"> – SR víta iniciatívu otvorenia návratovej smernice, sme presvedčení, že konkrétne opatrenia, resp. zmeny v smernici napomôžu urýchliť konania o návrate, zabrániť útekom a zvýšiť celkovú mieru návratu z EÚ za plného dodržiavania základných práv a zásady zákazu vyhostenia alebo vrátenia. SR počas rokovaní uplatnila pripomienky.</w:t>
            </w:r>
          </w:p>
          <w:p w14:paraId="3A61085F" w14:textId="2C858B64" w:rsidR="009E2991" w:rsidRPr="00E47756" w:rsidRDefault="009E2991" w:rsidP="00F46B8A">
            <w:pPr>
              <w:spacing w:after="0" w:line="240" w:lineRule="auto"/>
              <w:ind w:left="57" w:right="57"/>
              <w:rPr>
                <w:sz w:val="20"/>
              </w:rPr>
            </w:pPr>
            <w:r w:rsidRPr="00E47756">
              <w:rPr>
                <w:sz w:val="20"/>
              </w:rPr>
              <w:t>Rada</w:t>
            </w:r>
            <w:r w:rsidR="00EC598E">
              <w:rPr>
                <w:sz w:val="20"/>
              </w:rPr>
              <w:t xml:space="preserve"> EÚ</w:t>
            </w:r>
            <w:r w:rsidRPr="00E47756">
              <w:rPr>
                <w:sz w:val="20"/>
              </w:rPr>
              <w:t xml:space="preserve"> sa zhodla na čiastočnom všeobecnom smerovaní, ktoré SR po</w:t>
            </w:r>
            <w:r w:rsidR="00F46B8A">
              <w:rPr>
                <w:sz w:val="20"/>
              </w:rPr>
              <w:t>dporila, čaká sa na pozíciu EP.</w:t>
            </w:r>
          </w:p>
        </w:tc>
      </w:tr>
      <w:tr w:rsidR="009E2991" w:rsidRPr="00E47756" w14:paraId="44B66856" w14:textId="77777777" w:rsidTr="001A4016">
        <w:tblPrEx>
          <w:tblCellMar>
            <w:top w:w="31" w:type="dxa"/>
          </w:tblCellMar>
        </w:tblPrEx>
        <w:trPr>
          <w:trHeight w:val="925"/>
        </w:trPr>
        <w:tc>
          <w:tcPr>
            <w:tcW w:w="652" w:type="dxa"/>
            <w:gridSpan w:val="2"/>
            <w:tcBorders>
              <w:top w:val="single" w:sz="4" w:space="0" w:color="000000"/>
              <w:left w:val="single" w:sz="4" w:space="0" w:color="000000"/>
              <w:bottom w:val="single" w:sz="4" w:space="0" w:color="000000"/>
              <w:right w:val="single" w:sz="4" w:space="0" w:color="000000"/>
            </w:tcBorders>
          </w:tcPr>
          <w:p w14:paraId="66810014" w14:textId="77777777" w:rsidR="009E2991" w:rsidRPr="00E47756" w:rsidRDefault="009E2991" w:rsidP="009E2991">
            <w:pPr>
              <w:spacing w:after="0" w:line="240" w:lineRule="auto"/>
              <w:ind w:left="57" w:right="57"/>
              <w:jc w:val="center"/>
            </w:pPr>
            <w:r w:rsidRPr="00E47756">
              <w:rPr>
                <w:sz w:val="20"/>
              </w:rPr>
              <w:t>39.</w:t>
            </w:r>
          </w:p>
        </w:tc>
        <w:tc>
          <w:tcPr>
            <w:tcW w:w="6173" w:type="dxa"/>
            <w:tcBorders>
              <w:top w:val="single" w:sz="4" w:space="0" w:color="000000"/>
              <w:left w:val="single" w:sz="4" w:space="0" w:color="000000"/>
              <w:bottom w:val="single" w:sz="4" w:space="0" w:color="000000"/>
              <w:right w:val="single" w:sz="4" w:space="0" w:color="000000"/>
            </w:tcBorders>
          </w:tcPr>
          <w:p w14:paraId="7DECE47E" w14:textId="77777777" w:rsidR="009E2991" w:rsidRPr="00E47756" w:rsidRDefault="009E2991" w:rsidP="009E2991">
            <w:pPr>
              <w:spacing w:after="0" w:line="240" w:lineRule="auto"/>
              <w:ind w:left="57" w:right="57"/>
            </w:pPr>
            <w:r w:rsidRPr="00E47756">
              <w:rPr>
                <w:sz w:val="20"/>
              </w:rPr>
              <w:t xml:space="preserve">návrh NARIADENIE EURÓPSKEHO PARLAMENTU A RADY, ktorým sa mení nariadenie (ES) č. 767/2008, nariadenie (ES) č. 810/2009, nariadenie (EÚ) 2017/2226, nariadenie (EÚ) 2016/399, nariadenie XX/2018 [nariadenie o </w:t>
            </w:r>
            <w:proofErr w:type="spellStart"/>
            <w:r w:rsidRPr="00E47756">
              <w:rPr>
                <w:sz w:val="20"/>
              </w:rPr>
              <w:t>interoperabilite</w:t>
            </w:r>
            <w:proofErr w:type="spellEnd"/>
            <w:r w:rsidRPr="00E47756">
              <w:rPr>
                <w:sz w:val="20"/>
              </w:rPr>
              <w:t xml:space="preserve">] a rozhodnutie 2004/512/ES a zrušuje rozhodnutie Rady 2008/633/SVV </w:t>
            </w:r>
          </w:p>
        </w:tc>
        <w:tc>
          <w:tcPr>
            <w:tcW w:w="1985" w:type="dxa"/>
            <w:tcBorders>
              <w:top w:val="single" w:sz="4" w:space="0" w:color="000000"/>
              <w:left w:val="single" w:sz="4" w:space="0" w:color="000000"/>
              <w:bottom w:val="single" w:sz="4" w:space="0" w:color="000000"/>
              <w:right w:val="single" w:sz="4" w:space="0" w:color="000000"/>
            </w:tcBorders>
          </w:tcPr>
          <w:p w14:paraId="04069ED4" w14:textId="77777777" w:rsidR="009E2991" w:rsidRPr="00E47756" w:rsidRDefault="009E2991" w:rsidP="009E2991">
            <w:pPr>
              <w:spacing w:after="0" w:line="240" w:lineRule="auto"/>
              <w:ind w:left="57" w:right="57"/>
            </w:pPr>
            <w:r w:rsidRPr="00E47756">
              <w:rPr>
                <w:sz w:val="20"/>
              </w:rPr>
              <w:t xml:space="preserve">COM(2018) 302 </w:t>
            </w:r>
            <w:proofErr w:type="spellStart"/>
            <w:r w:rsidRPr="00E47756">
              <w:rPr>
                <w:sz w:val="20"/>
              </w:rPr>
              <w:t>final</w:t>
            </w:r>
            <w:proofErr w:type="spellEnd"/>
            <w:r w:rsidRPr="00E47756">
              <w:t xml:space="preserve">  </w:t>
            </w:r>
          </w:p>
          <w:p w14:paraId="0D07D19B" w14:textId="77777777" w:rsidR="009E2991" w:rsidRPr="00E47756" w:rsidRDefault="009E2991" w:rsidP="009E2991">
            <w:pPr>
              <w:spacing w:after="0" w:line="240" w:lineRule="auto"/>
              <w:ind w:left="57" w:right="57"/>
            </w:pPr>
            <w:r w:rsidRPr="00E47756">
              <w:rPr>
                <w:sz w:val="20"/>
              </w:rPr>
              <w:t>2018/0152 (COD)</w:t>
            </w:r>
            <w:r w:rsidRPr="00E47756">
              <w:t xml:space="preserve">  </w:t>
            </w:r>
          </w:p>
          <w:p w14:paraId="0000EFB2" w14:textId="77777777" w:rsidR="009E2991" w:rsidRPr="00E47756" w:rsidRDefault="009E2991" w:rsidP="009E2991">
            <w:pPr>
              <w:spacing w:after="0" w:line="240" w:lineRule="auto"/>
              <w:ind w:left="57" w:right="57"/>
            </w:pPr>
            <w:r w:rsidRPr="00E47756">
              <w:rPr>
                <w:sz w:val="20"/>
              </w:rPr>
              <w:t xml:space="preserve">17. 5. 2018 </w:t>
            </w:r>
          </w:p>
        </w:tc>
        <w:tc>
          <w:tcPr>
            <w:tcW w:w="1701" w:type="dxa"/>
            <w:tcBorders>
              <w:top w:val="single" w:sz="4" w:space="0" w:color="000000"/>
              <w:left w:val="single" w:sz="4" w:space="0" w:color="000000"/>
              <w:bottom w:val="single" w:sz="4" w:space="0" w:color="000000"/>
              <w:right w:val="single" w:sz="4" w:space="0" w:color="000000"/>
            </w:tcBorders>
          </w:tcPr>
          <w:p w14:paraId="3EF81E9C" w14:textId="77777777" w:rsidR="009E2991" w:rsidRPr="00E47756" w:rsidRDefault="009E2991" w:rsidP="009E2991">
            <w:pPr>
              <w:spacing w:after="0" w:line="240" w:lineRule="auto"/>
              <w:ind w:left="57" w:right="57"/>
              <w:jc w:val="center"/>
              <w:rPr>
                <w:sz w:val="20"/>
              </w:rPr>
            </w:pPr>
            <w:r w:rsidRPr="00E47756">
              <w:rPr>
                <w:b/>
                <w:sz w:val="20"/>
              </w:rPr>
              <w:t>MV SR</w:t>
            </w:r>
          </w:p>
        </w:tc>
        <w:tc>
          <w:tcPr>
            <w:tcW w:w="4111" w:type="dxa"/>
            <w:tcBorders>
              <w:top w:val="single" w:sz="4" w:space="0" w:color="000000"/>
              <w:left w:val="single" w:sz="4" w:space="0" w:color="000000"/>
              <w:bottom w:val="single" w:sz="4" w:space="0" w:color="000000"/>
              <w:right w:val="single" w:sz="4" w:space="0" w:color="000000"/>
            </w:tcBorders>
          </w:tcPr>
          <w:p w14:paraId="4FBB2130" w14:textId="77777777" w:rsidR="009E2991" w:rsidRPr="00E47756" w:rsidRDefault="009E2991" w:rsidP="009E2991">
            <w:pPr>
              <w:spacing w:after="0" w:line="240" w:lineRule="auto"/>
              <w:ind w:left="57" w:right="57"/>
              <w:rPr>
                <w:sz w:val="20"/>
              </w:rPr>
            </w:pPr>
            <w:r w:rsidRPr="00E47756">
              <w:rPr>
                <w:b/>
                <w:sz w:val="20"/>
                <w:u w:val="single"/>
              </w:rPr>
              <w:t xml:space="preserve">Vysoká </w:t>
            </w:r>
            <w:r w:rsidRPr="009E2991">
              <w:rPr>
                <w:b/>
                <w:bCs/>
                <w:sz w:val="20"/>
                <w:u w:val="single"/>
              </w:rPr>
              <w:t>priorita</w:t>
            </w:r>
            <w:r w:rsidRPr="00E47756">
              <w:rPr>
                <w:sz w:val="20"/>
              </w:rPr>
              <w:t xml:space="preserve"> – </w:t>
            </w:r>
            <w:r w:rsidRPr="00E47756">
              <w:rPr>
                <w:bCs/>
                <w:sz w:val="20"/>
              </w:rPr>
              <w:t>SR</w:t>
            </w:r>
            <w:r w:rsidRPr="00E47756">
              <w:rPr>
                <w:sz w:val="20"/>
              </w:rPr>
              <w:t xml:space="preserve"> víta predložený návrh nariadenia a sme presvedčení, že pomôže pri naplnení cieľov:</w:t>
            </w:r>
          </w:p>
          <w:p w14:paraId="58F4FFE2" w14:textId="77777777" w:rsidR="009E2991" w:rsidRPr="00E47756" w:rsidRDefault="009E2991" w:rsidP="009E2991">
            <w:pPr>
              <w:spacing w:after="0" w:line="240" w:lineRule="auto"/>
              <w:ind w:left="57" w:right="57"/>
              <w:rPr>
                <w:sz w:val="20"/>
              </w:rPr>
            </w:pPr>
            <w:r w:rsidRPr="00E47756">
              <w:rPr>
                <w:sz w:val="20"/>
              </w:rPr>
              <w:t xml:space="preserve">- uľahčiť konanie o udelení víza, </w:t>
            </w:r>
          </w:p>
          <w:p w14:paraId="4A096BF3" w14:textId="77777777" w:rsidR="009E2991" w:rsidRPr="00E47756" w:rsidRDefault="009E2991" w:rsidP="009E2991">
            <w:pPr>
              <w:spacing w:after="0" w:line="240" w:lineRule="auto"/>
              <w:ind w:left="57" w:right="57"/>
              <w:rPr>
                <w:sz w:val="20"/>
              </w:rPr>
            </w:pPr>
            <w:r w:rsidRPr="00E47756">
              <w:rPr>
                <w:sz w:val="20"/>
              </w:rPr>
              <w:t xml:space="preserve">- uľahčiť a posilniť kontroly na hraničných priechodoch na vonkajších hraniciach a na území členských štátov a  </w:t>
            </w:r>
          </w:p>
          <w:p w14:paraId="667F23DD" w14:textId="77777777" w:rsidR="009E2991" w:rsidRPr="00E47756" w:rsidRDefault="009E2991" w:rsidP="009E2991">
            <w:pPr>
              <w:spacing w:after="0" w:line="240" w:lineRule="auto"/>
              <w:ind w:left="57" w:right="57"/>
              <w:rPr>
                <w:sz w:val="20"/>
              </w:rPr>
            </w:pPr>
            <w:r w:rsidRPr="00E47756">
              <w:rPr>
                <w:sz w:val="20"/>
              </w:rPr>
              <w:lastRenderedPageBreak/>
              <w:t>- posilniť vnútornú bezpečnosť schengenského priestoru prostredníctvom uľahčenia výmeny informácií medzi členskými štátmi o štátnych príslušníkoch tretích krajín, ktorí sú držiteľmi dlhodobých víz a povolení na pobyt.</w:t>
            </w:r>
          </w:p>
          <w:p w14:paraId="368FC647" w14:textId="77777777" w:rsidR="009E2991" w:rsidRPr="00E47756" w:rsidRDefault="009E2991" w:rsidP="009E2991">
            <w:pPr>
              <w:spacing w:after="0" w:line="240" w:lineRule="auto"/>
              <w:ind w:left="57" w:right="57"/>
              <w:rPr>
                <w:sz w:val="20"/>
              </w:rPr>
            </w:pPr>
            <w:r w:rsidRPr="00E47756">
              <w:rPr>
                <w:sz w:val="20"/>
              </w:rPr>
              <w:t xml:space="preserve">Aktuálne prebieha </w:t>
            </w:r>
            <w:proofErr w:type="spellStart"/>
            <w:r w:rsidRPr="00E47756">
              <w:rPr>
                <w:sz w:val="20"/>
              </w:rPr>
              <w:t>trialóg</w:t>
            </w:r>
            <w:proofErr w:type="spellEnd"/>
            <w:r w:rsidRPr="00E47756">
              <w:rPr>
                <w:sz w:val="20"/>
              </w:rPr>
              <w:t xml:space="preserve"> s Európskym parlamentom.</w:t>
            </w:r>
          </w:p>
        </w:tc>
      </w:tr>
      <w:tr w:rsidR="009E2991" w:rsidRPr="00E47756" w14:paraId="56BAD52C" w14:textId="77777777" w:rsidTr="001A4016">
        <w:tblPrEx>
          <w:tblCellMar>
            <w:top w:w="31" w:type="dxa"/>
          </w:tblCellMar>
        </w:tblPrEx>
        <w:trPr>
          <w:trHeight w:val="925"/>
        </w:trPr>
        <w:tc>
          <w:tcPr>
            <w:tcW w:w="652" w:type="dxa"/>
            <w:gridSpan w:val="2"/>
            <w:tcBorders>
              <w:top w:val="single" w:sz="4" w:space="0" w:color="000000"/>
              <w:left w:val="single" w:sz="4" w:space="0" w:color="000000"/>
              <w:bottom w:val="single" w:sz="4" w:space="0" w:color="000000"/>
              <w:right w:val="single" w:sz="4" w:space="0" w:color="000000"/>
            </w:tcBorders>
          </w:tcPr>
          <w:p w14:paraId="24CD7D37" w14:textId="77777777" w:rsidR="009E2991" w:rsidRPr="00E47756" w:rsidRDefault="009E2991" w:rsidP="009E2991">
            <w:pPr>
              <w:spacing w:after="0" w:line="240" w:lineRule="auto"/>
              <w:ind w:left="57" w:right="57"/>
              <w:jc w:val="center"/>
            </w:pPr>
            <w:r w:rsidRPr="00E47756">
              <w:rPr>
                <w:sz w:val="20"/>
              </w:rPr>
              <w:lastRenderedPageBreak/>
              <w:t>40.</w:t>
            </w:r>
          </w:p>
        </w:tc>
        <w:tc>
          <w:tcPr>
            <w:tcW w:w="6173" w:type="dxa"/>
            <w:tcBorders>
              <w:top w:val="single" w:sz="4" w:space="0" w:color="000000"/>
              <w:left w:val="single" w:sz="4" w:space="0" w:color="000000"/>
              <w:bottom w:val="single" w:sz="4" w:space="0" w:color="000000"/>
              <w:right w:val="single" w:sz="4" w:space="0" w:color="000000"/>
            </w:tcBorders>
          </w:tcPr>
          <w:p w14:paraId="7A4975E0" w14:textId="77777777" w:rsidR="009E2991" w:rsidRPr="00E47756" w:rsidRDefault="009E2991" w:rsidP="009E2991">
            <w:pPr>
              <w:spacing w:after="0" w:line="240" w:lineRule="auto"/>
              <w:ind w:left="57" w:right="57"/>
            </w:pPr>
            <w:r w:rsidRPr="00E47756">
              <w:rPr>
                <w:sz w:val="20"/>
              </w:rPr>
              <w:t xml:space="preserve">návrh NARIADENIE EURÓPSKEHO PARLAMENTU A RADY, ktorým sa zriaďuje rámec Únie pre presídľovanie a ktorým sa mení nariadenie </w:t>
            </w:r>
          </w:p>
          <w:p w14:paraId="6F3C1CD7" w14:textId="77777777" w:rsidR="009E2991" w:rsidRPr="00E47756" w:rsidRDefault="009E2991" w:rsidP="009E2991">
            <w:pPr>
              <w:spacing w:after="0" w:line="240" w:lineRule="auto"/>
              <w:ind w:left="57" w:right="57"/>
            </w:pPr>
            <w:r w:rsidRPr="00E47756">
              <w:rPr>
                <w:sz w:val="20"/>
              </w:rPr>
              <w:t xml:space="preserve">Európskeho parlamentu a Rady (EÚ) č. 516/2014 </w:t>
            </w:r>
          </w:p>
        </w:tc>
        <w:tc>
          <w:tcPr>
            <w:tcW w:w="1985" w:type="dxa"/>
            <w:tcBorders>
              <w:top w:val="single" w:sz="4" w:space="0" w:color="000000"/>
              <w:left w:val="single" w:sz="4" w:space="0" w:color="000000"/>
              <w:bottom w:val="single" w:sz="4" w:space="0" w:color="000000"/>
              <w:right w:val="single" w:sz="4" w:space="0" w:color="000000"/>
            </w:tcBorders>
          </w:tcPr>
          <w:p w14:paraId="702B57B8" w14:textId="77777777" w:rsidR="009E2991" w:rsidRPr="00E47756" w:rsidRDefault="009E2991" w:rsidP="009E2991">
            <w:pPr>
              <w:spacing w:after="0" w:line="240" w:lineRule="auto"/>
              <w:ind w:left="57" w:right="57"/>
            </w:pPr>
            <w:r w:rsidRPr="00E47756">
              <w:rPr>
                <w:sz w:val="20"/>
              </w:rPr>
              <w:t xml:space="preserve">COM(2016) 468 </w:t>
            </w:r>
            <w:proofErr w:type="spellStart"/>
            <w:r w:rsidRPr="00E47756">
              <w:rPr>
                <w:sz w:val="20"/>
              </w:rPr>
              <w:t>final</w:t>
            </w:r>
            <w:proofErr w:type="spellEnd"/>
            <w:r w:rsidRPr="00E47756">
              <w:t xml:space="preserve">  </w:t>
            </w:r>
          </w:p>
          <w:p w14:paraId="49D1122C" w14:textId="77777777" w:rsidR="009E2991" w:rsidRPr="00E47756" w:rsidRDefault="009E2991" w:rsidP="009E2991">
            <w:pPr>
              <w:spacing w:after="0" w:line="240" w:lineRule="auto"/>
              <w:ind w:left="57" w:right="57"/>
            </w:pPr>
            <w:r w:rsidRPr="00E47756">
              <w:rPr>
                <w:sz w:val="20"/>
              </w:rPr>
              <w:t>2016/0225 (COD)</w:t>
            </w:r>
            <w:r w:rsidRPr="00E47756">
              <w:t xml:space="preserve">  </w:t>
            </w:r>
          </w:p>
          <w:p w14:paraId="74B30436" w14:textId="77777777" w:rsidR="009E2991" w:rsidRPr="00E47756" w:rsidRDefault="009E2991" w:rsidP="009E2991">
            <w:pPr>
              <w:spacing w:after="0" w:line="240" w:lineRule="auto"/>
              <w:ind w:left="57" w:right="57"/>
            </w:pPr>
            <w:r w:rsidRPr="00E47756">
              <w:rPr>
                <w:sz w:val="20"/>
              </w:rPr>
              <w:t xml:space="preserve">13. 7. 2016 </w:t>
            </w:r>
          </w:p>
        </w:tc>
        <w:tc>
          <w:tcPr>
            <w:tcW w:w="1701" w:type="dxa"/>
            <w:tcBorders>
              <w:top w:val="single" w:sz="4" w:space="0" w:color="000000"/>
              <w:left w:val="single" w:sz="4" w:space="0" w:color="000000"/>
              <w:bottom w:val="single" w:sz="4" w:space="0" w:color="000000"/>
              <w:right w:val="single" w:sz="4" w:space="0" w:color="000000"/>
            </w:tcBorders>
          </w:tcPr>
          <w:p w14:paraId="12B590D8" w14:textId="77777777" w:rsidR="009E2991" w:rsidRPr="00E47756" w:rsidRDefault="009E2991" w:rsidP="009E2991">
            <w:pPr>
              <w:spacing w:after="0" w:line="240" w:lineRule="auto"/>
              <w:ind w:left="57" w:right="57"/>
              <w:jc w:val="center"/>
              <w:rPr>
                <w:sz w:val="20"/>
              </w:rPr>
            </w:pPr>
            <w:r w:rsidRPr="00E47756">
              <w:rPr>
                <w:b/>
                <w:sz w:val="20"/>
              </w:rPr>
              <w:t>MV SR</w:t>
            </w:r>
          </w:p>
        </w:tc>
        <w:tc>
          <w:tcPr>
            <w:tcW w:w="4111" w:type="dxa"/>
            <w:tcBorders>
              <w:top w:val="single" w:sz="4" w:space="0" w:color="000000"/>
              <w:left w:val="single" w:sz="4" w:space="0" w:color="000000"/>
              <w:bottom w:val="single" w:sz="4" w:space="0" w:color="000000"/>
              <w:right w:val="single" w:sz="4" w:space="0" w:color="000000"/>
            </w:tcBorders>
          </w:tcPr>
          <w:p w14:paraId="5A826072" w14:textId="77777777" w:rsidR="009E2991" w:rsidRPr="00E47756" w:rsidRDefault="009E2991" w:rsidP="009E2991">
            <w:pPr>
              <w:spacing w:after="0" w:line="240" w:lineRule="auto"/>
              <w:ind w:left="57" w:right="57"/>
              <w:rPr>
                <w:sz w:val="20"/>
              </w:rPr>
            </w:pPr>
            <w:r w:rsidRPr="00E47756">
              <w:rPr>
                <w:b/>
                <w:sz w:val="20"/>
                <w:u w:val="single"/>
              </w:rPr>
              <w:t>Vysoká priorita</w:t>
            </w:r>
            <w:r w:rsidRPr="00E47756">
              <w:rPr>
                <w:sz w:val="20"/>
              </w:rPr>
              <w:t xml:space="preserve"> – Stanovuje sa európsky rámec pre presídľovanie osôb z tretích krajín. SR presadzuje princíp dobrovoľnosti, potrebu posilnenia strategického významu presídlenia v rámci presídľovacieho nariadenia; trvá na požiadavke zachovať nedostatok integračného potenciálu ako dôvod na vylúčenie – posledný kompromisný text nepovažujeme za dostatočný. Rokovania sú momentálne utlmené.</w:t>
            </w:r>
          </w:p>
        </w:tc>
      </w:tr>
      <w:tr w:rsidR="00201FCC" w:rsidRPr="00E47756" w14:paraId="627A62CF" w14:textId="77777777" w:rsidTr="001A4016">
        <w:tblPrEx>
          <w:tblCellMar>
            <w:top w:w="31" w:type="dxa"/>
          </w:tblCellMar>
        </w:tblPrEx>
        <w:trPr>
          <w:trHeight w:val="925"/>
        </w:trPr>
        <w:tc>
          <w:tcPr>
            <w:tcW w:w="652" w:type="dxa"/>
            <w:gridSpan w:val="2"/>
            <w:tcBorders>
              <w:top w:val="single" w:sz="4" w:space="0" w:color="000000"/>
              <w:left w:val="single" w:sz="4" w:space="0" w:color="000000"/>
              <w:bottom w:val="single" w:sz="4" w:space="0" w:color="000000"/>
              <w:right w:val="single" w:sz="4" w:space="0" w:color="000000"/>
            </w:tcBorders>
          </w:tcPr>
          <w:p w14:paraId="5890D811" w14:textId="77777777" w:rsidR="00201FCC" w:rsidRPr="00E47756" w:rsidRDefault="00201FCC" w:rsidP="00201FCC">
            <w:pPr>
              <w:spacing w:after="0" w:line="240" w:lineRule="auto"/>
              <w:ind w:left="57" w:right="57"/>
              <w:jc w:val="center"/>
              <w:rPr>
                <w:sz w:val="20"/>
              </w:rPr>
            </w:pPr>
            <w:r w:rsidRPr="00E47756">
              <w:rPr>
                <w:sz w:val="20"/>
              </w:rPr>
              <w:t>41.</w:t>
            </w:r>
          </w:p>
        </w:tc>
        <w:tc>
          <w:tcPr>
            <w:tcW w:w="6173" w:type="dxa"/>
            <w:tcBorders>
              <w:top w:val="single" w:sz="4" w:space="0" w:color="000000"/>
              <w:left w:val="single" w:sz="4" w:space="0" w:color="000000"/>
              <w:bottom w:val="single" w:sz="4" w:space="0" w:color="000000"/>
              <w:right w:val="single" w:sz="4" w:space="0" w:color="000000"/>
            </w:tcBorders>
          </w:tcPr>
          <w:p w14:paraId="47BDF145" w14:textId="77777777" w:rsidR="00201FCC" w:rsidRPr="00E47756" w:rsidRDefault="00201FCC" w:rsidP="00201FCC">
            <w:pPr>
              <w:spacing w:after="0" w:line="240" w:lineRule="auto"/>
              <w:ind w:left="57" w:right="57"/>
              <w:rPr>
                <w:sz w:val="20"/>
              </w:rPr>
            </w:pPr>
            <w:r w:rsidRPr="00E47756">
              <w:rPr>
                <w:sz w:val="20"/>
              </w:rPr>
              <w:t xml:space="preserve">návrh NARIADENIE EURÓPSKEHO PARLAMENTU A RADY, ktorým sa stanovuje spoločné konanie o medzinárodnej ochrane v Únii a zrušuje smernica 2013/32/EÚ </w:t>
            </w:r>
          </w:p>
        </w:tc>
        <w:tc>
          <w:tcPr>
            <w:tcW w:w="1985" w:type="dxa"/>
            <w:tcBorders>
              <w:top w:val="single" w:sz="4" w:space="0" w:color="000000"/>
              <w:left w:val="single" w:sz="4" w:space="0" w:color="000000"/>
              <w:bottom w:val="single" w:sz="4" w:space="0" w:color="000000"/>
              <w:right w:val="single" w:sz="4" w:space="0" w:color="000000"/>
            </w:tcBorders>
          </w:tcPr>
          <w:p w14:paraId="5CDDCFE3" w14:textId="77777777" w:rsidR="00201FCC" w:rsidRPr="00E47756" w:rsidRDefault="00201FCC" w:rsidP="00201FCC">
            <w:pPr>
              <w:spacing w:after="0" w:line="240" w:lineRule="auto"/>
              <w:ind w:left="57" w:right="57"/>
            </w:pPr>
            <w:r w:rsidRPr="00E47756">
              <w:rPr>
                <w:sz w:val="20"/>
              </w:rPr>
              <w:t xml:space="preserve">COM(2016) 467 </w:t>
            </w:r>
            <w:proofErr w:type="spellStart"/>
            <w:r w:rsidRPr="00E47756">
              <w:rPr>
                <w:sz w:val="20"/>
              </w:rPr>
              <w:t>final</w:t>
            </w:r>
            <w:proofErr w:type="spellEnd"/>
            <w:r w:rsidRPr="00E47756">
              <w:t xml:space="preserve">  </w:t>
            </w:r>
          </w:p>
          <w:p w14:paraId="447D1FEA" w14:textId="77777777" w:rsidR="00201FCC" w:rsidRPr="00E47756" w:rsidRDefault="00201FCC" w:rsidP="00201FCC">
            <w:pPr>
              <w:spacing w:after="0" w:line="240" w:lineRule="auto"/>
              <w:ind w:left="57" w:right="57"/>
            </w:pPr>
            <w:r w:rsidRPr="00E47756">
              <w:rPr>
                <w:sz w:val="20"/>
              </w:rPr>
              <w:t>2016/0224 (COD)</w:t>
            </w:r>
            <w:r w:rsidRPr="00E47756">
              <w:t xml:space="preserve">  </w:t>
            </w:r>
          </w:p>
          <w:p w14:paraId="0F3E35CB" w14:textId="77777777" w:rsidR="00201FCC" w:rsidRPr="00E47756" w:rsidRDefault="00201FCC" w:rsidP="00201FCC">
            <w:pPr>
              <w:spacing w:after="0" w:line="240" w:lineRule="auto"/>
              <w:ind w:left="57" w:right="57"/>
            </w:pPr>
            <w:r w:rsidRPr="00E47756">
              <w:rPr>
                <w:sz w:val="20"/>
              </w:rPr>
              <w:t>13. 7. 2016</w:t>
            </w:r>
            <w:r w:rsidRPr="00E47756">
              <w:t xml:space="preserve">  </w:t>
            </w:r>
          </w:p>
          <w:p w14:paraId="60A261CB" w14:textId="77777777" w:rsidR="00201FCC" w:rsidRPr="00E47756" w:rsidRDefault="00201FCC" w:rsidP="00201FCC">
            <w:pPr>
              <w:spacing w:after="0" w:line="240" w:lineRule="auto"/>
              <w:ind w:left="57" w:right="57"/>
            </w:pPr>
            <w:r w:rsidRPr="00E47756">
              <w:rPr>
                <w:sz w:val="20"/>
              </w:rPr>
              <w:t xml:space="preserve"> </w:t>
            </w:r>
          </w:p>
          <w:p w14:paraId="508E99AA" w14:textId="77777777" w:rsidR="00201FCC" w:rsidRPr="00E47756" w:rsidRDefault="00201FCC" w:rsidP="00201FCC">
            <w:pPr>
              <w:spacing w:after="0" w:line="240" w:lineRule="auto"/>
              <w:ind w:left="57" w:right="57"/>
            </w:pPr>
            <w:r w:rsidRPr="00E47756">
              <w:rPr>
                <w:sz w:val="20"/>
              </w:rPr>
              <w:t xml:space="preserve">COM(2020) 611 </w:t>
            </w:r>
            <w:proofErr w:type="spellStart"/>
            <w:r w:rsidRPr="00E47756">
              <w:rPr>
                <w:sz w:val="20"/>
              </w:rPr>
              <w:t>final</w:t>
            </w:r>
            <w:proofErr w:type="spellEnd"/>
            <w:r w:rsidRPr="00E47756">
              <w:t xml:space="preserve">  </w:t>
            </w:r>
          </w:p>
          <w:p w14:paraId="09A9DE56" w14:textId="77777777" w:rsidR="00201FCC" w:rsidRPr="00E47756" w:rsidRDefault="00201FCC" w:rsidP="00201FCC">
            <w:pPr>
              <w:spacing w:after="0" w:line="240" w:lineRule="auto"/>
              <w:ind w:left="57" w:right="57"/>
              <w:rPr>
                <w:sz w:val="20"/>
              </w:rPr>
            </w:pPr>
            <w:r w:rsidRPr="00E47756">
              <w:rPr>
                <w:sz w:val="20"/>
              </w:rPr>
              <w:t xml:space="preserve">23. 9. 2020 </w:t>
            </w:r>
          </w:p>
        </w:tc>
        <w:tc>
          <w:tcPr>
            <w:tcW w:w="1701" w:type="dxa"/>
            <w:tcBorders>
              <w:top w:val="single" w:sz="4" w:space="0" w:color="000000"/>
              <w:left w:val="single" w:sz="4" w:space="0" w:color="000000"/>
              <w:bottom w:val="single" w:sz="4" w:space="0" w:color="000000"/>
              <w:right w:val="single" w:sz="4" w:space="0" w:color="000000"/>
            </w:tcBorders>
          </w:tcPr>
          <w:p w14:paraId="54C338F8" w14:textId="77777777" w:rsidR="00201FCC" w:rsidRPr="00E47756" w:rsidRDefault="00201FCC" w:rsidP="00201FCC">
            <w:pPr>
              <w:spacing w:after="0" w:line="240" w:lineRule="auto"/>
              <w:ind w:left="57" w:right="57"/>
              <w:jc w:val="center"/>
              <w:rPr>
                <w:b/>
                <w:sz w:val="20"/>
              </w:rPr>
            </w:pPr>
            <w:r w:rsidRPr="00E47756">
              <w:rPr>
                <w:b/>
                <w:sz w:val="20"/>
              </w:rPr>
              <w:t>MV SR</w:t>
            </w:r>
          </w:p>
        </w:tc>
        <w:tc>
          <w:tcPr>
            <w:tcW w:w="4111" w:type="dxa"/>
            <w:tcBorders>
              <w:top w:val="single" w:sz="4" w:space="0" w:color="000000"/>
              <w:left w:val="single" w:sz="4" w:space="0" w:color="000000"/>
              <w:bottom w:val="single" w:sz="4" w:space="0" w:color="000000"/>
              <w:right w:val="single" w:sz="4" w:space="0" w:color="000000"/>
            </w:tcBorders>
          </w:tcPr>
          <w:p w14:paraId="606D76FB" w14:textId="77777777" w:rsidR="00201FCC" w:rsidRPr="00E47756" w:rsidRDefault="00201FCC" w:rsidP="00201FCC">
            <w:pPr>
              <w:spacing w:after="0" w:line="240" w:lineRule="auto"/>
              <w:ind w:left="57" w:right="57"/>
              <w:rPr>
                <w:b/>
                <w:sz w:val="20"/>
                <w:u w:val="single"/>
              </w:rPr>
            </w:pPr>
            <w:r w:rsidRPr="00E47756">
              <w:rPr>
                <w:b/>
                <w:sz w:val="20"/>
                <w:u w:val="single"/>
              </w:rPr>
              <w:t>Vysoká priorita</w:t>
            </w:r>
            <w:r w:rsidRPr="00E47756">
              <w:rPr>
                <w:sz w:val="20"/>
              </w:rPr>
              <w:t xml:space="preserve"> – Návrh predložený v rámci Paktu o migrácii a azyle v septembri 2020. Cieľom je zaviesť spoločné konanie o azyle, ktoré nahradí rôzne odlišné konania v členských štátoch a ktoré sa bude uplatňovať pri všetkých žiadostiach podaných v členských štátoch. Je takisto potrebné zaviesť jednoduchšie, prehľadnejšie a kratšie postupy spolu s primeranými procesnými zárukami a nástrojmi na obranu proti zneužívaniu konaní o azyle a na predchádzanie neoprávneným pohybom, aby sa zabezpečila účinnosť a vysoká kvalita rozhodovacieho procesu.  SR si uplatní pripomienky, podporujeme tzv. balíkový prístup ku všetkým návrhom v rámci Paktu a k súvisiacim návrhom.</w:t>
            </w:r>
          </w:p>
        </w:tc>
      </w:tr>
      <w:tr w:rsidR="00201FCC" w:rsidRPr="00E47756" w14:paraId="609277FF" w14:textId="77777777" w:rsidTr="001A4016">
        <w:tblPrEx>
          <w:tblCellMar>
            <w:top w:w="31" w:type="dxa"/>
          </w:tblCellMar>
        </w:tblPrEx>
        <w:trPr>
          <w:trHeight w:val="925"/>
        </w:trPr>
        <w:tc>
          <w:tcPr>
            <w:tcW w:w="652" w:type="dxa"/>
            <w:gridSpan w:val="2"/>
            <w:tcBorders>
              <w:top w:val="single" w:sz="4" w:space="0" w:color="000000"/>
              <w:left w:val="single" w:sz="4" w:space="0" w:color="000000"/>
              <w:bottom w:val="single" w:sz="4" w:space="0" w:color="000000"/>
              <w:right w:val="single" w:sz="4" w:space="0" w:color="000000"/>
            </w:tcBorders>
          </w:tcPr>
          <w:p w14:paraId="0C2D810F" w14:textId="77777777" w:rsidR="00201FCC" w:rsidRPr="00E47756" w:rsidRDefault="00201FCC" w:rsidP="00201FCC">
            <w:pPr>
              <w:spacing w:after="0" w:line="240" w:lineRule="auto"/>
              <w:ind w:left="57" w:right="57"/>
              <w:jc w:val="center"/>
              <w:rPr>
                <w:sz w:val="20"/>
              </w:rPr>
            </w:pPr>
            <w:r w:rsidRPr="00E47756">
              <w:rPr>
                <w:sz w:val="20"/>
              </w:rPr>
              <w:t>42.</w:t>
            </w:r>
          </w:p>
        </w:tc>
        <w:tc>
          <w:tcPr>
            <w:tcW w:w="6173" w:type="dxa"/>
            <w:tcBorders>
              <w:top w:val="single" w:sz="4" w:space="0" w:color="000000"/>
              <w:left w:val="single" w:sz="4" w:space="0" w:color="000000"/>
              <w:bottom w:val="single" w:sz="4" w:space="0" w:color="000000"/>
              <w:right w:val="single" w:sz="4" w:space="0" w:color="000000"/>
            </w:tcBorders>
          </w:tcPr>
          <w:p w14:paraId="48BCD877" w14:textId="77777777" w:rsidR="00201FCC" w:rsidRPr="00E47756" w:rsidRDefault="00201FCC" w:rsidP="00201FCC">
            <w:pPr>
              <w:spacing w:after="0" w:line="240" w:lineRule="auto"/>
              <w:ind w:left="57" w:right="57"/>
              <w:rPr>
                <w:sz w:val="20"/>
              </w:rPr>
            </w:pPr>
            <w:r w:rsidRPr="00E47756">
              <w:rPr>
                <w:sz w:val="20"/>
              </w:rPr>
              <w:t xml:space="preserve">návrh NARIADENIE EURÓPSKEHO PARLAMENTU A RADY o normách pre podmienky, ktoré musia spĺňať štátni príslušníci tretej krajiny alebo osoby bez štátnej príslušnosti na poskytnutie medzinárodnej ochrany, pre jednotné postavenie utečencov alebo osôb oprávnených na doplnkovú </w:t>
            </w:r>
            <w:r w:rsidRPr="00E47756">
              <w:rPr>
                <w:sz w:val="20"/>
              </w:rPr>
              <w:lastRenderedPageBreak/>
              <w:t xml:space="preserve">ochranu a pre obsah poskytovanej ochrany, a ktorým sa mení smernica Rady 2003/109/ES z 25. novembra 2003, pokiaľ ide o postavenie štátnych príslušníkov tretej krajiny, ktorí sú osobami s dlhodobým pobytom  </w:t>
            </w:r>
          </w:p>
        </w:tc>
        <w:tc>
          <w:tcPr>
            <w:tcW w:w="1985" w:type="dxa"/>
            <w:tcBorders>
              <w:top w:val="single" w:sz="4" w:space="0" w:color="000000"/>
              <w:left w:val="single" w:sz="4" w:space="0" w:color="000000"/>
              <w:bottom w:val="single" w:sz="4" w:space="0" w:color="000000"/>
              <w:right w:val="single" w:sz="4" w:space="0" w:color="000000"/>
            </w:tcBorders>
          </w:tcPr>
          <w:p w14:paraId="0FC93A08" w14:textId="77777777" w:rsidR="00201FCC" w:rsidRPr="00E47756" w:rsidRDefault="00201FCC" w:rsidP="00201FCC">
            <w:pPr>
              <w:spacing w:after="0" w:line="240" w:lineRule="auto"/>
              <w:ind w:left="57" w:right="57"/>
            </w:pPr>
            <w:r w:rsidRPr="00E47756">
              <w:rPr>
                <w:sz w:val="20"/>
              </w:rPr>
              <w:lastRenderedPageBreak/>
              <w:t xml:space="preserve">COM(2016) 466 </w:t>
            </w:r>
            <w:proofErr w:type="spellStart"/>
            <w:r w:rsidRPr="00E47756">
              <w:rPr>
                <w:sz w:val="20"/>
              </w:rPr>
              <w:t>final</w:t>
            </w:r>
            <w:proofErr w:type="spellEnd"/>
            <w:r w:rsidRPr="00E47756">
              <w:t xml:space="preserve">  </w:t>
            </w:r>
          </w:p>
          <w:p w14:paraId="35C3EE7E" w14:textId="77777777" w:rsidR="00201FCC" w:rsidRPr="00E47756" w:rsidRDefault="00201FCC" w:rsidP="00201FCC">
            <w:pPr>
              <w:spacing w:after="0" w:line="240" w:lineRule="auto"/>
              <w:ind w:left="57" w:right="57"/>
            </w:pPr>
            <w:r w:rsidRPr="00E47756">
              <w:rPr>
                <w:sz w:val="20"/>
              </w:rPr>
              <w:t>2016/0223 (COD)</w:t>
            </w:r>
            <w:r w:rsidRPr="00E47756">
              <w:t xml:space="preserve">  </w:t>
            </w:r>
          </w:p>
          <w:p w14:paraId="38A12A58" w14:textId="77777777" w:rsidR="00201FCC" w:rsidRPr="00E47756" w:rsidRDefault="00201FCC" w:rsidP="00201FCC">
            <w:pPr>
              <w:spacing w:after="0" w:line="240" w:lineRule="auto"/>
              <w:ind w:left="57" w:right="57"/>
              <w:rPr>
                <w:sz w:val="20"/>
              </w:rPr>
            </w:pPr>
            <w:r w:rsidRPr="00E47756">
              <w:rPr>
                <w:sz w:val="20"/>
              </w:rPr>
              <w:t xml:space="preserve">13. 7. 2016 </w:t>
            </w:r>
          </w:p>
        </w:tc>
        <w:tc>
          <w:tcPr>
            <w:tcW w:w="1701" w:type="dxa"/>
            <w:tcBorders>
              <w:top w:val="single" w:sz="4" w:space="0" w:color="000000"/>
              <w:left w:val="single" w:sz="4" w:space="0" w:color="000000"/>
              <w:bottom w:val="single" w:sz="4" w:space="0" w:color="000000"/>
              <w:right w:val="single" w:sz="4" w:space="0" w:color="000000"/>
            </w:tcBorders>
          </w:tcPr>
          <w:p w14:paraId="19E25241" w14:textId="77777777" w:rsidR="00201FCC" w:rsidRPr="00E47756" w:rsidRDefault="00201FCC" w:rsidP="00201FCC">
            <w:pPr>
              <w:spacing w:after="0" w:line="240" w:lineRule="auto"/>
              <w:ind w:left="57" w:right="57"/>
              <w:jc w:val="center"/>
              <w:rPr>
                <w:b/>
                <w:sz w:val="20"/>
              </w:rPr>
            </w:pPr>
            <w:r w:rsidRPr="00E47756">
              <w:rPr>
                <w:b/>
                <w:sz w:val="20"/>
              </w:rPr>
              <w:t>MV SR</w:t>
            </w:r>
          </w:p>
        </w:tc>
        <w:tc>
          <w:tcPr>
            <w:tcW w:w="4111" w:type="dxa"/>
            <w:tcBorders>
              <w:top w:val="single" w:sz="4" w:space="0" w:color="000000"/>
              <w:left w:val="single" w:sz="4" w:space="0" w:color="000000"/>
              <w:bottom w:val="single" w:sz="4" w:space="0" w:color="000000"/>
              <w:right w:val="single" w:sz="4" w:space="0" w:color="000000"/>
            </w:tcBorders>
          </w:tcPr>
          <w:p w14:paraId="1A7A4AC0" w14:textId="77777777" w:rsidR="00201FCC" w:rsidRPr="00E47756" w:rsidRDefault="00201FCC" w:rsidP="00201FCC">
            <w:pPr>
              <w:spacing w:after="0" w:line="240" w:lineRule="auto"/>
              <w:ind w:left="57" w:right="57"/>
              <w:rPr>
                <w:b/>
                <w:sz w:val="20"/>
                <w:u w:val="single"/>
              </w:rPr>
            </w:pPr>
            <w:bookmarkStart w:id="0" w:name="_GoBack"/>
            <w:r w:rsidRPr="00E47756">
              <w:rPr>
                <w:b/>
                <w:sz w:val="20"/>
                <w:u w:val="single"/>
              </w:rPr>
              <w:t>Vysoká priorita</w:t>
            </w:r>
            <w:r w:rsidRPr="00E47756">
              <w:rPr>
                <w:sz w:val="20"/>
              </w:rPr>
              <w:t xml:space="preserve"> – Za účelom </w:t>
            </w:r>
            <w:bookmarkEnd w:id="0"/>
            <w:r w:rsidRPr="00E47756">
              <w:rPr>
                <w:sz w:val="20"/>
              </w:rPr>
              <w:t xml:space="preserve">lepšej harmonizácie kritérií pre uznanie medzinárodnej ochrany a obsah práv osôb, ktoré sa vzťahujú k tomuto postaveniu, nahradzuje legislatívny návrh </w:t>
            </w:r>
            <w:r w:rsidRPr="00E47756">
              <w:rPr>
                <w:sz w:val="20"/>
              </w:rPr>
              <w:lastRenderedPageBreak/>
              <w:t>doterajšiu tzv. Kvalifikačnú smernicu. Z pohľadu SR sa neodporúča podpora návrhu v dôsledku našich výhrad k rozšíreniu definície rodinných príslušníkov a preskúmavaniu statusu a jeho prepojeniu na procedurálne nariadenie. Rokovania sú momentálne utlmené. Podporujeme tzv. balíkový prístup ku všetkým návrhom v rámci Paktu a k súvisiacim návrhom.</w:t>
            </w:r>
          </w:p>
        </w:tc>
      </w:tr>
      <w:tr w:rsidR="00201FCC" w:rsidRPr="00E47756" w14:paraId="44F73F15" w14:textId="77777777" w:rsidTr="001A4016">
        <w:tblPrEx>
          <w:tblCellMar>
            <w:top w:w="31" w:type="dxa"/>
          </w:tblCellMar>
        </w:tblPrEx>
        <w:trPr>
          <w:trHeight w:val="925"/>
        </w:trPr>
        <w:tc>
          <w:tcPr>
            <w:tcW w:w="652" w:type="dxa"/>
            <w:gridSpan w:val="2"/>
            <w:tcBorders>
              <w:top w:val="single" w:sz="4" w:space="0" w:color="000000"/>
              <w:left w:val="single" w:sz="4" w:space="0" w:color="000000"/>
              <w:bottom w:val="single" w:sz="4" w:space="0" w:color="000000"/>
              <w:right w:val="single" w:sz="4" w:space="0" w:color="000000"/>
            </w:tcBorders>
          </w:tcPr>
          <w:p w14:paraId="6E126014" w14:textId="77777777" w:rsidR="00201FCC" w:rsidRPr="00E47756" w:rsidRDefault="00201FCC" w:rsidP="00201FCC">
            <w:pPr>
              <w:spacing w:after="0" w:line="240" w:lineRule="auto"/>
              <w:ind w:left="57" w:right="57"/>
              <w:jc w:val="center"/>
              <w:rPr>
                <w:sz w:val="20"/>
              </w:rPr>
            </w:pPr>
            <w:r w:rsidRPr="00E47756">
              <w:rPr>
                <w:sz w:val="20"/>
              </w:rPr>
              <w:lastRenderedPageBreak/>
              <w:t>43.</w:t>
            </w:r>
          </w:p>
        </w:tc>
        <w:tc>
          <w:tcPr>
            <w:tcW w:w="6173" w:type="dxa"/>
            <w:tcBorders>
              <w:top w:val="single" w:sz="4" w:space="0" w:color="000000"/>
              <w:left w:val="single" w:sz="4" w:space="0" w:color="000000"/>
              <w:bottom w:val="single" w:sz="4" w:space="0" w:color="000000"/>
              <w:right w:val="single" w:sz="4" w:space="0" w:color="000000"/>
            </w:tcBorders>
          </w:tcPr>
          <w:p w14:paraId="51FCD56D" w14:textId="77777777" w:rsidR="00201FCC" w:rsidRPr="00E47756" w:rsidRDefault="00201FCC" w:rsidP="00201FCC">
            <w:pPr>
              <w:spacing w:after="0" w:line="240" w:lineRule="auto"/>
              <w:ind w:left="57" w:right="57"/>
            </w:pPr>
            <w:r w:rsidRPr="00E47756">
              <w:rPr>
                <w:sz w:val="20"/>
              </w:rPr>
              <w:t xml:space="preserve">návrh SMERNICA EURÓPSKEHO PARLAMENTU A RADY, ktorou sa stanovujú normy pre prijímanie žiadateľov o medzinárodnú ochranu </w:t>
            </w:r>
          </w:p>
          <w:p w14:paraId="6B94A1AB" w14:textId="77777777" w:rsidR="00201FCC" w:rsidRPr="00E47756" w:rsidRDefault="00201FCC" w:rsidP="00201FCC">
            <w:pPr>
              <w:spacing w:after="0" w:line="240" w:lineRule="auto"/>
              <w:ind w:left="57" w:right="57"/>
              <w:rPr>
                <w:sz w:val="20"/>
              </w:rPr>
            </w:pPr>
            <w:r w:rsidRPr="00E47756">
              <w:rPr>
                <w:sz w:val="20"/>
              </w:rPr>
              <w:t xml:space="preserve">(prepracované znenie) </w:t>
            </w:r>
          </w:p>
        </w:tc>
        <w:tc>
          <w:tcPr>
            <w:tcW w:w="1985" w:type="dxa"/>
            <w:tcBorders>
              <w:top w:val="single" w:sz="4" w:space="0" w:color="000000"/>
              <w:left w:val="single" w:sz="4" w:space="0" w:color="000000"/>
              <w:bottom w:val="single" w:sz="4" w:space="0" w:color="000000"/>
              <w:right w:val="single" w:sz="4" w:space="0" w:color="000000"/>
            </w:tcBorders>
          </w:tcPr>
          <w:p w14:paraId="400B0C9D" w14:textId="77777777" w:rsidR="00201FCC" w:rsidRPr="00E47756" w:rsidRDefault="00201FCC" w:rsidP="00201FCC">
            <w:pPr>
              <w:spacing w:after="0" w:line="240" w:lineRule="auto"/>
              <w:ind w:left="57" w:right="57"/>
            </w:pPr>
            <w:r w:rsidRPr="00E47756">
              <w:rPr>
                <w:sz w:val="20"/>
              </w:rPr>
              <w:t xml:space="preserve">COM(2016) 465 </w:t>
            </w:r>
            <w:proofErr w:type="spellStart"/>
            <w:r w:rsidRPr="00E47756">
              <w:rPr>
                <w:sz w:val="20"/>
              </w:rPr>
              <w:t>final</w:t>
            </w:r>
            <w:proofErr w:type="spellEnd"/>
            <w:r w:rsidRPr="00E47756">
              <w:t xml:space="preserve">  </w:t>
            </w:r>
          </w:p>
          <w:p w14:paraId="02EFC7AB" w14:textId="77777777" w:rsidR="00201FCC" w:rsidRPr="00E47756" w:rsidRDefault="00201FCC" w:rsidP="00201FCC">
            <w:pPr>
              <w:spacing w:after="0" w:line="240" w:lineRule="auto"/>
              <w:ind w:left="57" w:right="57"/>
            </w:pPr>
            <w:r w:rsidRPr="00E47756">
              <w:rPr>
                <w:sz w:val="20"/>
              </w:rPr>
              <w:t>2016/0222 (COD)</w:t>
            </w:r>
            <w:r w:rsidRPr="00E47756">
              <w:t xml:space="preserve">  </w:t>
            </w:r>
          </w:p>
          <w:p w14:paraId="43CB9C6D" w14:textId="77777777" w:rsidR="00201FCC" w:rsidRPr="00E47756" w:rsidRDefault="00201FCC" w:rsidP="00201FCC">
            <w:pPr>
              <w:spacing w:after="0" w:line="240" w:lineRule="auto"/>
              <w:ind w:left="57" w:right="57"/>
              <w:rPr>
                <w:sz w:val="20"/>
              </w:rPr>
            </w:pPr>
            <w:r w:rsidRPr="00E47756">
              <w:rPr>
                <w:sz w:val="20"/>
              </w:rPr>
              <w:t xml:space="preserve">13. 7. 2016 </w:t>
            </w:r>
          </w:p>
        </w:tc>
        <w:tc>
          <w:tcPr>
            <w:tcW w:w="1701" w:type="dxa"/>
            <w:tcBorders>
              <w:top w:val="single" w:sz="4" w:space="0" w:color="000000"/>
              <w:left w:val="single" w:sz="4" w:space="0" w:color="000000"/>
              <w:bottom w:val="single" w:sz="4" w:space="0" w:color="000000"/>
              <w:right w:val="single" w:sz="4" w:space="0" w:color="000000"/>
            </w:tcBorders>
          </w:tcPr>
          <w:p w14:paraId="753CC901" w14:textId="77777777" w:rsidR="00201FCC" w:rsidRPr="00E47756" w:rsidRDefault="00201FCC" w:rsidP="00201FCC">
            <w:pPr>
              <w:spacing w:after="0" w:line="240" w:lineRule="auto"/>
              <w:ind w:left="57" w:right="57"/>
              <w:jc w:val="center"/>
              <w:rPr>
                <w:b/>
                <w:sz w:val="20"/>
              </w:rPr>
            </w:pPr>
            <w:r w:rsidRPr="00E47756">
              <w:rPr>
                <w:b/>
                <w:sz w:val="20"/>
              </w:rPr>
              <w:t>MV SR</w:t>
            </w:r>
          </w:p>
        </w:tc>
        <w:tc>
          <w:tcPr>
            <w:tcW w:w="4111" w:type="dxa"/>
            <w:tcBorders>
              <w:top w:val="single" w:sz="4" w:space="0" w:color="000000"/>
              <w:left w:val="single" w:sz="4" w:space="0" w:color="000000"/>
              <w:bottom w:val="single" w:sz="4" w:space="0" w:color="000000"/>
              <w:right w:val="single" w:sz="4" w:space="0" w:color="000000"/>
            </w:tcBorders>
          </w:tcPr>
          <w:p w14:paraId="37F8202D" w14:textId="77777777" w:rsidR="00201FCC" w:rsidRPr="00E47756" w:rsidRDefault="00201FCC" w:rsidP="00201FCC">
            <w:pPr>
              <w:spacing w:after="0" w:line="240" w:lineRule="auto"/>
              <w:ind w:left="57" w:right="57"/>
              <w:rPr>
                <w:b/>
                <w:sz w:val="20"/>
                <w:u w:val="single"/>
              </w:rPr>
            </w:pPr>
            <w:r w:rsidRPr="00E47756">
              <w:rPr>
                <w:b/>
                <w:sz w:val="20"/>
                <w:u w:val="single"/>
              </w:rPr>
              <w:t>Vysoká priorita</w:t>
            </w:r>
            <w:r w:rsidRPr="00E47756">
              <w:rPr>
                <w:sz w:val="20"/>
              </w:rPr>
              <w:t xml:space="preserve"> – Cieľom návrhu je vyššia miera harmonizácie noriem týkajúcich sa podmienok prijímania žiadateľov medzinárodnú ochranu v celej EÚ. K dokumentu ako celku má SR stále viacero výhrad, dve sú zásadného charakteru. Rokovania sú momentálne utlmené. Podporujeme tzv. balíkový prístup ku všetkým návrhom v rámci Paktu a k súvisiacim návrhom.</w:t>
            </w:r>
          </w:p>
        </w:tc>
      </w:tr>
      <w:tr w:rsidR="00201FCC" w:rsidRPr="00E47756" w14:paraId="453EBFDA" w14:textId="77777777" w:rsidTr="001A4016">
        <w:tblPrEx>
          <w:tblCellMar>
            <w:top w:w="31" w:type="dxa"/>
          </w:tblCellMar>
        </w:tblPrEx>
        <w:trPr>
          <w:trHeight w:val="925"/>
        </w:trPr>
        <w:tc>
          <w:tcPr>
            <w:tcW w:w="652" w:type="dxa"/>
            <w:gridSpan w:val="2"/>
            <w:tcBorders>
              <w:top w:val="single" w:sz="4" w:space="0" w:color="000000"/>
              <w:left w:val="single" w:sz="4" w:space="0" w:color="000000"/>
              <w:bottom w:val="single" w:sz="4" w:space="0" w:color="000000"/>
              <w:right w:val="single" w:sz="4" w:space="0" w:color="000000"/>
            </w:tcBorders>
          </w:tcPr>
          <w:p w14:paraId="5C3BCF36" w14:textId="77777777" w:rsidR="00201FCC" w:rsidRPr="00E47756" w:rsidRDefault="00201FCC" w:rsidP="00201FCC">
            <w:pPr>
              <w:spacing w:after="0" w:line="240" w:lineRule="auto"/>
              <w:ind w:left="57" w:right="57"/>
              <w:jc w:val="center"/>
              <w:rPr>
                <w:sz w:val="20"/>
              </w:rPr>
            </w:pPr>
            <w:r w:rsidRPr="00E47756">
              <w:rPr>
                <w:sz w:val="20"/>
              </w:rPr>
              <w:t>44.</w:t>
            </w:r>
          </w:p>
        </w:tc>
        <w:tc>
          <w:tcPr>
            <w:tcW w:w="6173" w:type="dxa"/>
            <w:tcBorders>
              <w:top w:val="single" w:sz="4" w:space="0" w:color="000000"/>
              <w:left w:val="single" w:sz="4" w:space="0" w:color="000000"/>
              <w:bottom w:val="single" w:sz="4" w:space="0" w:color="000000"/>
              <w:right w:val="single" w:sz="4" w:space="0" w:color="000000"/>
            </w:tcBorders>
          </w:tcPr>
          <w:p w14:paraId="7D892880" w14:textId="77777777" w:rsidR="00201FCC" w:rsidRPr="00E47756" w:rsidRDefault="00201FCC" w:rsidP="00201FCC">
            <w:pPr>
              <w:spacing w:after="0" w:line="240" w:lineRule="auto"/>
              <w:ind w:left="57" w:right="57"/>
              <w:rPr>
                <w:sz w:val="20"/>
              </w:rPr>
            </w:pPr>
            <w:r w:rsidRPr="00E47756">
              <w:rPr>
                <w:sz w:val="20"/>
              </w:rPr>
              <w:t xml:space="preserve">návrh SMERNICA EURÓPSKEHO PARLAMENTU A RADY o podmienkach vstupu a pobytu štátnych príslušníkov tretích krajín na účely zamestnania, v ktorom sa vyžaduje vysoká úroveň zručností </w:t>
            </w:r>
          </w:p>
        </w:tc>
        <w:tc>
          <w:tcPr>
            <w:tcW w:w="1985" w:type="dxa"/>
            <w:tcBorders>
              <w:top w:val="single" w:sz="4" w:space="0" w:color="000000"/>
              <w:left w:val="single" w:sz="4" w:space="0" w:color="000000"/>
              <w:bottom w:val="single" w:sz="4" w:space="0" w:color="000000"/>
              <w:right w:val="single" w:sz="4" w:space="0" w:color="000000"/>
            </w:tcBorders>
          </w:tcPr>
          <w:p w14:paraId="11E3A732" w14:textId="77777777" w:rsidR="00201FCC" w:rsidRPr="00E47756" w:rsidRDefault="00201FCC" w:rsidP="00201FCC">
            <w:pPr>
              <w:spacing w:after="0" w:line="240" w:lineRule="auto"/>
              <w:ind w:left="57" w:right="57"/>
            </w:pPr>
            <w:r w:rsidRPr="00E47756">
              <w:rPr>
                <w:sz w:val="20"/>
              </w:rPr>
              <w:t xml:space="preserve">COM(2016) 378 </w:t>
            </w:r>
            <w:proofErr w:type="spellStart"/>
            <w:r w:rsidRPr="00E47756">
              <w:rPr>
                <w:sz w:val="20"/>
              </w:rPr>
              <w:t>final</w:t>
            </w:r>
            <w:proofErr w:type="spellEnd"/>
            <w:r w:rsidRPr="00E47756">
              <w:rPr>
                <w:sz w:val="20"/>
              </w:rPr>
              <w:t xml:space="preserve"> </w:t>
            </w:r>
          </w:p>
          <w:p w14:paraId="6591E3D5" w14:textId="77777777" w:rsidR="00201FCC" w:rsidRPr="00E47756" w:rsidRDefault="00201FCC" w:rsidP="00201FCC">
            <w:pPr>
              <w:spacing w:after="0" w:line="240" w:lineRule="auto"/>
              <w:ind w:left="57" w:right="57"/>
            </w:pPr>
            <w:r w:rsidRPr="00E47756">
              <w:rPr>
                <w:sz w:val="20"/>
              </w:rPr>
              <w:t xml:space="preserve">2016/0176 (COD) </w:t>
            </w:r>
          </w:p>
          <w:p w14:paraId="28DE44D6" w14:textId="77777777" w:rsidR="00201FCC" w:rsidRPr="00E47756" w:rsidRDefault="00201FCC" w:rsidP="00201FCC">
            <w:pPr>
              <w:spacing w:after="0" w:line="240" w:lineRule="auto"/>
              <w:ind w:left="57" w:right="57"/>
              <w:rPr>
                <w:sz w:val="20"/>
              </w:rPr>
            </w:pPr>
            <w:r w:rsidRPr="00E47756">
              <w:rPr>
                <w:sz w:val="20"/>
              </w:rPr>
              <w:t xml:space="preserve">7. 6. 2016 </w:t>
            </w:r>
          </w:p>
        </w:tc>
        <w:tc>
          <w:tcPr>
            <w:tcW w:w="1701" w:type="dxa"/>
            <w:tcBorders>
              <w:top w:val="single" w:sz="4" w:space="0" w:color="000000"/>
              <w:left w:val="single" w:sz="4" w:space="0" w:color="000000"/>
              <w:bottom w:val="single" w:sz="4" w:space="0" w:color="000000"/>
              <w:right w:val="single" w:sz="4" w:space="0" w:color="000000"/>
            </w:tcBorders>
          </w:tcPr>
          <w:p w14:paraId="72039324" w14:textId="77777777" w:rsidR="00201FCC" w:rsidRPr="00E47756" w:rsidRDefault="00201FCC" w:rsidP="00201FCC">
            <w:pPr>
              <w:spacing w:after="0" w:line="240" w:lineRule="auto"/>
              <w:ind w:left="57" w:right="57"/>
              <w:jc w:val="center"/>
              <w:rPr>
                <w:b/>
                <w:sz w:val="20"/>
              </w:rPr>
            </w:pPr>
            <w:r w:rsidRPr="00E47756">
              <w:rPr>
                <w:b/>
                <w:sz w:val="20"/>
              </w:rPr>
              <w:t>MV SR</w:t>
            </w:r>
          </w:p>
          <w:p w14:paraId="0E30BE46" w14:textId="77777777" w:rsidR="00201FCC" w:rsidRPr="00E47756" w:rsidRDefault="00201FCC" w:rsidP="00201FCC">
            <w:pPr>
              <w:spacing w:after="0" w:line="240" w:lineRule="auto"/>
              <w:ind w:left="57" w:right="57"/>
              <w:jc w:val="center"/>
              <w:rPr>
                <w:b/>
                <w:sz w:val="20"/>
              </w:rPr>
            </w:pPr>
            <w:r w:rsidRPr="00E47756">
              <w:rPr>
                <w:b/>
                <w:sz w:val="20"/>
              </w:rPr>
              <w:t>MPSVR SR</w:t>
            </w:r>
          </w:p>
        </w:tc>
        <w:tc>
          <w:tcPr>
            <w:tcW w:w="4111" w:type="dxa"/>
            <w:tcBorders>
              <w:top w:val="single" w:sz="4" w:space="0" w:color="000000"/>
              <w:left w:val="single" w:sz="4" w:space="0" w:color="000000"/>
              <w:bottom w:val="single" w:sz="4" w:space="0" w:color="000000"/>
              <w:right w:val="single" w:sz="4" w:space="0" w:color="000000"/>
            </w:tcBorders>
          </w:tcPr>
          <w:p w14:paraId="7F003002" w14:textId="77777777" w:rsidR="00201FCC" w:rsidRPr="00E47756" w:rsidRDefault="00201FCC" w:rsidP="00201FCC">
            <w:pPr>
              <w:spacing w:after="0" w:line="240" w:lineRule="auto"/>
              <w:ind w:left="57" w:right="57"/>
              <w:rPr>
                <w:b/>
                <w:sz w:val="20"/>
                <w:u w:val="single"/>
              </w:rPr>
            </w:pPr>
            <w:r w:rsidRPr="00E47756">
              <w:rPr>
                <w:b/>
                <w:sz w:val="20"/>
                <w:u w:val="single"/>
              </w:rPr>
              <w:t>Stredná priorita</w:t>
            </w:r>
            <w:r w:rsidRPr="00E47756">
              <w:rPr>
                <w:sz w:val="20"/>
              </w:rPr>
              <w:t xml:space="preserve"> – Stanoviská Rady EÚ, Komisie a Európskeho parlamentu sa značne líšia. SR si uplatňovala zásadné pripomienky k predloženému návrhu v rámci prípravných pracovných orgánov Rady EÚ. Rokovania sú momentálne utlmené.</w:t>
            </w:r>
          </w:p>
        </w:tc>
      </w:tr>
      <w:tr w:rsidR="00201FCC" w:rsidRPr="00E47756" w14:paraId="2CD77E6B" w14:textId="77777777" w:rsidTr="001A4016">
        <w:tblPrEx>
          <w:tblCellMar>
            <w:top w:w="31" w:type="dxa"/>
          </w:tblCellMar>
        </w:tblPrEx>
        <w:trPr>
          <w:trHeight w:val="925"/>
        </w:trPr>
        <w:tc>
          <w:tcPr>
            <w:tcW w:w="652" w:type="dxa"/>
            <w:gridSpan w:val="2"/>
            <w:tcBorders>
              <w:top w:val="single" w:sz="4" w:space="0" w:color="000000"/>
              <w:left w:val="single" w:sz="4" w:space="0" w:color="000000"/>
              <w:bottom w:val="single" w:sz="4" w:space="0" w:color="000000"/>
              <w:right w:val="single" w:sz="4" w:space="0" w:color="000000"/>
            </w:tcBorders>
          </w:tcPr>
          <w:p w14:paraId="1352E33E" w14:textId="77777777" w:rsidR="00201FCC" w:rsidRPr="00E47756" w:rsidRDefault="00201FCC" w:rsidP="00201FCC">
            <w:pPr>
              <w:spacing w:after="0" w:line="240" w:lineRule="auto"/>
              <w:ind w:left="57" w:right="57"/>
              <w:jc w:val="center"/>
              <w:rPr>
                <w:sz w:val="20"/>
              </w:rPr>
            </w:pPr>
            <w:r w:rsidRPr="00E47756">
              <w:rPr>
                <w:sz w:val="20"/>
              </w:rPr>
              <w:t>45.</w:t>
            </w:r>
          </w:p>
        </w:tc>
        <w:tc>
          <w:tcPr>
            <w:tcW w:w="6173" w:type="dxa"/>
            <w:tcBorders>
              <w:top w:val="single" w:sz="4" w:space="0" w:color="000000"/>
              <w:left w:val="single" w:sz="4" w:space="0" w:color="000000"/>
              <w:bottom w:val="single" w:sz="4" w:space="0" w:color="000000"/>
              <w:right w:val="single" w:sz="4" w:space="0" w:color="000000"/>
            </w:tcBorders>
          </w:tcPr>
          <w:p w14:paraId="6DE47B37" w14:textId="77777777" w:rsidR="00201FCC" w:rsidRPr="00E47756" w:rsidRDefault="00201FCC" w:rsidP="00201FCC">
            <w:pPr>
              <w:spacing w:after="0" w:line="240" w:lineRule="auto"/>
              <w:ind w:left="57" w:right="57"/>
              <w:rPr>
                <w:sz w:val="20"/>
              </w:rPr>
            </w:pPr>
            <w:r w:rsidRPr="00E47756">
              <w:rPr>
                <w:sz w:val="20"/>
              </w:rPr>
              <w:t xml:space="preserve">návrh NARIADENIE EURÓPSKEHO PARLAMENTU A RADY o zriadení systému </w:t>
            </w:r>
            <w:proofErr w:type="spellStart"/>
            <w:r w:rsidRPr="00E47756">
              <w:rPr>
                <w:sz w:val="20"/>
              </w:rPr>
              <w:t>Eurodac</w:t>
            </w:r>
            <w:proofErr w:type="spellEnd"/>
            <w:r w:rsidRPr="00E47756">
              <w:rPr>
                <w:sz w:val="20"/>
              </w:rPr>
              <w:t xml:space="preserve"> na porovnávanie odtlačkov prstov pre účinné uplatňovanie [nariadenia (EÚ) č. 604/2013, ktorým sa ustanovujú kritériá a mechanizmy na určenie členského štátu zodpovedného za posúdenie žiadosti o medzinárodnú ochranu podanej štátnym príslušníkom tretej krajiny alebo osobou bez štátnej príslušnosti v jednom z členských štátov], na zistenie totožnosti neoprávnene sa zdržiavajúcich štátnych príslušníkov tretích krajín alebo osôb bez štátnej príslušnosti a o žiadostiach orgánov členských štátov na presadzovanie práva a </w:t>
            </w:r>
            <w:proofErr w:type="spellStart"/>
            <w:r w:rsidRPr="00E47756">
              <w:rPr>
                <w:sz w:val="20"/>
              </w:rPr>
              <w:t>Europolu</w:t>
            </w:r>
            <w:proofErr w:type="spellEnd"/>
            <w:r w:rsidRPr="00E47756">
              <w:rPr>
                <w:sz w:val="20"/>
              </w:rPr>
              <w:t xml:space="preserve"> o porovnanie s údajmi v systéme </w:t>
            </w:r>
            <w:proofErr w:type="spellStart"/>
            <w:r w:rsidRPr="00E47756">
              <w:rPr>
                <w:sz w:val="20"/>
              </w:rPr>
              <w:t>Eurodac</w:t>
            </w:r>
            <w:proofErr w:type="spellEnd"/>
            <w:r w:rsidRPr="00E47756">
              <w:rPr>
                <w:sz w:val="20"/>
              </w:rPr>
              <w:t xml:space="preserve"> na účely presadzovania práva (prepracované znenie) </w:t>
            </w:r>
          </w:p>
        </w:tc>
        <w:tc>
          <w:tcPr>
            <w:tcW w:w="1985" w:type="dxa"/>
            <w:tcBorders>
              <w:top w:val="single" w:sz="4" w:space="0" w:color="000000"/>
              <w:left w:val="single" w:sz="4" w:space="0" w:color="000000"/>
              <w:bottom w:val="single" w:sz="4" w:space="0" w:color="000000"/>
              <w:right w:val="single" w:sz="4" w:space="0" w:color="000000"/>
            </w:tcBorders>
          </w:tcPr>
          <w:p w14:paraId="7157E7EF" w14:textId="77777777" w:rsidR="00201FCC" w:rsidRPr="00E47756" w:rsidRDefault="00201FCC" w:rsidP="00201FCC">
            <w:pPr>
              <w:spacing w:after="0" w:line="240" w:lineRule="auto"/>
              <w:ind w:left="57" w:right="57"/>
            </w:pPr>
            <w:r w:rsidRPr="00E47756">
              <w:rPr>
                <w:sz w:val="20"/>
              </w:rPr>
              <w:t xml:space="preserve">COM(2016) 272 </w:t>
            </w:r>
            <w:proofErr w:type="spellStart"/>
            <w:r w:rsidRPr="00E47756">
              <w:rPr>
                <w:sz w:val="20"/>
              </w:rPr>
              <w:t>final</w:t>
            </w:r>
            <w:proofErr w:type="spellEnd"/>
            <w:r w:rsidRPr="00E47756">
              <w:t xml:space="preserve">  </w:t>
            </w:r>
          </w:p>
          <w:p w14:paraId="5469BEDF" w14:textId="77777777" w:rsidR="00201FCC" w:rsidRPr="00E47756" w:rsidRDefault="00201FCC" w:rsidP="00201FCC">
            <w:pPr>
              <w:spacing w:after="0" w:line="240" w:lineRule="auto"/>
              <w:ind w:left="57" w:right="57"/>
            </w:pPr>
            <w:r w:rsidRPr="00E47756">
              <w:rPr>
                <w:sz w:val="20"/>
              </w:rPr>
              <w:t>2016/0132 (COD)</w:t>
            </w:r>
            <w:r w:rsidRPr="00E47756">
              <w:t xml:space="preserve">  </w:t>
            </w:r>
          </w:p>
          <w:p w14:paraId="77CC655F" w14:textId="77777777" w:rsidR="00201FCC" w:rsidRPr="00E47756" w:rsidRDefault="00201FCC" w:rsidP="00201FCC">
            <w:pPr>
              <w:spacing w:after="0" w:line="240" w:lineRule="auto"/>
              <w:ind w:left="57" w:right="57"/>
            </w:pPr>
            <w:r w:rsidRPr="00E47756">
              <w:rPr>
                <w:sz w:val="20"/>
              </w:rPr>
              <w:t xml:space="preserve">4. 5. 2016 </w:t>
            </w:r>
            <w:r w:rsidRPr="00E47756">
              <w:t xml:space="preserve"> </w:t>
            </w:r>
          </w:p>
          <w:p w14:paraId="7759F115" w14:textId="77777777" w:rsidR="00201FCC" w:rsidRPr="00E47756" w:rsidRDefault="00201FCC" w:rsidP="00201FCC">
            <w:pPr>
              <w:spacing w:after="0" w:line="240" w:lineRule="auto"/>
              <w:ind w:left="57" w:right="57"/>
            </w:pPr>
            <w:r w:rsidRPr="00E47756">
              <w:rPr>
                <w:sz w:val="20"/>
              </w:rPr>
              <w:t xml:space="preserve"> </w:t>
            </w:r>
          </w:p>
          <w:p w14:paraId="5082B155" w14:textId="77777777" w:rsidR="00201FCC" w:rsidRPr="00E47756" w:rsidRDefault="00201FCC" w:rsidP="00201FCC">
            <w:pPr>
              <w:spacing w:after="0" w:line="240" w:lineRule="auto"/>
              <w:ind w:left="57" w:right="57"/>
            </w:pPr>
            <w:r w:rsidRPr="00E47756">
              <w:rPr>
                <w:sz w:val="20"/>
              </w:rPr>
              <w:t xml:space="preserve">COM(2020) 614 </w:t>
            </w:r>
            <w:proofErr w:type="spellStart"/>
            <w:r w:rsidRPr="00E47756">
              <w:rPr>
                <w:sz w:val="20"/>
              </w:rPr>
              <w:t>final</w:t>
            </w:r>
            <w:proofErr w:type="spellEnd"/>
            <w:r w:rsidRPr="00E47756">
              <w:rPr>
                <w:sz w:val="20"/>
              </w:rPr>
              <w:t xml:space="preserve"> </w:t>
            </w:r>
          </w:p>
          <w:p w14:paraId="40D9E9B6" w14:textId="77777777" w:rsidR="00201FCC" w:rsidRPr="00E47756" w:rsidRDefault="00201FCC" w:rsidP="00201FCC">
            <w:pPr>
              <w:spacing w:after="0" w:line="240" w:lineRule="auto"/>
              <w:ind w:left="57" w:right="57"/>
              <w:rPr>
                <w:sz w:val="20"/>
              </w:rPr>
            </w:pPr>
            <w:r w:rsidRPr="00E47756">
              <w:rPr>
                <w:sz w:val="20"/>
              </w:rPr>
              <w:t xml:space="preserve">23. 9. 2020 </w:t>
            </w:r>
          </w:p>
        </w:tc>
        <w:tc>
          <w:tcPr>
            <w:tcW w:w="1701" w:type="dxa"/>
            <w:tcBorders>
              <w:top w:val="single" w:sz="4" w:space="0" w:color="000000"/>
              <w:left w:val="single" w:sz="4" w:space="0" w:color="000000"/>
              <w:bottom w:val="single" w:sz="4" w:space="0" w:color="000000"/>
              <w:right w:val="single" w:sz="4" w:space="0" w:color="000000"/>
            </w:tcBorders>
          </w:tcPr>
          <w:p w14:paraId="02E7D12C" w14:textId="77777777" w:rsidR="00201FCC" w:rsidRPr="00E47756" w:rsidRDefault="00201FCC" w:rsidP="00201FCC">
            <w:pPr>
              <w:spacing w:after="0" w:line="240" w:lineRule="auto"/>
              <w:ind w:left="57" w:right="57"/>
              <w:jc w:val="center"/>
              <w:rPr>
                <w:b/>
                <w:sz w:val="20"/>
              </w:rPr>
            </w:pPr>
            <w:r w:rsidRPr="00E47756">
              <w:rPr>
                <w:b/>
                <w:sz w:val="20"/>
              </w:rPr>
              <w:t>MV SR</w:t>
            </w:r>
          </w:p>
        </w:tc>
        <w:tc>
          <w:tcPr>
            <w:tcW w:w="4111" w:type="dxa"/>
            <w:tcBorders>
              <w:top w:val="single" w:sz="4" w:space="0" w:color="000000"/>
              <w:left w:val="single" w:sz="4" w:space="0" w:color="000000"/>
              <w:bottom w:val="single" w:sz="4" w:space="0" w:color="000000"/>
              <w:right w:val="single" w:sz="4" w:space="0" w:color="000000"/>
            </w:tcBorders>
          </w:tcPr>
          <w:p w14:paraId="12504799" w14:textId="77777777" w:rsidR="00201FCC" w:rsidRPr="00706134" w:rsidRDefault="00201FCC" w:rsidP="00706134">
            <w:pPr>
              <w:spacing w:after="0" w:line="240" w:lineRule="auto"/>
              <w:ind w:left="57" w:right="57"/>
              <w:rPr>
                <w:sz w:val="20"/>
              </w:rPr>
            </w:pPr>
            <w:r w:rsidRPr="00E47756">
              <w:rPr>
                <w:b/>
                <w:sz w:val="20"/>
                <w:u w:val="single"/>
              </w:rPr>
              <w:t>Vysoká priorita</w:t>
            </w:r>
            <w:r w:rsidRPr="00E47756">
              <w:rPr>
                <w:sz w:val="20"/>
              </w:rPr>
              <w:t xml:space="preserve"> – Návrh predložený v rámci Paktu o migrácii a azyle v septembri 2020. V návrhu sa doplňujú nové kategórie osôb, v prípade ktorých sa majú ukladať údaje, povoľuje sa používanie tohto systému na identifikáciu neregulárnych migrantov, znižuje sa vek na odoberanie odtlačkov prstov, povoľuje sa zber informácií o totožnosti spolu s biometrickými údajmi a predlžuje sa obdobie uchovávania údajov. Ďalej sa návrh zameriava na transformáciu systému </w:t>
            </w:r>
            <w:proofErr w:type="spellStart"/>
            <w:r w:rsidRPr="00E47756">
              <w:rPr>
                <w:sz w:val="20"/>
              </w:rPr>
              <w:t>Eurodac</w:t>
            </w:r>
            <w:proofErr w:type="spellEnd"/>
            <w:r w:rsidRPr="00E47756">
              <w:rPr>
                <w:sz w:val="20"/>
              </w:rPr>
              <w:t xml:space="preserve"> na spoločnú európsku databázu s cieľom podporovať politiky EÚ v oblasti azylu, presídľovania a neregulárnej migrácie. SR si uplatní pripomienky, </w:t>
            </w:r>
            <w:r w:rsidRPr="00E47756">
              <w:rPr>
                <w:sz w:val="20"/>
              </w:rPr>
              <w:lastRenderedPageBreak/>
              <w:t>podporujeme tzv. balíkový prístup ku všetkým návrhom v rámc</w:t>
            </w:r>
            <w:r w:rsidR="00706134">
              <w:rPr>
                <w:sz w:val="20"/>
              </w:rPr>
              <w:t>i Paktu a k súvisiacim návrhom.</w:t>
            </w:r>
          </w:p>
        </w:tc>
      </w:tr>
      <w:tr w:rsidR="00201FCC" w:rsidRPr="00E47756" w14:paraId="7FEF6E22" w14:textId="77777777" w:rsidTr="001A4016">
        <w:tblPrEx>
          <w:tblCellMar>
            <w:top w:w="31" w:type="dxa"/>
          </w:tblCellMar>
        </w:tblPrEx>
        <w:trPr>
          <w:trHeight w:val="925"/>
        </w:trPr>
        <w:tc>
          <w:tcPr>
            <w:tcW w:w="652" w:type="dxa"/>
            <w:gridSpan w:val="2"/>
            <w:tcBorders>
              <w:top w:val="single" w:sz="4" w:space="0" w:color="000000"/>
              <w:left w:val="single" w:sz="4" w:space="0" w:color="000000"/>
              <w:bottom w:val="single" w:sz="4" w:space="0" w:color="000000"/>
              <w:right w:val="single" w:sz="4" w:space="0" w:color="000000"/>
            </w:tcBorders>
          </w:tcPr>
          <w:p w14:paraId="6219A470" w14:textId="77777777" w:rsidR="00201FCC" w:rsidRPr="00E47756" w:rsidRDefault="00201FCC" w:rsidP="00201FCC">
            <w:pPr>
              <w:spacing w:after="0" w:line="240" w:lineRule="auto"/>
              <w:ind w:left="57" w:right="57"/>
              <w:jc w:val="center"/>
              <w:rPr>
                <w:sz w:val="20"/>
              </w:rPr>
            </w:pPr>
            <w:r w:rsidRPr="00E47756">
              <w:rPr>
                <w:sz w:val="20"/>
              </w:rPr>
              <w:lastRenderedPageBreak/>
              <w:t>46.</w:t>
            </w:r>
          </w:p>
        </w:tc>
        <w:tc>
          <w:tcPr>
            <w:tcW w:w="6173" w:type="dxa"/>
            <w:tcBorders>
              <w:top w:val="single" w:sz="4" w:space="0" w:color="000000"/>
              <w:left w:val="single" w:sz="4" w:space="0" w:color="000000"/>
              <w:bottom w:val="single" w:sz="4" w:space="0" w:color="000000"/>
              <w:right w:val="single" w:sz="4" w:space="0" w:color="000000"/>
            </w:tcBorders>
          </w:tcPr>
          <w:p w14:paraId="0CC6472A" w14:textId="77777777" w:rsidR="00201FCC" w:rsidRPr="00E47756" w:rsidRDefault="00201FCC" w:rsidP="00201FCC">
            <w:pPr>
              <w:spacing w:after="0" w:line="240" w:lineRule="auto"/>
              <w:ind w:left="57" w:right="57"/>
              <w:rPr>
                <w:sz w:val="20"/>
              </w:rPr>
            </w:pPr>
            <w:r w:rsidRPr="00E47756">
              <w:rPr>
                <w:sz w:val="20"/>
              </w:rPr>
              <w:t xml:space="preserve">návrh NARIADENIE EURÓPSKEHO PARLAMENTU A RADY o Agentúre Európskej únie pre azyl, ktorým sa zrušuje nariadenie (EÚ) č. 439/2010 </w:t>
            </w:r>
          </w:p>
        </w:tc>
        <w:tc>
          <w:tcPr>
            <w:tcW w:w="1985" w:type="dxa"/>
            <w:tcBorders>
              <w:top w:val="single" w:sz="4" w:space="0" w:color="000000"/>
              <w:left w:val="single" w:sz="4" w:space="0" w:color="000000"/>
              <w:bottom w:val="single" w:sz="4" w:space="0" w:color="000000"/>
              <w:right w:val="single" w:sz="4" w:space="0" w:color="000000"/>
            </w:tcBorders>
          </w:tcPr>
          <w:p w14:paraId="2DA4CE02" w14:textId="77777777" w:rsidR="00201FCC" w:rsidRPr="00E47756" w:rsidRDefault="00201FCC" w:rsidP="00201FCC">
            <w:pPr>
              <w:spacing w:after="0" w:line="240" w:lineRule="auto"/>
              <w:ind w:left="57" w:right="57"/>
            </w:pPr>
            <w:r w:rsidRPr="00E47756">
              <w:rPr>
                <w:sz w:val="20"/>
              </w:rPr>
              <w:t xml:space="preserve">COM(2016) 271 </w:t>
            </w:r>
            <w:proofErr w:type="spellStart"/>
            <w:r w:rsidRPr="00E47756">
              <w:rPr>
                <w:sz w:val="20"/>
              </w:rPr>
              <w:t>final</w:t>
            </w:r>
            <w:proofErr w:type="spellEnd"/>
            <w:r w:rsidRPr="00E47756">
              <w:t xml:space="preserve">  </w:t>
            </w:r>
          </w:p>
          <w:p w14:paraId="267FDB99" w14:textId="77777777" w:rsidR="00201FCC" w:rsidRPr="00E47756" w:rsidRDefault="00201FCC" w:rsidP="00201FCC">
            <w:pPr>
              <w:spacing w:after="0" w:line="240" w:lineRule="auto"/>
              <w:ind w:left="57" w:right="57"/>
            </w:pPr>
            <w:r w:rsidRPr="00E47756">
              <w:rPr>
                <w:sz w:val="20"/>
              </w:rPr>
              <w:t>2016/0131 (COD)</w:t>
            </w:r>
            <w:r w:rsidRPr="00E47756">
              <w:t xml:space="preserve">  </w:t>
            </w:r>
          </w:p>
          <w:p w14:paraId="12185141" w14:textId="77777777" w:rsidR="00201FCC" w:rsidRPr="00E47756" w:rsidRDefault="00201FCC" w:rsidP="00201FCC">
            <w:pPr>
              <w:spacing w:after="0" w:line="240" w:lineRule="auto"/>
              <w:ind w:left="57" w:right="57"/>
            </w:pPr>
            <w:r w:rsidRPr="00E47756">
              <w:rPr>
                <w:sz w:val="20"/>
              </w:rPr>
              <w:t>4. 5. 2016</w:t>
            </w:r>
            <w:r w:rsidRPr="00E47756">
              <w:t xml:space="preserve">  </w:t>
            </w:r>
          </w:p>
          <w:p w14:paraId="49F1E7D4" w14:textId="77777777" w:rsidR="00201FCC" w:rsidRPr="00E47756" w:rsidRDefault="00201FCC" w:rsidP="00201FCC">
            <w:pPr>
              <w:spacing w:after="0" w:line="240" w:lineRule="auto"/>
              <w:ind w:left="57" w:right="57"/>
            </w:pPr>
            <w:r w:rsidRPr="00E47756">
              <w:t xml:space="preserve">  </w:t>
            </w:r>
          </w:p>
          <w:p w14:paraId="60579937" w14:textId="77777777" w:rsidR="00201FCC" w:rsidRPr="00E47756" w:rsidRDefault="00201FCC" w:rsidP="00201FCC">
            <w:pPr>
              <w:spacing w:after="0" w:line="240" w:lineRule="auto"/>
              <w:ind w:left="57" w:right="57"/>
            </w:pPr>
            <w:r w:rsidRPr="00E47756">
              <w:rPr>
                <w:sz w:val="20"/>
              </w:rPr>
              <w:t xml:space="preserve">COM(2018) 633 </w:t>
            </w:r>
            <w:proofErr w:type="spellStart"/>
            <w:r w:rsidRPr="00E47756">
              <w:rPr>
                <w:sz w:val="20"/>
              </w:rPr>
              <w:t>final</w:t>
            </w:r>
            <w:proofErr w:type="spellEnd"/>
            <w:r w:rsidRPr="00E47756">
              <w:t xml:space="preserve">  </w:t>
            </w:r>
          </w:p>
          <w:p w14:paraId="1B9DADB9" w14:textId="77777777" w:rsidR="00201FCC" w:rsidRPr="00E47756" w:rsidRDefault="00201FCC" w:rsidP="00201FCC">
            <w:pPr>
              <w:spacing w:after="0" w:line="240" w:lineRule="auto"/>
              <w:ind w:left="57" w:right="57"/>
              <w:rPr>
                <w:sz w:val="20"/>
              </w:rPr>
            </w:pPr>
            <w:r w:rsidRPr="00E47756">
              <w:rPr>
                <w:sz w:val="20"/>
              </w:rPr>
              <w:t xml:space="preserve">12. 9. 2018 </w:t>
            </w:r>
          </w:p>
        </w:tc>
        <w:tc>
          <w:tcPr>
            <w:tcW w:w="1701" w:type="dxa"/>
            <w:tcBorders>
              <w:top w:val="single" w:sz="4" w:space="0" w:color="000000"/>
              <w:left w:val="single" w:sz="4" w:space="0" w:color="000000"/>
              <w:bottom w:val="single" w:sz="4" w:space="0" w:color="000000"/>
              <w:right w:val="single" w:sz="4" w:space="0" w:color="000000"/>
            </w:tcBorders>
          </w:tcPr>
          <w:p w14:paraId="0B1E446A" w14:textId="77777777" w:rsidR="00201FCC" w:rsidRPr="00E47756" w:rsidRDefault="00201FCC" w:rsidP="00201FCC">
            <w:pPr>
              <w:spacing w:after="0" w:line="240" w:lineRule="auto"/>
              <w:ind w:left="57" w:right="57"/>
              <w:jc w:val="center"/>
              <w:rPr>
                <w:b/>
                <w:sz w:val="20"/>
              </w:rPr>
            </w:pPr>
            <w:r w:rsidRPr="00E47756">
              <w:rPr>
                <w:b/>
                <w:sz w:val="20"/>
              </w:rPr>
              <w:t>MV SR</w:t>
            </w:r>
          </w:p>
        </w:tc>
        <w:tc>
          <w:tcPr>
            <w:tcW w:w="4111" w:type="dxa"/>
            <w:tcBorders>
              <w:top w:val="single" w:sz="4" w:space="0" w:color="000000"/>
              <w:left w:val="single" w:sz="4" w:space="0" w:color="000000"/>
              <w:bottom w:val="single" w:sz="4" w:space="0" w:color="000000"/>
              <w:right w:val="single" w:sz="4" w:space="0" w:color="000000"/>
            </w:tcBorders>
          </w:tcPr>
          <w:p w14:paraId="23333E72" w14:textId="77777777" w:rsidR="00201FCC" w:rsidRPr="00E47756" w:rsidRDefault="00201FCC" w:rsidP="00201FCC">
            <w:pPr>
              <w:spacing w:after="0" w:line="240" w:lineRule="auto"/>
              <w:ind w:left="57" w:right="57"/>
              <w:rPr>
                <w:b/>
                <w:sz w:val="20"/>
                <w:u w:val="single"/>
              </w:rPr>
            </w:pPr>
            <w:r w:rsidRPr="00E47756">
              <w:rPr>
                <w:b/>
                <w:sz w:val="20"/>
                <w:u w:val="single"/>
              </w:rPr>
              <w:t>Vysoká priorita</w:t>
            </w:r>
            <w:r w:rsidRPr="00E47756">
              <w:rPr>
                <w:sz w:val="20"/>
              </w:rPr>
              <w:t xml:space="preserve"> – Na základe návrhu má byť vytvorená Európska agentúra pre azyl (EUAA), ktorá nahradí doterajšiu agentúru EASO. Návrh počíta s posilnením právomocí agentúry, s rozšírením mandátu a posilneným personálnym zabezpečením. Návrh bol Komisiou zmenený v septembri 2018. K poslednému návrhu textu nemala SR pripomienky. Rokovania sú momentálne utlmené. Podporujeme tzv. balíkový prístup ku všetkým návrhom v rámci Paktu a k súvisiacim návrhom.</w:t>
            </w:r>
          </w:p>
        </w:tc>
      </w:tr>
      <w:tr w:rsidR="00201FCC" w:rsidRPr="00E47756" w14:paraId="4436AD9A" w14:textId="77777777" w:rsidTr="00291238">
        <w:tblPrEx>
          <w:tblCellMar>
            <w:top w:w="31" w:type="dxa"/>
          </w:tblCellMar>
        </w:tblPrEx>
        <w:trPr>
          <w:trHeight w:val="925"/>
        </w:trPr>
        <w:tc>
          <w:tcPr>
            <w:tcW w:w="8810" w:type="dxa"/>
            <w:gridSpan w:val="4"/>
            <w:tcBorders>
              <w:top w:val="single" w:sz="4" w:space="0" w:color="auto"/>
              <w:left w:val="single" w:sz="4" w:space="0" w:color="auto"/>
              <w:bottom w:val="single" w:sz="4" w:space="0" w:color="auto"/>
              <w:right w:val="single" w:sz="4" w:space="0" w:color="000000"/>
            </w:tcBorders>
            <w:shd w:val="clear" w:color="auto" w:fill="00ADDC"/>
            <w:vAlign w:val="center"/>
          </w:tcPr>
          <w:p w14:paraId="1F60FC93" w14:textId="77777777" w:rsidR="00201FCC" w:rsidRPr="00E47756" w:rsidRDefault="00201FCC" w:rsidP="00201FCC">
            <w:pPr>
              <w:spacing w:after="0" w:line="240" w:lineRule="auto"/>
              <w:ind w:left="57" w:right="57"/>
              <w:jc w:val="left"/>
              <w:rPr>
                <w:sz w:val="20"/>
              </w:rPr>
            </w:pPr>
            <w:r w:rsidRPr="00E47756">
              <w:rPr>
                <w:b/>
                <w:sz w:val="20"/>
              </w:rPr>
              <w:t>Nový impulz pre európsku demokraciu</w:t>
            </w:r>
          </w:p>
        </w:tc>
        <w:tc>
          <w:tcPr>
            <w:tcW w:w="1701" w:type="dxa"/>
            <w:tcBorders>
              <w:top w:val="single" w:sz="4" w:space="0" w:color="auto"/>
              <w:left w:val="single" w:sz="4" w:space="0" w:color="000000"/>
              <w:bottom w:val="single" w:sz="4" w:space="0" w:color="auto"/>
              <w:right w:val="single" w:sz="4" w:space="0" w:color="000000"/>
            </w:tcBorders>
            <w:shd w:val="clear" w:color="auto" w:fill="00ADDC"/>
            <w:vAlign w:val="center"/>
          </w:tcPr>
          <w:p w14:paraId="66C64E5E" w14:textId="77777777" w:rsidR="00201FCC" w:rsidRPr="00E47756" w:rsidRDefault="00201FCC" w:rsidP="00201FCC">
            <w:pPr>
              <w:spacing w:after="0" w:line="240" w:lineRule="auto"/>
              <w:ind w:left="57" w:right="57"/>
              <w:jc w:val="left"/>
              <w:rPr>
                <w:b/>
                <w:sz w:val="20"/>
              </w:rPr>
            </w:pPr>
          </w:p>
        </w:tc>
        <w:tc>
          <w:tcPr>
            <w:tcW w:w="4111" w:type="dxa"/>
            <w:tcBorders>
              <w:top w:val="single" w:sz="4" w:space="0" w:color="auto"/>
              <w:left w:val="single" w:sz="4" w:space="0" w:color="000000"/>
              <w:bottom w:val="single" w:sz="4" w:space="0" w:color="auto"/>
              <w:right w:val="single" w:sz="4" w:space="0" w:color="auto"/>
            </w:tcBorders>
            <w:shd w:val="clear" w:color="auto" w:fill="00ADDC"/>
            <w:vAlign w:val="center"/>
          </w:tcPr>
          <w:p w14:paraId="60B96A7A" w14:textId="77777777" w:rsidR="00201FCC" w:rsidRPr="00E47756" w:rsidRDefault="00201FCC" w:rsidP="00201FCC">
            <w:pPr>
              <w:spacing w:after="0" w:line="240" w:lineRule="auto"/>
              <w:ind w:left="57" w:right="57"/>
              <w:jc w:val="left"/>
              <w:rPr>
                <w:b/>
                <w:sz w:val="20"/>
                <w:u w:val="single"/>
              </w:rPr>
            </w:pPr>
          </w:p>
        </w:tc>
      </w:tr>
      <w:tr w:rsidR="00201FCC" w:rsidRPr="00E47756" w14:paraId="658571B7" w14:textId="77777777" w:rsidTr="00291238">
        <w:tblPrEx>
          <w:tblCellMar>
            <w:top w:w="34" w:type="dxa"/>
          </w:tblCellMar>
        </w:tblPrEx>
        <w:trPr>
          <w:trHeight w:val="756"/>
        </w:trPr>
        <w:tc>
          <w:tcPr>
            <w:tcW w:w="652" w:type="dxa"/>
            <w:gridSpan w:val="2"/>
            <w:tcBorders>
              <w:top w:val="single" w:sz="4" w:space="0" w:color="000000"/>
              <w:left w:val="single" w:sz="4" w:space="0" w:color="000000"/>
              <w:bottom w:val="single" w:sz="4" w:space="0" w:color="000000"/>
              <w:right w:val="single" w:sz="4" w:space="0" w:color="000000"/>
            </w:tcBorders>
          </w:tcPr>
          <w:p w14:paraId="00AEBA47" w14:textId="77777777" w:rsidR="00201FCC" w:rsidRPr="00E47756" w:rsidRDefault="00201FCC" w:rsidP="00291238">
            <w:pPr>
              <w:spacing w:after="0" w:line="240" w:lineRule="auto"/>
              <w:ind w:left="57" w:right="57"/>
              <w:jc w:val="center"/>
              <w:rPr>
                <w:sz w:val="20"/>
              </w:rPr>
            </w:pPr>
            <w:r w:rsidRPr="00E47756">
              <w:rPr>
                <w:sz w:val="20"/>
              </w:rPr>
              <w:t>47.</w:t>
            </w:r>
          </w:p>
        </w:tc>
        <w:tc>
          <w:tcPr>
            <w:tcW w:w="6173" w:type="dxa"/>
            <w:tcBorders>
              <w:top w:val="single" w:sz="4" w:space="0" w:color="000000"/>
              <w:left w:val="single" w:sz="4" w:space="0" w:color="000000"/>
              <w:bottom w:val="single" w:sz="4" w:space="0" w:color="000000"/>
              <w:right w:val="single" w:sz="4" w:space="0" w:color="000000"/>
            </w:tcBorders>
          </w:tcPr>
          <w:p w14:paraId="4A2CD44A" w14:textId="77777777" w:rsidR="00201FCC" w:rsidRPr="00E47756" w:rsidRDefault="00201FCC" w:rsidP="00291238">
            <w:pPr>
              <w:spacing w:after="0" w:line="240" w:lineRule="auto"/>
              <w:ind w:left="57" w:right="57"/>
              <w:rPr>
                <w:sz w:val="20"/>
              </w:rPr>
            </w:pPr>
            <w:r w:rsidRPr="00E47756">
              <w:rPr>
                <w:sz w:val="20"/>
              </w:rPr>
              <w:t xml:space="preserve">návrh SMERNICA EURÓPSKEHO PARLAMENTU A RADY, ktorou sa stanovujú harmonizované pravidlá určovania právnych zástupcov na účely zhromažďovania dôkazov v trestnom konaní </w:t>
            </w:r>
          </w:p>
        </w:tc>
        <w:tc>
          <w:tcPr>
            <w:tcW w:w="1985" w:type="dxa"/>
            <w:tcBorders>
              <w:top w:val="single" w:sz="4" w:space="0" w:color="000000"/>
              <w:left w:val="single" w:sz="4" w:space="0" w:color="000000"/>
              <w:bottom w:val="single" w:sz="4" w:space="0" w:color="000000"/>
              <w:right w:val="single" w:sz="4" w:space="0" w:color="000000"/>
            </w:tcBorders>
          </w:tcPr>
          <w:p w14:paraId="34D8F1F4" w14:textId="77777777" w:rsidR="00201FCC" w:rsidRPr="00E47756" w:rsidRDefault="00201FCC" w:rsidP="00291238">
            <w:pPr>
              <w:spacing w:after="0" w:line="240" w:lineRule="auto"/>
              <w:ind w:left="57" w:right="57"/>
            </w:pPr>
            <w:r w:rsidRPr="00E47756">
              <w:rPr>
                <w:sz w:val="20"/>
              </w:rPr>
              <w:t xml:space="preserve">COM(2018) 226 </w:t>
            </w:r>
            <w:proofErr w:type="spellStart"/>
            <w:r w:rsidRPr="00E47756">
              <w:rPr>
                <w:sz w:val="20"/>
              </w:rPr>
              <w:t>final</w:t>
            </w:r>
            <w:proofErr w:type="spellEnd"/>
            <w:r w:rsidRPr="00E47756">
              <w:t xml:space="preserve">  </w:t>
            </w:r>
          </w:p>
          <w:p w14:paraId="01C6DF22" w14:textId="77777777" w:rsidR="00201FCC" w:rsidRPr="00E47756" w:rsidRDefault="00201FCC" w:rsidP="00291238">
            <w:pPr>
              <w:spacing w:after="0" w:line="240" w:lineRule="auto"/>
              <w:ind w:left="57" w:right="57"/>
            </w:pPr>
            <w:r w:rsidRPr="00E47756">
              <w:rPr>
                <w:sz w:val="20"/>
              </w:rPr>
              <w:t xml:space="preserve">2018/0107 (COD) </w:t>
            </w:r>
          </w:p>
          <w:p w14:paraId="456AC563" w14:textId="77777777" w:rsidR="00201FCC" w:rsidRPr="00E47756" w:rsidRDefault="00201FCC" w:rsidP="00291238">
            <w:pPr>
              <w:spacing w:after="0" w:line="240" w:lineRule="auto"/>
              <w:ind w:left="57" w:right="57"/>
              <w:rPr>
                <w:sz w:val="20"/>
              </w:rPr>
            </w:pPr>
            <w:r w:rsidRPr="00E47756">
              <w:rPr>
                <w:sz w:val="20"/>
              </w:rPr>
              <w:t xml:space="preserve">18. 4. 2018 </w:t>
            </w:r>
          </w:p>
        </w:tc>
        <w:tc>
          <w:tcPr>
            <w:tcW w:w="1701" w:type="dxa"/>
            <w:tcBorders>
              <w:top w:val="single" w:sz="4" w:space="0" w:color="000000"/>
              <w:left w:val="single" w:sz="4" w:space="0" w:color="000000"/>
              <w:bottom w:val="single" w:sz="4" w:space="0" w:color="000000"/>
              <w:right w:val="single" w:sz="4" w:space="0" w:color="000000"/>
            </w:tcBorders>
          </w:tcPr>
          <w:p w14:paraId="2C233CFD" w14:textId="77777777" w:rsidR="00201FCC" w:rsidRPr="00E47756" w:rsidRDefault="00201FCC" w:rsidP="00291238">
            <w:pPr>
              <w:spacing w:after="0" w:line="240" w:lineRule="auto"/>
              <w:ind w:left="57" w:right="57"/>
              <w:jc w:val="center"/>
              <w:rPr>
                <w:b/>
                <w:sz w:val="20"/>
              </w:rPr>
            </w:pPr>
            <w:r w:rsidRPr="00E47756">
              <w:rPr>
                <w:b/>
                <w:sz w:val="20"/>
              </w:rPr>
              <w:t>MS SR</w:t>
            </w:r>
          </w:p>
          <w:p w14:paraId="5EE76E1B" w14:textId="77777777" w:rsidR="00201FCC" w:rsidRPr="00E47756" w:rsidRDefault="00201FCC" w:rsidP="00291238">
            <w:pPr>
              <w:spacing w:after="0" w:line="240" w:lineRule="auto"/>
              <w:ind w:left="57" w:right="57"/>
              <w:jc w:val="center"/>
              <w:rPr>
                <w:b/>
                <w:sz w:val="20"/>
              </w:rPr>
            </w:pPr>
          </w:p>
        </w:tc>
        <w:tc>
          <w:tcPr>
            <w:tcW w:w="4111" w:type="dxa"/>
            <w:tcBorders>
              <w:top w:val="single" w:sz="4" w:space="0" w:color="000000"/>
              <w:left w:val="single" w:sz="4" w:space="0" w:color="000000"/>
              <w:bottom w:val="single" w:sz="4" w:space="0" w:color="000000"/>
              <w:right w:val="single" w:sz="4" w:space="0" w:color="000000"/>
            </w:tcBorders>
          </w:tcPr>
          <w:p w14:paraId="6F77E47D" w14:textId="77777777" w:rsidR="00201FCC" w:rsidRPr="00E47756" w:rsidRDefault="00201FCC" w:rsidP="00291238">
            <w:pPr>
              <w:spacing w:after="0" w:line="240" w:lineRule="auto"/>
              <w:ind w:left="57" w:right="57"/>
              <w:rPr>
                <w:b/>
                <w:sz w:val="20"/>
                <w:u w:val="single"/>
              </w:rPr>
            </w:pPr>
            <w:r w:rsidRPr="00E47756">
              <w:rPr>
                <w:b/>
                <w:sz w:val="20"/>
                <w:u w:val="single"/>
              </w:rPr>
              <w:t>Stredná  priorita</w:t>
            </w:r>
            <w:r w:rsidRPr="00E47756">
              <w:rPr>
                <w:sz w:val="20"/>
              </w:rPr>
              <w:t xml:space="preserve"> – SR podporuje všeobecné smerovanie schválené Radou EÚ. Máme viaceré zásadné výhrady k nedávno zverejnenému návrhu správy Európskeho parlamentu.</w:t>
            </w:r>
          </w:p>
        </w:tc>
      </w:tr>
      <w:tr w:rsidR="00201FCC" w:rsidRPr="00E47756" w14:paraId="48F1FD4B" w14:textId="77777777" w:rsidTr="00291238">
        <w:tblPrEx>
          <w:tblCellMar>
            <w:top w:w="34" w:type="dxa"/>
          </w:tblCellMar>
        </w:tblPrEx>
        <w:trPr>
          <w:trHeight w:val="756"/>
        </w:trPr>
        <w:tc>
          <w:tcPr>
            <w:tcW w:w="652" w:type="dxa"/>
            <w:gridSpan w:val="2"/>
            <w:tcBorders>
              <w:top w:val="single" w:sz="4" w:space="0" w:color="000000"/>
              <w:left w:val="single" w:sz="4" w:space="0" w:color="000000"/>
              <w:bottom w:val="single" w:sz="4" w:space="0" w:color="000000"/>
              <w:right w:val="single" w:sz="4" w:space="0" w:color="000000"/>
            </w:tcBorders>
          </w:tcPr>
          <w:p w14:paraId="4B685F4F" w14:textId="77777777" w:rsidR="00201FCC" w:rsidRPr="00E47756" w:rsidRDefault="00201FCC" w:rsidP="00291238">
            <w:pPr>
              <w:spacing w:after="0" w:line="240" w:lineRule="auto"/>
              <w:ind w:left="57" w:right="57"/>
              <w:jc w:val="center"/>
              <w:rPr>
                <w:sz w:val="20"/>
              </w:rPr>
            </w:pPr>
            <w:r w:rsidRPr="00E47756">
              <w:rPr>
                <w:sz w:val="20"/>
              </w:rPr>
              <w:t>48.</w:t>
            </w:r>
          </w:p>
        </w:tc>
        <w:tc>
          <w:tcPr>
            <w:tcW w:w="6173" w:type="dxa"/>
            <w:tcBorders>
              <w:top w:val="single" w:sz="4" w:space="0" w:color="000000"/>
              <w:left w:val="single" w:sz="4" w:space="0" w:color="000000"/>
              <w:bottom w:val="single" w:sz="4" w:space="0" w:color="000000"/>
              <w:right w:val="single" w:sz="4" w:space="0" w:color="000000"/>
            </w:tcBorders>
          </w:tcPr>
          <w:p w14:paraId="7E1D2DC4" w14:textId="77777777" w:rsidR="00201FCC" w:rsidRPr="00E47756" w:rsidRDefault="00201FCC" w:rsidP="00291238">
            <w:pPr>
              <w:spacing w:after="0" w:line="240" w:lineRule="auto"/>
              <w:ind w:left="57" w:right="57"/>
              <w:rPr>
                <w:sz w:val="20"/>
              </w:rPr>
            </w:pPr>
            <w:r w:rsidRPr="00E47756">
              <w:rPr>
                <w:sz w:val="20"/>
              </w:rPr>
              <w:t xml:space="preserve">návrh NARIADENIE EURÓPSKEHO PARLAMENTU A RADY o európskom príkaze na predloženie a uchovanie elektronických dôkazov v trestných veciach </w:t>
            </w:r>
          </w:p>
        </w:tc>
        <w:tc>
          <w:tcPr>
            <w:tcW w:w="1985" w:type="dxa"/>
            <w:tcBorders>
              <w:top w:val="single" w:sz="4" w:space="0" w:color="000000"/>
              <w:left w:val="single" w:sz="4" w:space="0" w:color="000000"/>
              <w:bottom w:val="single" w:sz="4" w:space="0" w:color="000000"/>
              <w:right w:val="single" w:sz="4" w:space="0" w:color="000000"/>
            </w:tcBorders>
          </w:tcPr>
          <w:p w14:paraId="4071B0C3" w14:textId="77777777" w:rsidR="00201FCC" w:rsidRPr="00E47756" w:rsidRDefault="00201FCC" w:rsidP="00291238">
            <w:pPr>
              <w:spacing w:after="0" w:line="240" w:lineRule="auto"/>
              <w:ind w:left="57" w:right="57"/>
            </w:pPr>
            <w:r w:rsidRPr="00E47756">
              <w:rPr>
                <w:sz w:val="20"/>
              </w:rPr>
              <w:t xml:space="preserve">COM(2018) 225 </w:t>
            </w:r>
            <w:proofErr w:type="spellStart"/>
            <w:r w:rsidRPr="00E47756">
              <w:rPr>
                <w:sz w:val="20"/>
              </w:rPr>
              <w:t>final</w:t>
            </w:r>
            <w:proofErr w:type="spellEnd"/>
            <w:r w:rsidRPr="00E47756">
              <w:t xml:space="preserve">  </w:t>
            </w:r>
          </w:p>
          <w:p w14:paraId="64970CB8" w14:textId="77777777" w:rsidR="00201FCC" w:rsidRPr="00E47756" w:rsidRDefault="00201FCC" w:rsidP="00291238">
            <w:pPr>
              <w:spacing w:after="0" w:line="240" w:lineRule="auto"/>
              <w:ind w:left="57" w:right="57"/>
            </w:pPr>
            <w:r w:rsidRPr="00E47756">
              <w:rPr>
                <w:sz w:val="20"/>
              </w:rPr>
              <w:t xml:space="preserve">2018/0108 (COD) </w:t>
            </w:r>
          </w:p>
          <w:p w14:paraId="11CFCD8E" w14:textId="77777777" w:rsidR="00201FCC" w:rsidRPr="00E47756" w:rsidRDefault="00201FCC" w:rsidP="00291238">
            <w:pPr>
              <w:spacing w:after="0" w:line="240" w:lineRule="auto"/>
              <w:ind w:left="57" w:right="57"/>
              <w:rPr>
                <w:sz w:val="20"/>
              </w:rPr>
            </w:pPr>
            <w:r w:rsidRPr="00E47756">
              <w:rPr>
                <w:sz w:val="20"/>
              </w:rPr>
              <w:t xml:space="preserve">18. 4. 2018 </w:t>
            </w:r>
          </w:p>
        </w:tc>
        <w:tc>
          <w:tcPr>
            <w:tcW w:w="1701" w:type="dxa"/>
            <w:tcBorders>
              <w:top w:val="single" w:sz="4" w:space="0" w:color="000000"/>
              <w:left w:val="single" w:sz="4" w:space="0" w:color="000000"/>
              <w:bottom w:val="single" w:sz="4" w:space="0" w:color="000000"/>
              <w:right w:val="single" w:sz="4" w:space="0" w:color="000000"/>
            </w:tcBorders>
          </w:tcPr>
          <w:p w14:paraId="6C0D8AD6" w14:textId="77777777" w:rsidR="00201FCC" w:rsidRPr="00E47756" w:rsidRDefault="00201FCC" w:rsidP="00291238">
            <w:pPr>
              <w:spacing w:after="0" w:line="240" w:lineRule="auto"/>
              <w:ind w:left="57" w:right="57"/>
              <w:jc w:val="center"/>
              <w:rPr>
                <w:b/>
                <w:sz w:val="20"/>
              </w:rPr>
            </w:pPr>
            <w:r w:rsidRPr="00E47756">
              <w:rPr>
                <w:b/>
                <w:sz w:val="20"/>
              </w:rPr>
              <w:t>MS SR</w:t>
            </w:r>
          </w:p>
          <w:p w14:paraId="5E94342B" w14:textId="77777777" w:rsidR="00201FCC" w:rsidRPr="00E47756" w:rsidRDefault="00201FCC" w:rsidP="00291238">
            <w:pPr>
              <w:spacing w:after="0" w:line="240" w:lineRule="auto"/>
              <w:ind w:left="57" w:right="57"/>
              <w:jc w:val="center"/>
              <w:rPr>
                <w:b/>
                <w:sz w:val="20"/>
              </w:rPr>
            </w:pPr>
          </w:p>
        </w:tc>
        <w:tc>
          <w:tcPr>
            <w:tcW w:w="4111" w:type="dxa"/>
            <w:tcBorders>
              <w:top w:val="single" w:sz="4" w:space="0" w:color="000000"/>
              <w:left w:val="single" w:sz="4" w:space="0" w:color="000000"/>
              <w:bottom w:val="single" w:sz="4" w:space="0" w:color="000000"/>
              <w:right w:val="single" w:sz="4" w:space="0" w:color="000000"/>
            </w:tcBorders>
          </w:tcPr>
          <w:p w14:paraId="76A23C58" w14:textId="77777777" w:rsidR="00201FCC" w:rsidRPr="00E47756" w:rsidRDefault="00201FCC" w:rsidP="00291238">
            <w:pPr>
              <w:spacing w:after="0" w:line="240" w:lineRule="auto"/>
              <w:ind w:left="57" w:right="57"/>
              <w:rPr>
                <w:b/>
                <w:sz w:val="20"/>
                <w:u w:val="single"/>
              </w:rPr>
            </w:pPr>
            <w:r w:rsidRPr="00E47756">
              <w:rPr>
                <w:b/>
                <w:sz w:val="20"/>
                <w:u w:val="single"/>
              </w:rPr>
              <w:t>Stredná  priorita</w:t>
            </w:r>
            <w:r w:rsidRPr="00E47756">
              <w:rPr>
                <w:sz w:val="20"/>
              </w:rPr>
              <w:t xml:space="preserve"> – SR podporuje všeobecné smerovanie schválené Radou EÚ hoci SR má výhrady k nedávno zverejnenému návrhu správy Európskeho parlamentu.</w:t>
            </w:r>
          </w:p>
        </w:tc>
      </w:tr>
      <w:tr w:rsidR="00201FCC" w:rsidRPr="00E47756" w14:paraId="42B3F8F2" w14:textId="77777777" w:rsidTr="00291238">
        <w:tblPrEx>
          <w:tblCellMar>
            <w:top w:w="34" w:type="dxa"/>
          </w:tblCellMar>
        </w:tblPrEx>
        <w:trPr>
          <w:trHeight w:val="756"/>
        </w:trPr>
        <w:tc>
          <w:tcPr>
            <w:tcW w:w="652" w:type="dxa"/>
            <w:gridSpan w:val="2"/>
            <w:tcBorders>
              <w:top w:val="single" w:sz="4" w:space="0" w:color="000000"/>
              <w:left w:val="single" w:sz="4" w:space="0" w:color="000000"/>
              <w:bottom w:val="single" w:sz="4" w:space="0" w:color="000000"/>
              <w:right w:val="single" w:sz="4" w:space="0" w:color="000000"/>
            </w:tcBorders>
          </w:tcPr>
          <w:p w14:paraId="068F13DF" w14:textId="77777777" w:rsidR="00201FCC" w:rsidRPr="00E47756" w:rsidRDefault="00201FCC" w:rsidP="00291238">
            <w:pPr>
              <w:spacing w:after="0" w:line="240" w:lineRule="auto"/>
              <w:ind w:left="57" w:right="57"/>
              <w:jc w:val="center"/>
              <w:rPr>
                <w:sz w:val="20"/>
              </w:rPr>
            </w:pPr>
            <w:r w:rsidRPr="00E47756">
              <w:rPr>
                <w:sz w:val="20"/>
              </w:rPr>
              <w:t>49.</w:t>
            </w:r>
          </w:p>
        </w:tc>
        <w:tc>
          <w:tcPr>
            <w:tcW w:w="6173" w:type="dxa"/>
            <w:tcBorders>
              <w:top w:val="single" w:sz="4" w:space="0" w:color="000000"/>
              <w:left w:val="single" w:sz="4" w:space="0" w:color="000000"/>
              <w:bottom w:val="single" w:sz="4" w:space="0" w:color="000000"/>
              <w:right w:val="single" w:sz="4" w:space="0" w:color="000000"/>
            </w:tcBorders>
          </w:tcPr>
          <w:p w14:paraId="39F9FB86" w14:textId="77777777" w:rsidR="00201FCC" w:rsidRPr="00E47756" w:rsidRDefault="00201FCC" w:rsidP="00291238">
            <w:pPr>
              <w:spacing w:after="0" w:line="240" w:lineRule="auto"/>
              <w:ind w:left="57" w:right="57"/>
              <w:rPr>
                <w:sz w:val="20"/>
              </w:rPr>
            </w:pPr>
            <w:r w:rsidRPr="00E47756">
              <w:rPr>
                <w:sz w:val="20"/>
              </w:rPr>
              <w:t xml:space="preserve">návrh SMERNICA EURÓPSKEHO PARLAMENTU A RADY o zlepšení rodovej vyváženosti medzi nevýkonnými riadiacimi pracovníkmi spoločností kótovaných na burze a súvisiacich opatreniach </w:t>
            </w:r>
          </w:p>
          <w:p w14:paraId="46330F48" w14:textId="77777777" w:rsidR="00201FCC" w:rsidRPr="00E47756" w:rsidRDefault="00201FCC" w:rsidP="00291238">
            <w:pPr>
              <w:spacing w:after="0" w:line="240" w:lineRule="auto"/>
              <w:ind w:left="57" w:right="57"/>
              <w:rPr>
                <w:sz w:val="20"/>
              </w:rPr>
            </w:pPr>
          </w:p>
          <w:p w14:paraId="2FDE2190" w14:textId="77777777" w:rsidR="00201FCC" w:rsidRPr="00E47756" w:rsidRDefault="00201FCC" w:rsidP="00291238">
            <w:pPr>
              <w:spacing w:after="0" w:line="240" w:lineRule="auto"/>
              <w:ind w:left="57" w:right="57"/>
              <w:rPr>
                <w:sz w:val="20"/>
              </w:rPr>
            </w:pPr>
          </w:p>
        </w:tc>
        <w:tc>
          <w:tcPr>
            <w:tcW w:w="1985" w:type="dxa"/>
            <w:tcBorders>
              <w:top w:val="single" w:sz="4" w:space="0" w:color="000000"/>
              <w:left w:val="single" w:sz="4" w:space="0" w:color="000000"/>
              <w:bottom w:val="single" w:sz="4" w:space="0" w:color="000000"/>
              <w:right w:val="single" w:sz="4" w:space="0" w:color="000000"/>
            </w:tcBorders>
          </w:tcPr>
          <w:p w14:paraId="77BA5412" w14:textId="77777777" w:rsidR="00201FCC" w:rsidRPr="00E47756" w:rsidRDefault="00201FCC" w:rsidP="00291238">
            <w:pPr>
              <w:spacing w:after="0" w:line="240" w:lineRule="auto"/>
              <w:ind w:left="57" w:right="57"/>
              <w:jc w:val="left"/>
            </w:pPr>
            <w:r w:rsidRPr="00E47756">
              <w:rPr>
                <w:sz w:val="20"/>
              </w:rPr>
              <w:t xml:space="preserve">COM(2012) 614 </w:t>
            </w:r>
            <w:proofErr w:type="spellStart"/>
            <w:r w:rsidRPr="00E47756">
              <w:rPr>
                <w:sz w:val="20"/>
              </w:rPr>
              <w:t>final</w:t>
            </w:r>
            <w:proofErr w:type="spellEnd"/>
            <w:r w:rsidRPr="00E47756">
              <w:t xml:space="preserve">  </w:t>
            </w:r>
            <w:r w:rsidRPr="00E47756">
              <w:rPr>
                <w:sz w:val="20"/>
              </w:rPr>
              <w:t>2012/0299 (COD)</w:t>
            </w:r>
            <w:r w:rsidRPr="00E47756">
              <w:t xml:space="preserve">  </w:t>
            </w:r>
          </w:p>
          <w:p w14:paraId="423830AC" w14:textId="77777777" w:rsidR="00201FCC" w:rsidRPr="00E47756" w:rsidRDefault="00201FCC" w:rsidP="00291238">
            <w:pPr>
              <w:spacing w:after="0" w:line="240" w:lineRule="auto"/>
              <w:ind w:left="57" w:right="57"/>
              <w:rPr>
                <w:sz w:val="20"/>
              </w:rPr>
            </w:pPr>
            <w:r w:rsidRPr="00E47756">
              <w:rPr>
                <w:sz w:val="20"/>
              </w:rPr>
              <w:t xml:space="preserve">14. 11. 2012 </w:t>
            </w:r>
          </w:p>
        </w:tc>
        <w:tc>
          <w:tcPr>
            <w:tcW w:w="1701" w:type="dxa"/>
            <w:tcBorders>
              <w:top w:val="single" w:sz="4" w:space="0" w:color="000000"/>
              <w:left w:val="single" w:sz="4" w:space="0" w:color="000000"/>
              <w:bottom w:val="single" w:sz="4" w:space="0" w:color="000000"/>
              <w:right w:val="single" w:sz="4" w:space="0" w:color="000000"/>
            </w:tcBorders>
          </w:tcPr>
          <w:p w14:paraId="00B01353" w14:textId="77777777" w:rsidR="00201FCC" w:rsidRPr="00E47756" w:rsidRDefault="00201FCC" w:rsidP="00291238">
            <w:pPr>
              <w:spacing w:after="0" w:line="240" w:lineRule="auto"/>
              <w:ind w:left="57" w:right="57"/>
              <w:jc w:val="center"/>
              <w:rPr>
                <w:b/>
                <w:sz w:val="20"/>
              </w:rPr>
            </w:pPr>
            <w:r w:rsidRPr="00E47756">
              <w:rPr>
                <w:b/>
                <w:sz w:val="20"/>
              </w:rPr>
              <w:t>MPSVR SR</w:t>
            </w:r>
          </w:p>
          <w:p w14:paraId="7DE20CA6" w14:textId="77777777" w:rsidR="00201FCC" w:rsidRPr="00E47756" w:rsidRDefault="00201FCC" w:rsidP="00291238">
            <w:pPr>
              <w:spacing w:after="0" w:line="240" w:lineRule="auto"/>
              <w:ind w:left="57" w:right="57"/>
              <w:jc w:val="center"/>
              <w:rPr>
                <w:b/>
                <w:sz w:val="20"/>
              </w:rPr>
            </w:pPr>
            <w:r w:rsidRPr="00E47756">
              <w:rPr>
                <w:b/>
                <w:sz w:val="20"/>
              </w:rPr>
              <w:t>MS SR</w:t>
            </w:r>
          </w:p>
        </w:tc>
        <w:tc>
          <w:tcPr>
            <w:tcW w:w="4111" w:type="dxa"/>
            <w:tcBorders>
              <w:top w:val="single" w:sz="4" w:space="0" w:color="000000"/>
              <w:left w:val="single" w:sz="4" w:space="0" w:color="000000"/>
              <w:bottom w:val="single" w:sz="4" w:space="0" w:color="000000"/>
              <w:right w:val="single" w:sz="4" w:space="0" w:color="000000"/>
            </w:tcBorders>
          </w:tcPr>
          <w:p w14:paraId="640C30AB" w14:textId="77777777" w:rsidR="00201FCC" w:rsidRPr="00D013A8" w:rsidRDefault="00201FCC" w:rsidP="00291238">
            <w:pPr>
              <w:spacing w:after="0" w:line="240" w:lineRule="auto"/>
              <w:ind w:left="57" w:right="57"/>
              <w:rPr>
                <w:b/>
                <w:sz w:val="20"/>
                <w:szCs w:val="20"/>
                <w:u w:val="single"/>
              </w:rPr>
            </w:pPr>
            <w:r w:rsidRPr="00D013A8">
              <w:rPr>
                <w:b/>
                <w:sz w:val="20"/>
                <w:szCs w:val="20"/>
                <w:u w:val="single"/>
              </w:rPr>
              <w:t>Stredná priorita</w:t>
            </w:r>
            <w:r w:rsidRPr="00D013A8">
              <w:rPr>
                <w:sz w:val="20"/>
                <w:szCs w:val="20"/>
              </w:rPr>
              <w:t xml:space="preserve"> – </w:t>
            </w:r>
            <w:r w:rsidRPr="00D013A8">
              <w:rPr>
                <w:sz w:val="20"/>
                <w:szCs w:val="20"/>
                <w:lang w:eastAsia="en-US"/>
              </w:rPr>
              <w:t xml:space="preserve">Návrh smernice má za cieľ zlepšenie rodovej vyvážeností zastúpenia príslušníkov menej zastúpeného pohlavia (teda najmä žien) vo vrcholových orgánoch spoločností kótovaných na burze. </w:t>
            </w:r>
            <w:r w:rsidRPr="00D013A8">
              <w:rPr>
                <w:sz w:val="20"/>
                <w:szCs w:val="20"/>
              </w:rPr>
              <w:t xml:space="preserve">Naposledy bol </w:t>
            </w:r>
            <w:proofErr w:type="spellStart"/>
            <w:r w:rsidRPr="00D013A8">
              <w:rPr>
                <w:sz w:val="20"/>
                <w:szCs w:val="20"/>
              </w:rPr>
              <w:t>file</w:t>
            </w:r>
            <w:proofErr w:type="spellEnd"/>
            <w:r w:rsidRPr="00D013A8">
              <w:rPr>
                <w:sz w:val="20"/>
                <w:szCs w:val="20"/>
              </w:rPr>
              <w:t xml:space="preserve"> na rokovaní Rady EPSCO dňa 10.12.2019 ako správa o pokroku v rokovaniach. Smernica je v Rade však dlhodobo zablokovaná. Predpokladá sa predloženie návrhu počas PT PRES. </w:t>
            </w:r>
            <w:r w:rsidRPr="00D013A8">
              <w:rPr>
                <w:sz w:val="20"/>
                <w:szCs w:val="20"/>
              </w:rPr>
              <w:lastRenderedPageBreak/>
              <w:t xml:space="preserve">Komisárka pre rovnosť p. H. </w:t>
            </w:r>
            <w:proofErr w:type="spellStart"/>
            <w:r w:rsidRPr="00D013A8">
              <w:rPr>
                <w:sz w:val="20"/>
                <w:szCs w:val="20"/>
              </w:rPr>
              <w:t>Dalli</w:t>
            </w:r>
            <w:proofErr w:type="spellEnd"/>
            <w:r w:rsidRPr="00D013A8">
              <w:rPr>
                <w:sz w:val="20"/>
                <w:szCs w:val="20"/>
              </w:rPr>
              <w:t xml:space="preserve"> považuje prijatie tejto smernice za nevyhnutné v boji s paradoxom, kedy ženy majú slabšie zastúpenie v radách spoločností napriek ich v priemere vyššej vzdelanostnej úrovni. Podľa komisárky smernica nestanovuje kvóty, ale kvantifikovateľné ciele.</w:t>
            </w:r>
            <w:r w:rsidRPr="00D013A8">
              <w:rPr>
                <w:bCs/>
                <w:sz w:val="20"/>
                <w:szCs w:val="20"/>
                <w:lang w:eastAsia="en-US"/>
              </w:rPr>
              <w:t xml:space="preserve">SR </w:t>
            </w:r>
            <w:r w:rsidRPr="00D013A8">
              <w:rPr>
                <w:sz w:val="20"/>
                <w:szCs w:val="20"/>
                <w:lang w:eastAsia="en-US"/>
              </w:rPr>
              <w:t xml:space="preserve">podporuje cieľ návrhu, ako aj realizáciu princípu rovnakého zaobchádzania, napriek tomu SR nepodporuje prijatie návrhu smernice ako takej. </w:t>
            </w:r>
            <w:r w:rsidRPr="00D013A8">
              <w:rPr>
                <w:sz w:val="20"/>
                <w:szCs w:val="20"/>
              </w:rPr>
              <w:t>SR pozícia sa k smernicou zavádzaným kvótam pre ženy stavia odmietavo a nepodporuje ich.</w:t>
            </w:r>
          </w:p>
        </w:tc>
      </w:tr>
      <w:tr w:rsidR="00201FCC" w:rsidRPr="00E47756" w14:paraId="69440147" w14:textId="77777777" w:rsidTr="00291238">
        <w:tblPrEx>
          <w:tblCellMar>
            <w:top w:w="34" w:type="dxa"/>
          </w:tblCellMar>
        </w:tblPrEx>
        <w:trPr>
          <w:trHeight w:val="756"/>
        </w:trPr>
        <w:tc>
          <w:tcPr>
            <w:tcW w:w="652" w:type="dxa"/>
            <w:gridSpan w:val="2"/>
            <w:tcBorders>
              <w:top w:val="single" w:sz="4" w:space="0" w:color="000000"/>
              <w:left w:val="single" w:sz="4" w:space="0" w:color="000000"/>
              <w:bottom w:val="single" w:sz="4" w:space="0" w:color="000000"/>
              <w:right w:val="single" w:sz="4" w:space="0" w:color="000000"/>
            </w:tcBorders>
          </w:tcPr>
          <w:p w14:paraId="0D623A2D" w14:textId="77777777" w:rsidR="00201FCC" w:rsidRPr="00E47756" w:rsidRDefault="00201FCC" w:rsidP="00291238">
            <w:pPr>
              <w:spacing w:after="0" w:line="240" w:lineRule="auto"/>
              <w:ind w:left="57" w:right="57"/>
              <w:jc w:val="center"/>
              <w:rPr>
                <w:sz w:val="20"/>
              </w:rPr>
            </w:pPr>
            <w:r w:rsidRPr="00E47756">
              <w:rPr>
                <w:sz w:val="20"/>
              </w:rPr>
              <w:lastRenderedPageBreak/>
              <w:t>50.</w:t>
            </w:r>
          </w:p>
        </w:tc>
        <w:tc>
          <w:tcPr>
            <w:tcW w:w="6173" w:type="dxa"/>
            <w:tcBorders>
              <w:top w:val="single" w:sz="4" w:space="0" w:color="000000"/>
              <w:left w:val="single" w:sz="4" w:space="0" w:color="000000"/>
              <w:bottom w:val="single" w:sz="4" w:space="0" w:color="000000"/>
              <w:right w:val="single" w:sz="4" w:space="0" w:color="000000"/>
            </w:tcBorders>
          </w:tcPr>
          <w:p w14:paraId="0C5E9729" w14:textId="77777777" w:rsidR="00201FCC" w:rsidRPr="00E47756" w:rsidRDefault="00201FCC" w:rsidP="00291238">
            <w:pPr>
              <w:spacing w:after="0" w:line="240" w:lineRule="auto"/>
              <w:ind w:left="57" w:right="57"/>
              <w:rPr>
                <w:sz w:val="20"/>
              </w:rPr>
            </w:pPr>
            <w:r w:rsidRPr="00E47756">
              <w:rPr>
                <w:sz w:val="20"/>
              </w:rPr>
              <w:t xml:space="preserve">návrh SMERNICA RADY o vykonávaní zásady rovnakého zaobchádzania s osobami bez ohľadu na náboženské vyznanie alebo vieru, zdravotné postihnutie, vek alebo sexuálnu orientáciu </w:t>
            </w:r>
          </w:p>
        </w:tc>
        <w:tc>
          <w:tcPr>
            <w:tcW w:w="1985" w:type="dxa"/>
            <w:tcBorders>
              <w:top w:val="single" w:sz="4" w:space="0" w:color="000000"/>
              <w:left w:val="single" w:sz="4" w:space="0" w:color="000000"/>
              <w:bottom w:val="single" w:sz="4" w:space="0" w:color="000000"/>
              <w:right w:val="single" w:sz="4" w:space="0" w:color="000000"/>
            </w:tcBorders>
          </w:tcPr>
          <w:p w14:paraId="23D9A5F6" w14:textId="77777777" w:rsidR="00201FCC" w:rsidRPr="00E47756" w:rsidRDefault="00201FCC" w:rsidP="00291238">
            <w:pPr>
              <w:spacing w:after="0" w:line="240" w:lineRule="auto"/>
              <w:ind w:left="57" w:right="57"/>
            </w:pPr>
            <w:r w:rsidRPr="00E47756">
              <w:rPr>
                <w:sz w:val="20"/>
              </w:rPr>
              <w:t xml:space="preserve">COM(2008) 426 </w:t>
            </w:r>
            <w:proofErr w:type="spellStart"/>
            <w:r w:rsidRPr="00E47756">
              <w:rPr>
                <w:sz w:val="20"/>
              </w:rPr>
              <w:t>final</w:t>
            </w:r>
            <w:proofErr w:type="spellEnd"/>
            <w:r w:rsidRPr="00E47756">
              <w:t xml:space="preserve">  </w:t>
            </w:r>
          </w:p>
          <w:p w14:paraId="6FC08C55" w14:textId="77777777" w:rsidR="00201FCC" w:rsidRPr="00E47756" w:rsidRDefault="00201FCC" w:rsidP="00291238">
            <w:pPr>
              <w:spacing w:after="0" w:line="240" w:lineRule="auto"/>
              <w:ind w:left="57" w:right="57"/>
            </w:pPr>
            <w:r w:rsidRPr="00E47756">
              <w:rPr>
                <w:sz w:val="20"/>
              </w:rPr>
              <w:t>2008/0140 (CNS)</w:t>
            </w:r>
            <w:r w:rsidRPr="00E47756">
              <w:t xml:space="preserve">  </w:t>
            </w:r>
          </w:p>
          <w:p w14:paraId="48D47B09" w14:textId="77777777" w:rsidR="00201FCC" w:rsidRPr="00E47756" w:rsidRDefault="00201FCC" w:rsidP="00291238">
            <w:pPr>
              <w:spacing w:after="0" w:line="240" w:lineRule="auto"/>
              <w:ind w:left="57" w:right="57"/>
              <w:rPr>
                <w:sz w:val="20"/>
              </w:rPr>
            </w:pPr>
            <w:r w:rsidRPr="00E47756">
              <w:rPr>
                <w:sz w:val="20"/>
              </w:rPr>
              <w:t xml:space="preserve">2. 7. 2008 </w:t>
            </w:r>
          </w:p>
        </w:tc>
        <w:tc>
          <w:tcPr>
            <w:tcW w:w="1701" w:type="dxa"/>
            <w:tcBorders>
              <w:top w:val="single" w:sz="4" w:space="0" w:color="000000"/>
              <w:left w:val="single" w:sz="4" w:space="0" w:color="000000"/>
              <w:bottom w:val="single" w:sz="4" w:space="0" w:color="000000"/>
              <w:right w:val="single" w:sz="4" w:space="0" w:color="000000"/>
            </w:tcBorders>
          </w:tcPr>
          <w:p w14:paraId="1A80E050" w14:textId="77777777" w:rsidR="00201FCC" w:rsidRPr="00E47756" w:rsidRDefault="00201FCC" w:rsidP="00291238">
            <w:pPr>
              <w:spacing w:after="0" w:line="240" w:lineRule="auto"/>
              <w:ind w:left="57" w:right="57"/>
              <w:jc w:val="center"/>
              <w:rPr>
                <w:b/>
                <w:noProof/>
                <w:sz w:val="20"/>
                <w:szCs w:val="20"/>
              </w:rPr>
            </w:pPr>
            <w:r w:rsidRPr="00E47756">
              <w:rPr>
                <w:b/>
                <w:noProof/>
                <w:sz w:val="20"/>
                <w:szCs w:val="20"/>
              </w:rPr>
              <w:t>MPSVR SR</w:t>
            </w:r>
          </w:p>
          <w:p w14:paraId="5D2A20F2" w14:textId="77777777" w:rsidR="00201FCC" w:rsidRPr="00E47756" w:rsidRDefault="00201FCC" w:rsidP="00291238">
            <w:pPr>
              <w:spacing w:after="0" w:line="240" w:lineRule="auto"/>
              <w:ind w:left="57" w:right="57"/>
              <w:jc w:val="center"/>
              <w:rPr>
                <w:b/>
                <w:sz w:val="20"/>
              </w:rPr>
            </w:pPr>
            <w:r w:rsidRPr="00E47756">
              <w:rPr>
                <w:b/>
                <w:noProof/>
                <w:sz w:val="20"/>
                <w:szCs w:val="20"/>
              </w:rPr>
              <w:t>MS SR</w:t>
            </w:r>
          </w:p>
        </w:tc>
        <w:tc>
          <w:tcPr>
            <w:tcW w:w="4111" w:type="dxa"/>
            <w:tcBorders>
              <w:top w:val="single" w:sz="4" w:space="0" w:color="000000"/>
              <w:left w:val="single" w:sz="4" w:space="0" w:color="000000"/>
              <w:bottom w:val="single" w:sz="4" w:space="0" w:color="000000"/>
              <w:right w:val="single" w:sz="4" w:space="0" w:color="000000"/>
            </w:tcBorders>
          </w:tcPr>
          <w:p w14:paraId="343ED37C" w14:textId="77777777" w:rsidR="00201FCC" w:rsidRPr="00E47756" w:rsidRDefault="00201FCC" w:rsidP="00291238">
            <w:pPr>
              <w:spacing w:after="0" w:line="240" w:lineRule="auto"/>
              <w:ind w:left="57" w:right="57"/>
              <w:rPr>
                <w:b/>
                <w:sz w:val="20"/>
                <w:u w:val="single"/>
              </w:rPr>
            </w:pPr>
            <w:r w:rsidRPr="00E47756">
              <w:rPr>
                <w:b/>
                <w:sz w:val="20"/>
                <w:szCs w:val="20"/>
                <w:u w:val="single"/>
              </w:rPr>
              <w:t>Stredná priorita</w:t>
            </w:r>
            <w:r w:rsidRPr="00E47756">
              <w:rPr>
                <w:sz w:val="20"/>
              </w:rPr>
              <w:t xml:space="preserve"> – </w:t>
            </w:r>
            <w:r w:rsidRPr="00E47756">
              <w:rPr>
                <w:sz w:val="20"/>
                <w:szCs w:val="20"/>
              </w:rPr>
              <w:t xml:space="preserve">Cieľom návrhu smernice je rozšíriť ochranu pred diskrimináciou na základe náboženského vyznania alebo viery, zdravotného postihnutia, veku alebo sexuálnej orientácie na oblasti mimo zamestnania ako: sociálna ochrana vrátane sociálneho zabezpečenia a zdravotnej starostlivosti; sociálne výhody; vzdelávanie a prístup k tovarom a službám vrátane bývania. Na prijatie smernice sa vzťahuje článok 19 ZFEÚ a z toho dôvodu je potrebné jednomyseľné rozhodnutie Rady (ČŠ) a </w:t>
            </w:r>
            <w:r w:rsidRPr="00E47756">
              <w:rPr>
                <w:i/>
                <w:iCs/>
                <w:sz w:val="20"/>
                <w:szCs w:val="20"/>
              </w:rPr>
              <w:t>súhlas</w:t>
            </w:r>
            <w:r w:rsidRPr="00E47756">
              <w:rPr>
                <w:sz w:val="20"/>
                <w:szCs w:val="20"/>
              </w:rPr>
              <w:t xml:space="preserve"> Európskeho parlamentu, ktorý ho už vyjadril v apríli 2009. </w:t>
            </w:r>
            <w:proofErr w:type="spellStart"/>
            <w:r w:rsidRPr="00E47756">
              <w:rPr>
                <w:sz w:val="20"/>
                <w:szCs w:val="20"/>
              </w:rPr>
              <w:t>File</w:t>
            </w:r>
            <w:proofErr w:type="spellEnd"/>
            <w:r w:rsidRPr="00E47756">
              <w:rPr>
                <w:sz w:val="20"/>
                <w:szCs w:val="20"/>
              </w:rPr>
              <w:t xml:space="preserve"> bol naposledy diskutovaný na Rade EPSCO dňa 3.12.2020, kde DE PRES informovalo o vyhodnotení odpovedí ČŠ na predložený dotazník. Smernica je nateraz v Rade dlhodobo zablokovaná. Nakoľko na prijatie smernice sa vyžaduje jednomyseľnosť, je nemožné sa na nej konsenzuálne dohodnúť.</w:t>
            </w:r>
          </w:p>
        </w:tc>
      </w:tr>
    </w:tbl>
    <w:p w14:paraId="220601B6" w14:textId="750CAB4F" w:rsidR="009738F8" w:rsidRDefault="009738F8" w:rsidP="00F46B8A">
      <w:pPr>
        <w:spacing w:after="260"/>
        <w:ind w:right="5740"/>
        <w:rPr>
          <w:rFonts w:cs="Times New Roman"/>
          <w:b/>
          <w:sz w:val="28"/>
          <w:u w:val="single" w:color="000000"/>
        </w:rPr>
      </w:pPr>
    </w:p>
    <w:p w14:paraId="2205B74A" w14:textId="6FA34A99" w:rsidR="009738F8" w:rsidRDefault="009738F8" w:rsidP="00F46B8A">
      <w:pPr>
        <w:spacing w:after="260"/>
        <w:ind w:right="5740"/>
        <w:rPr>
          <w:rFonts w:cs="Times New Roman"/>
          <w:b/>
          <w:sz w:val="28"/>
          <w:u w:val="single" w:color="000000"/>
        </w:rPr>
      </w:pPr>
    </w:p>
    <w:p w14:paraId="70F1FAB3" w14:textId="2AFC0983" w:rsidR="00E47756" w:rsidRPr="00E47756" w:rsidRDefault="00E47756" w:rsidP="00706134">
      <w:pPr>
        <w:spacing w:after="260"/>
        <w:ind w:left="4248" w:right="5740"/>
        <w:jc w:val="center"/>
      </w:pPr>
      <w:r w:rsidRPr="00E47756">
        <w:rPr>
          <w:rFonts w:cs="Times New Roman"/>
          <w:b/>
          <w:sz w:val="28"/>
          <w:u w:val="single" w:color="000000"/>
        </w:rPr>
        <w:lastRenderedPageBreak/>
        <w:t>Príloha IV: Stiahnuté návrhy</w:t>
      </w:r>
      <w:r w:rsidRPr="00E47756">
        <w:rPr>
          <w:rFonts w:cs="Times New Roman"/>
          <w:b/>
          <w:sz w:val="28"/>
          <w:vertAlign w:val="superscript"/>
        </w:rPr>
        <w:footnoteReference w:id="3"/>
      </w:r>
    </w:p>
    <w:tbl>
      <w:tblPr>
        <w:tblStyle w:val="TableGrid1"/>
        <w:tblW w:w="14253" w:type="dxa"/>
        <w:tblInd w:w="-83" w:type="dxa"/>
        <w:tblCellMar>
          <w:top w:w="89" w:type="dxa"/>
          <w:left w:w="83" w:type="dxa"/>
          <w:right w:w="57" w:type="dxa"/>
        </w:tblCellMar>
        <w:tblLook w:val="04A0" w:firstRow="1" w:lastRow="0" w:firstColumn="1" w:lastColumn="0" w:noHBand="0" w:noVBand="1"/>
      </w:tblPr>
      <w:tblGrid>
        <w:gridCol w:w="442"/>
        <w:gridCol w:w="1577"/>
        <w:gridCol w:w="3782"/>
        <w:gridCol w:w="45"/>
        <w:gridCol w:w="2640"/>
        <w:gridCol w:w="2954"/>
        <w:gridCol w:w="2813"/>
      </w:tblGrid>
      <w:tr w:rsidR="00E47756" w:rsidRPr="00E47756" w14:paraId="1240BB99" w14:textId="77777777" w:rsidTr="001A4016">
        <w:trPr>
          <w:trHeight w:val="497"/>
          <w:tblHeader/>
        </w:trPr>
        <w:tc>
          <w:tcPr>
            <w:tcW w:w="442" w:type="dxa"/>
            <w:tcBorders>
              <w:top w:val="single" w:sz="4" w:space="0" w:color="000000"/>
              <w:left w:val="single" w:sz="4" w:space="0" w:color="000000"/>
              <w:bottom w:val="single" w:sz="4" w:space="0" w:color="auto"/>
              <w:right w:val="single" w:sz="4" w:space="0" w:color="000000"/>
            </w:tcBorders>
            <w:shd w:val="clear" w:color="auto" w:fill="99CCFF"/>
            <w:vAlign w:val="center"/>
          </w:tcPr>
          <w:p w14:paraId="0E2B932D" w14:textId="77777777" w:rsidR="00E47756" w:rsidRPr="00E47756" w:rsidRDefault="00E47756" w:rsidP="00E47756">
            <w:r w:rsidRPr="00E47756">
              <w:rPr>
                <w:b/>
                <w:sz w:val="20"/>
              </w:rPr>
              <w:t xml:space="preserve">Č. </w:t>
            </w:r>
          </w:p>
        </w:tc>
        <w:tc>
          <w:tcPr>
            <w:tcW w:w="1577" w:type="dxa"/>
            <w:tcBorders>
              <w:top w:val="single" w:sz="4" w:space="0" w:color="000000"/>
              <w:left w:val="single" w:sz="4" w:space="0" w:color="000000"/>
              <w:bottom w:val="single" w:sz="4" w:space="0" w:color="auto"/>
              <w:right w:val="single" w:sz="4" w:space="0" w:color="000000"/>
            </w:tcBorders>
            <w:shd w:val="clear" w:color="auto" w:fill="99CCFF"/>
            <w:vAlign w:val="center"/>
          </w:tcPr>
          <w:p w14:paraId="38B9D96C" w14:textId="77777777" w:rsidR="00E47756" w:rsidRPr="00E47756" w:rsidRDefault="00E47756" w:rsidP="00E47756">
            <w:pPr>
              <w:ind w:right="31"/>
              <w:jc w:val="center"/>
            </w:pPr>
            <w:r w:rsidRPr="00E47756">
              <w:rPr>
                <w:b/>
                <w:sz w:val="20"/>
              </w:rPr>
              <w:t xml:space="preserve">Odkazy </w:t>
            </w:r>
          </w:p>
        </w:tc>
        <w:tc>
          <w:tcPr>
            <w:tcW w:w="3827" w:type="dxa"/>
            <w:gridSpan w:val="2"/>
            <w:tcBorders>
              <w:top w:val="single" w:sz="4" w:space="0" w:color="000000"/>
              <w:left w:val="single" w:sz="4" w:space="0" w:color="000000"/>
              <w:bottom w:val="single" w:sz="4" w:space="0" w:color="auto"/>
              <w:right w:val="single" w:sz="4" w:space="0" w:color="000000"/>
            </w:tcBorders>
            <w:shd w:val="clear" w:color="auto" w:fill="99CCFF"/>
            <w:vAlign w:val="center"/>
          </w:tcPr>
          <w:p w14:paraId="4CD6E74A" w14:textId="77777777" w:rsidR="00E47756" w:rsidRPr="00E47756" w:rsidRDefault="00E47756" w:rsidP="00E47756">
            <w:pPr>
              <w:ind w:right="23"/>
              <w:jc w:val="center"/>
            </w:pPr>
            <w:r w:rsidRPr="00E47756">
              <w:rPr>
                <w:b/>
                <w:sz w:val="20"/>
              </w:rPr>
              <w:t xml:space="preserve">Názov </w:t>
            </w:r>
          </w:p>
        </w:tc>
        <w:tc>
          <w:tcPr>
            <w:tcW w:w="2640" w:type="dxa"/>
            <w:tcBorders>
              <w:top w:val="single" w:sz="4" w:space="0" w:color="000000"/>
              <w:left w:val="single" w:sz="4" w:space="0" w:color="000000"/>
              <w:bottom w:val="single" w:sz="4" w:space="0" w:color="auto"/>
              <w:right w:val="single" w:sz="4" w:space="0" w:color="000000"/>
            </w:tcBorders>
            <w:shd w:val="clear" w:color="auto" w:fill="99CCFF"/>
            <w:vAlign w:val="center"/>
          </w:tcPr>
          <w:p w14:paraId="6B73E0AA" w14:textId="77777777" w:rsidR="00E47756" w:rsidRPr="00E47756" w:rsidRDefault="00E47756" w:rsidP="00E47756">
            <w:pPr>
              <w:ind w:right="27"/>
              <w:jc w:val="center"/>
            </w:pPr>
            <w:r w:rsidRPr="00E47756">
              <w:rPr>
                <w:b/>
                <w:sz w:val="20"/>
              </w:rPr>
              <w:t xml:space="preserve">Dôvod stiahnutia </w:t>
            </w:r>
          </w:p>
        </w:tc>
        <w:tc>
          <w:tcPr>
            <w:tcW w:w="2954" w:type="dxa"/>
            <w:tcBorders>
              <w:top w:val="single" w:sz="4" w:space="0" w:color="000000"/>
              <w:left w:val="single" w:sz="4" w:space="0" w:color="000000"/>
              <w:bottom w:val="single" w:sz="4" w:space="0" w:color="000000"/>
              <w:right w:val="single" w:sz="4" w:space="0" w:color="000000"/>
            </w:tcBorders>
            <w:shd w:val="clear" w:color="auto" w:fill="99CCFF"/>
          </w:tcPr>
          <w:p w14:paraId="577ED158" w14:textId="77777777" w:rsidR="00E47756" w:rsidRPr="00E47756" w:rsidRDefault="00E47756" w:rsidP="00E47756">
            <w:pPr>
              <w:ind w:right="355"/>
              <w:jc w:val="center"/>
              <w:rPr>
                <w:b/>
                <w:sz w:val="20"/>
              </w:rPr>
            </w:pPr>
            <w:r w:rsidRPr="00E47756">
              <w:rPr>
                <w:b/>
                <w:sz w:val="20"/>
              </w:rPr>
              <w:t>Gestor</w:t>
            </w:r>
          </w:p>
        </w:tc>
        <w:tc>
          <w:tcPr>
            <w:tcW w:w="2813" w:type="dxa"/>
            <w:tcBorders>
              <w:top w:val="single" w:sz="4" w:space="0" w:color="000000"/>
              <w:left w:val="single" w:sz="4" w:space="0" w:color="000000"/>
              <w:bottom w:val="single" w:sz="4" w:space="0" w:color="000000"/>
              <w:right w:val="single" w:sz="4" w:space="0" w:color="000000"/>
            </w:tcBorders>
            <w:shd w:val="clear" w:color="auto" w:fill="99CCFF"/>
          </w:tcPr>
          <w:p w14:paraId="3731F2EA" w14:textId="77777777" w:rsidR="00E47756" w:rsidRPr="00E47756" w:rsidRDefault="00E47756" w:rsidP="00E47756">
            <w:pPr>
              <w:jc w:val="center"/>
              <w:rPr>
                <w:b/>
                <w:sz w:val="20"/>
              </w:rPr>
            </w:pPr>
            <w:r w:rsidRPr="00E47756">
              <w:rPr>
                <w:b/>
                <w:sz w:val="20"/>
              </w:rPr>
              <w:t>Stupeň priority a pozíciu SR</w:t>
            </w:r>
          </w:p>
        </w:tc>
      </w:tr>
      <w:tr w:rsidR="00E47756" w:rsidRPr="00E47756" w14:paraId="68157B19" w14:textId="77777777" w:rsidTr="001A4016">
        <w:trPr>
          <w:trHeight w:val="527"/>
        </w:trPr>
        <w:tc>
          <w:tcPr>
            <w:tcW w:w="14253" w:type="dxa"/>
            <w:gridSpan w:val="7"/>
            <w:tcBorders>
              <w:top w:val="single" w:sz="4" w:space="0" w:color="auto"/>
              <w:left w:val="single" w:sz="4" w:space="0" w:color="auto"/>
              <w:bottom w:val="single" w:sz="4" w:space="0" w:color="auto"/>
              <w:right w:val="single" w:sz="4" w:space="0" w:color="000000"/>
            </w:tcBorders>
            <w:shd w:val="clear" w:color="auto" w:fill="9ACA3C"/>
            <w:vAlign w:val="center"/>
          </w:tcPr>
          <w:p w14:paraId="5869A616" w14:textId="77777777" w:rsidR="00E47756" w:rsidRPr="00E47756" w:rsidRDefault="00E47756" w:rsidP="00E47756">
            <w:r w:rsidRPr="00E47756">
              <w:rPr>
                <w:b/>
                <w:color w:val="FFFFFF"/>
                <w:sz w:val="20"/>
              </w:rPr>
              <w:t>Európska zelená dohoda</w:t>
            </w:r>
            <w:r w:rsidRPr="00E47756">
              <w:rPr>
                <w:sz w:val="20"/>
              </w:rPr>
              <w:t xml:space="preserve"> </w:t>
            </w:r>
          </w:p>
        </w:tc>
      </w:tr>
      <w:tr w:rsidR="00E47756" w:rsidRPr="00E47756" w14:paraId="7AE1EE6B" w14:textId="77777777" w:rsidTr="001A4016">
        <w:trPr>
          <w:trHeight w:val="1594"/>
        </w:trPr>
        <w:tc>
          <w:tcPr>
            <w:tcW w:w="442" w:type="dxa"/>
            <w:tcBorders>
              <w:top w:val="single" w:sz="4" w:space="0" w:color="auto"/>
              <w:left w:val="single" w:sz="4" w:space="0" w:color="000000"/>
              <w:bottom w:val="single" w:sz="4" w:space="0" w:color="000000"/>
              <w:right w:val="single" w:sz="4" w:space="0" w:color="000000"/>
            </w:tcBorders>
          </w:tcPr>
          <w:p w14:paraId="1B205782" w14:textId="77777777" w:rsidR="00E47756" w:rsidRPr="00E47756" w:rsidRDefault="00E47756" w:rsidP="00E47756">
            <w:pPr>
              <w:spacing w:after="0" w:line="240" w:lineRule="auto"/>
              <w:ind w:right="86"/>
              <w:jc w:val="center"/>
            </w:pPr>
            <w:r w:rsidRPr="00E47756">
              <w:rPr>
                <w:sz w:val="20"/>
              </w:rPr>
              <w:t xml:space="preserve">1. </w:t>
            </w:r>
          </w:p>
        </w:tc>
        <w:tc>
          <w:tcPr>
            <w:tcW w:w="1577" w:type="dxa"/>
            <w:tcBorders>
              <w:top w:val="single" w:sz="4" w:space="0" w:color="auto"/>
              <w:left w:val="single" w:sz="4" w:space="0" w:color="000000"/>
              <w:bottom w:val="single" w:sz="4" w:space="0" w:color="000000"/>
              <w:right w:val="single" w:sz="4" w:space="0" w:color="000000"/>
            </w:tcBorders>
          </w:tcPr>
          <w:p w14:paraId="42C9DF82" w14:textId="77777777" w:rsidR="00E47756" w:rsidRPr="00E47756" w:rsidRDefault="00E47756" w:rsidP="00E47756">
            <w:pPr>
              <w:spacing w:after="0" w:line="240" w:lineRule="auto"/>
            </w:pPr>
            <w:r w:rsidRPr="00E47756">
              <w:rPr>
                <w:sz w:val="20"/>
              </w:rPr>
              <w:t xml:space="preserve">COM(2020) 136 </w:t>
            </w:r>
            <w:proofErr w:type="spellStart"/>
            <w:r w:rsidRPr="00E47756">
              <w:rPr>
                <w:sz w:val="20"/>
              </w:rPr>
              <w:t>final</w:t>
            </w:r>
            <w:proofErr w:type="spellEnd"/>
            <w:r w:rsidRPr="00E47756">
              <w:t xml:space="preserve">  </w:t>
            </w:r>
            <w:r w:rsidRPr="00E47756">
              <w:rPr>
                <w:sz w:val="20"/>
              </w:rPr>
              <w:t xml:space="preserve">2020/0052 (NLE) </w:t>
            </w:r>
          </w:p>
        </w:tc>
        <w:tc>
          <w:tcPr>
            <w:tcW w:w="3827" w:type="dxa"/>
            <w:gridSpan w:val="2"/>
            <w:tcBorders>
              <w:top w:val="single" w:sz="4" w:space="0" w:color="auto"/>
              <w:left w:val="single" w:sz="4" w:space="0" w:color="000000"/>
              <w:bottom w:val="single" w:sz="4" w:space="0" w:color="000000"/>
              <w:right w:val="single" w:sz="4" w:space="0" w:color="000000"/>
            </w:tcBorders>
          </w:tcPr>
          <w:p w14:paraId="55904A6D" w14:textId="77777777" w:rsidR="00E47756" w:rsidRPr="00E47756" w:rsidRDefault="00E47756" w:rsidP="00E47756">
            <w:pPr>
              <w:spacing w:after="0" w:line="240" w:lineRule="auto"/>
              <w:ind w:left="4"/>
            </w:pPr>
            <w:r w:rsidRPr="00E47756">
              <w:rPr>
                <w:sz w:val="20"/>
              </w:rPr>
              <w:t xml:space="preserve">návrh ROZHODNUTIE RADY o pozícii, ktorá sa má zaujať v mene Európskej únie na zhromaždení Lisabonskej únie </w:t>
            </w:r>
          </w:p>
        </w:tc>
        <w:tc>
          <w:tcPr>
            <w:tcW w:w="2640" w:type="dxa"/>
            <w:tcBorders>
              <w:top w:val="single" w:sz="4" w:space="0" w:color="auto"/>
              <w:left w:val="single" w:sz="4" w:space="0" w:color="000000"/>
              <w:bottom w:val="single" w:sz="4" w:space="0" w:color="000000"/>
              <w:right w:val="single" w:sz="4" w:space="0" w:color="000000"/>
            </w:tcBorders>
          </w:tcPr>
          <w:p w14:paraId="1B842D63" w14:textId="77777777" w:rsidR="00E47756" w:rsidRPr="00E47756" w:rsidRDefault="00E47756" w:rsidP="00E47756">
            <w:pPr>
              <w:spacing w:after="0" w:line="240" w:lineRule="auto"/>
              <w:ind w:left="4" w:right="51"/>
            </w:pPr>
            <w:r w:rsidRPr="00E47756">
              <w:rPr>
                <w:sz w:val="20"/>
              </w:rPr>
              <w:t xml:space="preserve">Zastarané: v kontexte krízy spôsobenej pandémiou ochorenia </w:t>
            </w:r>
            <w:r w:rsidR="00C00726">
              <w:rPr>
                <w:sz w:val="20"/>
              </w:rPr>
              <w:t>COVID</w:t>
            </w:r>
            <w:r w:rsidRPr="00E47756">
              <w:rPr>
                <w:sz w:val="20"/>
              </w:rPr>
              <w:t xml:space="preserve">-19 nebude zhromaždenie Lisabonskej únie v roku 2020 prijímať žiadne právne záväzné rozhodnutia vrátane rozhodnutí o osobitných príspevkoch, čo bolo témou tohto návrhu.  </w:t>
            </w:r>
          </w:p>
        </w:tc>
        <w:tc>
          <w:tcPr>
            <w:tcW w:w="2954" w:type="dxa"/>
            <w:tcBorders>
              <w:top w:val="single" w:sz="4" w:space="0" w:color="000000"/>
              <w:left w:val="single" w:sz="4" w:space="0" w:color="000000"/>
              <w:bottom w:val="single" w:sz="4" w:space="0" w:color="000000"/>
              <w:right w:val="single" w:sz="4" w:space="0" w:color="000000"/>
            </w:tcBorders>
          </w:tcPr>
          <w:p w14:paraId="38CDF71F" w14:textId="77777777" w:rsidR="00E47756" w:rsidRPr="00E47756" w:rsidRDefault="00E47756" w:rsidP="00E47756">
            <w:pPr>
              <w:spacing w:after="0" w:line="240" w:lineRule="auto"/>
              <w:ind w:left="4" w:right="51"/>
              <w:jc w:val="center"/>
              <w:rPr>
                <w:b/>
                <w:color w:val="auto"/>
                <w:sz w:val="20"/>
              </w:rPr>
            </w:pPr>
            <w:r w:rsidRPr="00E47756">
              <w:rPr>
                <w:b/>
                <w:color w:val="auto"/>
                <w:sz w:val="20"/>
              </w:rPr>
              <w:t>ÚPV SR</w:t>
            </w:r>
          </w:p>
        </w:tc>
        <w:tc>
          <w:tcPr>
            <w:tcW w:w="2813" w:type="dxa"/>
            <w:tcBorders>
              <w:top w:val="single" w:sz="4" w:space="0" w:color="000000"/>
              <w:left w:val="single" w:sz="4" w:space="0" w:color="000000"/>
              <w:bottom w:val="single" w:sz="4" w:space="0" w:color="000000"/>
              <w:right w:val="single" w:sz="4" w:space="0" w:color="000000"/>
            </w:tcBorders>
          </w:tcPr>
          <w:p w14:paraId="508E3707" w14:textId="77777777" w:rsidR="00E47756" w:rsidRPr="00E47756" w:rsidRDefault="00E47756" w:rsidP="00E47756">
            <w:pPr>
              <w:spacing w:after="0" w:line="240" w:lineRule="auto"/>
              <w:ind w:left="4" w:right="51"/>
              <w:rPr>
                <w:color w:val="auto"/>
                <w:sz w:val="20"/>
              </w:rPr>
            </w:pPr>
            <w:r w:rsidRPr="00E47756">
              <w:rPr>
                <w:sz w:val="20"/>
              </w:rPr>
              <w:t>SR podporuje stiahnutie tohto návrhu.</w:t>
            </w:r>
          </w:p>
        </w:tc>
      </w:tr>
      <w:tr w:rsidR="00E47756" w:rsidRPr="00E47756" w14:paraId="0AAC7112" w14:textId="77777777" w:rsidTr="001A4016">
        <w:trPr>
          <w:trHeight w:val="1330"/>
        </w:trPr>
        <w:tc>
          <w:tcPr>
            <w:tcW w:w="442" w:type="dxa"/>
            <w:tcBorders>
              <w:top w:val="single" w:sz="4" w:space="0" w:color="000000"/>
              <w:left w:val="single" w:sz="4" w:space="0" w:color="000000"/>
              <w:bottom w:val="single" w:sz="4" w:space="0" w:color="000000"/>
              <w:right w:val="single" w:sz="4" w:space="0" w:color="000000"/>
            </w:tcBorders>
          </w:tcPr>
          <w:p w14:paraId="488467C5" w14:textId="77777777" w:rsidR="00E47756" w:rsidRPr="00E47756" w:rsidRDefault="00E47756" w:rsidP="00E47756">
            <w:pPr>
              <w:spacing w:after="0" w:line="240" w:lineRule="auto"/>
              <w:ind w:right="86"/>
              <w:jc w:val="center"/>
            </w:pPr>
            <w:r w:rsidRPr="00E47756">
              <w:rPr>
                <w:sz w:val="20"/>
              </w:rPr>
              <w:t xml:space="preserve">2. </w:t>
            </w:r>
          </w:p>
        </w:tc>
        <w:tc>
          <w:tcPr>
            <w:tcW w:w="1577" w:type="dxa"/>
            <w:tcBorders>
              <w:top w:val="single" w:sz="4" w:space="0" w:color="000000"/>
              <w:left w:val="single" w:sz="4" w:space="0" w:color="000000"/>
              <w:bottom w:val="single" w:sz="4" w:space="0" w:color="000000"/>
              <w:right w:val="single" w:sz="4" w:space="0" w:color="000000"/>
            </w:tcBorders>
          </w:tcPr>
          <w:p w14:paraId="1A8DD5CC" w14:textId="77777777" w:rsidR="00E47756" w:rsidRPr="00E47756" w:rsidRDefault="00E47756" w:rsidP="00E47756">
            <w:pPr>
              <w:spacing w:after="0" w:line="240" w:lineRule="auto"/>
            </w:pPr>
            <w:r w:rsidRPr="00E47756">
              <w:rPr>
                <w:sz w:val="20"/>
              </w:rPr>
              <w:t xml:space="preserve">COM(2020) 182 </w:t>
            </w:r>
            <w:proofErr w:type="spellStart"/>
            <w:r w:rsidRPr="00E47756">
              <w:rPr>
                <w:sz w:val="20"/>
              </w:rPr>
              <w:t>final</w:t>
            </w:r>
            <w:proofErr w:type="spellEnd"/>
            <w:r w:rsidRPr="00E47756">
              <w:t xml:space="preserve">  </w:t>
            </w:r>
            <w:r w:rsidRPr="00E47756">
              <w:rPr>
                <w:sz w:val="20"/>
              </w:rPr>
              <w:t xml:space="preserve">2020/0072 (NLE)  </w:t>
            </w:r>
          </w:p>
        </w:tc>
        <w:tc>
          <w:tcPr>
            <w:tcW w:w="3827" w:type="dxa"/>
            <w:gridSpan w:val="2"/>
            <w:tcBorders>
              <w:top w:val="single" w:sz="4" w:space="0" w:color="000000"/>
              <w:left w:val="single" w:sz="4" w:space="0" w:color="000000"/>
              <w:bottom w:val="single" w:sz="4" w:space="0" w:color="000000"/>
              <w:right w:val="single" w:sz="4" w:space="0" w:color="000000"/>
            </w:tcBorders>
          </w:tcPr>
          <w:p w14:paraId="4E4FB5CC" w14:textId="77777777" w:rsidR="00E47756" w:rsidRPr="00E47756" w:rsidRDefault="00E47756" w:rsidP="00E47756">
            <w:pPr>
              <w:spacing w:after="0" w:line="240" w:lineRule="auto"/>
              <w:ind w:left="4" w:right="53"/>
            </w:pPr>
            <w:r w:rsidRPr="00E47756">
              <w:rPr>
                <w:sz w:val="20"/>
              </w:rPr>
              <w:t xml:space="preserve">návrh ROZHODNUTIE RADY o pozícii, ktorá sa má zaujať v mene Európskej únie v súvislosti s Dohovorom o ochrane morského prostredia severovýchodného Atlantiku v otázke začlenenia </w:t>
            </w:r>
            <w:proofErr w:type="spellStart"/>
            <w:r w:rsidRPr="00E47756">
              <w:rPr>
                <w:sz w:val="20"/>
              </w:rPr>
              <w:t>Makaronézie</w:t>
            </w:r>
            <w:proofErr w:type="spellEnd"/>
            <w:r w:rsidRPr="00E47756">
              <w:rPr>
                <w:sz w:val="20"/>
              </w:rPr>
              <w:t xml:space="preserve"> do morskej oblasti v zmysle dohovoru OSPAR </w:t>
            </w:r>
          </w:p>
        </w:tc>
        <w:tc>
          <w:tcPr>
            <w:tcW w:w="2640" w:type="dxa"/>
            <w:tcBorders>
              <w:top w:val="single" w:sz="4" w:space="0" w:color="000000"/>
              <w:left w:val="single" w:sz="4" w:space="0" w:color="000000"/>
              <w:bottom w:val="single" w:sz="4" w:space="0" w:color="000000"/>
              <w:right w:val="single" w:sz="4" w:space="0" w:color="000000"/>
            </w:tcBorders>
          </w:tcPr>
          <w:p w14:paraId="62FE1FE9" w14:textId="77777777" w:rsidR="00E47756" w:rsidRPr="00E47756" w:rsidRDefault="00E47756" w:rsidP="00E47756">
            <w:pPr>
              <w:spacing w:after="0" w:line="240" w:lineRule="auto"/>
              <w:ind w:left="4" w:right="53"/>
            </w:pPr>
            <w:r w:rsidRPr="00E47756">
              <w:rPr>
                <w:sz w:val="20"/>
              </w:rPr>
              <w:t xml:space="preserve">Zastarané: sekretariát Dohovoru o ochrane morského prostredia severovýchodného Atlantiku (OSPAR) oznámil stiahnutie návrhu na začlenenie </w:t>
            </w:r>
            <w:proofErr w:type="spellStart"/>
            <w:r w:rsidRPr="00E47756">
              <w:rPr>
                <w:sz w:val="20"/>
              </w:rPr>
              <w:t>Makaronézie</w:t>
            </w:r>
            <w:proofErr w:type="spellEnd"/>
            <w:r w:rsidRPr="00E47756">
              <w:rPr>
                <w:sz w:val="20"/>
              </w:rPr>
              <w:t xml:space="preserve"> do morskej oblasti v zmysle dohovoru OSPAR.  </w:t>
            </w:r>
          </w:p>
        </w:tc>
        <w:tc>
          <w:tcPr>
            <w:tcW w:w="2954" w:type="dxa"/>
            <w:tcBorders>
              <w:top w:val="single" w:sz="4" w:space="0" w:color="000000"/>
              <w:left w:val="single" w:sz="4" w:space="0" w:color="000000"/>
              <w:bottom w:val="single" w:sz="4" w:space="0" w:color="000000"/>
              <w:right w:val="single" w:sz="4" w:space="0" w:color="000000"/>
            </w:tcBorders>
          </w:tcPr>
          <w:p w14:paraId="4A1B0E74" w14:textId="77777777" w:rsidR="00E47756" w:rsidRPr="00E47756" w:rsidRDefault="00E47756" w:rsidP="00E47756">
            <w:pPr>
              <w:spacing w:after="0" w:line="240" w:lineRule="auto"/>
              <w:ind w:left="4" w:right="53"/>
              <w:jc w:val="center"/>
              <w:rPr>
                <w:b/>
                <w:sz w:val="20"/>
              </w:rPr>
            </w:pPr>
            <w:r w:rsidRPr="00E47756">
              <w:rPr>
                <w:b/>
                <w:sz w:val="20"/>
              </w:rPr>
              <w:t>MŽP SR</w:t>
            </w:r>
          </w:p>
        </w:tc>
        <w:tc>
          <w:tcPr>
            <w:tcW w:w="2813" w:type="dxa"/>
            <w:tcBorders>
              <w:top w:val="single" w:sz="4" w:space="0" w:color="000000"/>
              <w:left w:val="single" w:sz="4" w:space="0" w:color="000000"/>
              <w:bottom w:val="single" w:sz="4" w:space="0" w:color="000000"/>
              <w:right w:val="single" w:sz="4" w:space="0" w:color="000000"/>
            </w:tcBorders>
          </w:tcPr>
          <w:p w14:paraId="0B0645B2" w14:textId="77777777" w:rsidR="00E47756" w:rsidRPr="00E47756" w:rsidRDefault="00E47756" w:rsidP="00E47756">
            <w:pPr>
              <w:spacing w:after="0" w:line="240" w:lineRule="auto"/>
              <w:ind w:left="4" w:right="53"/>
              <w:rPr>
                <w:sz w:val="20"/>
              </w:rPr>
            </w:pPr>
            <w:r w:rsidRPr="00E47756">
              <w:rPr>
                <w:sz w:val="20"/>
              </w:rPr>
              <w:t>SR podporuje stiahnutie tohto návrhu.</w:t>
            </w:r>
          </w:p>
        </w:tc>
      </w:tr>
      <w:tr w:rsidR="00E47756" w:rsidRPr="00E47756" w14:paraId="7BEFE46F" w14:textId="77777777" w:rsidTr="001A4016">
        <w:trPr>
          <w:trHeight w:val="2021"/>
        </w:trPr>
        <w:tc>
          <w:tcPr>
            <w:tcW w:w="442" w:type="dxa"/>
            <w:tcBorders>
              <w:top w:val="single" w:sz="4" w:space="0" w:color="000000"/>
              <w:left w:val="single" w:sz="4" w:space="0" w:color="000000"/>
              <w:bottom w:val="single" w:sz="4" w:space="0" w:color="000000"/>
              <w:right w:val="single" w:sz="4" w:space="0" w:color="000000"/>
            </w:tcBorders>
          </w:tcPr>
          <w:p w14:paraId="147A63E2" w14:textId="77777777" w:rsidR="00E47756" w:rsidRPr="00E47756" w:rsidRDefault="00E47756" w:rsidP="00E47756">
            <w:pPr>
              <w:spacing w:after="0" w:line="240" w:lineRule="auto"/>
              <w:ind w:right="86"/>
              <w:jc w:val="center"/>
            </w:pPr>
            <w:r w:rsidRPr="00E47756">
              <w:rPr>
                <w:sz w:val="20"/>
              </w:rPr>
              <w:lastRenderedPageBreak/>
              <w:t xml:space="preserve">3. </w:t>
            </w:r>
          </w:p>
        </w:tc>
        <w:tc>
          <w:tcPr>
            <w:tcW w:w="1577" w:type="dxa"/>
            <w:tcBorders>
              <w:top w:val="single" w:sz="4" w:space="0" w:color="000000"/>
              <w:left w:val="single" w:sz="4" w:space="0" w:color="000000"/>
              <w:bottom w:val="single" w:sz="4" w:space="0" w:color="000000"/>
              <w:right w:val="single" w:sz="4" w:space="0" w:color="000000"/>
            </w:tcBorders>
          </w:tcPr>
          <w:p w14:paraId="36568C40" w14:textId="77777777" w:rsidR="00E47756" w:rsidRPr="00E47756" w:rsidRDefault="00E47756" w:rsidP="00E47756">
            <w:pPr>
              <w:spacing w:after="0" w:line="240" w:lineRule="auto"/>
            </w:pPr>
            <w:r w:rsidRPr="00E47756">
              <w:rPr>
                <w:sz w:val="20"/>
              </w:rPr>
              <w:t xml:space="preserve">COM(2010) 154 </w:t>
            </w:r>
            <w:proofErr w:type="spellStart"/>
            <w:r w:rsidRPr="00E47756">
              <w:rPr>
                <w:sz w:val="20"/>
              </w:rPr>
              <w:t>final</w:t>
            </w:r>
            <w:proofErr w:type="spellEnd"/>
            <w:r w:rsidRPr="00E47756">
              <w:t xml:space="preserve">  </w:t>
            </w:r>
            <w:r w:rsidRPr="00E47756">
              <w:rPr>
                <w:sz w:val="20"/>
              </w:rPr>
              <w:t xml:space="preserve">2010/0084 (APP)  </w:t>
            </w:r>
          </w:p>
        </w:tc>
        <w:tc>
          <w:tcPr>
            <w:tcW w:w="3827" w:type="dxa"/>
            <w:gridSpan w:val="2"/>
            <w:tcBorders>
              <w:top w:val="single" w:sz="4" w:space="0" w:color="000000"/>
              <w:left w:val="single" w:sz="4" w:space="0" w:color="000000"/>
              <w:bottom w:val="single" w:sz="4" w:space="0" w:color="000000"/>
              <w:right w:val="single" w:sz="4" w:space="0" w:color="000000"/>
            </w:tcBorders>
          </w:tcPr>
          <w:p w14:paraId="314F411A" w14:textId="77777777" w:rsidR="00E47756" w:rsidRPr="00E47756" w:rsidRDefault="00E47756" w:rsidP="00E47756">
            <w:pPr>
              <w:spacing w:after="0" w:line="240" w:lineRule="auto"/>
              <w:ind w:left="4" w:right="51"/>
            </w:pPr>
            <w:r w:rsidRPr="00E47756">
              <w:rPr>
                <w:sz w:val="20"/>
              </w:rPr>
              <w:t xml:space="preserve">návrh ROZHODNUTIE RADY o uzatvorení dohody vo forme výmeny listov medzi Európskou úniou a Čilskou republikou o uzatvorení dohovoru o zachovaní populácie </w:t>
            </w:r>
            <w:proofErr w:type="spellStart"/>
            <w:r w:rsidRPr="00E47756">
              <w:rPr>
                <w:sz w:val="20"/>
              </w:rPr>
              <w:t>mečiara</w:t>
            </w:r>
            <w:proofErr w:type="spellEnd"/>
            <w:r w:rsidRPr="00E47756">
              <w:rPr>
                <w:sz w:val="20"/>
              </w:rPr>
              <w:t xml:space="preserve"> v juhovýchodnom Tichom oceáne </w:t>
            </w:r>
          </w:p>
        </w:tc>
        <w:tc>
          <w:tcPr>
            <w:tcW w:w="2640" w:type="dxa"/>
            <w:tcBorders>
              <w:top w:val="single" w:sz="4" w:space="0" w:color="000000"/>
              <w:left w:val="single" w:sz="4" w:space="0" w:color="000000"/>
              <w:bottom w:val="single" w:sz="4" w:space="0" w:color="000000"/>
              <w:right w:val="single" w:sz="4" w:space="0" w:color="000000"/>
            </w:tcBorders>
          </w:tcPr>
          <w:p w14:paraId="488151B8" w14:textId="77777777" w:rsidR="00E47756" w:rsidRPr="00E47756" w:rsidRDefault="00E47756" w:rsidP="00E47756">
            <w:pPr>
              <w:spacing w:after="0" w:line="240" w:lineRule="auto"/>
              <w:ind w:left="4" w:right="48"/>
            </w:pPr>
            <w:r w:rsidRPr="00E47756">
              <w:rPr>
                <w:sz w:val="20"/>
              </w:rPr>
              <w:t xml:space="preserve">zastarané: predmet tohto návrhu nahradilo pristúpenie Čile k dohode OSN o populáciách rýb (UNFSA), zriadenie Regionálnej organizácie pre riadenie rybárstva v južnom Tichom oceáne (SPRFMO), ktorej členmi sú Čile aj EÚ, a pozícia Čile ako spolupracujúcej nezmluvnej strany dohovoru, ktorým sa ustanovuje </w:t>
            </w:r>
            <w:proofErr w:type="spellStart"/>
            <w:r w:rsidRPr="00E47756">
              <w:rPr>
                <w:sz w:val="20"/>
              </w:rPr>
              <w:t>Medziamerická</w:t>
            </w:r>
            <w:proofErr w:type="spellEnd"/>
            <w:r w:rsidRPr="00E47756">
              <w:rPr>
                <w:sz w:val="20"/>
              </w:rPr>
              <w:t xml:space="preserve"> komisia pre tropické tuniaky (IATTC). </w:t>
            </w:r>
          </w:p>
        </w:tc>
        <w:tc>
          <w:tcPr>
            <w:tcW w:w="2954" w:type="dxa"/>
            <w:tcBorders>
              <w:top w:val="single" w:sz="4" w:space="0" w:color="000000"/>
              <w:left w:val="single" w:sz="4" w:space="0" w:color="000000"/>
              <w:bottom w:val="single" w:sz="4" w:space="0" w:color="000000"/>
              <w:right w:val="single" w:sz="4" w:space="0" w:color="000000"/>
            </w:tcBorders>
          </w:tcPr>
          <w:p w14:paraId="2428E06E" w14:textId="77777777" w:rsidR="00E47756" w:rsidRPr="00E47756" w:rsidRDefault="00E47756" w:rsidP="00E47756">
            <w:pPr>
              <w:spacing w:after="0" w:line="240" w:lineRule="auto"/>
              <w:ind w:left="4" w:right="48"/>
              <w:jc w:val="center"/>
              <w:rPr>
                <w:b/>
                <w:sz w:val="20"/>
              </w:rPr>
            </w:pPr>
            <w:r w:rsidRPr="00E47756">
              <w:rPr>
                <w:b/>
                <w:sz w:val="20"/>
              </w:rPr>
              <w:t>MPRV SR</w:t>
            </w:r>
          </w:p>
        </w:tc>
        <w:tc>
          <w:tcPr>
            <w:tcW w:w="2813" w:type="dxa"/>
            <w:tcBorders>
              <w:top w:val="single" w:sz="4" w:space="0" w:color="000000"/>
              <w:left w:val="single" w:sz="4" w:space="0" w:color="000000"/>
              <w:bottom w:val="single" w:sz="4" w:space="0" w:color="000000"/>
              <w:right w:val="single" w:sz="4" w:space="0" w:color="000000"/>
            </w:tcBorders>
          </w:tcPr>
          <w:p w14:paraId="4F36949B" w14:textId="77777777" w:rsidR="00E47756" w:rsidRPr="00E47756" w:rsidRDefault="00E47756" w:rsidP="00E47756">
            <w:pPr>
              <w:spacing w:after="0" w:line="240" w:lineRule="auto"/>
              <w:ind w:left="4" w:right="48"/>
              <w:rPr>
                <w:sz w:val="20"/>
              </w:rPr>
            </w:pPr>
            <w:r w:rsidRPr="00E47756">
              <w:rPr>
                <w:sz w:val="20"/>
              </w:rPr>
              <w:t>SR podporuje stiahnutie tohto návrhu.</w:t>
            </w:r>
          </w:p>
        </w:tc>
      </w:tr>
      <w:tr w:rsidR="00E47756" w:rsidRPr="00E47756" w14:paraId="5827EFB9" w14:textId="77777777" w:rsidTr="001A4016">
        <w:trPr>
          <w:trHeight w:val="641"/>
        </w:trPr>
        <w:tc>
          <w:tcPr>
            <w:tcW w:w="442" w:type="dxa"/>
            <w:tcBorders>
              <w:top w:val="single" w:sz="4" w:space="0" w:color="000000"/>
              <w:left w:val="single" w:sz="4" w:space="0" w:color="000000"/>
              <w:bottom w:val="single" w:sz="4" w:space="0" w:color="000000"/>
              <w:right w:val="single" w:sz="4" w:space="0" w:color="000000"/>
            </w:tcBorders>
          </w:tcPr>
          <w:p w14:paraId="3D1B6645" w14:textId="77777777" w:rsidR="00E47756" w:rsidRPr="00E47756" w:rsidRDefault="00E47756" w:rsidP="00E47756">
            <w:pPr>
              <w:spacing w:after="0" w:line="240" w:lineRule="auto"/>
              <w:ind w:right="86"/>
              <w:jc w:val="center"/>
            </w:pPr>
            <w:r w:rsidRPr="00E47756">
              <w:rPr>
                <w:sz w:val="20"/>
              </w:rPr>
              <w:t xml:space="preserve">4. </w:t>
            </w:r>
          </w:p>
        </w:tc>
        <w:tc>
          <w:tcPr>
            <w:tcW w:w="1577" w:type="dxa"/>
            <w:tcBorders>
              <w:top w:val="single" w:sz="4" w:space="0" w:color="000000"/>
              <w:left w:val="single" w:sz="4" w:space="0" w:color="000000"/>
              <w:bottom w:val="single" w:sz="4" w:space="0" w:color="000000"/>
              <w:right w:val="single" w:sz="4" w:space="0" w:color="000000"/>
            </w:tcBorders>
          </w:tcPr>
          <w:p w14:paraId="5F2F26ED" w14:textId="77777777" w:rsidR="00E47756" w:rsidRPr="00E47756" w:rsidRDefault="00E47756" w:rsidP="00E47756">
            <w:pPr>
              <w:spacing w:after="0" w:line="240" w:lineRule="auto"/>
            </w:pPr>
            <w:r w:rsidRPr="00E47756">
              <w:rPr>
                <w:sz w:val="20"/>
              </w:rPr>
              <w:t xml:space="preserve">COM(2011) 252 </w:t>
            </w:r>
            <w:proofErr w:type="spellStart"/>
            <w:r w:rsidRPr="00E47756">
              <w:rPr>
                <w:sz w:val="20"/>
              </w:rPr>
              <w:t>final</w:t>
            </w:r>
            <w:proofErr w:type="spellEnd"/>
            <w:r w:rsidRPr="00E47756">
              <w:t xml:space="preserve">  </w:t>
            </w:r>
            <w:r w:rsidRPr="00E47756">
              <w:rPr>
                <w:sz w:val="20"/>
              </w:rPr>
              <w:t xml:space="preserve">2011/0109 (NLE)  </w:t>
            </w:r>
          </w:p>
        </w:tc>
        <w:tc>
          <w:tcPr>
            <w:tcW w:w="3827" w:type="dxa"/>
            <w:gridSpan w:val="2"/>
            <w:tcBorders>
              <w:top w:val="single" w:sz="4" w:space="0" w:color="000000"/>
              <w:left w:val="single" w:sz="4" w:space="0" w:color="000000"/>
              <w:bottom w:val="single" w:sz="4" w:space="0" w:color="000000"/>
              <w:right w:val="single" w:sz="4" w:space="0" w:color="000000"/>
            </w:tcBorders>
          </w:tcPr>
          <w:p w14:paraId="2EF54557" w14:textId="77777777" w:rsidR="00E47756" w:rsidRPr="00E47756" w:rsidRDefault="00E47756" w:rsidP="00E47756">
            <w:pPr>
              <w:spacing w:after="0" w:line="240" w:lineRule="auto"/>
              <w:ind w:left="4"/>
            </w:pPr>
            <w:r w:rsidRPr="00E47756">
              <w:rPr>
                <w:sz w:val="20"/>
              </w:rPr>
              <w:t xml:space="preserve">návrh ROZHODNUTIE RADY o uzavretí Dohody o leteckej doprave medzi Európskou úniou a jej členskými štátmi na jednej strane a Brazílskou federatívnou republikou na strane druhej </w:t>
            </w:r>
          </w:p>
        </w:tc>
        <w:tc>
          <w:tcPr>
            <w:tcW w:w="2640" w:type="dxa"/>
            <w:tcBorders>
              <w:top w:val="single" w:sz="4" w:space="0" w:color="000000"/>
              <w:left w:val="single" w:sz="4" w:space="0" w:color="000000"/>
              <w:bottom w:val="single" w:sz="4" w:space="0" w:color="000000"/>
              <w:right w:val="single" w:sz="4" w:space="0" w:color="000000"/>
            </w:tcBorders>
          </w:tcPr>
          <w:p w14:paraId="1271DC05" w14:textId="77777777" w:rsidR="00E47756" w:rsidRPr="00E47756" w:rsidRDefault="00E47756" w:rsidP="00E47756">
            <w:pPr>
              <w:spacing w:after="0" w:line="240" w:lineRule="auto"/>
              <w:ind w:left="4"/>
            </w:pPr>
            <w:r w:rsidRPr="00E47756">
              <w:rPr>
                <w:sz w:val="20"/>
              </w:rPr>
              <w:t xml:space="preserve">Zastarané: rokovania s Brazíliou na úrovni EÚ v súčasnosti už nie sú aktívne.  </w:t>
            </w:r>
          </w:p>
        </w:tc>
        <w:tc>
          <w:tcPr>
            <w:tcW w:w="2954" w:type="dxa"/>
            <w:tcBorders>
              <w:top w:val="single" w:sz="4" w:space="0" w:color="000000"/>
              <w:left w:val="single" w:sz="4" w:space="0" w:color="000000"/>
              <w:bottom w:val="single" w:sz="4" w:space="0" w:color="000000"/>
              <w:right w:val="single" w:sz="4" w:space="0" w:color="000000"/>
            </w:tcBorders>
          </w:tcPr>
          <w:p w14:paraId="3512753F" w14:textId="77777777" w:rsidR="00E47756" w:rsidRPr="00E47756" w:rsidRDefault="00E47756" w:rsidP="00E47756">
            <w:pPr>
              <w:spacing w:after="0" w:line="240" w:lineRule="auto"/>
              <w:ind w:left="4"/>
              <w:jc w:val="center"/>
              <w:rPr>
                <w:b/>
                <w:sz w:val="20"/>
              </w:rPr>
            </w:pPr>
            <w:r w:rsidRPr="00E47756">
              <w:rPr>
                <w:b/>
                <w:sz w:val="20"/>
              </w:rPr>
              <w:t>MDV SR</w:t>
            </w:r>
          </w:p>
        </w:tc>
        <w:tc>
          <w:tcPr>
            <w:tcW w:w="2813" w:type="dxa"/>
            <w:tcBorders>
              <w:top w:val="single" w:sz="4" w:space="0" w:color="000000"/>
              <w:left w:val="single" w:sz="4" w:space="0" w:color="000000"/>
              <w:bottom w:val="single" w:sz="4" w:space="0" w:color="000000"/>
              <w:right w:val="single" w:sz="4" w:space="0" w:color="000000"/>
            </w:tcBorders>
          </w:tcPr>
          <w:p w14:paraId="2028CC07" w14:textId="77777777" w:rsidR="00E47756" w:rsidRPr="00E47756" w:rsidRDefault="00E47756" w:rsidP="00E47756">
            <w:pPr>
              <w:spacing w:after="0" w:line="240" w:lineRule="auto"/>
              <w:ind w:left="4"/>
              <w:rPr>
                <w:b/>
                <w:sz w:val="20"/>
              </w:rPr>
            </w:pPr>
            <w:r w:rsidRPr="00E47756">
              <w:rPr>
                <w:sz w:val="20"/>
              </w:rPr>
              <w:t>SR podporuje stiahnutie tohto návrhu.</w:t>
            </w:r>
          </w:p>
        </w:tc>
      </w:tr>
      <w:tr w:rsidR="00E47756" w:rsidRPr="00E47756" w14:paraId="44E37F98" w14:textId="77777777" w:rsidTr="001A4016">
        <w:trPr>
          <w:trHeight w:val="641"/>
        </w:trPr>
        <w:tc>
          <w:tcPr>
            <w:tcW w:w="442" w:type="dxa"/>
            <w:tcBorders>
              <w:top w:val="single" w:sz="4" w:space="0" w:color="000000"/>
              <w:left w:val="single" w:sz="4" w:space="0" w:color="000000"/>
              <w:bottom w:val="single" w:sz="4" w:space="0" w:color="auto"/>
              <w:right w:val="single" w:sz="4" w:space="0" w:color="000000"/>
            </w:tcBorders>
          </w:tcPr>
          <w:p w14:paraId="0F247B7B" w14:textId="77777777" w:rsidR="00E47756" w:rsidRPr="00E47756" w:rsidRDefault="00E47756" w:rsidP="00E47756">
            <w:pPr>
              <w:spacing w:after="0" w:line="240" w:lineRule="auto"/>
              <w:ind w:right="86"/>
              <w:jc w:val="center"/>
            </w:pPr>
            <w:r w:rsidRPr="00E47756">
              <w:rPr>
                <w:sz w:val="20"/>
              </w:rPr>
              <w:t xml:space="preserve">5. </w:t>
            </w:r>
          </w:p>
        </w:tc>
        <w:tc>
          <w:tcPr>
            <w:tcW w:w="1577" w:type="dxa"/>
            <w:tcBorders>
              <w:top w:val="single" w:sz="4" w:space="0" w:color="000000"/>
              <w:left w:val="single" w:sz="4" w:space="0" w:color="000000"/>
              <w:bottom w:val="single" w:sz="4" w:space="0" w:color="auto"/>
              <w:right w:val="single" w:sz="4" w:space="0" w:color="000000"/>
            </w:tcBorders>
          </w:tcPr>
          <w:p w14:paraId="05A1C70C" w14:textId="77777777" w:rsidR="00E47756" w:rsidRPr="00E47756" w:rsidRDefault="00E47756" w:rsidP="00E47756">
            <w:pPr>
              <w:spacing w:after="0" w:line="240" w:lineRule="auto"/>
            </w:pPr>
            <w:r w:rsidRPr="00E47756">
              <w:rPr>
                <w:sz w:val="20"/>
              </w:rPr>
              <w:t xml:space="preserve">COM(2008) 92 </w:t>
            </w:r>
            <w:proofErr w:type="spellStart"/>
            <w:r w:rsidRPr="00E47756">
              <w:rPr>
                <w:sz w:val="20"/>
              </w:rPr>
              <w:t>final</w:t>
            </w:r>
            <w:proofErr w:type="spellEnd"/>
            <w:r w:rsidRPr="00E47756">
              <w:t xml:space="preserve">  </w:t>
            </w:r>
            <w:r w:rsidRPr="00E47756">
              <w:rPr>
                <w:sz w:val="20"/>
              </w:rPr>
              <w:t xml:space="preserve">2008/0040 (APP) </w:t>
            </w:r>
          </w:p>
        </w:tc>
        <w:tc>
          <w:tcPr>
            <w:tcW w:w="3827" w:type="dxa"/>
            <w:gridSpan w:val="2"/>
            <w:tcBorders>
              <w:top w:val="single" w:sz="4" w:space="0" w:color="000000"/>
              <w:left w:val="single" w:sz="4" w:space="0" w:color="000000"/>
              <w:bottom w:val="single" w:sz="4" w:space="0" w:color="auto"/>
              <w:right w:val="single" w:sz="4" w:space="0" w:color="000000"/>
            </w:tcBorders>
          </w:tcPr>
          <w:p w14:paraId="2A5DD507" w14:textId="77777777" w:rsidR="00E47756" w:rsidRPr="00E47756" w:rsidRDefault="00E47756" w:rsidP="00E47756">
            <w:pPr>
              <w:spacing w:after="0" w:line="240" w:lineRule="auto"/>
              <w:ind w:left="4"/>
            </w:pPr>
            <w:r w:rsidRPr="00E47756">
              <w:rPr>
                <w:sz w:val="20"/>
              </w:rPr>
              <w:t xml:space="preserve">návrh ROZHODNUTIE RADY o podpísaní a dočasnom uplatňovaní dohody medzi </w:t>
            </w:r>
          </w:p>
          <w:p w14:paraId="6CC233D3" w14:textId="77777777" w:rsidR="00E47756" w:rsidRPr="00E47756" w:rsidRDefault="00E47756" w:rsidP="00E47756">
            <w:pPr>
              <w:spacing w:after="0" w:line="240" w:lineRule="auto"/>
              <w:ind w:left="4"/>
              <w:rPr>
                <w:sz w:val="20"/>
              </w:rPr>
            </w:pPr>
            <w:r w:rsidRPr="00E47756">
              <w:rPr>
                <w:sz w:val="20"/>
              </w:rPr>
              <w:t xml:space="preserve">Európskym spoločenstvom a Kazašskou republikou o určitých aspektoch leteckých služieb </w:t>
            </w:r>
          </w:p>
          <w:p w14:paraId="714B0E06" w14:textId="77777777" w:rsidR="00E47756" w:rsidRPr="00E47756" w:rsidRDefault="00E47756" w:rsidP="00E47756">
            <w:pPr>
              <w:spacing w:after="0" w:line="240" w:lineRule="auto"/>
              <w:ind w:left="4"/>
            </w:pPr>
          </w:p>
          <w:p w14:paraId="6765FD6E" w14:textId="77777777" w:rsidR="00E47756" w:rsidRPr="00E47756" w:rsidRDefault="00E47756" w:rsidP="00E47756">
            <w:pPr>
              <w:spacing w:after="0" w:line="240" w:lineRule="auto"/>
              <w:ind w:left="4"/>
            </w:pPr>
          </w:p>
          <w:p w14:paraId="4EB84B8A" w14:textId="77777777" w:rsidR="00E47756" w:rsidRPr="00E47756" w:rsidRDefault="00E47756" w:rsidP="00E47756">
            <w:pPr>
              <w:spacing w:after="0" w:line="240" w:lineRule="auto"/>
              <w:ind w:left="4"/>
            </w:pPr>
          </w:p>
          <w:p w14:paraId="0F36BA2A" w14:textId="77777777" w:rsidR="00E47756" w:rsidRDefault="00E47756" w:rsidP="00E47756">
            <w:pPr>
              <w:spacing w:after="0" w:line="240" w:lineRule="auto"/>
              <w:ind w:left="4"/>
            </w:pPr>
          </w:p>
          <w:p w14:paraId="4190863E" w14:textId="77777777" w:rsidR="00697F6A" w:rsidRDefault="00697F6A" w:rsidP="00E47756">
            <w:pPr>
              <w:spacing w:after="0" w:line="240" w:lineRule="auto"/>
              <w:ind w:left="4"/>
            </w:pPr>
          </w:p>
          <w:p w14:paraId="607AE013" w14:textId="77777777" w:rsidR="00697F6A" w:rsidRPr="00E47756" w:rsidRDefault="00697F6A" w:rsidP="00E47756">
            <w:pPr>
              <w:spacing w:after="0" w:line="240" w:lineRule="auto"/>
              <w:ind w:left="4"/>
            </w:pPr>
          </w:p>
          <w:p w14:paraId="64F313CA" w14:textId="77777777" w:rsidR="00E47756" w:rsidRPr="00E47756" w:rsidRDefault="00E47756" w:rsidP="00E47756">
            <w:pPr>
              <w:spacing w:after="0" w:line="240" w:lineRule="auto"/>
              <w:ind w:left="4"/>
            </w:pPr>
          </w:p>
          <w:p w14:paraId="5C4B12E2" w14:textId="77777777" w:rsidR="00E47756" w:rsidRPr="00E47756" w:rsidRDefault="00E47756" w:rsidP="00E47756">
            <w:pPr>
              <w:spacing w:after="0" w:line="240" w:lineRule="auto"/>
              <w:ind w:left="4"/>
            </w:pPr>
          </w:p>
        </w:tc>
        <w:tc>
          <w:tcPr>
            <w:tcW w:w="2640" w:type="dxa"/>
            <w:tcBorders>
              <w:top w:val="single" w:sz="4" w:space="0" w:color="000000"/>
              <w:left w:val="single" w:sz="4" w:space="0" w:color="000000"/>
              <w:bottom w:val="single" w:sz="4" w:space="0" w:color="auto"/>
              <w:right w:val="single" w:sz="4" w:space="0" w:color="000000"/>
            </w:tcBorders>
          </w:tcPr>
          <w:p w14:paraId="47205486" w14:textId="77777777" w:rsidR="00E47756" w:rsidRPr="00E47756" w:rsidRDefault="00E47756" w:rsidP="00E47756">
            <w:pPr>
              <w:spacing w:after="0" w:line="240" w:lineRule="auto"/>
              <w:ind w:left="4"/>
            </w:pPr>
            <w:r w:rsidRPr="00E47756">
              <w:rPr>
                <w:sz w:val="20"/>
              </w:rPr>
              <w:t xml:space="preserve">Zastarané: rokovania s Kazachstanom na úrovni EÚ v súčasnosti už nie sú aktívne.  </w:t>
            </w:r>
          </w:p>
        </w:tc>
        <w:tc>
          <w:tcPr>
            <w:tcW w:w="2954" w:type="dxa"/>
            <w:tcBorders>
              <w:top w:val="single" w:sz="4" w:space="0" w:color="000000"/>
              <w:left w:val="single" w:sz="4" w:space="0" w:color="000000"/>
              <w:bottom w:val="single" w:sz="4" w:space="0" w:color="auto"/>
              <w:right w:val="single" w:sz="4" w:space="0" w:color="000000"/>
            </w:tcBorders>
          </w:tcPr>
          <w:p w14:paraId="3E576C26" w14:textId="77777777" w:rsidR="00E47756" w:rsidRPr="00E47756" w:rsidRDefault="00E47756" w:rsidP="00E47756">
            <w:pPr>
              <w:spacing w:after="0" w:line="240" w:lineRule="auto"/>
              <w:ind w:left="4"/>
              <w:jc w:val="center"/>
              <w:rPr>
                <w:b/>
                <w:sz w:val="20"/>
              </w:rPr>
            </w:pPr>
            <w:r w:rsidRPr="00E47756">
              <w:rPr>
                <w:b/>
                <w:sz w:val="20"/>
              </w:rPr>
              <w:t>MDV SR</w:t>
            </w:r>
          </w:p>
        </w:tc>
        <w:tc>
          <w:tcPr>
            <w:tcW w:w="2813" w:type="dxa"/>
            <w:tcBorders>
              <w:top w:val="single" w:sz="4" w:space="0" w:color="000000"/>
              <w:left w:val="single" w:sz="4" w:space="0" w:color="000000"/>
              <w:bottom w:val="single" w:sz="4" w:space="0" w:color="auto"/>
              <w:right w:val="single" w:sz="4" w:space="0" w:color="000000"/>
            </w:tcBorders>
          </w:tcPr>
          <w:p w14:paraId="3ADCD4FB" w14:textId="77777777" w:rsidR="00E47756" w:rsidRPr="00E47756" w:rsidRDefault="00E47756" w:rsidP="00E47756">
            <w:pPr>
              <w:spacing w:after="0" w:line="240" w:lineRule="auto"/>
              <w:ind w:left="4"/>
              <w:rPr>
                <w:sz w:val="20"/>
              </w:rPr>
            </w:pPr>
            <w:r w:rsidRPr="00E47756">
              <w:rPr>
                <w:sz w:val="20"/>
              </w:rPr>
              <w:t>SR podporuje stiahnutie tohto návrhu.</w:t>
            </w:r>
          </w:p>
        </w:tc>
      </w:tr>
      <w:tr w:rsidR="00E47756" w:rsidRPr="00E47756" w14:paraId="0C84CDEB" w14:textId="77777777" w:rsidTr="001A4016">
        <w:tblPrEx>
          <w:tblCellMar>
            <w:right w:w="56" w:type="dxa"/>
          </w:tblCellMar>
        </w:tblPrEx>
        <w:trPr>
          <w:trHeight w:val="497"/>
        </w:trPr>
        <w:tc>
          <w:tcPr>
            <w:tcW w:w="14253" w:type="dxa"/>
            <w:gridSpan w:val="7"/>
            <w:tcBorders>
              <w:top w:val="single" w:sz="4" w:space="0" w:color="auto"/>
              <w:left w:val="single" w:sz="4" w:space="0" w:color="000000"/>
              <w:bottom w:val="single" w:sz="4" w:space="0" w:color="000000"/>
              <w:right w:val="single" w:sz="4" w:space="0" w:color="000000"/>
            </w:tcBorders>
            <w:shd w:val="clear" w:color="auto" w:fill="18BAA8"/>
            <w:vAlign w:val="center"/>
          </w:tcPr>
          <w:p w14:paraId="66A2BEF6" w14:textId="77777777" w:rsidR="00E47756" w:rsidRPr="00E47756" w:rsidRDefault="00E47756" w:rsidP="00E47756">
            <w:r w:rsidRPr="00E47756">
              <w:rPr>
                <w:b/>
                <w:color w:val="FFFFFF"/>
                <w:sz w:val="20"/>
              </w:rPr>
              <w:lastRenderedPageBreak/>
              <w:t>Európa pripravená na digitálny vek</w:t>
            </w:r>
            <w:r w:rsidRPr="00E47756">
              <w:rPr>
                <w:sz w:val="20"/>
              </w:rPr>
              <w:t xml:space="preserve"> </w:t>
            </w:r>
          </w:p>
        </w:tc>
      </w:tr>
      <w:tr w:rsidR="00E47756" w:rsidRPr="00E47756" w14:paraId="3F247F0B" w14:textId="77777777" w:rsidTr="001A4016">
        <w:tblPrEx>
          <w:tblCellMar>
            <w:right w:w="56" w:type="dxa"/>
          </w:tblCellMar>
        </w:tblPrEx>
        <w:trPr>
          <w:trHeight w:val="905"/>
        </w:trPr>
        <w:tc>
          <w:tcPr>
            <w:tcW w:w="442" w:type="dxa"/>
            <w:tcBorders>
              <w:top w:val="single" w:sz="4" w:space="0" w:color="000000"/>
              <w:left w:val="single" w:sz="4" w:space="0" w:color="000000"/>
              <w:bottom w:val="single" w:sz="4" w:space="0" w:color="000000"/>
              <w:right w:val="single" w:sz="4" w:space="0" w:color="000000"/>
            </w:tcBorders>
          </w:tcPr>
          <w:p w14:paraId="5DDC6F16" w14:textId="77777777" w:rsidR="00E47756" w:rsidRPr="00E47756" w:rsidRDefault="00E47756" w:rsidP="00E47756">
            <w:pPr>
              <w:spacing w:after="0" w:line="240" w:lineRule="auto"/>
              <w:ind w:right="87"/>
              <w:jc w:val="center"/>
            </w:pPr>
            <w:r w:rsidRPr="00E47756">
              <w:rPr>
                <w:sz w:val="20"/>
              </w:rPr>
              <w:t xml:space="preserve">6. </w:t>
            </w:r>
          </w:p>
        </w:tc>
        <w:tc>
          <w:tcPr>
            <w:tcW w:w="1577" w:type="dxa"/>
            <w:tcBorders>
              <w:top w:val="single" w:sz="4" w:space="0" w:color="000000"/>
              <w:left w:val="single" w:sz="4" w:space="0" w:color="000000"/>
              <w:bottom w:val="single" w:sz="4" w:space="0" w:color="000000"/>
              <w:right w:val="single" w:sz="4" w:space="0" w:color="000000"/>
            </w:tcBorders>
          </w:tcPr>
          <w:p w14:paraId="6C9E7A1A" w14:textId="77777777" w:rsidR="00E47756" w:rsidRPr="00E47756" w:rsidRDefault="00E47756" w:rsidP="00E47756">
            <w:pPr>
              <w:spacing w:after="0" w:line="240" w:lineRule="auto"/>
            </w:pPr>
            <w:r w:rsidRPr="00E47756">
              <w:rPr>
                <w:sz w:val="20"/>
              </w:rPr>
              <w:t xml:space="preserve">COM(2016) 823 </w:t>
            </w:r>
            <w:proofErr w:type="spellStart"/>
            <w:r w:rsidRPr="00E47756">
              <w:rPr>
                <w:sz w:val="20"/>
              </w:rPr>
              <w:t>final</w:t>
            </w:r>
            <w:proofErr w:type="spellEnd"/>
            <w:r w:rsidRPr="00E47756">
              <w:t xml:space="preserve">  </w:t>
            </w:r>
            <w:r w:rsidRPr="00E47756">
              <w:rPr>
                <w:sz w:val="20"/>
              </w:rPr>
              <w:t xml:space="preserve">2016/0402 (COD) </w:t>
            </w:r>
          </w:p>
        </w:tc>
        <w:tc>
          <w:tcPr>
            <w:tcW w:w="3782" w:type="dxa"/>
            <w:tcBorders>
              <w:top w:val="single" w:sz="4" w:space="0" w:color="000000"/>
              <w:left w:val="single" w:sz="4" w:space="0" w:color="000000"/>
              <w:bottom w:val="single" w:sz="4" w:space="0" w:color="000000"/>
              <w:right w:val="single" w:sz="4" w:space="0" w:color="000000"/>
            </w:tcBorders>
          </w:tcPr>
          <w:p w14:paraId="16BF32DB" w14:textId="77777777" w:rsidR="00E47756" w:rsidRPr="00E47756" w:rsidRDefault="00E47756" w:rsidP="00E47756">
            <w:pPr>
              <w:spacing w:after="0" w:line="240" w:lineRule="auto"/>
              <w:ind w:left="4"/>
            </w:pPr>
            <w:r w:rsidRPr="00E47756">
              <w:rPr>
                <w:sz w:val="20"/>
              </w:rPr>
              <w:t xml:space="preserve">návrh SMERNICA EURÓPSKEHO PARLAMENTU A RADY o právnom a operačnom rámci </w:t>
            </w:r>
          </w:p>
          <w:p w14:paraId="400EB554" w14:textId="77777777" w:rsidR="00E47756" w:rsidRPr="00E47756" w:rsidRDefault="00E47756" w:rsidP="00E47756">
            <w:pPr>
              <w:spacing w:after="0" w:line="240" w:lineRule="auto"/>
              <w:ind w:left="4"/>
            </w:pPr>
            <w:r w:rsidRPr="00E47756">
              <w:rPr>
                <w:sz w:val="20"/>
              </w:rPr>
              <w:t xml:space="preserve">pre európsky elektronický preukaz služieb zavedený nariadením... [ESC </w:t>
            </w:r>
            <w:proofErr w:type="spellStart"/>
            <w:r w:rsidRPr="00E47756">
              <w:rPr>
                <w:sz w:val="20"/>
              </w:rPr>
              <w:t>Regulation</w:t>
            </w:r>
            <w:proofErr w:type="spellEnd"/>
            <w:r w:rsidRPr="00E47756">
              <w:rPr>
                <w:sz w:val="20"/>
              </w:rPr>
              <w:t xml:space="preserve">] </w:t>
            </w:r>
          </w:p>
        </w:tc>
        <w:tc>
          <w:tcPr>
            <w:tcW w:w="2685" w:type="dxa"/>
            <w:gridSpan w:val="2"/>
            <w:tcBorders>
              <w:top w:val="single" w:sz="4" w:space="0" w:color="000000"/>
              <w:left w:val="single" w:sz="4" w:space="0" w:color="000000"/>
              <w:bottom w:val="single" w:sz="4" w:space="0" w:color="000000"/>
              <w:right w:val="single" w:sz="4" w:space="0" w:color="000000"/>
            </w:tcBorders>
          </w:tcPr>
          <w:p w14:paraId="0F4F3315" w14:textId="77777777" w:rsidR="00E47756" w:rsidRPr="00E47756" w:rsidRDefault="00E47756" w:rsidP="00E47756">
            <w:pPr>
              <w:spacing w:after="0" w:line="240" w:lineRule="auto"/>
              <w:ind w:left="4" w:right="53"/>
            </w:pPr>
            <w:r w:rsidRPr="00E47756">
              <w:rPr>
                <w:sz w:val="20"/>
              </w:rPr>
              <w:t xml:space="preserve">Žiadne vyhliadky na dosiahnutie dohody: od roku 2018 nedosiahli </w:t>
            </w:r>
            <w:proofErr w:type="spellStart"/>
            <w:r w:rsidRPr="00E47756">
              <w:rPr>
                <w:sz w:val="20"/>
              </w:rPr>
              <w:t>spoluzákonodarcovia</w:t>
            </w:r>
            <w:proofErr w:type="spellEnd"/>
            <w:r w:rsidRPr="00E47756">
              <w:rPr>
                <w:sz w:val="20"/>
              </w:rPr>
              <w:t xml:space="preserve"> žiadny pokrok a ani do budúcna to nie je pravdepodobné. </w:t>
            </w:r>
          </w:p>
        </w:tc>
        <w:tc>
          <w:tcPr>
            <w:tcW w:w="2954" w:type="dxa"/>
            <w:tcBorders>
              <w:top w:val="single" w:sz="4" w:space="0" w:color="000000"/>
              <w:left w:val="single" w:sz="4" w:space="0" w:color="000000"/>
              <w:bottom w:val="single" w:sz="4" w:space="0" w:color="000000"/>
              <w:right w:val="single" w:sz="4" w:space="0" w:color="000000"/>
            </w:tcBorders>
          </w:tcPr>
          <w:p w14:paraId="6C675EC1" w14:textId="77777777" w:rsidR="00E47756" w:rsidRPr="00E47756" w:rsidRDefault="00E47756" w:rsidP="00E47756">
            <w:pPr>
              <w:spacing w:after="0" w:line="240" w:lineRule="auto"/>
              <w:ind w:left="4" w:right="53"/>
              <w:jc w:val="center"/>
              <w:rPr>
                <w:b/>
                <w:sz w:val="20"/>
              </w:rPr>
            </w:pPr>
            <w:r w:rsidRPr="00E47756">
              <w:rPr>
                <w:b/>
                <w:sz w:val="20"/>
              </w:rPr>
              <w:t>MH SR</w:t>
            </w:r>
          </w:p>
        </w:tc>
        <w:tc>
          <w:tcPr>
            <w:tcW w:w="2813" w:type="dxa"/>
            <w:tcBorders>
              <w:top w:val="single" w:sz="4" w:space="0" w:color="000000"/>
              <w:left w:val="single" w:sz="4" w:space="0" w:color="000000"/>
              <w:bottom w:val="single" w:sz="4" w:space="0" w:color="000000"/>
              <w:right w:val="single" w:sz="4" w:space="0" w:color="000000"/>
            </w:tcBorders>
          </w:tcPr>
          <w:p w14:paraId="65F201E9" w14:textId="52596162" w:rsidR="009738F8" w:rsidRPr="009738F8" w:rsidRDefault="009738F8" w:rsidP="009738F8">
            <w:pPr>
              <w:spacing w:after="0" w:line="240" w:lineRule="auto"/>
              <w:ind w:left="6" w:right="51"/>
              <w:rPr>
                <w:sz w:val="20"/>
                <w:szCs w:val="20"/>
              </w:rPr>
            </w:pPr>
            <w:r w:rsidRPr="009738F8">
              <w:rPr>
                <w:b/>
                <w:sz w:val="20"/>
                <w:szCs w:val="20"/>
                <w:u w:val="single"/>
              </w:rPr>
              <w:t xml:space="preserve">Nízka priorita </w:t>
            </w:r>
            <w:r w:rsidRPr="009738F8">
              <w:rPr>
                <w:b/>
                <w:sz w:val="20"/>
                <w:szCs w:val="20"/>
              </w:rPr>
              <w:t xml:space="preserve">- </w:t>
            </w:r>
            <w:r w:rsidRPr="009738F8">
              <w:rPr>
                <w:sz w:val="20"/>
                <w:szCs w:val="20"/>
              </w:rPr>
              <w:t>SR podporuje zjednodušovanie administratívnych postupov, a preto návrh smernice vítala. Stiahnutie návrhu z dôvodu chýbajúcej vízie kompromisu vníma SR negatívne.</w:t>
            </w:r>
          </w:p>
          <w:p w14:paraId="54AAFFCF" w14:textId="739F65C7" w:rsidR="00E47756" w:rsidRPr="00E47756" w:rsidRDefault="00E47756" w:rsidP="00E47756">
            <w:pPr>
              <w:spacing w:after="0" w:line="240" w:lineRule="auto"/>
              <w:ind w:left="4" w:right="53"/>
              <w:rPr>
                <w:sz w:val="20"/>
              </w:rPr>
            </w:pPr>
          </w:p>
        </w:tc>
      </w:tr>
      <w:tr w:rsidR="00E47756" w:rsidRPr="00E47756" w14:paraId="571557B5" w14:textId="77777777" w:rsidTr="001A4016">
        <w:tblPrEx>
          <w:tblCellMar>
            <w:right w:w="56" w:type="dxa"/>
          </w:tblCellMar>
        </w:tblPrEx>
        <w:trPr>
          <w:trHeight w:val="869"/>
        </w:trPr>
        <w:tc>
          <w:tcPr>
            <w:tcW w:w="442" w:type="dxa"/>
            <w:tcBorders>
              <w:top w:val="single" w:sz="4" w:space="0" w:color="000000"/>
              <w:left w:val="single" w:sz="4" w:space="0" w:color="000000"/>
              <w:bottom w:val="single" w:sz="4" w:space="0" w:color="000000"/>
              <w:right w:val="single" w:sz="4" w:space="0" w:color="000000"/>
            </w:tcBorders>
          </w:tcPr>
          <w:p w14:paraId="762A907A" w14:textId="77777777" w:rsidR="00E47756" w:rsidRPr="00E47756" w:rsidRDefault="00E47756" w:rsidP="00E47756">
            <w:pPr>
              <w:spacing w:after="0" w:line="240" w:lineRule="auto"/>
              <w:ind w:right="87"/>
              <w:jc w:val="center"/>
            </w:pPr>
            <w:r w:rsidRPr="00E47756">
              <w:rPr>
                <w:sz w:val="20"/>
              </w:rPr>
              <w:t xml:space="preserve">7. </w:t>
            </w:r>
          </w:p>
        </w:tc>
        <w:tc>
          <w:tcPr>
            <w:tcW w:w="1577" w:type="dxa"/>
            <w:tcBorders>
              <w:top w:val="single" w:sz="4" w:space="0" w:color="000000"/>
              <w:left w:val="single" w:sz="4" w:space="0" w:color="000000"/>
              <w:bottom w:val="single" w:sz="4" w:space="0" w:color="000000"/>
              <w:right w:val="single" w:sz="4" w:space="0" w:color="000000"/>
            </w:tcBorders>
          </w:tcPr>
          <w:p w14:paraId="59F57D19" w14:textId="77777777" w:rsidR="00E47756" w:rsidRPr="00E47756" w:rsidRDefault="00E47756" w:rsidP="00E47756">
            <w:pPr>
              <w:spacing w:after="0" w:line="240" w:lineRule="auto"/>
            </w:pPr>
            <w:r w:rsidRPr="00E47756">
              <w:rPr>
                <w:sz w:val="20"/>
              </w:rPr>
              <w:t xml:space="preserve">COM(2016) 824 </w:t>
            </w:r>
            <w:proofErr w:type="spellStart"/>
            <w:r w:rsidRPr="00E47756">
              <w:rPr>
                <w:sz w:val="20"/>
              </w:rPr>
              <w:t>final</w:t>
            </w:r>
            <w:proofErr w:type="spellEnd"/>
            <w:r w:rsidRPr="00E47756">
              <w:t xml:space="preserve">  </w:t>
            </w:r>
            <w:r w:rsidRPr="00E47756">
              <w:rPr>
                <w:sz w:val="20"/>
              </w:rPr>
              <w:t xml:space="preserve">2016/0403 COD  </w:t>
            </w:r>
          </w:p>
        </w:tc>
        <w:tc>
          <w:tcPr>
            <w:tcW w:w="3782" w:type="dxa"/>
            <w:tcBorders>
              <w:top w:val="single" w:sz="4" w:space="0" w:color="000000"/>
              <w:left w:val="single" w:sz="4" w:space="0" w:color="000000"/>
              <w:bottom w:val="single" w:sz="4" w:space="0" w:color="000000"/>
              <w:right w:val="single" w:sz="4" w:space="0" w:color="000000"/>
            </w:tcBorders>
          </w:tcPr>
          <w:p w14:paraId="39CD0DC3" w14:textId="77777777" w:rsidR="00E47756" w:rsidRPr="00E47756" w:rsidRDefault="00E47756" w:rsidP="00E47756">
            <w:pPr>
              <w:spacing w:after="0" w:line="240" w:lineRule="auto"/>
              <w:ind w:left="4"/>
            </w:pPr>
            <w:r w:rsidRPr="00E47756">
              <w:rPr>
                <w:sz w:val="20"/>
              </w:rPr>
              <w:t xml:space="preserve">návrh NARIADENIE EURÓPSKEHO PARLAMENTU A RADY o zavedení európskeho </w:t>
            </w:r>
          </w:p>
          <w:p w14:paraId="0A95B7FA" w14:textId="77777777" w:rsidR="00E47756" w:rsidRPr="00E47756" w:rsidRDefault="00E47756" w:rsidP="00E47756">
            <w:pPr>
              <w:spacing w:after="0" w:line="240" w:lineRule="auto"/>
              <w:ind w:left="4"/>
            </w:pPr>
            <w:r w:rsidRPr="00E47756">
              <w:rPr>
                <w:sz w:val="20"/>
              </w:rPr>
              <w:t xml:space="preserve">elektronického preukazu služieb a súvisiacich administratívnych prostriedkoch </w:t>
            </w:r>
          </w:p>
        </w:tc>
        <w:tc>
          <w:tcPr>
            <w:tcW w:w="2685" w:type="dxa"/>
            <w:gridSpan w:val="2"/>
            <w:tcBorders>
              <w:top w:val="single" w:sz="4" w:space="0" w:color="000000"/>
              <w:left w:val="single" w:sz="4" w:space="0" w:color="000000"/>
              <w:bottom w:val="single" w:sz="4" w:space="0" w:color="000000"/>
              <w:right w:val="single" w:sz="4" w:space="0" w:color="000000"/>
            </w:tcBorders>
          </w:tcPr>
          <w:p w14:paraId="2CBFA5E6" w14:textId="77777777" w:rsidR="00E47756" w:rsidRPr="00E47756" w:rsidRDefault="00E47756" w:rsidP="00E47756">
            <w:pPr>
              <w:spacing w:after="0" w:line="240" w:lineRule="auto"/>
              <w:ind w:left="4" w:right="50"/>
            </w:pPr>
            <w:r w:rsidRPr="00E47756">
              <w:rPr>
                <w:sz w:val="20"/>
              </w:rPr>
              <w:t xml:space="preserve">Žiadne vyhliadky na dosiahnutie dohody: od roku 2018 nedosiahli </w:t>
            </w:r>
            <w:proofErr w:type="spellStart"/>
            <w:r w:rsidRPr="00E47756">
              <w:rPr>
                <w:sz w:val="20"/>
              </w:rPr>
              <w:t>spoluzákonodarcovia</w:t>
            </w:r>
            <w:proofErr w:type="spellEnd"/>
            <w:r w:rsidRPr="00E47756">
              <w:rPr>
                <w:sz w:val="20"/>
              </w:rPr>
              <w:t xml:space="preserve"> žiadny pokrok a ani do budúcna to nie je pravdepodobné. </w:t>
            </w:r>
          </w:p>
        </w:tc>
        <w:tc>
          <w:tcPr>
            <w:tcW w:w="2954" w:type="dxa"/>
            <w:tcBorders>
              <w:top w:val="single" w:sz="4" w:space="0" w:color="000000"/>
              <w:left w:val="single" w:sz="4" w:space="0" w:color="000000"/>
              <w:bottom w:val="single" w:sz="4" w:space="0" w:color="000000"/>
              <w:right w:val="single" w:sz="4" w:space="0" w:color="000000"/>
            </w:tcBorders>
          </w:tcPr>
          <w:p w14:paraId="4F4C253F" w14:textId="77777777" w:rsidR="00E47756" w:rsidRPr="00E47756" w:rsidRDefault="00E47756" w:rsidP="00E47756">
            <w:pPr>
              <w:spacing w:after="0" w:line="240" w:lineRule="auto"/>
              <w:ind w:left="4" w:right="50"/>
              <w:jc w:val="center"/>
              <w:rPr>
                <w:b/>
                <w:sz w:val="20"/>
              </w:rPr>
            </w:pPr>
            <w:r w:rsidRPr="00E47756">
              <w:rPr>
                <w:b/>
                <w:sz w:val="20"/>
              </w:rPr>
              <w:t>MH SR</w:t>
            </w:r>
          </w:p>
        </w:tc>
        <w:tc>
          <w:tcPr>
            <w:tcW w:w="2813" w:type="dxa"/>
            <w:tcBorders>
              <w:top w:val="single" w:sz="4" w:space="0" w:color="000000"/>
              <w:left w:val="single" w:sz="4" w:space="0" w:color="000000"/>
              <w:bottom w:val="single" w:sz="4" w:space="0" w:color="000000"/>
              <w:right w:val="single" w:sz="4" w:space="0" w:color="000000"/>
            </w:tcBorders>
          </w:tcPr>
          <w:p w14:paraId="2969D626" w14:textId="3E6486FA" w:rsidR="009738F8" w:rsidRPr="009738F8" w:rsidRDefault="009738F8" w:rsidP="009738F8">
            <w:pPr>
              <w:spacing w:after="0" w:line="240" w:lineRule="auto"/>
              <w:ind w:left="6" w:right="51"/>
              <w:rPr>
                <w:sz w:val="20"/>
                <w:szCs w:val="20"/>
              </w:rPr>
            </w:pPr>
            <w:r w:rsidRPr="009738F8">
              <w:rPr>
                <w:b/>
                <w:sz w:val="20"/>
                <w:szCs w:val="20"/>
                <w:u w:val="single"/>
              </w:rPr>
              <w:t>Nízka priorita</w:t>
            </w:r>
            <w:r w:rsidRPr="009738F8">
              <w:rPr>
                <w:b/>
                <w:sz w:val="20"/>
                <w:szCs w:val="20"/>
              </w:rPr>
              <w:t xml:space="preserve"> - </w:t>
            </w:r>
            <w:r>
              <w:rPr>
                <w:sz w:val="20"/>
                <w:szCs w:val="20"/>
              </w:rPr>
              <w:t>SR</w:t>
            </w:r>
            <w:r w:rsidRPr="009738F8">
              <w:rPr>
                <w:sz w:val="20"/>
                <w:szCs w:val="20"/>
              </w:rPr>
              <w:t xml:space="preserve"> podporuje zjednodušovanie administratívnych postupov, a preto návrh smernice vítala. Stiahnutie návrhu z dôvodu chýbajúcej vízie kompromisu vníma SR negatívne.</w:t>
            </w:r>
          </w:p>
          <w:p w14:paraId="373DC0AC" w14:textId="0DB9BBE4" w:rsidR="00E47756" w:rsidRPr="00E47756" w:rsidRDefault="00E47756" w:rsidP="00E47756">
            <w:pPr>
              <w:spacing w:after="0" w:line="240" w:lineRule="auto"/>
              <w:ind w:left="4" w:right="50"/>
              <w:rPr>
                <w:sz w:val="20"/>
              </w:rPr>
            </w:pPr>
          </w:p>
        </w:tc>
      </w:tr>
      <w:tr w:rsidR="00E47756" w:rsidRPr="00E47756" w14:paraId="44225A54" w14:textId="77777777" w:rsidTr="009738F8">
        <w:tblPrEx>
          <w:tblCellMar>
            <w:right w:w="56" w:type="dxa"/>
          </w:tblCellMar>
        </w:tblPrEx>
        <w:trPr>
          <w:trHeight w:val="584"/>
        </w:trPr>
        <w:tc>
          <w:tcPr>
            <w:tcW w:w="442" w:type="dxa"/>
            <w:tcBorders>
              <w:top w:val="single" w:sz="4" w:space="0" w:color="000000"/>
              <w:left w:val="single" w:sz="4" w:space="0" w:color="000000"/>
              <w:bottom w:val="single" w:sz="4" w:space="0" w:color="000000"/>
              <w:right w:val="single" w:sz="4" w:space="0" w:color="000000"/>
            </w:tcBorders>
          </w:tcPr>
          <w:p w14:paraId="68D290B2" w14:textId="77777777" w:rsidR="00E47756" w:rsidRPr="00E47756" w:rsidRDefault="00E47756" w:rsidP="00E47756">
            <w:pPr>
              <w:spacing w:after="0" w:line="240" w:lineRule="auto"/>
              <w:ind w:right="87"/>
              <w:jc w:val="center"/>
            </w:pPr>
            <w:r w:rsidRPr="00E47756">
              <w:rPr>
                <w:sz w:val="20"/>
              </w:rPr>
              <w:t xml:space="preserve">8. </w:t>
            </w:r>
          </w:p>
        </w:tc>
        <w:tc>
          <w:tcPr>
            <w:tcW w:w="1577" w:type="dxa"/>
            <w:tcBorders>
              <w:top w:val="single" w:sz="4" w:space="0" w:color="000000"/>
              <w:left w:val="single" w:sz="4" w:space="0" w:color="000000"/>
              <w:bottom w:val="single" w:sz="4" w:space="0" w:color="000000"/>
              <w:right w:val="single" w:sz="4" w:space="0" w:color="000000"/>
            </w:tcBorders>
          </w:tcPr>
          <w:p w14:paraId="7105E39D" w14:textId="77777777" w:rsidR="00E47756" w:rsidRPr="00E47756" w:rsidRDefault="00E47756" w:rsidP="00E47756">
            <w:pPr>
              <w:spacing w:after="0" w:line="240" w:lineRule="auto"/>
            </w:pPr>
            <w:r w:rsidRPr="00E47756">
              <w:rPr>
                <w:sz w:val="20"/>
              </w:rPr>
              <w:t xml:space="preserve">COM(2016) 821 </w:t>
            </w:r>
            <w:proofErr w:type="spellStart"/>
            <w:r w:rsidRPr="00E47756">
              <w:rPr>
                <w:sz w:val="20"/>
              </w:rPr>
              <w:t>final</w:t>
            </w:r>
            <w:proofErr w:type="spellEnd"/>
            <w:r w:rsidRPr="00E47756">
              <w:t xml:space="preserve">  </w:t>
            </w:r>
            <w:r w:rsidRPr="00E47756">
              <w:rPr>
                <w:sz w:val="20"/>
              </w:rPr>
              <w:t xml:space="preserve">2016/0398 (COD)  </w:t>
            </w:r>
          </w:p>
        </w:tc>
        <w:tc>
          <w:tcPr>
            <w:tcW w:w="3782" w:type="dxa"/>
            <w:tcBorders>
              <w:top w:val="single" w:sz="4" w:space="0" w:color="000000"/>
              <w:left w:val="single" w:sz="4" w:space="0" w:color="000000"/>
              <w:bottom w:val="single" w:sz="4" w:space="0" w:color="000000"/>
              <w:right w:val="single" w:sz="4" w:space="0" w:color="000000"/>
            </w:tcBorders>
          </w:tcPr>
          <w:p w14:paraId="09F9EDE8" w14:textId="77777777" w:rsidR="00E47756" w:rsidRPr="00E47756" w:rsidRDefault="00E47756" w:rsidP="00E47756">
            <w:pPr>
              <w:spacing w:after="0" w:line="240" w:lineRule="auto"/>
              <w:ind w:left="4"/>
            </w:pPr>
            <w:r w:rsidRPr="00E47756">
              <w:rPr>
                <w:sz w:val="20"/>
              </w:rPr>
              <w:t xml:space="preserve">návrh SMERNICA EURÓPSKEHO PARLAMENTU A RADY o presadzovaní smernice </w:t>
            </w:r>
          </w:p>
          <w:p w14:paraId="54289819" w14:textId="77777777" w:rsidR="00E47756" w:rsidRPr="00E47756" w:rsidRDefault="00E47756" w:rsidP="00E47756">
            <w:pPr>
              <w:spacing w:after="0" w:line="240" w:lineRule="auto"/>
              <w:ind w:left="4" w:right="52"/>
              <w:rPr>
                <w:sz w:val="20"/>
              </w:rPr>
            </w:pPr>
            <w:r w:rsidRPr="00E47756">
              <w:rPr>
                <w:sz w:val="20"/>
              </w:rPr>
              <w:t>2006/123/ES o službách na vnútornom trhu, ktorou sa stanovuje postup oznamovania pre systémy udeľovania povolení a požiadavky súvisiace so službami a ktorou sa mení smernica 2006/123/ES a nariadenie (EÚ) č. 1024/2012 o administratívnej spolupráci prostredníctvom informačného systému o vnútornom trhu.</w:t>
            </w:r>
          </w:p>
          <w:p w14:paraId="345FE77A" w14:textId="77777777" w:rsidR="00E47756" w:rsidRPr="00E47756" w:rsidRDefault="00E47756" w:rsidP="00E47756">
            <w:pPr>
              <w:spacing w:after="0" w:line="240" w:lineRule="auto"/>
              <w:ind w:left="4" w:right="52"/>
            </w:pPr>
          </w:p>
          <w:p w14:paraId="5E3FF87A" w14:textId="77777777" w:rsidR="00E47756" w:rsidRPr="00E47756" w:rsidRDefault="00E47756" w:rsidP="00E47756">
            <w:pPr>
              <w:spacing w:after="0" w:line="240" w:lineRule="auto"/>
              <w:ind w:right="52"/>
            </w:pPr>
          </w:p>
        </w:tc>
        <w:tc>
          <w:tcPr>
            <w:tcW w:w="2685" w:type="dxa"/>
            <w:gridSpan w:val="2"/>
            <w:tcBorders>
              <w:top w:val="single" w:sz="4" w:space="0" w:color="000000"/>
              <w:left w:val="single" w:sz="4" w:space="0" w:color="000000"/>
              <w:bottom w:val="single" w:sz="4" w:space="0" w:color="000000"/>
              <w:right w:val="single" w:sz="4" w:space="0" w:color="000000"/>
            </w:tcBorders>
          </w:tcPr>
          <w:p w14:paraId="572C5342" w14:textId="77777777" w:rsidR="00E47756" w:rsidRPr="00E47756" w:rsidRDefault="00E47756" w:rsidP="00E47756">
            <w:pPr>
              <w:spacing w:after="0" w:line="240" w:lineRule="auto"/>
              <w:ind w:left="4" w:right="49"/>
            </w:pPr>
            <w:r w:rsidRPr="00E47756">
              <w:rPr>
                <w:sz w:val="20"/>
              </w:rPr>
              <w:t xml:space="preserve">Žiadne vyhliadky na dosiahnutie dohody: vyhliadky na nájdenie kompromisu bez ohrozenia cieľov návrhu sú nepravdepodobné. Komisia prijme opatrenia na zabezpečenie úplného presadzovania smernice o službách.  </w:t>
            </w:r>
          </w:p>
        </w:tc>
        <w:tc>
          <w:tcPr>
            <w:tcW w:w="2954" w:type="dxa"/>
            <w:tcBorders>
              <w:top w:val="single" w:sz="4" w:space="0" w:color="000000"/>
              <w:left w:val="single" w:sz="4" w:space="0" w:color="000000"/>
              <w:bottom w:val="single" w:sz="4" w:space="0" w:color="000000"/>
              <w:right w:val="single" w:sz="4" w:space="0" w:color="000000"/>
            </w:tcBorders>
          </w:tcPr>
          <w:p w14:paraId="5A82FD3E" w14:textId="77777777" w:rsidR="00E47756" w:rsidRPr="00E47756" w:rsidRDefault="00E47756" w:rsidP="00E47756">
            <w:pPr>
              <w:spacing w:after="0" w:line="240" w:lineRule="auto"/>
              <w:ind w:left="4" w:right="49"/>
              <w:jc w:val="center"/>
              <w:rPr>
                <w:b/>
                <w:sz w:val="20"/>
              </w:rPr>
            </w:pPr>
            <w:r w:rsidRPr="00E47756">
              <w:rPr>
                <w:b/>
                <w:sz w:val="20"/>
              </w:rPr>
              <w:t>MH SR</w:t>
            </w:r>
          </w:p>
        </w:tc>
        <w:tc>
          <w:tcPr>
            <w:tcW w:w="2813" w:type="dxa"/>
            <w:tcBorders>
              <w:top w:val="single" w:sz="4" w:space="0" w:color="000000"/>
              <w:left w:val="single" w:sz="4" w:space="0" w:color="000000"/>
              <w:bottom w:val="single" w:sz="4" w:space="0" w:color="000000"/>
              <w:right w:val="single" w:sz="4" w:space="0" w:color="000000"/>
            </w:tcBorders>
          </w:tcPr>
          <w:p w14:paraId="72696AE9" w14:textId="77777777" w:rsidR="009738F8" w:rsidRDefault="009738F8" w:rsidP="00B808ED">
            <w:pPr>
              <w:spacing w:after="0" w:line="240" w:lineRule="auto"/>
              <w:ind w:left="6" w:right="51"/>
              <w:rPr>
                <w:sz w:val="20"/>
                <w:szCs w:val="20"/>
              </w:rPr>
            </w:pPr>
            <w:r>
              <w:rPr>
                <w:b/>
                <w:sz w:val="20"/>
                <w:szCs w:val="20"/>
                <w:u w:val="single"/>
              </w:rPr>
              <w:t>Stredná</w:t>
            </w:r>
            <w:r w:rsidRPr="009738F8">
              <w:rPr>
                <w:b/>
                <w:sz w:val="20"/>
                <w:szCs w:val="20"/>
                <w:u w:val="single"/>
              </w:rPr>
              <w:t xml:space="preserve"> priorita</w:t>
            </w:r>
            <w:r w:rsidRPr="009738F8">
              <w:rPr>
                <w:b/>
                <w:sz w:val="20"/>
                <w:szCs w:val="20"/>
              </w:rPr>
              <w:t xml:space="preserve"> - </w:t>
            </w:r>
            <w:r w:rsidRPr="00B93830">
              <w:rPr>
                <w:sz w:val="20"/>
                <w:szCs w:val="20"/>
              </w:rPr>
              <w:t>Rada EÚ aj EP schválili vlastné znenia návrhu, odvtedy sa však neúspešne snažili nájsť spoločný kompromis. Názorové rozdiely sa objavili aj v rámci Rady, kde sa niektoré štáty odklonili od schváleného textu Rady.</w:t>
            </w:r>
            <w:r>
              <w:rPr>
                <w:sz w:val="20"/>
                <w:szCs w:val="20"/>
              </w:rPr>
              <w:t xml:space="preserve"> </w:t>
            </w:r>
          </w:p>
          <w:p w14:paraId="6E3A0D6F" w14:textId="4FC6310D" w:rsidR="00E47756" w:rsidRPr="009738F8" w:rsidRDefault="009738F8" w:rsidP="00B808ED">
            <w:pPr>
              <w:spacing w:after="0" w:line="240" w:lineRule="auto"/>
              <w:ind w:left="6" w:right="51"/>
              <w:rPr>
                <w:sz w:val="20"/>
                <w:szCs w:val="20"/>
              </w:rPr>
            </w:pPr>
            <w:r>
              <w:rPr>
                <w:sz w:val="20"/>
                <w:szCs w:val="20"/>
              </w:rPr>
              <w:t>SR</w:t>
            </w:r>
            <w:r w:rsidRPr="00B93830">
              <w:rPr>
                <w:sz w:val="20"/>
                <w:szCs w:val="20"/>
              </w:rPr>
              <w:t xml:space="preserve"> podporuje zj</w:t>
            </w:r>
            <w:r w:rsidR="00B808ED">
              <w:rPr>
                <w:sz w:val="20"/>
                <w:szCs w:val="20"/>
              </w:rPr>
              <w:t xml:space="preserve">ednodušovanie administratívnych postupov </w:t>
            </w:r>
            <w:r w:rsidRPr="00B93830">
              <w:rPr>
                <w:sz w:val="20"/>
                <w:szCs w:val="20"/>
              </w:rPr>
              <w:t>a považovala návrh smernice za účinný nástroj predchádzania vzniku prekážok jednotného trhu EÚ. Stiahnutie návrhu vníma SR skepticky.</w:t>
            </w:r>
          </w:p>
        </w:tc>
      </w:tr>
      <w:tr w:rsidR="00E47756" w:rsidRPr="00E47756" w14:paraId="75E6C4FB" w14:textId="77777777" w:rsidTr="00BC46AE">
        <w:tblPrEx>
          <w:tblCellMar>
            <w:right w:w="56" w:type="dxa"/>
          </w:tblCellMar>
        </w:tblPrEx>
        <w:trPr>
          <w:trHeight w:val="1364"/>
        </w:trPr>
        <w:tc>
          <w:tcPr>
            <w:tcW w:w="442" w:type="dxa"/>
            <w:tcBorders>
              <w:top w:val="single" w:sz="4" w:space="0" w:color="000000"/>
              <w:left w:val="single" w:sz="4" w:space="0" w:color="000000"/>
              <w:bottom w:val="single" w:sz="4" w:space="0" w:color="auto"/>
              <w:right w:val="single" w:sz="4" w:space="0" w:color="000000"/>
            </w:tcBorders>
          </w:tcPr>
          <w:p w14:paraId="74F01DDB" w14:textId="77777777" w:rsidR="00E47756" w:rsidRPr="00E47756" w:rsidRDefault="00E47756" w:rsidP="00E47756">
            <w:pPr>
              <w:spacing w:after="0" w:line="240" w:lineRule="auto"/>
              <w:ind w:right="87"/>
              <w:jc w:val="center"/>
            </w:pPr>
            <w:r w:rsidRPr="00E47756">
              <w:rPr>
                <w:sz w:val="20"/>
              </w:rPr>
              <w:lastRenderedPageBreak/>
              <w:t xml:space="preserve">9. </w:t>
            </w:r>
          </w:p>
        </w:tc>
        <w:tc>
          <w:tcPr>
            <w:tcW w:w="1577" w:type="dxa"/>
            <w:tcBorders>
              <w:top w:val="single" w:sz="4" w:space="0" w:color="000000"/>
              <w:left w:val="single" w:sz="4" w:space="0" w:color="000000"/>
              <w:bottom w:val="single" w:sz="4" w:space="0" w:color="auto"/>
              <w:right w:val="single" w:sz="4" w:space="0" w:color="000000"/>
            </w:tcBorders>
          </w:tcPr>
          <w:p w14:paraId="3AB6567E" w14:textId="77777777" w:rsidR="00E47756" w:rsidRPr="00E47756" w:rsidRDefault="00E47756" w:rsidP="00E47756">
            <w:pPr>
              <w:spacing w:after="0" w:line="240" w:lineRule="auto"/>
            </w:pPr>
            <w:r w:rsidRPr="00E47756">
              <w:rPr>
                <w:sz w:val="20"/>
              </w:rPr>
              <w:t xml:space="preserve">COM(2019) 441 </w:t>
            </w:r>
            <w:proofErr w:type="spellStart"/>
            <w:r w:rsidRPr="00E47756">
              <w:rPr>
                <w:sz w:val="20"/>
              </w:rPr>
              <w:t>final</w:t>
            </w:r>
            <w:proofErr w:type="spellEnd"/>
            <w:r w:rsidRPr="00E47756">
              <w:rPr>
                <w:sz w:val="20"/>
              </w:rPr>
              <w:t xml:space="preserve"> </w:t>
            </w:r>
            <w:r w:rsidRPr="00E47756">
              <w:t>2019/0207 (NLE)</w:t>
            </w:r>
            <w:r w:rsidRPr="00E47756">
              <w:rPr>
                <w:sz w:val="20"/>
              </w:rPr>
              <w:t xml:space="preserve"> </w:t>
            </w:r>
          </w:p>
        </w:tc>
        <w:tc>
          <w:tcPr>
            <w:tcW w:w="3782" w:type="dxa"/>
            <w:tcBorders>
              <w:top w:val="single" w:sz="4" w:space="0" w:color="000000"/>
              <w:left w:val="single" w:sz="4" w:space="0" w:color="000000"/>
              <w:bottom w:val="single" w:sz="4" w:space="0" w:color="auto"/>
              <w:right w:val="single" w:sz="4" w:space="0" w:color="000000"/>
            </w:tcBorders>
            <w:vAlign w:val="center"/>
          </w:tcPr>
          <w:p w14:paraId="0020E40A" w14:textId="77777777" w:rsidR="00BC46AE" w:rsidRPr="00697F6A" w:rsidRDefault="00E47756" w:rsidP="00697F6A">
            <w:pPr>
              <w:spacing w:after="0" w:line="240" w:lineRule="auto"/>
              <w:ind w:left="4" w:right="49"/>
              <w:rPr>
                <w:sz w:val="20"/>
              </w:rPr>
            </w:pPr>
            <w:r w:rsidRPr="00E47756">
              <w:rPr>
                <w:sz w:val="20"/>
              </w:rPr>
              <w:t xml:space="preserve">návrh ROZHODNUTIE RADY o uzavretí, v mene Európskej únie a jej členských štátov, Protokolu k Dohode o spolupráci na civilnom globálnom navigačnom satelitnom systéme (GNSS) medzi Európskym spoločenstvom a jeho členskými štátmi a Ukrajinou s cieľom zohľadniť pristúpenie Bulharskej republiky, Chorvátskej republiky a Rumunska k Európskej únii </w:t>
            </w:r>
          </w:p>
        </w:tc>
        <w:tc>
          <w:tcPr>
            <w:tcW w:w="2685" w:type="dxa"/>
            <w:gridSpan w:val="2"/>
            <w:tcBorders>
              <w:top w:val="single" w:sz="4" w:space="0" w:color="000000"/>
              <w:left w:val="single" w:sz="4" w:space="0" w:color="000000"/>
              <w:bottom w:val="single" w:sz="4" w:space="0" w:color="auto"/>
              <w:right w:val="single" w:sz="4" w:space="0" w:color="000000"/>
            </w:tcBorders>
          </w:tcPr>
          <w:p w14:paraId="08D8F2F5" w14:textId="77777777" w:rsidR="00E47756" w:rsidRPr="00E47756" w:rsidRDefault="00E47756" w:rsidP="00BC46AE">
            <w:pPr>
              <w:spacing w:after="0" w:line="240" w:lineRule="auto"/>
              <w:ind w:right="51"/>
            </w:pPr>
            <w:r w:rsidRPr="00E47756">
              <w:rPr>
                <w:sz w:val="20"/>
              </w:rPr>
              <w:t>Zastarané: platnosť Dohody o spolupráci na civilnom globálnom navigačnom satelitnom systéme (GNSS) medzi Európskym spoločenstvom a jeho členskými štátmi a Ukrajinou uplynula v decembri 2018.</w:t>
            </w:r>
          </w:p>
        </w:tc>
        <w:tc>
          <w:tcPr>
            <w:tcW w:w="2954" w:type="dxa"/>
            <w:tcBorders>
              <w:top w:val="single" w:sz="4" w:space="0" w:color="000000"/>
              <w:left w:val="single" w:sz="4" w:space="0" w:color="000000"/>
              <w:bottom w:val="single" w:sz="4" w:space="0" w:color="auto"/>
              <w:right w:val="single" w:sz="4" w:space="0" w:color="000000"/>
            </w:tcBorders>
          </w:tcPr>
          <w:p w14:paraId="05ED51A3" w14:textId="77777777" w:rsidR="00E47756" w:rsidRPr="00E47756" w:rsidRDefault="00E47756" w:rsidP="003314CE">
            <w:pPr>
              <w:spacing w:after="0" w:line="240" w:lineRule="auto"/>
              <w:ind w:left="4" w:right="51"/>
              <w:jc w:val="center"/>
              <w:rPr>
                <w:b/>
                <w:sz w:val="20"/>
              </w:rPr>
            </w:pPr>
            <w:r w:rsidRPr="00E47756">
              <w:rPr>
                <w:b/>
                <w:sz w:val="20"/>
              </w:rPr>
              <w:t>MDV SR</w:t>
            </w:r>
          </w:p>
        </w:tc>
        <w:tc>
          <w:tcPr>
            <w:tcW w:w="2813" w:type="dxa"/>
            <w:tcBorders>
              <w:top w:val="single" w:sz="4" w:space="0" w:color="000000"/>
              <w:left w:val="single" w:sz="4" w:space="0" w:color="000000"/>
              <w:bottom w:val="single" w:sz="4" w:space="0" w:color="auto"/>
              <w:right w:val="single" w:sz="4" w:space="0" w:color="000000"/>
            </w:tcBorders>
          </w:tcPr>
          <w:p w14:paraId="7C6197A5" w14:textId="77777777" w:rsidR="00E47756" w:rsidRDefault="00E47756" w:rsidP="00BC46AE">
            <w:pPr>
              <w:spacing w:after="0" w:line="240" w:lineRule="auto"/>
              <w:ind w:left="4" w:right="51"/>
              <w:rPr>
                <w:sz w:val="20"/>
              </w:rPr>
            </w:pPr>
            <w:r w:rsidRPr="00E47756">
              <w:rPr>
                <w:sz w:val="20"/>
              </w:rPr>
              <w:t>SR podporuje stiahnutie tohto návrhu.</w:t>
            </w:r>
          </w:p>
          <w:p w14:paraId="470383CA" w14:textId="77777777" w:rsidR="00BC46AE" w:rsidRDefault="00BC46AE" w:rsidP="00BC46AE">
            <w:pPr>
              <w:spacing w:after="0" w:line="240" w:lineRule="auto"/>
              <w:ind w:left="4" w:right="51"/>
              <w:rPr>
                <w:sz w:val="20"/>
              </w:rPr>
            </w:pPr>
          </w:p>
          <w:p w14:paraId="6CE3B013" w14:textId="77777777" w:rsidR="00BC46AE" w:rsidRPr="00E47756" w:rsidRDefault="00BC46AE" w:rsidP="00BC46AE">
            <w:pPr>
              <w:spacing w:after="0" w:line="240" w:lineRule="auto"/>
              <w:ind w:left="4" w:right="51"/>
              <w:rPr>
                <w:sz w:val="20"/>
              </w:rPr>
            </w:pPr>
          </w:p>
        </w:tc>
      </w:tr>
      <w:tr w:rsidR="00E47756" w:rsidRPr="00E47756" w14:paraId="0061E75A" w14:textId="77777777" w:rsidTr="001A4016">
        <w:tblPrEx>
          <w:tblCellMar>
            <w:right w:w="56" w:type="dxa"/>
          </w:tblCellMar>
        </w:tblPrEx>
        <w:trPr>
          <w:trHeight w:val="463"/>
        </w:trPr>
        <w:tc>
          <w:tcPr>
            <w:tcW w:w="5801" w:type="dxa"/>
            <w:gridSpan w:val="3"/>
            <w:tcBorders>
              <w:top w:val="single" w:sz="4" w:space="0" w:color="auto"/>
              <w:left w:val="single" w:sz="4" w:space="0" w:color="000000"/>
              <w:bottom w:val="single" w:sz="4" w:space="0" w:color="000000"/>
              <w:right w:val="nil"/>
            </w:tcBorders>
            <w:shd w:val="clear" w:color="auto" w:fill="F68A42"/>
            <w:vAlign w:val="center"/>
          </w:tcPr>
          <w:p w14:paraId="311FC998" w14:textId="77777777" w:rsidR="00E47756" w:rsidRPr="00E47756" w:rsidRDefault="00E47756" w:rsidP="00E47756">
            <w:r w:rsidRPr="00E47756">
              <w:rPr>
                <w:b/>
                <w:color w:val="FFFFFF"/>
                <w:sz w:val="20"/>
              </w:rPr>
              <w:t>Hospodárstvo, ktoré pracuje v prospech ľudí</w:t>
            </w:r>
            <w:r w:rsidRPr="00E47756">
              <w:rPr>
                <w:sz w:val="20"/>
              </w:rPr>
              <w:t xml:space="preserve"> </w:t>
            </w:r>
          </w:p>
        </w:tc>
        <w:tc>
          <w:tcPr>
            <w:tcW w:w="2685" w:type="dxa"/>
            <w:gridSpan w:val="2"/>
            <w:tcBorders>
              <w:top w:val="single" w:sz="4" w:space="0" w:color="auto"/>
              <w:left w:val="nil"/>
              <w:bottom w:val="single" w:sz="4" w:space="0" w:color="000000"/>
              <w:right w:val="single" w:sz="4" w:space="0" w:color="000000"/>
            </w:tcBorders>
            <w:shd w:val="clear" w:color="auto" w:fill="F68A42"/>
          </w:tcPr>
          <w:p w14:paraId="2B85A22A" w14:textId="77777777" w:rsidR="00E47756" w:rsidRPr="00E47756" w:rsidRDefault="00E47756" w:rsidP="00E47756"/>
        </w:tc>
        <w:tc>
          <w:tcPr>
            <w:tcW w:w="2954" w:type="dxa"/>
            <w:tcBorders>
              <w:top w:val="single" w:sz="4" w:space="0" w:color="auto"/>
              <w:left w:val="nil"/>
              <w:bottom w:val="single" w:sz="4" w:space="0" w:color="000000"/>
              <w:right w:val="single" w:sz="4" w:space="0" w:color="000000"/>
            </w:tcBorders>
            <w:shd w:val="clear" w:color="auto" w:fill="F68A42"/>
          </w:tcPr>
          <w:p w14:paraId="40AAE5D9" w14:textId="77777777" w:rsidR="00E47756" w:rsidRPr="00E47756" w:rsidRDefault="00E47756" w:rsidP="00E47756"/>
        </w:tc>
        <w:tc>
          <w:tcPr>
            <w:tcW w:w="2813" w:type="dxa"/>
            <w:tcBorders>
              <w:top w:val="single" w:sz="4" w:space="0" w:color="auto"/>
              <w:left w:val="nil"/>
              <w:bottom w:val="single" w:sz="4" w:space="0" w:color="000000"/>
              <w:right w:val="single" w:sz="4" w:space="0" w:color="000000"/>
            </w:tcBorders>
            <w:shd w:val="clear" w:color="auto" w:fill="F68A42"/>
          </w:tcPr>
          <w:p w14:paraId="77407F55" w14:textId="77777777" w:rsidR="00E47756" w:rsidRPr="00E47756" w:rsidRDefault="00E47756" w:rsidP="00E47756"/>
        </w:tc>
      </w:tr>
      <w:tr w:rsidR="00E47756" w:rsidRPr="00E47756" w14:paraId="3ADCAA22" w14:textId="77777777" w:rsidTr="001A4016">
        <w:tblPrEx>
          <w:tblCellMar>
            <w:right w:w="56" w:type="dxa"/>
          </w:tblCellMar>
        </w:tblPrEx>
        <w:trPr>
          <w:trHeight w:val="1136"/>
        </w:trPr>
        <w:tc>
          <w:tcPr>
            <w:tcW w:w="442" w:type="dxa"/>
            <w:tcBorders>
              <w:top w:val="single" w:sz="4" w:space="0" w:color="000000"/>
              <w:left w:val="single" w:sz="4" w:space="0" w:color="000000"/>
              <w:bottom w:val="single" w:sz="4" w:space="0" w:color="000000"/>
              <w:right w:val="single" w:sz="4" w:space="0" w:color="000000"/>
            </w:tcBorders>
          </w:tcPr>
          <w:p w14:paraId="46F52AC2" w14:textId="77777777" w:rsidR="00E47756" w:rsidRPr="00E47756" w:rsidRDefault="00E47756" w:rsidP="00E47756">
            <w:pPr>
              <w:spacing w:after="0" w:line="240" w:lineRule="auto"/>
              <w:ind w:right="53"/>
              <w:jc w:val="right"/>
            </w:pPr>
            <w:r w:rsidRPr="00E47756">
              <w:rPr>
                <w:sz w:val="20"/>
              </w:rPr>
              <w:t xml:space="preserve">10. </w:t>
            </w:r>
          </w:p>
        </w:tc>
        <w:tc>
          <w:tcPr>
            <w:tcW w:w="1577" w:type="dxa"/>
            <w:tcBorders>
              <w:top w:val="single" w:sz="4" w:space="0" w:color="000000"/>
              <w:left w:val="single" w:sz="4" w:space="0" w:color="000000"/>
              <w:bottom w:val="single" w:sz="4" w:space="0" w:color="000000"/>
              <w:right w:val="single" w:sz="4" w:space="0" w:color="000000"/>
            </w:tcBorders>
          </w:tcPr>
          <w:p w14:paraId="46761DC2" w14:textId="77777777" w:rsidR="00E47756" w:rsidRPr="00E47756" w:rsidRDefault="00E47756" w:rsidP="00E47756">
            <w:pPr>
              <w:spacing w:after="0" w:line="240" w:lineRule="auto"/>
            </w:pPr>
            <w:r w:rsidRPr="00E47756">
              <w:rPr>
                <w:sz w:val="20"/>
              </w:rPr>
              <w:t xml:space="preserve">COM(2019) 354 </w:t>
            </w:r>
            <w:proofErr w:type="spellStart"/>
            <w:r w:rsidRPr="00E47756">
              <w:rPr>
                <w:sz w:val="20"/>
              </w:rPr>
              <w:t>final</w:t>
            </w:r>
            <w:proofErr w:type="spellEnd"/>
            <w:r w:rsidRPr="00E47756">
              <w:t xml:space="preserve">  </w:t>
            </w:r>
            <w:r w:rsidRPr="00E47756">
              <w:rPr>
                <w:sz w:val="20"/>
              </w:rPr>
              <w:t xml:space="preserve">2019/0161 (COD) </w:t>
            </w:r>
          </w:p>
        </w:tc>
        <w:tc>
          <w:tcPr>
            <w:tcW w:w="3782" w:type="dxa"/>
            <w:tcBorders>
              <w:top w:val="single" w:sz="4" w:space="0" w:color="000000"/>
              <w:left w:val="single" w:sz="4" w:space="0" w:color="000000"/>
              <w:bottom w:val="single" w:sz="4" w:space="0" w:color="000000"/>
              <w:right w:val="single" w:sz="4" w:space="0" w:color="000000"/>
            </w:tcBorders>
          </w:tcPr>
          <w:p w14:paraId="3C607611" w14:textId="77777777" w:rsidR="00E47756" w:rsidRPr="00E47756" w:rsidRDefault="00E47756" w:rsidP="00E47756">
            <w:pPr>
              <w:tabs>
                <w:tab w:val="center" w:pos="231"/>
                <w:tab w:val="center" w:pos="1282"/>
                <w:tab w:val="center" w:pos="2767"/>
                <w:tab w:val="center" w:pos="4322"/>
                <w:tab w:val="center" w:pos="5597"/>
                <w:tab w:val="center" w:pos="6491"/>
                <w:tab w:val="center" w:pos="7325"/>
              </w:tabs>
              <w:spacing w:after="0" w:line="240" w:lineRule="auto"/>
            </w:pPr>
            <w:r w:rsidRPr="00E47756">
              <w:rPr>
                <w:sz w:val="22"/>
              </w:rPr>
              <w:tab/>
            </w:r>
            <w:r w:rsidRPr="00E47756">
              <w:rPr>
                <w:sz w:val="20"/>
              </w:rPr>
              <w:t xml:space="preserve">návrh </w:t>
            </w:r>
            <w:r w:rsidRPr="00E47756">
              <w:rPr>
                <w:sz w:val="20"/>
              </w:rPr>
              <w:tab/>
              <w:t xml:space="preserve">NARIADENIE </w:t>
            </w:r>
            <w:r w:rsidRPr="00E47756">
              <w:rPr>
                <w:sz w:val="20"/>
              </w:rPr>
              <w:tab/>
              <w:t xml:space="preserve">EURÓPSKEHO </w:t>
            </w:r>
            <w:r w:rsidRPr="00E47756">
              <w:rPr>
                <w:sz w:val="20"/>
              </w:rPr>
              <w:tab/>
              <w:t xml:space="preserve">PARLAMENTU </w:t>
            </w:r>
            <w:r w:rsidRPr="00E47756">
              <w:rPr>
                <w:sz w:val="20"/>
              </w:rPr>
              <w:tab/>
              <w:t xml:space="preserve">A RADY </w:t>
            </w:r>
            <w:r w:rsidRPr="00E47756">
              <w:rPr>
                <w:sz w:val="20"/>
              </w:rPr>
              <w:tab/>
              <w:t xml:space="preserve">o rámci </w:t>
            </w:r>
            <w:r w:rsidRPr="00E47756">
              <w:rPr>
                <w:sz w:val="20"/>
              </w:rPr>
              <w:tab/>
              <w:t xml:space="preserve">riadenia </w:t>
            </w:r>
          </w:p>
          <w:p w14:paraId="5B9E34CE" w14:textId="77777777" w:rsidR="00E47756" w:rsidRPr="00E47756" w:rsidRDefault="00E47756" w:rsidP="00E47756">
            <w:pPr>
              <w:spacing w:after="0" w:line="240" w:lineRule="auto"/>
              <w:ind w:left="4"/>
            </w:pPr>
            <w:r w:rsidRPr="00E47756">
              <w:rPr>
                <w:sz w:val="20"/>
              </w:rPr>
              <w:t xml:space="preserve">rozpočtového nástroja pre konvergenciu a konkurencieschopnosť eurozóny </w:t>
            </w:r>
          </w:p>
        </w:tc>
        <w:tc>
          <w:tcPr>
            <w:tcW w:w="2685" w:type="dxa"/>
            <w:gridSpan w:val="2"/>
            <w:tcBorders>
              <w:top w:val="single" w:sz="4" w:space="0" w:color="000000"/>
              <w:left w:val="single" w:sz="4" w:space="0" w:color="000000"/>
              <w:bottom w:val="single" w:sz="4" w:space="0" w:color="000000"/>
              <w:right w:val="single" w:sz="4" w:space="0" w:color="000000"/>
            </w:tcBorders>
          </w:tcPr>
          <w:p w14:paraId="5F5C9960" w14:textId="77777777" w:rsidR="00E47756" w:rsidRPr="00E47756" w:rsidRDefault="00E47756" w:rsidP="00E47756">
            <w:pPr>
              <w:spacing w:after="0" w:line="240" w:lineRule="auto"/>
              <w:ind w:left="4" w:right="53"/>
            </w:pPr>
            <w:r w:rsidRPr="00E47756">
              <w:rPr>
                <w:sz w:val="20"/>
              </w:rPr>
              <w:t xml:space="preserve">Zastarané: stiahnutie tohto návrhu bolo oznámené v kontexte návrhu nariadenia, ktorým sa ustanovuje Mechanizmus na podporu obnovy a odolnosti [COM(2020) 408]. </w:t>
            </w:r>
          </w:p>
        </w:tc>
        <w:tc>
          <w:tcPr>
            <w:tcW w:w="2954" w:type="dxa"/>
            <w:tcBorders>
              <w:top w:val="single" w:sz="4" w:space="0" w:color="000000"/>
              <w:left w:val="single" w:sz="4" w:space="0" w:color="000000"/>
              <w:bottom w:val="single" w:sz="4" w:space="0" w:color="000000"/>
              <w:right w:val="single" w:sz="4" w:space="0" w:color="000000"/>
            </w:tcBorders>
          </w:tcPr>
          <w:p w14:paraId="7E74F035" w14:textId="77777777" w:rsidR="00E47756" w:rsidRPr="00E47756" w:rsidRDefault="00E47756" w:rsidP="00E47756">
            <w:pPr>
              <w:spacing w:after="0" w:line="240" w:lineRule="auto"/>
              <w:ind w:left="4" w:right="53"/>
              <w:jc w:val="center"/>
              <w:rPr>
                <w:b/>
                <w:sz w:val="20"/>
              </w:rPr>
            </w:pPr>
            <w:r w:rsidRPr="00E47756">
              <w:rPr>
                <w:b/>
                <w:sz w:val="20"/>
              </w:rPr>
              <w:t>MF SR</w:t>
            </w:r>
          </w:p>
        </w:tc>
        <w:tc>
          <w:tcPr>
            <w:tcW w:w="2813" w:type="dxa"/>
            <w:tcBorders>
              <w:top w:val="single" w:sz="4" w:space="0" w:color="000000"/>
              <w:left w:val="single" w:sz="4" w:space="0" w:color="000000"/>
              <w:bottom w:val="single" w:sz="4" w:space="0" w:color="000000"/>
              <w:right w:val="single" w:sz="4" w:space="0" w:color="000000"/>
            </w:tcBorders>
          </w:tcPr>
          <w:p w14:paraId="67301684" w14:textId="77777777" w:rsidR="00E47756" w:rsidRPr="00E47756" w:rsidRDefault="00E47756" w:rsidP="00E47756">
            <w:pPr>
              <w:spacing w:after="0" w:line="240" w:lineRule="auto"/>
              <w:ind w:left="4" w:right="53"/>
              <w:rPr>
                <w:sz w:val="20"/>
              </w:rPr>
            </w:pPr>
            <w:r w:rsidRPr="00E47756">
              <w:rPr>
                <w:sz w:val="20"/>
              </w:rPr>
              <w:t>SR podporuje stiahnutie tohto návrhu.</w:t>
            </w:r>
          </w:p>
        </w:tc>
      </w:tr>
      <w:tr w:rsidR="00E47756" w:rsidRPr="00E47756" w14:paraId="0C0480F3" w14:textId="77777777" w:rsidTr="001A4016">
        <w:tblPrEx>
          <w:tblCellMar>
            <w:right w:w="56" w:type="dxa"/>
          </w:tblCellMar>
        </w:tblPrEx>
        <w:trPr>
          <w:trHeight w:val="1100"/>
        </w:trPr>
        <w:tc>
          <w:tcPr>
            <w:tcW w:w="442" w:type="dxa"/>
            <w:tcBorders>
              <w:top w:val="single" w:sz="4" w:space="0" w:color="000000"/>
              <w:left w:val="single" w:sz="4" w:space="0" w:color="000000"/>
              <w:bottom w:val="single" w:sz="4" w:space="0" w:color="000000"/>
              <w:right w:val="single" w:sz="4" w:space="0" w:color="000000"/>
            </w:tcBorders>
          </w:tcPr>
          <w:p w14:paraId="3E77AE92" w14:textId="77777777" w:rsidR="00E47756" w:rsidRPr="00E47756" w:rsidRDefault="00E47756" w:rsidP="00E47756">
            <w:pPr>
              <w:spacing w:after="0" w:line="240" w:lineRule="auto"/>
              <w:ind w:right="53"/>
              <w:jc w:val="right"/>
            </w:pPr>
            <w:r w:rsidRPr="00E47756">
              <w:rPr>
                <w:sz w:val="20"/>
              </w:rPr>
              <w:t xml:space="preserve">11. </w:t>
            </w:r>
          </w:p>
        </w:tc>
        <w:tc>
          <w:tcPr>
            <w:tcW w:w="1577" w:type="dxa"/>
            <w:tcBorders>
              <w:top w:val="single" w:sz="4" w:space="0" w:color="000000"/>
              <w:left w:val="single" w:sz="4" w:space="0" w:color="000000"/>
              <w:bottom w:val="single" w:sz="4" w:space="0" w:color="000000"/>
              <w:right w:val="single" w:sz="4" w:space="0" w:color="000000"/>
            </w:tcBorders>
          </w:tcPr>
          <w:p w14:paraId="1070F72D" w14:textId="77777777" w:rsidR="00E47756" w:rsidRPr="00E47756" w:rsidRDefault="00E47756" w:rsidP="00E47756">
            <w:pPr>
              <w:spacing w:after="0" w:line="240" w:lineRule="auto"/>
            </w:pPr>
            <w:r w:rsidRPr="00E47756">
              <w:rPr>
                <w:sz w:val="20"/>
              </w:rPr>
              <w:t xml:space="preserve">COM(2018) 391 </w:t>
            </w:r>
            <w:proofErr w:type="spellStart"/>
            <w:r w:rsidRPr="00E47756">
              <w:rPr>
                <w:sz w:val="20"/>
              </w:rPr>
              <w:t>final</w:t>
            </w:r>
            <w:proofErr w:type="spellEnd"/>
            <w:r w:rsidRPr="00E47756">
              <w:t xml:space="preserve">  </w:t>
            </w:r>
            <w:r w:rsidRPr="00E47756">
              <w:rPr>
                <w:sz w:val="20"/>
              </w:rPr>
              <w:t xml:space="preserve">2018/0213 (COD) </w:t>
            </w:r>
          </w:p>
        </w:tc>
        <w:tc>
          <w:tcPr>
            <w:tcW w:w="3782" w:type="dxa"/>
            <w:tcBorders>
              <w:top w:val="single" w:sz="4" w:space="0" w:color="000000"/>
              <w:left w:val="single" w:sz="4" w:space="0" w:color="000000"/>
              <w:bottom w:val="single" w:sz="4" w:space="0" w:color="000000"/>
              <w:right w:val="single" w:sz="4" w:space="0" w:color="000000"/>
            </w:tcBorders>
          </w:tcPr>
          <w:p w14:paraId="58C72E8C" w14:textId="77777777" w:rsidR="00E47756" w:rsidRPr="00E47756" w:rsidRDefault="00E47756" w:rsidP="00E47756">
            <w:pPr>
              <w:spacing w:after="0" w:line="240" w:lineRule="auto"/>
              <w:ind w:left="4"/>
            </w:pPr>
            <w:r w:rsidRPr="00E47756">
              <w:rPr>
                <w:sz w:val="20"/>
              </w:rPr>
              <w:t xml:space="preserve">návrh NARIADENIE EURÓPSKEHO PARLAMENTU A RADY o zriadení Programu na podporu reforiem </w:t>
            </w:r>
          </w:p>
        </w:tc>
        <w:tc>
          <w:tcPr>
            <w:tcW w:w="2685" w:type="dxa"/>
            <w:gridSpan w:val="2"/>
            <w:tcBorders>
              <w:top w:val="single" w:sz="4" w:space="0" w:color="000000"/>
              <w:left w:val="single" w:sz="4" w:space="0" w:color="000000"/>
              <w:bottom w:val="single" w:sz="4" w:space="0" w:color="000000"/>
              <w:right w:val="single" w:sz="4" w:space="0" w:color="000000"/>
            </w:tcBorders>
          </w:tcPr>
          <w:p w14:paraId="6C518959" w14:textId="77777777" w:rsidR="00E47756" w:rsidRPr="00E47756" w:rsidRDefault="00E47756" w:rsidP="00E47756">
            <w:pPr>
              <w:spacing w:after="0" w:line="240" w:lineRule="auto"/>
              <w:ind w:left="4" w:right="53"/>
              <w:rPr>
                <w:sz w:val="20"/>
              </w:rPr>
            </w:pPr>
            <w:r w:rsidRPr="00E47756">
              <w:rPr>
                <w:sz w:val="20"/>
              </w:rPr>
              <w:t xml:space="preserve">Zastarané: stiahnutie tohto návrhu bolo oznámené v kontexte návrhu nariadenia, ktorým sa ustanovuje Mechanizmus na podporu obnovy a odolnosti [COM(2020) 408]. </w:t>
            </w:r>
          </w:p>
          <w:p w14:paraId="0F0F0908" w14:textId="77777777" w:rsidR="00E47756" w:rsidRPr="00E47756" w:rsidRDefault="00E47756" w:rsidP="00E47756">
            <w:pPr>
              <w:spacing w:after="0" w:line="240" w:lineRule="auto"/>
              <w:ind w:left="4" w:right="53"/>
            </w:pPr>
          </w:p>
          <w:p w14:paraId="4EDA2862" w14:textId="77777777" w:rsidR="00E47756" w:rsidRPr="00E47756" w:rsidRDefault="00E47756" w:rsidP="00E47756">
            <w:pPr>
              <w:spacing w:after="0" w:line="240" w:lineRule="auto"/>
              <w:ind w:left="4" w:right="53"/>
            </w:pPr>
          </w:p>
          <w:p w14:paraId="224C2573" w14:textId="77777777" w:rsidR="00E47756" w:rsidRPr="00E47756" w:rsidRDefault="00E47756" w:rsidP="00E47756">
            <w:pPr>
              <w:spacing w:after="0" w:line="240" w:lineRule="auto"/>
              <w:ind w:left="4" w:right="53"/>
            </w:pPr>
          </w:p>
        </w:tc>
        <w:tc>
          <w:tcPr>
            <w:tcW w:w="2954" w:type="dxa"/>
            <w:tcBorders>
              <w:top w:val="single" w:sz="4" w:space="0" w:color="000000"/>
              <w:left w:val="single" w:sz="4" w:space="0" w:color="000000"/>
              <w:bottom w:val="single" w:sz="4" w:space="0" w:color="000000"/>
              <w:right w:val="single" w:sz="4" w:space="0" w:color="000000"/>
            </w:tcBorders>
          </w:tcPr>
          <w:p w14:paraId="5E456B31" w14:textId="77777777" w:rsidR="00E47756" w:rsidRPr="00E47756" w:rsidRDefault="00E47756" w:rsidP="00E47756">
            <w:pPr>
              <w:spacing w:after="0" w:line="240" w:lineRule="auto"/>
              <w:ind w:left="4" w:right="53"/>
              <w:jc w:val="center"/>
              <w:rPr>
                <w:b/>
                <w:sz w:val="20"/>
              </w:rPr>
            </w:pPr>
            <w:r w:rsidRPr="00E47756">
              <w:rPr>
                <w:b/>
                <w:sz w:val="20"/>
              </w:rPr>
              <w:t>MF SR</w:t>
            </w:r>
          </w:p>
        </w:tc>
        <w:tc>
          <w:tcPr>
            <w:tcW w:w="2813" w:type="dxa"/>
            <w:tcBorders>
              <w:top w:val="single" w:sz="4" w:space="0" w:color="000000"/>
              <w:left w:val="single" w:sz="4" w:space="0" w:color="000000"/>
              <w:bottom w:val="single" w:sz="4" w:space="0" w:color="000000"/>
              <w:right w:val="single" w:sz="4" w:space="0" w:color="000000"/>
            </w:tcBorders>
          </w:tcPr>
          <w:p w14:paraId="282E1C68" w14:textId="77777777" w:rsidR="00E47756" w:rsidRPr="00E47756" w:rsidRDefault="00E47756" w:rsidP="00E47756">
            <w:pPr>
              <w:spacing w:after="0" w:line="240" w:lineRule="auto"/>
              <w:ind w:left="4" w:right="53"/>
              <w:rPr>
                <w:sz w:val="20"/>
              </w:rPr>
            </w:pPr>
            <w:r w:rsidRPr="00E47756">
              <w:rPr>
                <w:sz w:val="20"/>
              </w:rPr>
              <w:t>SR podporuje stiahnutie tohto návrhu.</w:t>
            </w:r>
          </w:p>
        </w:tc>
      </w:tr>
      <w:tr w:rsidR="00E47756" w:rsidRPr="00E47756" w14:paraId="270A89D3" w14:textId="77777777" w:rsidTr="001A4016">
        <w:tblPrEx>
          <w:tblCellMar>
            <w:right w:w="56" w:type="dxa"/>
          </w:tblCellMar>
        </w:tblPrEx>
        <w:trPr>
          <w:trHeight w:val="1099"/>
        </w:trPr>
        <w:tc>
          <w:tcPr>
            <w:tcW w:w="442" w:type="dxa"/>
            <w:tcBorders>
              <w:top w:val="single" w:sz="4" w:space="0" w:color="000000"/>
              <w:left w:val="single" w:sz="4" w:space="0" w:color="000000"/>
              <w:bottom w:val="single" w:sz="4" w:space="0" w:color="000000"/>
              <w:right w:val="single" w:sz="4" w:space="0" w:color="000000"/>
            </w:tcBorders>
          </w:tcPr>
          <w:p w14:paraId="23D3A27A" w14:textId="77777777" w:rsidR="00E47756" w:rsidRPr="00E47756" w:rsidRDefault="00E47756" w:rsidP="00E47756">
            <w:pPr>
              <w:spacing w:after="0" w:line="240" w:lineRule="auto"/>
              <w:ind w:right="53"/>
              <w:jc w:val="right"/>
            </w:pPr>
            <w:r w:rsidRPr="00E47756">
              <w:rPr>
                <w:sz w:val="20"/>
              </w:rPr>
              <w:t xml:space="preserve">12. </w:t>
            </w:r>
          </w:p>
        </w:tc>
        <w:tc>
          <w:tcPr>
            <w:tcW w:w="1577" w:type="dxa"/>
            <w:tcBorders>
              <w:top w:val="single" w:sz="4" w:space="0" w:color="000000"/>
              <w:left w:val="single" w:sz="4" w:space="0" w:color="000000"/>
              <w:bottom w:val="single" w:sz="4" w:space="0" w:color="000000"/>
              <w:right w:val="single" w:sz="4" w:space="0" w:color="000000"/>
            </w:tcBorders>
          </w:tcPr>
          <w:p w14:paraId="090CDEA4" w14:textId="77777777" w:rsidR="00E47756" w:rsidRPr="00E47756" w:rsidRDefault="00E47756" w:rsidP="00E47756">
            <w:pPr>
              <w:spacing w:after="0" w:line="240" w:lineRule="auto"/>
            </w:pPr>
            <w:r w:rsidRPr="00E47756">
              <w:rPr>
                <w:sz w:val="20"/>
              </w:rPr>
              <w:t xml:space="preserve">COM(2019) 399 </w:t>
            </w:r>
            <w:proofErr w:type="spellStart"/>
            <w:r w:rsidRPr="00E47756">
              <w:rPr>
                <w:sz w:val="20"/>
              </w:rPr>
              <w:t>final</w:t>
            </w:r>
            <w:proofErr w:type="spellEnd"/>
            <w:r w:rsidRPr="00E47756">
              <w:t xml:space="preserve">  </w:t>
            </w:r>
            <w:r w:rsidRPr="00E47756">
              <w:rPr>
                <w:sz w:val="20"/>
              </w:rPr>
              <w:t xml:space="preserve">2019/0183 (COD) </w:t>
            </w:r>
          </w:p>
        </w:tc>
        <w:tc>
          <w:tcPr>
            <w:tcW w:w="3782" w:type="dxa"/>
            <w:tcBorders>
              <w:top w:val="single" w:sz="4" w:space="0" w:color="000000"/>
              <w:left w:val="single" w:sz="4" w:space="0" w:color="000000"/>
              <w:bottom w:val="single" w:sz="4" w:space="0" w:color="000000"/>
              <w:right w:val="single" w:sz="4" w:space="0" w:color="000000"/>
            </w:tcBorders>
          </w:tcPr>
          <w:p w14:paraId="72BF23F1" w14:textId="1A1AC43F" w:rsidR="00BC46AE" w:rsidRPr="00F46B8A" w:rsidRDefault="00E47756" w:rsidP="00F46B8A">
            <w:pPr>
              <w:spacing w:after="0" w:line="240" w:lineRule="auto"/>
              <w:ind w:left="4" w:right="52"/>
              <w:rPr>
                <w:sz w:val="20"/>
              </w:rPr>
            </w:pPr>
            <w:r w:rsidRPr="00E47756">
              <w:rPr>
                <w:sz w:val="20"/>
              </w:rPr>
              <w:t xml:space="preserve">návrh NARIADENIE EURÓPSKEHO PARLAMENTU A RADY, ktorým sa mení nariadenie Rady (ES) č. 2012/2002 s cieľom poskytnúť finančnú pomoc členským štátom na pokrytie vážnej finančnej záťaže, ktorá im </w:t>
            </w:r>
            <w:r w:rsidRPr="00E47756">
              <w:rPr>
                <w:sz w:val="20"/>
              </w:rPr>
              <w:lastRenderedPageBreak/>
              <w:t>vznikla v dôsledku vystúpenia Spojeného kráľovstva z Únie bez do</w:t>
            </w:r>
            <w:r w:rsidR="00697F6A">
              <w:rPr>
                <w:sz w:val="20"/>
              </w:rPr>
              <w:t>hody</w:t>
            </w:r>
            <w:r w:rsidR="00F46B8A">
              <w:rPr>
                <w:sz w:val="20"/>
              </w:rPr>
              <w:t>.</w:t>
            </w:r>
          </w:p>
        </w:tc>
        <w:tc>
          <w:tcPr>
            <w:tcW w:w="2685" w:type="dxa"/>
            <w:gridSpan w:val="2"/>
            <w:tcBorders>
              <w:top w:val="single" w:sz="4" w:space="0" w:color="000000"/>
              <w:left w:val="single" w:sz="4" w:space="0" w:color="000000"/>
              <w:bottom w:val="single" w:sz="4" w:space="0" w:color="000000"/>
              <w:right w:val="single" w:sz="4" w:space="0" w:color="000000"/>
            </w:tcBorders>
          </w:tcPr>
          <w:p w14:paraId="3E68D525" w14:textId="77777777" w:rsidR="00E47756" w:rsidRPr="00E47756" w:rsidRDefault="00E47756" w:rsidP="00E47756">
            <w:pPr>
              <w:spacing w:after="0" w:line="240" w:lineRule="auto"/>
              <w:ind w:left="4" w:right="52"/>
            </w:pPr>
            <w:r w:rsidRPr="00E47756">
              <w:rPr>
                <w:sz w:val="20"/>
              </w:rPr>
              <w:lastRenderedPageBreak/>
              <w:t xml:space="preserve">Zastarané: návrh bol pôvodne predložený ako krízové opatrenie v prípade </w:t>
            </w:r>
            <w:proofErr w:type="spellStart"/>
            <w:r w:rsidRPr="00E47756">
              <w:rPr>
                <w:sz w:val="20"/>
              </w:rPr>
              <w:t>brexitu</w:t>
            </w:r>
            <w:proofErr w:type="spellEnd"/>
            <w:r w:rsidRPr="00E47756">
              <w:rPr>
                <w:sz w:val="20"/>
              </w:rPr>
              <w:t xml:space="preserve"> bez dohody a teraz je vzhľadom na uzavretú dohodu o vystúpení zastaraný.  </w:t>
            </w:r>
          </w:p>
        </w:tc>
        <w:tc>
          <w:tcPr>
            <w:tcW w:w="2954" w:type="dxa"/>
            <w:tcBorders>
              <w:top w:val="single" w:sz="4" w:space="0" w:color="000000"/>
              <w:left w:val="single" w:sz="4" w:space="0" w:color="000000"/>
              <w:bottom w:val="single" w:sz="4" w:space="0" w:color="000000"/>
              <w:right w:val="single" w:sz="4" w:space="0" w:color="000000"/>
            </w:tcBorders>
          </w:tcPr>
          <w:p w14:paraId="56C5C083" w14:textId="77777777" w:rsidR="00E47756" w:rsidRPr="00E47756" w:rsidRDefault="00E47756" w:rsidP="00E47756">
            <w:pPr>
              <w:spacing w:after="0" w:line="240" w:lineRule="auto"/>
              <w:ind w:left="4" w:right="52"/>
              <w:jc w:val="center"/>
              <w:rPr>
                <w:b/>
                <w:sz w:val="20"/>
              </w:rPr>
            </w:pPr>
            <w:r w:rsidRPr="00E47756">
              <w:rPr>
                <w:b/>
                <w:sz w:val="20"/>
              </w:rPr>
              <w:t>MF SR</w:t>
            </w:r>
          </w:p>
        </w:tc>
        <w:tc>
          <w:tcPr>
            <w:tcW w:w="2813" w:type="dxa"/>
            <w:tcBorders>
              <w:top w:val="single" w:sz="4" w:space="0" w:color="000000"/>
              <w:left w:val="single" w:sz="4" w:space="0" w:color="000000"/>
              <w:bottom w:val="single" w:sz="4" w:space="0" w:color="000000"/>
              <w:right w:val="single" w:sz="4" w:space="0" w:color="000000"/>
            </w:tcBorders>
          </w:tcPr>
          <w:p w14:paraId="7B7733C8" w14:textId="77777777" w:rsidR="00E47756" w:rsidRPr="00E47756" w:rsidRDefault="00E47756" w:rsidP="00E47756">
            <w:pPr>
              <w:spacing w:after="0" w:line="240" w:lineRule="auto"/>
              <w:ind w:left="4" w:right="52"/>
              <w:rPr>
                <w:sz w:val="20"/>
              </w:rPr>
            </w:pPr>
            <w:r w:rsidRPr="00E47756">
              <w:rPr>
                <w:sz w:val="20"/>
              </w:rPr>
              <w:t>SR podporuje stiahnutie tohto návrhu.</w:t>
            </w:r>
          </w:p>
        </w:tc>
      </w:tr>
      <w:tr w:rsidR="00E47756" w:rsidRPr="00E47756" w14:paraId="18A2A63C" w14:textId="77777777" w:rsidTr="001A4016">
        <w:tblPrEx>
          <w:tblCellMar>
            <w:right w:w="56" w:type="dxa"/>
          </w:tblCellMar>
        </w:tblPrEx>
        <w:trPr>
          <w:trHeight w:val="485"/>
        </w:trPr>
        <w:tc>
          <w:tcPr>
            <w:tcW w:w="5801" w:type="dxa"/>
            <w:gridSpan w:val="3"/>
            <w:tcBorders>
              <w:top w:val="single" w:sz="4" w:space="0" w:color="000000"/>
              <w:left w:val="single" w:sz="4" w:space="0" w:color="000000"/>
              <w:bottom w:val="single" w:sz="4" w:space="0" w:color="000000"/>
              <w:right w:val="nil"/>
            </w:tcBorders>
            <w:shd w:val="clear" w:color="auto" w:fill="DA5C57"/>
            <w:vAlign w:val="bottom"/>
          </w:tcPr>
          <w:p w14:paraId="5A563B64" w14:textId="77777777" w:rsidR="00E47756" w:rsidRPr="00E47756" w:rsidRDefault="00E47756" w:rsidP="00E47756">
            <w:r w:rsidRPr="00E47756">
              <w:rPr>
                <w:b/>
                <w:color w:val="FFFFFF"/>
                <w:sz w:val="20"/>
              </w:rPr>
              <w:t>Podpora európskeho spôsobu života</w:t>
            </w:r>
            <w:r w:rsidRPr="00E47756">
              <w:rPr>
                <w:b/>
                <w:sz w:val="20"/>
              </w:rPr>
              <w:t xml:space="preserve"> </w:t>
            </w:r>
          </w:p>
        </w:tc>
        <w:tc>
          <w:tcPr>
            <w:tcW w:w="2685" w:type="dxa"/>
            <w:gridSpan w:val="2"/>
            <w:tcBorders>
              <w:top w:val="single" w:sz="4" w:space="0" w:color="000000"/>
              <w:left w:val="nil"/>
              <w:bottom w:val="single" w:sz="4" w:space="0" w:color="000000"/>
              <w:right w:val="single" w:sz="4" w:space="0" w:color="000000"/>
            </w:tcBorders>
            <w:shd w:val="clear" w:color="auto" w:fill="DA5C57"/>
          </w:tcPr>
          <w:p w14:paraId="39316011" w14:textId="77777777" w:rsidR="00E47756" w:rsidRPr="00E47756" w:rsidRDefault="00E47756" w:rsidP="00E47756"/>
        </w:tc>
        <w:tc>
          <w:tcPr>
            <w:tcW w:w="2954" w:type="dxa"/>
            <w:tcBorders>
              <w:top w:val="single" w:sz="4" w:space="0" w:color="000000"/>
              <w:left w:val="nil"/>
              <w:bottom w:val="single" w:sz="4" w:space="0" w:color="000000"/>
              <w:right w:val="single" w:sz="4" w:space="0" w:color="000000"/>
            </w:tcBorders>
            <w:shd w:val="clear" w:color="auto" w:fill="DA5C57"/>
          </w:tcPr>
          <w:p w14:paraId="363F45DE" w14:textId="77777777" w:rsidR="00E47756" w:rsidRPr="00E47756" w:rsidRDefault="00E47756" w:rsidP="00E47756"/>
        </w:tc>
        <w:tc>
          <w:tcPr>
            <w:tcW w:w="2813" w:type="dxa"/>
            <w:tcBorders>
              <w:top w:val="single" w:sz="4" w:space="0" w:color="000000"/>
              <w:left w:val="nil"/>
              <w:bottom w:val="single" w:sz="4" w:space="0" w:color="000000"/>
              <w:right w:val="single" w:sz="4" w:space="0" w:color="000000"/>
            </w:tcBorders>
            <w:shd w:val="clear" w:color="auto" w:fill="DA5C57"/>
          </w:tcPr>
          <w:p w14:paraId="34681962" w14:textId="77777777" w:rsidR="00E47756" w:rsidRPr="00E47756" w:rsidRDefault="00E47756" w:rsidP="00E47756"/>
        </w:tc>
      </w:tr>
      <w:tr w:rsidR="00E47756" w:rsidRPr="00E47756" w14:paraId="5E100B6B" w14:textId="77777777" w:rsidTr="001A4016">
        <w:tblPrEx>
          <w:tblCellMar>
            <w:right w:w="56" w:type="dxa"/>
          </w:tblCellMar>
        </w:tblPrEx>
        <w:trPr>
          <w:trHeight w:val="1352"/>
        </w:trPr>
        <w:tc>
          <w:tcPr>
            <w:tcW w:w="442" w:type="dxa"/>
            <w:tcBorders>
              <w:top w:val="single" w:sz="4" w:space="0" w:color="000000"/>
              <w:left w:val="single" w:sz="4" w:space="0" w:color="000000"/>
              <w:bottom w:val="single" w:sz="4" w:space="0" w:color="000000"/>
              <w:right w:val="single" w:sz="4" w:space="0" w:color="000000"/>
            </w:tcBorders>
          </w:tcPr>
          <w:p w14:paraId="32D01946" w14:textId="77777777" w:rsidR="00E47756" w:rsidRPr="00E47756" w:rsidRDefault="00E47756" w:rsidP="00E47756">
            <w:pPr>
              <w:spacing w:after="0" w:line="240" w:lineRule="auto"/>
              <w:ind w:right="53"/>
              <w:jc w:val="right"/>
            </w:pPr>
            <w:r w:rsidRPr="00E47756">
              <w:rPr>
                <w:sz w:val="20"/>
              </w:rPr>
              <w:t xml:space="preserve">13. </w:t>
            </w:r>
          </w:p>
        </w:tc>
        <w:tc>
          <w:tcPr>
            <w:tcW w:w="1577" w:type="dxa"/>
            <w:tcBorders>
              <w:top w:val="single" w:sz="4" w:space="0" w:color="000000"/>
              <w:left w:val="single" w:sz="4" w:space="0" w:color="000000"/>
              <w:bottom w:val="single" w:sz="4" w:space="0" w:color="000000"/>
              <w:right w:val="single" w:sz="4" w:space="0" w:color="000000"/>
            </w:tcBorders>
          </w:tcPr>
          <w:p w14:paraId="74666539" w14:textId="77777777" w:rsidR="00E47756" w:rsidRPr="00E47756" w:rsidRDefault="00E47756" w:rsidP="00E47756">
            <w:pPr>
              <w:spacing w:after="0" w:line="240" w:lineRule="auto"/>
            </w:pPr>
            <w:r w:rsidRPr="00E47756">
              <w:rPr>
                <w:sz w:val="20"/>
              </w:rPr>
              <w:t xml:space="preserve">COM(2016) 270 </w:t>
            </w:r>
            <w:proofErr w:type="spellStart"/>
            <w:r w:rsidRPr="00E47756">
              <w:rPr>
                <w:sz w:val="20"/>
              </w:rPr>
              <w:t>final</w:t>
            </w:r>
            <w:proofErr w:type="spellEnd"/>
            <w:r w:rsidRPr="00E47756">
              <w:t xml:space="preserve">  </w:t>
            </w:r>
            <w:r w:rsidRPr="00E47756">
              <w:rPr>
                <w:sz w:val="20"/>
              </w:rPr>
              <w:t xml:space="preserve">2016/0133 (COD) </w:t>
            </w:r>
          </w:p>
        </w:tc>
        <w:tc>
          <w:tcPr>
            <w:tcW w:w="3782" w:type="dxa"/>
            <w:tcBorders>
              <w:top w:val="single" w:sz="4" w:space="0" w:color="000000"/>
              <w:left w:val="single" w:sz="4" w:space="0" w:color="000000"/>
              <w:bottom w:val="single" w:sz="4" w:space="0" w:color="000000"/>
              <w:right w:val="single" w:sz="4" w:space="0" w:color="000000"/>
            </w:tcBorders>
          </w:tcPr>
          <w:p w14:paraId="174630E6" w14:textId="77777777" w:rsidR="00E47756" w:rsidRPr="00E47756" w:rsidRDefault="00E47756" w:rsidP="00E47756">
            <w:pPr>
              <w:spacing w:after="0" w:line="240" w:lineRule="auto"/>
              <w:ind w:left="4" w:right="53"/>
            </w:pPr>
            <w:r w:rsidRPr="00E47756">
              <w:rPr>
                <w:sz w:val="20"/>
              </w:rPr>
              <w:t xml:space="preserve">návrh NARIADENIE EURÓPSKEHO PARLAMENTU A RADY, ktorým sa ustanovujú kritériá a mechanizmy na určenie členského štátu zodpovedného za posúdenie žiadosti o medzinárodnú ochranu podanej štátnym príslušníkom tretej krajiny alebo osobou bez štátnej príslušnosti v jednom z členských štátov (prepracované znenie) </w:t>
            </w:r>
          </w:p>
        </w:tc>
        <w:tc>
          <w:tcPr>
            <w:tcW w:w="2685" w:type="dxa"/>
            <w:gridSpan w:val="2"/>
            <w:tcBorders>
              <w:top w:val="single" w:sz="4" w:space="0" w:color="000000"/>
              <w:left w:val="single" w:sz="4" w:space="0" w:color="000000"/>
              <w:bottom w:val="single" w:sz="4" w:space="0" w:color="000000"/>
              <w:right w:val="single" w:sz="4" w:space="0" w:color="000000"/>
            </w:tcBorders>
          </w:tcPr>
          <w:p w14:paraId="7ACE9E53" w14:textId="77777777" w:rsidR="00E47756" w:rsidRPr="00E47756" w:rsidRDefault="00E47756" w:rsidP="00E47756">
            <w:pPr>
              <w:spacing w:after="0" w:line="240" w:lineRule="auto"/>
              <w:ind w:left="4" w:right="49"/>
            </w:pPr>
            <w:r w:rsidRPr="00E47756">
              <w:rPr>
                <w:sz w:val="20"/>
              </w:rPr>
              <w:t xml:space="preserve">Zastarané: v kontexte nového paktu o migrácii a azyle bol predložený nový návrh nariadenia o riadení azylu a migrácie [COM(2020) 610]. Okrem iného zahŕňa aspekty pokryté týmto návrhom z roku 2016. </w:t>
            </w:r>
          </w:p>
        </w:tc>
        <w:tc>
          <w:tcPr>
            <w:tcW w:w="2954" w:type="dxa"/>
            <w:tcBorders>
              <w:top w:val="single" w:sz="4" w:space="0" w:color="000000"/>
              <w:left w:val="single" w:sz="4" w:space="0" w:color="000000"/>
              <w:bottom w:val="single" w:sz="4" w:space="0" w:color="000000"/>
              <w:right w:val="single" w:sz="4" w:space="0" w:color="000000"/>
            </w:tcBorders>
          </w:tcPr>
          <w:p w14:paraId="639CCDE3" w14:textId="77777777" w:rsidR="00E47756" w:rsidRPr="00E47756" w:rsidRDefault="00E47756" w:rsidP="00E47756">
            <w:pPr>
              <w:spacing w:after="0" w:line="240" w:lineRule="auto"/>
              <w:ind w:left="4" w:right="49"/>
              <w:jc w:val="center"/>
              <w:rPr>
                <w:b/>
                <w:sz w:val="20"/>
              </w:rPr>
            </w:pPr>
            <w:r w:rsidRPr="00E47756">
              <w:rPr>
                <w:b/>
                <w:sz w:val="20"/>
              </w:rPr>
              <w:t>MV SR</w:t>
            </w:r>
          </w:p>
        </w:tc>
        <w:tc>
          <w:tcPr>
            <w:tcW w:w="2813" w:type="dxa"/>
            <w:tcBorders>
              <w:top w:val="single" w:sz="4" w:space="0" w:color="000000"/>
              <w:left w:val="single" w:sz="4" w:space="0" w:color="000000"/>
              <w:bottom w:val="single" w:sz="4" w:space="0" w:color="000000"/>
              <w:right w:val="single" w:sz="4" w:space="0" w:color="000000"/>
            </w:tcBorders>
          </w:tcPr>
          <w:p w14:paraId="1193617F" w14:textId="77777777" w:rsidR="00E47756" w:rsidRPr="00E47756" w:rsidRDefault="00E47756" w:rsidP="00E47756">
            <w:pPr>
              <w:spacing w:after="0" w:line="240" w:lineRule="auto"/>
              <w:ind w:left="4" w:right="49"/>
              <w:rPr>
                <w:sz w:val="20"/>
              </w:rPr>
            </w:pPr>
            <w:r w:rsidRPr="00E47756">
              <w:rPr>
                <w:sz w:val="20"/>
              </w:rPr>
              <w:t>SR podporuje stiahnutie návrhu.</w:t>
            </w:r>
          </w:p>
        </w:tc>
      </w:tr>
      <w:tr w:rsidR="00E47756" w:rsidRPr="00E47756" w14:paraId="52CB5BC5" w14:textId="77777777" w:rsidTr="001A4016">
        <w:tblPrEx>
          <w:tblCellMar>
            <w:right w:w="56" w:type="dxa"/>
          </w:tblCellMar>
        </w:tblPrEx>
        <w:trPr>
          <w:trHeight w:val="1330"/>
        </w:trPr>
        <w:tc>
          <w:tcPr>
            <w:tcW w:w="442" w:type="dxa"/>
            <w:tcBorders>
              <w:top w:val="single" w:sz="4" w:space="0" w:color="000000"/>
              <w:left w:val="single" w:sz="4" w:space="0" w:color="000000"/>
              <w:bottom w:val="single" w:sz="4" w:space="0" w:color="000000"/>
              <w:right w:val="single" w:sz="4" w:space="0" w:color="000000"/>
            </w:tcBorders>
          </w:tcPr>
          <w:p w14:paraId="2892F03F" w14:textId="77777777" w:rsidR="00E47756" w:rsidRPr="00E47756" w:rsidRDefault="00E47756" w:rsidP="00E47756">
            <w:pPr>
              <w:spacing w:after="0" w:line="240" w:lineRule="auto"/>
              <w:ind w:right="53"/>
              <w:jc w:val="right"/>
            </w:pPr>
            <w:r w:rsidRPr="00E47756">
              <w:rPr>
                <w:sz w:val="20"/>
              </w:rPr>
              <w:t xml:space="preserve">14. </w:t>
            </w:r>
          </w:p>
        </w:tc>
        <w:tc>
          <w:tcPr>
            <w:tcW w:w="1577" w:type="dxa"/>
            <w:tcBorders>
              <w:top w:val="single" w:sz="4" w:space="0" w:color="000000"/>
              <w:left w:val="single" w:sz="4" w:space="0" w:color="000000"/>
              <w:bottom w:val="single" w:sz="4" w:space="0" w:color="000000"/>
              <w:right w:val="single" w:sz="4" w:space="0" w:color="000000"/>
            </w:tcBorders>
          </w:tcPr>
          <w:p w14:paraId="28177BB4" w14:textId="77777777" w:rsidR="00E47756" w:rsidRPr="00E47756" w:rsidRDefault="00E47756" w:rsidP="00E47756">
            <w:pPr>
              <w:spacing w:after="0" w:line="240" w:lineRule="auto"/>
            </w:pPr>
            <w:r w:rsidRPr="00E47756">
              <w:rPr>
                <w:sz w:val="20"/>
              </w:rPr>
              <w:t xml:space="preserve">COM(2015) 450 </w:t>
            </w:r>
            <w:proofErr w:type="spellStart"/>
            <w:r w:rsidRPr="00E47756">
              <w:rPr>
                <w:sz w:val="20"/>
              </w:rPr>
              <w:t>final</w:t>
            </w:r>
            <w:proofErr w:type="spellEnd"/>
            <w:r w:rsidRPr="00E47756">
              <w:t xml:space="preserve">  </w:t>
            </w:r>
            <w:r w:rsidRPr="00E47756">
              <w:rPr>
                <w:sz w:val="20"/>
              </w:rPr>
              <w:t xml:space="preserve">2015/0208 (COD) </w:t>
            </w:r>
          </w:p>
        </w:tc>
        <w:tc>
          <w:tcPr>
            <w:tcW w:w="3782" w:type="dxa"/>
            <w:tcBorders>
              <w:top w:val="single" w:sz="4" w:space="0" w:color="000000"/>
              <w:left w:val="single" w:sz="4" w:space="0" w:color="000000"/>
              <w:bottom w:val="single" w:sz="4" w:space="0" w:color="000000"/>
              <w:right w:val="single" w:sz="4" w:space="0" w:color="000000"/>
            </w:tcBorders>
          </w:tcPr>
          <w:p w14:paraId="27F16190" w14:textId="77777777" w:rsidR="00E47756" w:rsidRPr="00E47756" w:rsidRDefault="00E47756" w:rsidP="00E47756">
            <w:pPr>
              <w:spacing w:after="0" w:line="240" w:lineRule="auto"/>
              <w:ind w:left="4" w:right="49"/>
            </w:pPr>
            <w:r w:rsidRPr="00E47756">
              <w:rPr>
                <w:sz w:val="20"/>
              </w:rPr>
              <w:t xml:space="preserve">návrh NARIADENIE EURÓPSKEHO PARLAMENTU A RADY, ktorým sa stanovuje krízový mechanizmus premiestnenia a mení nariadenie Európskeho parlamentu a Rady (EÚ) č. 604/2013 z 26. júna 2013, ktorým sa stanovujú kritériá a mechanizmy na určenie členského štátu zodpovedného za posúdenie žiadosti o medzinárodnú ochranu podanej štátnym </w:t>
            </w:r>
          </w:p>
          <w:p w14:paraId="72389B7D" w14:textId="77777777" w:rsidR="00E47756" w:rsidRPr="00E47756" w:rsidRDefault="00E47756" w:rsidP="00E47756">
            <w:pPr>
              <w:spacing w:after="0" w:line="240" w:lineRule="auto"/>
              <w:ind w:left="4"/>
            </w:pPr>
            <w:r w:rsidRPr="00E47756">
              <w:rPr>
                <w:sz w:val="20"/>
              </w:rPr>
              <w:t xml:space="preserve">príslušníkom tretej krajiny alebo osobou bez štátnej príslušnosti v jednom z členských štátov </w:t>
            </w:r>
          </w:p>
        </w:tc>
        <w:tc>
          <w:tcPr>
            <w:tcW w:w="2685" w:type="dxa"/>
            <w:gridSpan w:val="2"/>
            <w:tcBorders>
              <w:top w:val="single" w:sz="4" w:space="0" w:color="000000"/>
              <w:left w:val="single" w:sz="4" w:space="0" w:color="000000"/>
              <w:bottom w:val="single" w:sz="4" w:space="0" w:color="000000"/>
              <w:right w:val="single" w:sz="4" w:space="0" w:color="000000"/>
            </w:tcBorders>
          </w:tcPr>
          <w:p w14:paraId="00B203E0" w14:textId="77777777" w:rsidR="00E47756" w:rsidRPr="00E47756" w:rsidRDefault="00E47756" w:rsidP="00E47756">
            <w:pPr>
              <w:spacing w:after="0" w:line="240" w:lineRule="auto"/>
              <w:ind w:left="4" w:right="52"/>
            </w:pPr>
            <w:r w:rsidRPr="00E47756">
              <w:rPr>
                <w:sz w:val="20"/>
              </w:rPr>
              <w:t xml:space="preserve">Zastarané: v kontexte nového paktu o migrácii a azyle bol predložený nový návrh nariadenia o krízovej situácii a vyššej moci v oblasti migrácie a azylu [COM(2020) 613]. Okrem iného zahŕňa aspekty pokryté týmto návrhom z roku 2016. </w:t>
            </w:r>
          </w:p>
        </w:tc>
        <w:tc>
          <w:tcPr>
            <w:tcW w:w="2954" w:type="dxa"/>
            <w:tcBorders>
              <w:top w:val="single" w:sz="4" w:space="0" w:color="000000"/>
              <w:left w:val="single" w:sz="4" w:space="0" w:color="000000"/>
              <w:bottom w:val="single" w:sz="4" w:space="0" w:color="000000"/>
              <w:right w:val="single" w:sz="4" w:space="0" w:color="000000"/>
            </w:tcBorders>
          </w:tcPr>
          <w:p w14:paraId="484B466C" w14:textId="77777777" w:rsidR="00E47756" w:rsidRPr="00E47756" w:rsidRDefault="00E47756" w:rsidP="00E47756">
            <w:pPr>
              <w:spacing w:after="0" w:line="240" w:lineRule="auto"/>
              <w:ind w:left="4" w:right="52"/>
              <w:jc w:val="center"/>
              <w:rPr>
                <w:sz w:val="20"/>
              </w:rPr>
            </w:pPr>
            <w:r w:rsidRPr="00E47756">
              <w:rPr>
                <w:b/>
                <w:sz w:val="20"/>
              </w:rPr>
              <w:t>MV SR</w:t>
            </w:r>
          </w:p>
        </w:tc>
        <w:tc>
          <w:tcPr>
            <w:tcW w:w="2813" w:type="dxa"/>
            <w:tcBorders>
              <w:top w:val="single" w:sz="4" w:space="0" w:color="000000"/>
              <w:left w:val="single" w:sz="4" w:space="0" w:color="000000"/>
              <w:bottom w:val="single" w:sz="4" w:space="0" w:color="000000"/>
              <w:right w:val="single" w:sz="4" w:space="0" w:color="000000"/>
            </w:tcBorders>
          </w:tcPr>
          <w:p w14:paraId="0AD970DC" w14:textId="77777777" w:rsidR="00E47756" w:rsidRPr="00E47756" w:rsidRDefault="00E47756" w:rsidP="00E47756">
            <w:pPr>
              <w:spacing w:after="0" w:line="240" w:lineRule="auto"/>
              <w:ind w:left="4" w:right="52"/>
              <w:rPr>
                <w:sz w:val="20"/>
              </w:rPr>
            </w:pPr>
            <w:r w:rsidRPr="00E47756">
              <w:rPr>
                <w:sz w:val="20"/>
              </w:rPr>
              <w:t>SR podporuje stiahnutie návrhu.</w:t>
            </w:r>
          </w:p>
        </w:tc>
      </w:tr>
    </w:tbl>
    <w:p w14:paraId="5E8C8914" w14:textId="77777777" w:rsidR="00AE3D43" w:rsidRDefault="00AE3D43" w:rsidP="00E47756">
      <w:pPr>
        <w:spacing w:after="0" w:line="240" w:lineRule="auto"/>
      </w:pPr>
    </w:p>
    <w:p w14:paraId="5073AF6A" w14:textId="77777777" w:rsidR="00AE3D43" w:rsidRDefault="00AE3D43" w:rsidP="00AE3D43"/>
    <w:p w14:paraId="011D459C" w14:textId="77777777" w:rsidR="00AE3D43" w:rsidRDefault="00AE3D43" w:rsidP="00AE3D43"/>
    <w:sectPr w:rsidR="00AE3D43" w:rsidSect="00B8693C">
      <w:footerReference w:type="even" r:id="rId14"/>
      <w:footerReference w:type="default" r:id="rId15"/>
      <w:footerReference w:type="first" r:id="rId16"/>
      <w:pgSz w:w="16838" w:h="11906" w:orient="landscape"/>
      <w:pgMar w:top="1418" w:right="1418" w:bottom="1418" w:left="1418"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91407" w14:textId="77777777" w:rsidR="00AB0B2D" w:rsidRDefault="00AB0B2D" w:rsidP="00291943">
      <w:pPr>
        <w:spacing w:after="0" w:line="240" w:lineRule="auto"/>
      </w:pPr>
      <w:r>
        <w:separator/>
      </w:r>
    </w:p>
    <w:p w14:paraId="16C23626" w14:textId="77777777" w:rsidR="00AB0B2D" w:rsidRDefault="00AB0B2D"/>
  </w:endnote>
  <w:endnote w:type="continuationSeparator" w:id="0">
    <w:p w14:paraId="37DF1EA7" w14:textId="77777777" w:rsidR="00AB0B2D" w:rsidRDefault="00AB0B2D" w:rsidP="00291943">
      <w:pPr>
        <w:spacing w:after="0" w:line="240" w:lineRule="auto"/>
      </w:pPr>
      <w:r>
        <w:continuationSeparator/>
      </w:r>
    </w:p>
    <w:p w14:paraId="05A7CF5A" w14:textId="77777777" w:rsidR="00AB0B2D" w:rsidRDefault="00AB0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altName w:val="Palatino Linotype"/>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F0B8D" w14:textId="77777777" w:rsidR="00AB0B2D" w:rsidRDefault="00AB0B2D">
    <w:pPr>
      <w:spacing w:after="0"/>
      <w:ind w:left="1894"/>
      <w:jc w:val="center"/>
    </w:pPr>
    <w:r>
      <w:rPr>
        <w:rFonts w:cs="Times New Roman"/>
        <w:sz w:val="18"/>
      </w:rPr>
      <w:fldChar w:fldCharType="begin"/>
    </w:r>
    <w:r>
      <w:rPr>
        <w:rFonts w:cs="Times New Roman"/>
        <w:sz w:val="18"/>
      </w:rPr>
      <w:instrText xml:space="preserve"> PAGE   \* MERGEFORMAT </w:instrText>
    </w:r>
    <w:r>
      <w:rPr>
        <w:rFonts w:cs="Times New Roman"/>
        <w:sz w:val="18"/>
      </w:rPr>
      <w:fldChar w:fldCharType="separate"/>
    </w:r>
    <w:r>
      <w:rPr>
        <w:rFonts w:cs="Times New Roman"/>
        <w:noProof/>
        <w:sz w:val="18"/>
      </w:rPr>
      <w:t>14</w:t>
    </w:r>
    <w:r>
      <w:rPr>
        <w:rFonts w:cs="Times New Roman"/>
        <w:sz w:val="18"/>
      </w:rPr>
      <w:fldChar w:fldCharType="end"/>
    </w:r>
    <w:r>
      <w:rPr>
        <w:rFonts w:cs="Times New Roman"/>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081901"/>
      <w:docPartObj>
        <w:docPartGallery w:val="Page Numbers (Bottom of Page)"/>
        <w:docPartUnique/>
      </w:docPartObj>
    </w:sdtPr>
    <w:sdtEndPr/>
    <w:sdtContent>
      <w:p w14:paraId="6FE110AB" w14:textId="23C430D8" w:rsidR="00AB0B2D" w:rsidRPr="00E47756" w:rsidRDefault="00AB0B2D" w:rsidP="005325EF">
        <w:pPr>
          <w:pStyle w:val="Pta"/>
          <w:jc w:val="center"/>
        </w:pPr>
        <w:r>
          <w:fldChar w:fldCharType="begin"/>
        </w:r>
        <w:r>
          <w:instrText>PAGE   \* MERGEFORMAT</w:instrText>
        </w:r>
        <w:r>
          <w:fldChar w:fldCharType="separate"/>
        </w:r>
        <w:r w:rsidR="00D013A8">
          <w:rPr>
            <w:noProof/>
          </w:rPr>
          <w:t>73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4DFC6" w14:textId="77777777" w:rsidR="00AB0B2D" w:rsidRDefault="00AB0B2D">
    <w:pPr>
      <w:spacing w:after="0"/>
      <w:ind w:left="1894"/>
      <w:jc w:val="center"/>
    </w:pPr>
    <w:r>
      <w:rPr>
        <w:rFonts w:cs="Times New Roman"/>
        <w:sz w:val="18"/>
      </w:rPr>
      <w:fldChar w:fldCharType="begin"/>
    </w:r>
    <w:r>
      <w:rPr>
        <w:rFonts w:cs="Times New Roman"/>
        <w:sz w:val="18"/>
      </w:rPr>
      <w:instrText xml:space="preserve"> PAGE   \* MERGEFORMAT </w:instrText>
    </w:r>
    <w:r>
      <w:rPr>
        <w:rFonts w:cs="Times New Roman"/>
        <w:sz w:val="18"/>
      </w:rPr>
      <w:fldChar w:fldCharType="separate"/>
    </w:r>
    <w:r>
      <w:rPr>
        <w:rFonts w:cs="Times New Roman"/>
        <w:noProof/>
        <w:sz w:val="18"/>
      </w:rPr>
      <w:t>66</w:t>
    </w:r>
    <w:r>
      <w:rPr>
        <w:rFonts w:cs="Times New Roman"/>
        <w:sz w:val="18"/>
      </w:rPr>
      <w:fldChar w:fldCharType="end"/>
    </w:r>
    <w:r>
      <w:rPr>
        <w:rFonts w:cs="Times New Roman"/>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40972" w14:textId="77777777" w:rsidR="00AB0B2D" w:rsidRDefault="00AB0B2D" w:rsidP="00291943">
      <w:pPr>
        <w:spacing w:after="0" w:line="240" w:lineRule="auto"/>
      </w:pPr>
      <w:r>
        <w:separator/>
      </w:r>
    </w:p>
    <w:p w14:paraId="1CCB35FB" w14:textId="77777777" w:rsidR="00AB0B2D" w:rsidRDefault="00AB0B2D"/>
  </w:footnote>
  <w:footnote w:type="continuationSeparator" w:id="0">
    <w:p w14:paraId="20C71465" w14:textId="77777777" w:rsidR="00AB0B2D" w:rsidRDefault="00AB0B2D" w:rsidP="00291943">
      <w:pPr>
        <w:spacing w:after="0" w:line="240" w:lineRule="auto"/>
      </w:pPr>
      <w:r>
        <w:continuationSeparator/>
      </w:r>
    </w:p>
    <w:p w14:paraId="10663D89" w14:textId="77777777" w:rsidR="00AB0B2D" w:rsidRDefault="00AB0B2D"/>
  </w:footnote>
  <w:footnote w:id="1">
    <w:p w14:paraId="448BBA44" w14:textId="77777777" w:rsidR="00AB0B2D" w:rsidRDefault="00AB0B2D" w:rsidP="00E47756">
      <w:pPr>
        <w:pStyle w:val="footnotedescription"/>
        <w:spacing w:line="240" w:lineRule="auto"/>
        <w:ind w:left="358" w:right="251" w:hanging="358"/>
      </w:pPr>
      <w:r>
        <w:rPr>
          <w:rStyle w:val="footnotemark"/>
        </w:rPr>
        <w:footnoteRef/>
      </w:r>
      <w:r>
        <w:t xml:space="preserve"> V </w:t>
      </w:r>
      <w:r w:rsidRPr="000A0669">
        <w:rPr>
          <w:rFonts w:ascii="Arial Narrow" w:hAnsi="Arial Narrow"/>
          <w:sz w:val="16"/>
          <w:szCs w:val="16"/>
        </w:rPr>
        <w:t xml:space="preserve">súlade s </w:t>
      </w:r>
      <w:proofErr w:type="spellStart"/>
      <w:r w:rsidRPr="000A0669">
        <w:rPr>
          <w:rFonts w:ascii="Arial Narrow" w:hAnsi="Arial Narrow"/>
          <w:sz w:val="16"/>
          <w:szCs w:val="16"/>
        </w:rPr>
        <w:t>Medziinštitucionálnou</w:t>
      </w:r>
      <w:proofErr w:type="spellEnd"/>
      <w:r w:rsidRPr="000A0669">
        <w:rPr>
          <w:rFonts w:ascii="Arial Narrow" w:hAnsi="Arial Narrow"/>
          <w:sz w:val="16"/>
          <w:szCs w:val="16"/>
        </w:rPr>
        <w:t xml:space="preserve"> dohodou o lepšej tvorbe práva Komisia v tejto prílohe poskytuje ďalšie informácie (ak takéto informácie sú k dispozícii) o iniciatívach zahrnutých do jej pracovného programu. Tieto informácie, ktoré sa vedľa každej iniciatívy uvádzajú v zátvorkách, sú len orientačné, a môžu sa počas prípravného procesu zmeniť, a to najmä vzhľadom na výsledok posúdenia vplyvu.</w:t>
      </w:r>
      <w:r>
        <w:t xml:space="preserve"> </w:t>
      </w:r>
    </w:p>
  </w:footnote>
  <w:footnote w:id="2">
    <w:p w14:paraId="3F759F8A" w14:textId="77777777" w:rsidR="00AB0B2D" w:rsidRDefault="00AB0B2D" w:rsidP="00E47756">
      <w:pPr>
        <w:pStyle w:val="footnotedescription"/>
        <w:tabs>
          <w:tab w:val="center" w:pos="6221"/>
        </w:tabs>
        <w:jc w:val="left"/>
      </w:pPr>
      <w:r>
        <w:rPr>
          <w:rStyle w:val="footnotemark"/>
        </w:rPr>
        <w:footnoteRef/>
      </w:r>
      <w:r>
        <w:t xml:space="preserve"> V uvedenej prílohe sú uvedené najvýznamnejšie revízie, hodnotenia a kontroly vhodnosti programu REFIT, ktoré Komisia uskutoční v roku 2021.  </w:t>
      </w:r>
    </w:p>
  </w:footnote>
  <w:footnote w:id="3">
    <w:p w14:paraId="1E764CFF" w14:textId="77777777" w:rsidR="00AB0B2D" w:rsidRDefault="00AB0B2D" w:rsidP="00E47756">
      <w:pPr>
        <w:pStyle w:val="footnotedescription"/>
        <w:tabs>
          <w:tab w:val="center" w:pos="4723"/>
        </w:tabs>
        <w:jc w:val="left"/>
      </w:pPr>
      <w:r>
        <w:rPr>
          <w:rStyle w:val="footnotemark"/>
        </w:rPr>
        <w:footnoteRef/>
      </w:r>
      <w:r>
        <w:t xml:space="preserve"> Tento zoznam zahŕňa prerokúvané legislatívne návrhy, ktoré Komisia zamýšľa stiahnuť do šiestich mesiacov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209E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FC0E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ECD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8822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BA78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78BD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E21A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86F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2FAF45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3"/>
    <w:multiLevelType w:val="multilevel"/>
    <w:tmpl w:val="DD629CB8"/>
    <w:name w:val="Points"/>
    <w:lvl w:ilvl="0">
      <w:start w:val="1"/>
      <w:numFmt w:val="decimal"/>
      <w:pStyle w:val="Point123"/>
      <w:lvlText w:val="%1."/>
      <w:lvlJc w:val="left"/>
      <w:pPr>
        <w:tabs>
          <w:tab w:val="num" w:pos="567"/>
        </w:tabs>
        <w:ind w:left="567" w:hanging="567"/>
      </w:pPr>
      <w:rPr>
        <w:rFonts w:cs="Times New Roman" w:hint="default"/>
      </w:rPr>
    </w:lvl>
    <w:lvl w:ilvl="1">
      <w:start w:val="1"/>
      <w:numFmt w:val="lowerLetter"/>
      <w:pStyle w:val="Pointabc"/>
      <w:lvlText w:val="%2)"/>
      <w:lvlJc w:val="left"/>
      <w:pPr>
        <w:tabs>
          <w:tab w:val="num" w:pos="567"/>
        </w:tabs>
        <w:ind w:left="567" w:hanging="567"/>
      </w:pPr>
      <w:rPr>
        <w:rFonts w:cs="Times New Roman" w:hint="default"/>
      </w:rPr>
    </w:lvl>
    <w:lvl w:ilvl="2">
      <w:start w:val="1"/>
      <w:numFmt w:val="decimal"/>
      <w:pStyle w:val="Point1231"/>
      <w:lvlText w:val="%3."/>
      <w:lvlJc w:val="left"/>
      <w:pPr>
        <w:tabs>
          <w:tab w:val="num" w:pos="1134"/>
        </w:tabs>
        <w:ind w:left="1134" w:hanging="567"/>
      </w:pPr>
      <w:rPr>
        <w:rFonts w:cs="Times New Roman" w:hint="default"/>
      </w:rPr>
    </w:lvl>
    <w:lvl w:ilvl="3">
      <w:start w:val="1"/>
      <w:numFmt w:val="lowerLetter"/>
      <w:pStyle w:val="Pointabc1"/>
      <w:lvlText w:val="%4)"/>
      <w:lvlJc w:val="left"/>
      <w:pPr>
        <w:tabs>
          <w:tab w:val="num" w:pos="1134"/>
        </w:tabs>
        <w:ind w:left="1134" w:hanging="567"/>
      </w:pPr>
      <w:rPr>
        <w:rFonts w:cs="Times New Roman" w:hint="default"/>
      </w:rPr>
    </w:lvl>
    <w:lvl w:ilvl="4">
      <w:start w:val="1"/>
      <w:numFmt w:val="decimal"/>
      <w:pStyle w:val="Point1232"/>
      <w:lvlText w:val="%5."/>
      <w:lvlJc w:val="left"/>
      <w:pPr>
        <w:tabs>
          <w:tab w:val="num" w:pos="1701"/>
        </w:tabs>
        <w:ind w:left="1701" w:hanging="567"/>
      </w:pPr>
      <w:rPr>
        <w:rFonts w:cs="Times New Roman" w:hint="default"/>
      </w:rPr>
    </w:lvl>
    <w:lvl w:ilvl="5">
      <w:start w:val="1"/>
      <w:numFmt w:val="lowerLetter"/>
      <w:pStyle w:val="Pointabc2"/>
      <w:lvlText w:val="%6)"/>
      <w:lvlJc w:val="left"/>
      <w:pPr>
        <w:tabs>
          <w:tab w:val="num" w:pos="1701"/>
        </w:tabs>
        <w:ind w:left="1701" w:hanging="567"/>
      </w:pPr>
      <w:rPr>
        <w:rFonts w:cs="Times New Roman" w:hint="default"/>
      </w:rPr>
    </w:lvl>
    <w:lvl w:ilvl="6">
      <w:start w:val="1"/>
      <w:numFmt w:val="decimal"/>
      <w:pStyle w:val="Point1233"/>
      <w:lvlText w:val="%7."/>
      <w:lvlJc w:val="left"/>
      <w:pPr>
        <w:tabs>
          <w:tab w:val="num" w:pos="2268"/>
        </w:tabs>
        <w:ind w:left="2268" w:hanging="567"/>
      </w:pPr>
      <w:rPr>
        <w:rFonts w:cs="Times New Roman" w:hint="default"/>
      </w:rPr>
    </w:lvl>
    <w:lvl w:ilvl="7">
      <w:start w:val="1"/>
      <w:numFmt w:val="lowerLetter"/>
      <w:pStyle w:val="Pointabc3"/>
      <w:lvlText w:val="%8)"/>
      <w:lvlJc w:val="left"/>
      <w:pPr>
        <w:tabs>
          <w:tab w:val="num" w:pos="2268"/>
        </w:tabs>
        <w:ind w:left="2268" w:hanging="567"/>
      </w:pPr>
      <w:rPr>
        <w:rFonts w:cs="Times New Roman" w:hint="default"/>
      </w:rPr>
    </w:lvl>
    <w:lvl w:ilvl="8">
      <w:start w:val="1"/>
      <w:numFmt w:val="lowerLetter"/>
      <w:pStyle w:val="Pointabc4"/>
      <w:lvlText w:val="%9)"/>
      <w:lvlJc w:val="left"/>
      <w:pPr>
        <w:tabs>
          <w:tab w:val="num" w:pos="2835"/>
        </w:tabs>
        <w:ind w:left="2835" w:hanging="567"/>
      </w:pPr>
      <w:rPr>
        <w:rFonts w:cs="Times New Roman" w:hint="default"/>
      </w:rPr>
    </w:lvl>
  </w:abstractNum>
  <w:abstractNum w:abstractNumId="10" w15:restartNumberingAfterBreak="0">
    <w:nsid w:val="033D6591"/>
    <w:multiLevelType w:val="hybridMultilevel"/>
    <w:tmpl w:val="583EC89E"/>
    <w:lvl w:ilvl="0" w:tplc="04547E44">
      <w:start w:val="1"/>
      <w:numFmt w:val="lowerLetter"/>
      <w:lvlText w:val="%1)"/>
      <w:lvlJc w:val="left"/>
      <w:pPr>
        <w:ind w:left="336"/>
      </w:pPr>
      <w:rPr>
        <w:rFonts w:ascii="Times New Roman" w:eastAsia="Times New Roman" w:hAnsi="Times New Roman" w:cs="Times New Roman"/>
        <w:b w:val="0"/>
        <w:i w:val="0"/>
        <w:strike w:val="0"/>
        <w:dstrike w:val="0"/>
        <w:color w:val="000000"/>
        <w:sz w:val="20"/>
        <w:szCs w:val="20"/>
        <w:u w:val="none" w:color="000000"/>
        <w:vertAlign w:val="baseline"/>
      </w:rPr>
    </w:lvl>
    <w:lvl w:ilvl="1" w:tplc="9E861864">
      <w:start w:val="1"/>
      <w:numFmt w:val="lowerLetter"/>
      <w:lvlText w:val="%2"/>
      <w:lvlJc w:val="left"/>
      <w:pPr>
        <w:ind w:left="1109"/>
      </w:pPr>
      <w:rPr>
        <w:rFonts w:ascii="Times New Roman" w:eastAsia="Times New Roman" w:hAnsi="Times New Roman" w:cs="Times New Roman"/>
        <w:b w:val="0"/>
        <w:i w:val="0"/>
        <w:strike w:val="0"/>
        <w:dstrike w:val="0"/>
        <w:color w:val="000000"/>
        <w:sz w:val="20"/>
        <w:szCs w:val="20"/>
        <w:u w:val="none" w:color="000000"/>
        <w:vertAlign w:val="baseline"/>
      </w:rPr>
    </w:lvl>
    <w:lvl w:ilvl="2" w:tplc="39C257FA">
      <w:start w:val="1"/>
      <w:numFmt w:val="lowerRoman"/>
      <w:lvlText w:val="%3"/>
      <w:lvlJc w:val="left"/>
      <w:pPr>
        <w:ind w:left="1829"/>
      </w:pPr>
      <w:rPr>
        <w:rFonts w:ascii="Times New Roman" w:eastAsia="Times New Roman" w:hAnsi="Times New Roman" w:cs="Times New Roman"/>
        <w:b w:val="0"/>
        <w:i w:val="0"/>
        <w:strike w:val="0"/>
        <w:dstrike w:val="0"/>
        <w:color w:val="000000"/>
        <w:sz w:val="20"/>
        <w:szCs w:val="20"/>
        <w:u w:val="none" w:color="000000"/>
        <w:vertAlign w:val="baseline"/>
      </w:rPr>
    </w:lvl>
    <w:lvl w:ilvl="3" w:tplc="90A2055E">
      <w:start w:val="1"/>
      <w:numFmt w:val="decimal"/>
      <w:lvlText w:val="%4"/>
      <w:lvlJc w:val="left"/>
      <w:pPr>
        <w:ind w:left="2549"/>
      </w:pPr>
      <w:rPr>
        <w:rFonts w:ascii="Times New Roman" w:eastAsia="Times New Roman" w:hAnsi="Times New Roman" w:cs="Times New Roman"/>
        <w:b w:val="0"/>
        <w:i w:val="0"/>
        <w:strike w:val="0"/>
        <w:dstrike w:val="0"/>
        <w:color w:val="000000"/>
        <w:sz w:val="20"/>
        <w:szCs w:val="20"/>
        <w:u w:val="none" w:color="000000"/>
        <w:vertAlign w:val="baseline"/>
      </w:rPr>
    </w:lvl>
    <w:lvl w:ilvl="4" w:tplc="3A6EEDCE">
      <w:start w:val="1"/>
      <w:numFmt w:val="lowerLetter"/>
      <w:lvlText w:val="%5"/>
      <w:lvlJc w:val="left"/>
      <w:pPr>
        <w:ind w:left="3269"/>
      </w:pPr>
      <w:rPr>
        <w:rFonts w:ascii="Times New Roman" w:eastAsia="Times New Roman" w:hAnsi="Times New Roman" w:cs="Times New Roman"/>
        <w:b w:val="0"/>
        <w:i w:val="0"/>
        <w:strike w:val="0"/>
        <w:dstrike w:val="0"/>
        <w:color w:val="000000"/>
        <w:sz w:val="20"/>
        <w:szCs w:val="20"/>
        <w:u w:val="none" w:color="000000"/>
        <w:vertAlign w:val="baseline"/>
      </w:rPr>
    </w:lvl>
    <w:lvl w:ilvl="5" w:tplc="B0D45F5C">
      <w:start w:val="1"/>
      <w:numFmt w:val="lowerRoman"/>
      <w:lvlText w:val="%6"/>
      <w:lvlJc w:val="left"/>
      <w:pPr>
        <w:ind w:left="3989"/>
      </w:pPr>
      <w:rPr>
        <w:rFonts w:ascii="Times New Roman" w:eastAsia="Times New Roman" w:hAnsi="Times New Roman" w:cs="Times New Roman"/>
        <w:b w:val="0"/>
        <w:i w:val="0"/>
        <w:strike w:val="0"/>
        <w:dstrike w:val="0"/>
        <w:color w:val="000000"/>
        <w:sz w:val="20"/>
        <w:szCs w:val="20"/>
        <w:u w:val="none" w:color="000000"/>
        <w:vertAlign w:val="baseline"/>
      </w:rPr>
    </w:lvl>
    <w:lvl w:ilvl="6" w:tplc="B620624A">
      <w:start w:val="1"/>
      <w:numFmt w:val="decimal"/>
      <w:lvlText w:val="%7"/>
      <w:lvlJc w:val="left"/>
      <w:pPr>
        <w:ind w:left="4709"/>
      </w:pPr>
      <w:rPr>
        <w:rFonts w:ascii="Times New Roman" w:eastAsia="Times New Roman" w:hAnsi="Times New Roman" w:cs="Times New Roman"/>
        <w:b w:val="0"/>
        <w:i w:val="0"/>
        <w:strike w:val="0"/>
        <w:dstrike w:val="0"/>
        <w:color w:val="000000"/>
        <w:sz w:val="20"/>
        <w:szCs w:val="20"/>
        <w:u w:val="none" w:color="000000"/>
        <w:vertAlign w:val="baseline"/>
      </w:rPr>
    </w:lvl>
    <w:lvl w:ilvl="7" w:tplc="36E09264">
      <w:start w:val="1"/>
      <w:numFmt w:val="lowerLetter"/>
      <w:lvlText w:val="%8"/>
      <w:lvlJc w:val="left"/>
      <w:pPr>
        <w:ind w:left="5429"/>
      </w:pPr>
      <w:rPr>
        <w:rFonts w:ascii="Times New Roman" w:eastAsia="Times New Roman" w:hAnsi="Times New Roman" w:cs="Times New Roman"/>
        <w:b w:val="0"/>
        <w:i w:val="0"/>
        <w:strike w:val="0"/>
        <w:dstrike w:val="0"/>
        <w:color w:val="000000"/>
        <w:sz w:val="20"/>
        <w:szCs w:val="20"/>
        <w:u w:val="none" w:color="000000"/>
        <w:vertAlign w:val="baseline"/>
      </w:rPr>
    </w:lvl>
    <w:lvl w:ilvl="8" w:tplc="AB9C1E78">
      <w:start w:val="1"/>
      <w:numFmt w:val="lowerRoman"/>
      <w:lvlText w:val="%9"/>
      <w:lvlJc w:val="left"/>
      <w:pPr>
        <w:ind w:left="6149"/>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11" w15:restartNumberingAfterBreak="0">
    <w:nsid w:val="05D91743"/>
    <w:multiLevelType w:val="hybridMultilevel"/>
    <w:tmpl w:val="5754B53E"/>
    <w:lvl w:ilvl="0" w:tplc="1E3EAF60">
      <w:numFmt w:val="bullet"/>
      <w:lvlText w:val="-"/>
      <w:lvlJc w:val="left"/>
      <w:pPr>
        <w:ind w:left="720" w:hanging="360"/>
      </w:pPr>
      <w:rPr>
        <w:rFonts w:ascii="Arial" w:eastAsia="Times New Roman" w:hAnsi="Arial" w:hint="default"/>
        <w:b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CE71BC0"/>
    <w:multiLevelType w:val="singleLevel"/>
    <w:tmpl w:val="ACF824C4"/>
    <w:lvl w:ilvl="0">
      <w:start w:val="1"/>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13" w15:restartNumberingAfterBreak="0">
    <w:nsid w:val="12131232"/>
    <w:multiLevelType w:val="hybridMultilevel"/>
    <w:tmpl w:val="9CE0B1A6"/>
    <w:lvl w:ilvl="0" w:tplc="224AB50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2E20E34"/>
    <w:multiLevelType w:val="hybridMultilevel"/>
    <w:tmpl w:val="CF266E44"/>
    <w:lvl w:ilvl="0" w:tplc="041B000F">
      <w:start w:val="2"/>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147A4162"/>
    <w:multiLevelType w:val="hybridMultilevel"/>
    <w:tmpl w:val="0B32B8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52E4281"/>
    <w:multiLevelType w:val="hybridMultilevel"/>
    <w:tmpl w:val="25ACC3D2"/>
    <w:lvl w:ilvl="0" w:tplc="E6E445DC">
      <w:start w:val="1"/>
      <w:numFmt w:val="lowerRoman"/>
      <w:lvlText w:val="%1)"/>
      <w:lvlJc w:val="left"/>
      <w:pPr>
        <w:ind w:left="1080"/>
      </w:pPr>
      <w:rPr>
        <w:rFonts w:ascii="Times New Roman" w:eastAsia="Times New Roman" w:hAnsi="Times New Roman" w:cs="Times New Roman"/>
        <w:b w:val="0"/>
        <w:i w:val="0"/>
        <w:strike w:val="0"/>
        <w:dstrike w:val="0"/>
        <w:color w:val="000000"/>
        <w:sz w:val="20"/>
        <w:szCs w:val="20"/>
        <w:u w:val="none" w:color="000000"/>
        <w:vertAlign w:val="baseline"/>
      </w:rPr>
    </w:lvl>
    <w:lvl w:ilvl="1" w:tplc="943A21D0">
      <w:start w:val="1"/>
      <w:numFmt w:val="lowerLetter"/>
      <w:lvlText w:val="%2"/>
      <w:lvlJc w:val="left"/>
      <w:pPr>
        <w:ind w:left="1466"/>
      </w:pPr>
      <w:rPr>
        <w:rFonts w:ascii="Times New Roman" w:eastAsia="Times New Roman" w:hAnsi="Times New Roman" w:cs="Times New Roman"/>
        <w:b w:val="0"/>
        <w:i w:val="0"/>
        <w:strike w:val="0"/>
        <w:dstrike w:val="0"/>
        <w:color w:val="000000"/>
        <w:sz w:val="20"/>
        <w:szCs w:val="20"/>
        <w:u w:val="none" w:color="000000"/>
        <w:vertAlign w:val="baseline"/>
      </w:rPr>
    </w:lvl>
    <w:lvl w:ilvl="2" w:tplc="975A00B2">
      <w:start w:val="1"/>
      <w:numFmt w:val="lowerRoman"/>
      <w:lvlText w:val="%3"/>
      <w:lvlJc w:val="left"/>
      <w:pPr>
        <w:ind w:left="2186"/>
      </w:pPr>
      <w:rPr>
        <w:rFonts w:ascii="Times New Roman" w:eastAsia="Times New Roman" w:hAnsi="Times New Roman" w:cs="Times New Roman"/>
        <w:b w:val="0"/>
        <w:i w:val="0"/>
        <w:strike w:val="0"/>
        <w:dstrike w:val="0"/>
        <w:color w:val="000000"/>
        <w:sz w:val="20"/>
        <w:szCs w:val="20"/>
        <w:u w:val="none" w:color="000000"/>
        <w:vertAlign w:val="baseline"/>
      </w:rPr>
    </w:lvl>
    <w:lvl w:ilvl="3" w:tplc="05C23EFA">
      <w:start w:val="1"/>
      <w:numFmt w:val="decimal"/>
      <w:lvlText w:val="%4"/>
      <w:lvlJc w:val="left"/>
      <w:pPr>
        <w:ind w:left="2906"/>
      </w:pPr>
      <w:rPr>
        <w:rFonts w:ascii="Times New Roman" w:eastAsia="Times New Roman" w:hAnsi="Times New Roman" w:cs="Times New Roman"/>
        <w:b w:val="0"/>
        <w:i w:val="0"/>
        <w:strike w:val="0"/>
        <w:dstrike w:val="0"/>
        <w:color w:val="000000"/>
        <w:sz w:val="20"/>
        <w:szCs w:val="20"/>
        <w:u w:val="none" w:color="000000"/>
        <w:vertAlign w:val="baseline"/>
      </w:rPr>
    </w:lvl>
    <w:lvl w:ilvl="4" w:tplc="829643C2">
      <w:start w:val="1"/>
      <w:numFmt w:val="lowerLetter"/>
      <w:lvlText w:val="%5"/>
      <w:lvlJc w:val="left"/>
      <w:pPr>
        <w:ind w:left="3626"/>
      </w:pPr>
      <w:rPr>
        <w:rFonts w:ascii="Times New Roman" w:eastAsia="Times New Roman" w:hAnsi="Times New Roman" w:cs="Times New Roman"/>
        <w:b w:val="0"/>
        <w:i w:val="0"/>
        <w:strike w:val="0"/>
        <w:dstrike w:val="0"/>
        <w:color w:val="000000"/>
        <w:sz w:val="20"/>
        <w:szCs w:val="20"/>
        <w:u w:val="none" w:color="000000"/>
        <w:vertAlign w:val="baseline"/>
      </w:rPr>
    </w:lvl>
    <w:lvl w:ilvl="5" w:tplc="E732E4A8">
      <w:start w:val="1"/>
      <w:numFmt w:val="lowerRoman"/>
      <w:lvlText w:val="%6"/>
      <w:lvlJc w:val="left"/>
      <w:pPr>
        <w:ind w:left="4346"/>
      </w:pPr>
      <w:rPr>
        <w:rFonts w:ascii="Times New Roman" w:eastAsia="Times New Roman" w:hAnsi="Times New Roman" w:cs="Times New Roman"/>
        <w:b w:val="0"/>
        <w:i w:val="0"/>
        <w:strike w:val="0"/>
        <w:dstrike w:val="0"/>
        <w:color w:val="000000"/>
        <w:sz w:val="20"/>
        <w:szCs w:val="20"/>
        <w:u w:val="none" w:color="000000"/>
        <w:vertAlign w:val="baseline"/>
      </w:rPr>
    </w:lvl>
    <w:lvl w:ilvl="6" w:tplc="8224191A">
      <w:start w:val="1"/>
      <w:numFmt w:val="decimal"/>
      <w:lvlText w:val="%7"/>
      <w:lvlJc w:val="left"/>
      <w:pPr>
        <w:ind w:left="5066"/>
      </w:pPr>
      <w:rPr>
        <w:rFonts w:ascii="Times New Roman" w:eastAsia="Times New Roman" w:hAnsi="Times New Roman" w:cs="Times New Roman"/>
        <w:b w:val="0"/>
        <w:i w:val="0"/>
        <w:strike w:val="0"/>
        <w:dstrike w:val="0"/>
        <w:color w:val="000000"/>
        <w:sz w:val="20"/>
        <w:szCs w:val="20"/>
        <w:u w:val="none" w:color="000000"/>
        <w:vertAlign w:val="baseline"/>
      </w:rPr>
    </w:lvl>
    <w:lvl w:ilvl="7" w:tplc="5B0EB2D2">
      <w:start w:val="1"/>
      <w:numFmt w:val="lowerLetter"/>
      <w:lvlText w:val="%8"/>
      <w:lvlJc w:val="left"/>
      <w:pPr>
        <w:ind w:left="5786"/>
      </w:pPr>
      <w:rPr>
        <w:rFonts w:ascii="Times New Roman" w:eastAsia="Times New Roman" w:hAnsi="Times New Roman" w:cs="Times New Roman"/>
        <w:b w:val="0"/>
        <w:i w:val="0"/>
        <w:strike w:val="0"/>
        <w:dstrike w:val="0"/>
        <w:color w:val="000000"/>
        <w:sz w:val="20"/>
        <w:szCs w:val="20"/>
        <w:u w:val="none" w:color="000000"/>
        <w:vertAlign w:val="baseline"/>
      </w:rPr>
    </w:lvl>
    <w:lvl w:ilvl="8" w:tplc="C71E6C86">
      <w:start w:val="1"/>
      <w:numFmt w:val="lowerRoman"/>
      <w:lvlText w:val="%9"/>
      <w:lvlJc w:val="left"/>
      <w:pPr>
        <w:ind w:left="6506"/>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17" w15:restartNumberingAfterBreak="0">
    <w:nsid w:val="1C9B1854"/>
    <w:multiLevelType w:val="hybridMultilevel"/>
    <w:tmpl w:val="03BED2EC"/>
    <w:lvl w:ilvl="0" w:tplc="28AEE2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1E427A82"/>
    <w:multiLevelType w:val="hybridMultilevel"/>
    <w:tmpl w:val="1D1C0B7E"/>
    <w:lvl w:ilvl="0" w:tplc="1E3EAF60">
      <w:numFmt w:val="bullet"/>
      <w:lvlText w:val="-"/>
      <w:lvlJc w:val="left"/>
      <w:pPr>
        <w:ind w:left="720" w:hanging="360"/>
      </w:pPr>
      <w:rPr>
        <w:rFonts w:ascii="Arial" w:eastAsia="Times New Roman"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6AB1AF5"/>
    <w:multiLevelType w:val="hybridMultilevel"/>
    <w:tmpl w:val="D122B9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7651601"/>
    <w:multiLevelType w:val="hybridMultilevel"/>
    <w:tmpl w:val="D3F62ADA"/>
    <w:lvl w:ilvl="0" w:tplc="1E3EAF60">
      <w:numFmt w:val="bullet"/>
      <w:lvlText w:val="-"/>
      <w:lvlJc w:val="left"/>
      <w:pPr>
        <w:ind w:left="720" w:hanging="360"/>
      </w:pPr>
      <w:rPr>
        <w:rFonts w:ascii="Arial" w:eastAsia="Times New Roman" w:hAnsi="Arial" w:hint="default"/>
        <w:b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97536A3"/>
    <w:multiLevelType w:val="hybridMultilevel"/>
    <w:tmpl w:val="7CF8D254"/>
    <w:lvl w:ilvl="0" w:tplc="94C2567C">
      <w:start w:val="1"/>
      <w:numFmt w:val="lowerLetter"/>
      <w:lvlText w:val="%1)"/>
      <w:lvlJc w:val="left"/>
      <w:pPr>
        <w:ind w:left="336"/>
      </w:pPr>
      <w:rPr>
        <w:rFonts w:ascii="Times New Roman" w:eastAsia="Times New Roman" w:hAnsi="Times New Roman" w:cs="Times New Roman"/>
        <w:b w:val="0"/>
        <w:i w:val="0"/>
        <w:strike w:val="0"/>
        <w:dstrike w:val="0"/>
        <w:color w:val="000000"/>
        <w:sz w:val="20"/>
        <w:szCs w:val="20"/>
        <w:u w:val="none" w:color="000000"/>
        <w:vertAlign w:val="baseline"/>
      </w:rPr>
    </w:lvl>
    <w:lvl w:ilvl="1" w:tplc="6B541438">
      <w:start w:val="1"/>
      <w:numFmt w:val="lowerLetter"/>
      <w:lvlText w:val="%2"/>
      <w:lvlJc w:val="left"/>
      <w:pPr>
        <w:ind w:left="1109"/>
      </w:pPr>
      <w:rPr>
        <w:rFonts w:ascii="Times New Roman" w:eastAsia="Times New Roman" w:hAnsi="Times New Roman" w:cs="Times New Roman"/>
        <w:b w:val="0"/>
        <w:i w:val="0"/>
        <w:strike w:val="0"/>
        <w:dstrike w:val="0"/>
        <w:color w:val="000000"/>
        <w:sz w:val="20"/>
        <w:szCs w:val="20"/>
        <w:u w:val="none" w:color="000000"/>
        <w:vertAlign w:val="baseline"/>
      </w:rPr>
    </w:lvl>
    <w:lvl w:ilvl="2" w:tplc="125A73F2">
      <w:start w:val="1"/>
      <w:numFmt w:val="lowerRoman"/>
      <w:lvlText w:val="%3"/>
      <w:lvlJc w:val="left"/>
      <w:pPr>
        <w:ind w:left="1829"/>
      </w:pPr>
      <w:rPr>
        <w:rFonts w:ascii="Times New Roman" w:eastAsia="Times New Roman" w:hAnsi="Times New Roman" w:cs="Times New Roman"/>
        <w:b w:val="0"/>
        <w:i w:val="0"/>
        <w:strike w:val="0"/>
        <w:dstrike w:val="0"/>
        <w:color w:val="000000"/>
        <w:sz w:val="20"/>
        <w:szCs w:val="20"/>
        <w:u w:val="none" w:color="000000"/>
        <w:vertAlign w:val="baseline"/>
      </w:rPr>
    </w:lvl>
    <w:lvl w:ilvl="3" w:tplc="6FC2F2AC">
      <w:start w:val="1"/>
      <w:numFmt w:val="decimal"/>
      <w:lvlText w:val="%4"/>
      <w:lvlJc w:val="left"/>
      <w:pPr>
        <w:ind w:left="2549"/>
      </w:pPr>
      <w:rPr>
        <w:rFonts w:ascii="Times New Roman" w:eastAsia="Times New Roman" w:hAnsi="Times New Roman" w:cs="Times New Roman"/>
        <w:b w:val="0"/>
        <w:i w:val="0"/>
        <w:strike w:val="0"/>
        <w:dstrike w:val="0"/>
        <w:color w:val="000000"/>
        <w:sz w:val="20"/>
        <w:szCs w:val="20"/>
        <w:u w:val="none" w:color="000000"/>
        <w:vertAlign w:val="baseline"/>
      </w:rPr>
    </w:lvl>
    <w:lvl w:ilvl="4" w:tplc="5B78775E">
      <w:start w:val="1"/>
      <w:numFmt w:val="lowerLetter"/>
      <w:lvlText w:val="%5"/>
      <w:lvlJc w:val="left"/>
      <w:pPr>
        <w:ind w:left="3269"/>
      </w:pPr>
      <w:rPr>
        <w:rFonts w:ascii="Times New Roman" w:eastAsia="Times New Roman" w:hAnsi="Times New Roman" w:cs="Times New Roman"/>
        <w:b w:val="0"/>
        <w:i w:val="0"/>
        <w:strike w:val="0"/>
        <w:dstrike w:val="0"/>
        <w:color w:val="000000"/>
        <w:sz w:val="20"/>
        <w:szCs w:val="20"/>
        <w:u w:val="none" w:color="000000"/>
        <w:vertAlign w:val="baseline"/>
      </w:rPr>
    </w:lvl>
    <w:lvl w:ilvl="5" w:tplc="D54A01C4">
      <w:start w:val="1"/>
      <w:numFmt w:val="lowerRoman"/>
      <w:lvlText w:val="%6"/>
      <w:lvlJc w:val="left"/>
      <w:pPr>
        <w:ind w:left="3989"/>
      </w:pPr>
      <w:rPr>
        <w:rFonts w:ascii="Times New Roman" w:eastAsia="Times New Roman" w:hAnsi="Times New Roman" w:cs="Times New Roman"/>
        <w:b w:val="0"/>
        <w:i w:val="0"/>
        <w:strike w:val="0"/>
        <w:dstrike w:val="0"/>
        <w:color w:val="000000"/>
        <w:sz w:val="20"/>
        <w:szCs w:val="20"/>
        <w:u w:val="none" w:color="000000"/>
        <w:vertAlign w:val="baseline"/>
      </w:rPr>
    </w:lvl>
    <w:lvl w:ilvl="6" w:tplc="FCBA05C0">
      <w:start w:val="1"/>
      <w:numFmt w:val="decimal"/>
      <w:lvlText w:val="%7"/>
      <w:lvlJc w:val="left"/>
      <w:pPr>
        <w:ind w:left="4709"/>
      </w:pPr>
      <w:rPr>
        <w:rFonts w:ascii="Times New Roman" w:eastAsia="Times New Roman" w:hAnsi="Times New Roman" w:cs="Times New Roman"/>
        <w:b w:val="0"/>
        <w:i w:val="0"/>
        <w:strike w:val="0"/>
        <w:dstrike w:val="0"/>
        <w:color w:val="000000"/>
        <w:sz w:val="20"/>
        <w:szCs w:val="20"/>
        <w:u w:val="none" w:color="000000"/>
        <w:vertAlign w:val="baseline"/>
      </w:rPr>
    </w:lvl>
    <w:lvl w:ilvl="7" w:tplc="1A3EFF74">
      <w:start w:val="1"/>
      <w:numFmt w:val="lowerLetter"/>
      <w:lvlText w:val="%8"/>
      <w:lvlJc w:val="left"/>
      <w:pPr>
        <w:ind w:left="5429"/>
      </w:pPr>
      <w:rPr>
        <w:rFonts w:ascii="Times New Roman" w:eastAsia="Times New Roman" w:hAnsi="Times New Roman" w:cs="Times New Roman"/>
        <w:b w:val="0"/>
        <w:i w:val="0"/>
        <w:strike w:val="0"/>
        <w:dstrike w:val="0"/>
        <w:color w:val="000000"/>
        <w:sz w:val="20"/>
        <w:szCs w:val="20"/>
        <w:u w:val="none" w:color="000000"/>
        <w:vertAlign w:val="baseline"/>
      </w:rPr>
    </w:lvl>
    <w:lvl w:ilvl="8" w:tplc="90C08ABE">
      <w:start w:val="1"/>
      <w:numFmt w:val="lowerRoman"/>
      <w:lvlText w:val="%9"/>
      <w:lvlJc w:val="left"/>
      <w:pPr>
        <w:ind w:left="6149"/>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22" w15:restartNumberingAfterBreak="0">
    <w:nsid w:val="2DCF1469"/>
    <w:multiLevelType w:val="singleLevel"/>
    <w:tmpl w:val="B6EE6892"/>
    <w:lvl w:ilvl="0">
      <w:start w:val="2"/>
      <w:numFmt w:val="upperLetter"/>
      <w:lvlText w:val="%1. "/>
      <w:lvlJc w:val="left"/>
      <w:pPr>
        <w:ind w:left="283" w:hanging="283"/>
      </w:pPr>
      <w:rPr>
        <w:rFonts w:ascii="Times New Roman" w:hAnsi="Times New Roman" w:cs="Times New Roman" w:hint="default"/>
        <w:b w:val="0"/>
        <w:i w:val="0"/>
        <w:sz w:val="24"/>
        <w:szCs w:val="24"/>
      </w:rPr>
    </w:lvl>
  </w:abstractNum>
  <w:abstractNum w:abstractNumId="23" w15:restartNumberingAfterBreak="0">
    <w:nsid w:val="328B2DE9"/>
    <w:multiLevelType w:val="hybridMultilevel"/>
    <w:tmpl w:val="F302404E"/>
    <w:lvl w:ilvl="0" w:tplc="8FA41FE4">
      <w:start w:val="5"/>
      <w:numFmt w:val="decimal"/>
      <w:lvlText w:val="%1."/>
      <w:lvlJc w:val="left"/>
      <w:pPr>
        <w:ind w:left="1637" w:hanging="360"/>
      </w:pPr>
      <w:rPr>
        <w:rFonts w:cs="Times New Roman" w:hint="default"/>
      </w:rPr>
    </w:lvl>
    <w:lvl w:ilvl="1" w:tplc="041B0019" w:tentative="1">
      <w:start w:val="1"/>
      <w:numFmt w:val="lowerLetter"/>
      <w:lvlText w:val="%2."/>
      <w:lvlJc w:val="left"/>
      <w:pPr>
        <w:ind w:left="2357" w:hanging="360"/>
      </w:pPr>
      <w:rPr>
        <w:rFonts w:cs="Times New Roman"/>
      </w:rPr>
    </w:lvl>
    <w:lvl w:ilvl="2" w:tplc="041B001B" w:tentative="1">
      <w:start w:val="1"/>
      <w:numFmt w:val="lowerRoman"/>
      <w:lvlText w:val="%3."/>
      <w:lvlJc w:val="right"/>
      <w:pPr>
        <w:ind w:left="3077" w:hanging="180"/>
      </w:pPr>
      <w:rPr>
        <w:rFonts w:cs="Times New Roman"/>
      </w:rPr>
    </w:lvl>
    <w:lvl w:ilvl="3" w:tplc="041B000F" w:tentative="1">
      <w:start w:val="1"/>
      <w:numFmt w:val="decimal"/>
      <w:lvlText w:val="%4."/>
      <w:lvlJc w:val="left"/>
      <w:pPr>
        <w:ind w:left="3797" w:hanging="360"/>
      </w:pPr>
      <w:rPr>
        <w:rFonts w:cs="Times New Roman"/>
      </w:rPr>
    </w:lvl>
    <w:lvl w:ilvl="4" w:tplc="041B0019" w:tentative="1">
      <w:start w:val="1"/>
      <w:numFmt w:val="lowerLetter"/>
      <w:lvlText w:val="%5."/>
      <w:lvlJc w:val="left"/>
      <w:pPr>
        <w:ind w:left="4517" w:hanging="360"/>
      </w:pPr>
      <w:rPr>
        <w:rFonts w:cs="Times New Roman"/>
      </w:rPr>
    </w:lvl>
    <w:lvl w:ilvl="5" w:tplc="041B001B" w:tentative="1">
      <w:start w:val="1"/>
      <w:numFmt w:val="lowerRoman"/>
      <w:lvlText w:val="%6."/>
      <w:lvlJc w:val="right"/>
      <w:pPr>
        <w:ind w:left="5237" w:hanging="180"/>
      </w:pPr>
      <w:rPr>
        <w:rFonts w:cs="Times New Roman"/>
      </w:rPr>
    </w:lvl>
    <w:lvl w:ilvl="6" w:tplc="041B000F" w:tentative="1">
      <w:start w:val="1"/>
      <w:numFmt w:val="decimal"/>
      <w:lvlText w:val="%7."/>
      <w:lvlJc w:val="left"/>
      <w:pPr>
        <w:ind w:left="5957" w:hanging="360"/>
      </w:pPr>
      <w:rPr>
        <w:rFonts w:cs="Times New Roman"/>
      </w:rPr>
    </w:lvl>
    <w:lvl w:ilvl="7" w:tplc="041B0019" w:tentative="1">
      <w:start w:val="1"/>
      <w:numFmt w:val="lowerLetter"/>
      <w:lvlText w:val="%8."/>
      <w:lvlJc w:val="left"/>
      <w:pPr>
        <w:ind w:left="6677" w:hanging="360"/>
      </w:pPr>
      <w:rPr>
        <w:rFonts w:cs="Times New Roman"/>
      </w:rPr>
    </w:lvl>
    <w:lvl w:ilvl="8" w:tplc="041B001B" w:tentative="1">
      <w:start w:val="1"/>
      <w:numFmt w:val="lowerRoman"/>
      <w:lvlText w:val="%9."/>
      <w:lvlJc w:val="right"/>
      <w:pPr>
        <w:ind w:left="7397" w:hanging="180"/>
      </w:pPr>
      <w:rPr>
        <w:rFonts w:cs="Times New Roman"/>
      </w:rPr>
    </w:lvl>
  </w:abstractNum>
  <w:abstractNum w:abstractNumId="24" w15:restartNumberingAfterBreak="0">
    <w:nsid w:val="36A92947"/>
    <w:multiLevelType w:val="hybridMultilevel"/>
    <w:tmpl w:val="2B28F49A"/>
    <w:lvl w:ilvl="0" w:tplc="F698BA5C">
      <w:start w:val="1"/>
      <w:numFmt w:val="upperLetter"/>
      <w:lvlText w:val="%1."/>
      <w:lvlJc w:val="left"/>
      <w:pPr>
        <w:ind w:left="720" w:hanging="360"/>
      </w:pPr>
      <w:rPr>
        <w:rFonts w:cs="Times New Roman"/>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7696996"/>
    <w:multiLevelType w:val="singleLevel"/>
    <w:tmpl w:val="3C1EC432"/>
    <w:lvl w:ilvl="0">
      <w:start w:val="1"/>
      <w:numFmt w:val="decimal"/>
      <w:lvlText w:val="%1. "/>
      <w:legacy w:legacy="1" w:legacySpace="0" w:legacyIndent="283"/>
      <w:lvlJc w:val="left"/>
      <w:pPr>
        <w:ind w:left="1560" w:hanging="283"/>
      </w:pPr>
      <w:rPr>
        <w:rFonts w:ascii="Times New Roman" w:hAnsi="Times New Roman" w:cs="Times New Roman" w:hint="default"/>
        <w:b w:val="0"/>
        <w:i w:val="0"/>
        <w:sz w:val="24"/>
        <w:szCs w:val="24"/>
      </w:rPr>
    </w:lvl>
  </w:abstractNum>
  <w:abstractNum w:abstractNumId="26" w15:restartNumberingAfterBreak="0">
    <w:nsid w:val="3D8D09C0"/>
    <w:multiLevelType w:val="hybridMultilevel"/>
    <w:tmpl w:val="975AFC38"/>
    <w:lvl w:ilvl="0" w:tplc="1E3EAF60">
      <w:numFmt w:val="bullet"/>
      <w:lvlText w:val="-"/>
      <w:lvlJc w:val="left"/>
      <w:pPr>
        <w:ind w:left="720" w:hanging="360"/>
      </w:pPr>
      <w:rPr>
        <w:rFonts w:ascii="Arial" w:eastAsia="Times New Roman" w:hAnsi="Arial" w:hint="default"/>
        <w:b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8BC0547"/>
    <w:multiLevelType w:val="hybridMultilevel"/>
    <w:tmpl w:val="40627D20"/>
    <w:lvl w:ilvl="0" w:tplc="224AB502">
      <w:numFmt w:val="bullet"/>
      <w:lvlText w:val="-"/>
      <w:lvlJc w:val="left"/>
      <w:pPr>
        <w:ind w:left="720" w:hanging="360"/>
      </w:pPr>
      <w:rPr>
        <w:rFonts w:ascii="Times New Roman" w:eastAsia="Times New Roman" w:hAnsi="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92A5716"/>
    <w:multiLevelType w:val="hybridMultilevel"/>
    <w:tmpl w:val="0C021A80"/>
    <w:lvl w:ilvl="0" w:tplc="FD5C60DA">
      <w:start w:val="1"/>
      <w:numFmt w:val="upperLetter"/>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CD93DB7"/>
    <w:multiLevelType w:val="hybridMultilevel"/>
    <w:tmpl w:val="982A0DD4"/>
    <w:lvl w:ilvl="0" w:tplc="BF10445C">
      <w:start w:val="1"/>
      <w:numFmt w:val="lowerLetter"/>
      <w:lvlText w:val="%1)"/>
      <w:lvlJc w:val="left"/>
      <w:pPr>
        <w:ind w:left="362"/>
      </w:pPr>
      <w:rPr>
        <w:rFonts w:ascii="Times New Roman" w:eastAsia="Times New Roman" w:hAnsi="Times New Roman" w:cs="Times New Roman"/>
        <w:b w:val="0"/>
        <w:i w:val="0"/>
        <w:strike w:val="0"/>
        <w:dstrike w:val="0"/>
        <w:color w:val="000000"/>
        <w:sz w:val="20"/>
        <w:szCs w:val="20"/>
        <w:u w:val="none" w:color="000000"/>
        <w:vertAlign w:val="baseline"/>
      </w:rPr>
    </w:lvl>
    <w:lvl w:ilvl="1" w:tplc="DE305C9C">
      <w:start w:val="1"/>
      <w:numFmt w:val="lowerLetter"/>
      <w:lvlText w:val="%2"/>
      <w:lvlJc w:val="left"/>
      <w:pPr>
        <w:ind w:left="1109"/>
      </w:pPr>
      <w:rPr>
        <w:rFonts w:ascii="Times New Roman" w:eastAsia="Times New Roman" w:hAnsi="Times New Roman" w:cs="Times New Roman"/>
        <w:b w:val="0"/>
        <w:i w:val="0"/>
        <w:strike w:val="0"/>
        <w:dstrike w:val="0"/>
        <w:color w:val="000000"/>
        <w:sz w:val="20"/>
        <w:szCs w:val="20"/>
        <w:u w:val="none" w:color="000000"/>
        <w:vertAlign w:val="baseline"/>
      </w:rPr>
    </w:lvl>
    <w:lvl w:ilvl="2" w:tplc="2CDE92F2">
      <w:start w:val="1"/>
      <w:numFmt w:val="lowerRoman"/>
      <w:lvlText w:val="%3"/>
      <w:lvlJc w:val="left"/>
      <w:pPr>
        <w:ind w:left="1829"/>
      </w:pPr>
      <w:rPr>
        <w:rFonts w:ascii="Times New Roman" w:eastAsia="Times New Roman" w:hAnsi="Times New Roman" w:cs="Times New Roman"/>
        <w:b w:val="0"/>
        <w:i w:val="0"/>
        <w:strike w:val="0"/>
        <w:dstrike w:val="0"/>
        <w:color w:val="000000"/>
        <w:sz w:val="20"/>
        <w:szCs w:val="20"/>
        <w:u w:val="none" w:color="000000"/>
        <w:vertAlign w:val="baseline"/>
      </w:rPr>
    </w:lvl>
    <w:lvl w:ilvl="3" w:tplc="E8F24FF4">
      <w:start w:val="1"/>
      <w:numFmt w:val="decimal"/>
      <w:lvlText w:val="%4"/>
      <w:lvlJc w:val="left"/>
      <w:pPr>
        <w:ind w:left="2549"/>
      </w:pPr>
      <w:rPr>
        <w:rFonts w:ascii="Times New Roman" w:eastAsia="Times New Roman" w:hAnsi="Times New Roman" w:cs="Times New Roman"/>
        <w:b w:val="0"/>
        <w:i w:val="0"/>
        <w:strike w:val="0"/>
        <w:dstrike w:val="0"/>
        <w:color w:val="000000"/>
        <w:sz w:val="20"/>
        <w:szCs w:val="20"/>
        <w:u w:val="none" w:color="000000"/>
        <w:vertAlign w:val="baseline"/>
      </w:rPr>
    </w:lvl>
    <w:lvl w:ilvl="4" w:tplc="C93EEA9E">
      <w:start w:val="1"/>
      <w:numFmt w:val="lowerLetter"/>
      <w:lvlText w:val="%5"/>
      <w:lvlJc w:val="left"/>
      <w:pPr>
        <w:ind w:left="3269"/>
      </w:pPr>
      <w:rPr>
        <w:rFonts w:ascii="Times New Roman" w:eastAsia="Times New Roman" w:hAnsi="Times New Roman" w:cs="Times New Roman"/>
        <w:b w:val="0"/>
        <w:i w:val="0"/>
        <w:strike w:val="0"/>
        <w:dstrike w:val="0"/>
        <w:color w:val="000000"/>
        <w:sz w:val="20"/>
        <w:szCs w:val="20"/>
        <w:u w:val="none" w:color="000000"/>
        <w:vertAlign w:val="baseline"/>
      </w:rPr>
    </w:lvl>
    <w:lvl w:ilvl="5" w:tplc="3ADA3686">
      <w:start w:val="1"/>
      <w:numFmt w:val="lowerRoman"/>
      <w:lvlText w:val="%6"/>
      <w:lvlJc w:val="left"/>
      <w:pPr>
        <w:ind w:left="3989"/>
      </w:pPr>
      <w:rPr>
        <w:rFonts w:ascii="Times New Roman" w:eastAsia="Times New Roman" w:hAnsi="Times New Roman" w:cs="Times New Roman"/>
        <w:b w:val="0"/>
        <w:i w:val="0"/>
        <w:strike w:val="0"/>
        <w:dstrike w:val="0"/>
        <w:color w:val="000000"/>
        <w:sz w:val="20"/>
        <w:szCs w:val="20"/>
        <w:u w:val="none" w:color="000000"/>
        <w:vertAlign w:val="baseline"/>
      </w:rPr>
    </w:lvl>
    <w:lvl w:ilvl="6" w:tplc="2A24131A">
      <w:start w:val="1"/>
      <w:numFmt w:val="decimal"/>
      <w:lvlText w:val="%7"/>
      <w:lvlJc w:val="left"/>
      <w:pPr>
        <w:ind w:left="4709"/>
      </w:pPr>
      <w:rPr>
        <w:rFonts w:ascii="Times New Roman" w:eastAsia="Times New Roman" w:hAnsi="Times New Roman" w:cs="Times New Roman"/>
        <w:b w:val="0"/>
        <w:i w:val="0"/>
        <w:strike w:val="0"/>
        <w:dstrike w:val="0"/>
        <w:color w:val="000000"/>
        <w:sz w:val="20"/>
        <w:szCs w:val="20"/>
        <w:u w:val="none" w:color="000000"/>
        <w:vertAlign w:val="baseline"/>
      </w:rPr>
    </w:lvl>
    <w:lvl w:ilvl="7" w:tplc="0A129424">
      <w:start w:val="1"/>
      <w:numFmt w:val="lowerLetter"/>
      <w:lvlText w:val="%8"/>
      <w:lvlJc w:val="left"/>
      <w:pPr>
        <w:ind w:left="5429"/>
      </w:pPr>
      <w:rPr>
        <w:rFonts w:ascii="Times New Roman" w:eastAsia="Times New Roman" w:hAnsi="Times New Roman" w:cs="Times New Roman"/>
        <w:b w:val="0"/>
        <w:i w:val="0"/>
        <w:strike w:val="0"/>
        <w:dstrike w:val="0"/>
        <w:color w:val="000000"/>
        <w:sz w:val="20"/>
        <w:szCs w:val="20"/>
        <w:u w:val="none" w:color="000000"/>
        <w:vertAlign w:val="baseline"/>
      </w:rPr>
    </w:lvl>
    <w:lvl w:ilvl="8" w:tplc="C9DA6518">
      <w:start w:val="1"/>
      <w:numFmt w:val="lowerRoman"/>
      <w:lvlText w:val="%9"/>
      <w:lvlJc w:val="left"/>
      <w:pPr>
        <w:ind w:left="6149"/>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30" w15:restartNumberingAfterBreak="0">
    <w:nsid w:val="62411F4D"/>
    <w:multiLevelType w:val="hybridMultilevel"/>
    <w:tmpl w:val="E56E2AAA"/>
    <w:lvl w:ilvl="0" w:tplc="0B040BF0">
      <w:start w:val="1"/>
      <w:numFmt w:val="lowerLetter"/>
      <w:lvlText w:val="%1)"/>
      <w:lvlJc w:val="left"/>
      <w:pPr>
        <w:ind w:left="336"/>
      </w:pPr>
      <w:rPr>
        <w:rFonts w:ascii="Times New Roman" w:eastAsia="Times New Roman" w:hAnsi="Times New Roman" w:cs="Times New Roman"/>
        <w:b w:val="0"/>
        <w:i w:val="0"/>
        <w:strike w:val="0"/>
        <w:dstrike w:val="0"/>
        <w:color w:val="000000"/>
        <w:sz w:val="20"/>
        <w:szCs w:val="20"/>
        <w:u w:val="none" w:color="000000"/>
        <w:vertAlign w:val="baseline"/>
      </w:rPr>
    </w:lvl>
    <w:lvl w:ilvl="1" w:tplc="54B8A7B4">
      <w:start w:val="1"/>
      <w:numFmt w:val="lowerLetter"/>
      <w:lvlText w:val="%2"/>
      <w:lvlJc w:val="left"/>
      <w:pPr>
        <w:ind w:left="1109"/>
      </w:pPr>
      <w:rPr>
        <w:rFonts w:ascii="Times New Roman" w:eastAsia="Times New Roman" w:hAnsi="Times New Roman" w:cs="Times New Roman"/>
        <w:b w:val="0"/>
        <w:i w:val="0"/>
        <w:strike w:val="0"/>
        <w:dstrike w:val="0"/>
        <w:color w:val="000000"/>
        <w:sz w:val="20"/>
        <w:szCs w:val="20"/>
        <w:u w:val="none" w:color="000000"/>
        <w:vertAlign w:val="baseline"/>
      </w:rPr>
    </w:lvl>
    <w:lvl w:ilvl="2" w:tplc="3DDEE616">
      <w:start w:val="1"/>
      <w:numFmt w:val="lowerRoman"/>
      <w:lvlText w:val="%3"/>
      <w:lvlJc w:val="left"/>
      <w:pPr>
        <w:ind w:left="1829"/>
      </w:pPr>
      <w:rPr>
        <w:rFonts w:ascii="Times New Roman" w:eastAsia="Times New Roman" w:hAnsi="Times New Roman" w:cs="Times New Roman"/>
        <w:b w:val="0"/>
        <w:i w:val="0"/>
        <w:strike w:val="0"/>
        <w:dstrike w:val="0"/>
        <w:color w:val="000000"/>
        <w:sz w:val="20"/>
        <w:szCs w:val="20"/>
        <w:u w:val="none" w:color="000000"/>
        <w:vertAlign w:val="baseline"/>
      </w:rPr>
    </w:lvl>
    <w:lvl w:ilvl="3" w:tplc="59C08312">
      <w:start w:val="1"/>
      <w:numFmt w:val="decimal"/>
      <w:lvlText w:val="%4"/>
      <w:lvlJc w:val="left"/>
      <w:pPr>
        <w:ind w:left="2549"/>
      </w:pPr>
      <w:rPr>
        <w:rFonts w:ascii="Times New Roman" w:eastAsia="Times New Roman" w:hAnsi="Times New Roman" w:cs="Times New Roman"/>
        <w:b w:val="0"/>
        <w:i w:val="0"/>
        <w:strike w:val="0"/>
        <w:dstrike w:val="0"/>
        <w:color w:val="000000"/>
        <w:sz w:val="20"/>
        <w:szCs w:val="20"/>
        <w:u w:val="none" w:color="000000"/>
        <w:vertAlign w:val="baseline"/>
      </w:rPr>
    </w:lvl>
    <w:lvl w:ilvl="4" w:tplc="D0280620">
      <w:start w:val="1"/>
      <w:numFmt w:val="lowerLetter"/>
      <w:lvlText w:val="%5"/>
      <w:lvlJc w:val="left"/>
      <w:pPr>
        <w:ind w:left="3269"/>
      </w:pPr>
      <w:rPr>
        <w:rFonts w:ascii="Times New Roman" w:eastAsia="Times New Roman" w:hAnsi="Times New Roman" w:cs="Times New Roman"/>
        <w:b w:val="0"/>
        <w:i w:val="0"/>
        <w:strike w:val="0"/>
        <w:dstrike w:val="0"/>
        <w:color w:val="000000"/>
        <w:sz w:val="20"/>
        <w:szCs w:val="20"/>
        <w:u w:val="none" w:color="000000"/>
        <w:vertAlign w:val="baseline"/>
      </w:rPr>
    </w:lvl>
    <w:lvl w:ilvl="5" w:tplc="4EF0A15C">
      <w:start w:val="1"/>
      <w:numFmt w:val="lowerRoman"/>
      <w:lvlText w:val="%6"/>
      <w:lvlJc w:val="left"/>
      <w:pPr>
        <w:ind w:left="3989"/>
      </w:pPr>
      <w:rPr>
        <w:rFonts w:ascii="Times New Roman" w:eastAsia="Times New Roman" w:hAnsi="Times New Roman" w:cs="Times New Roman"/>
        <w:b w:val="0"/>
        <w:i w:val="0"/>
        <w:strike w:val="0"/>
        <w:dstrike w:val="0"/>
        <w:color w:val="000000"/>
        <w:sz w:val="20"/>
        <w:szCs w:val="20"/>
        <w:u w:val="none" w:color="000000"/>
        <w:vertAlign w:val="baseline"/>
      </w:rPr>
    </w:lvl>
    <w:lvl w:ilvl="6" w:tplc="B2FE5994">
      <w:start w:val="1"/>
      <w:numFmt w:val="decimal"/>
      <w:lvlText w:val="%7"/>
      <w:lvlJc w:val="left"/>
      <w:pPr>
        <w:ind w:left="4709"/>
      </w:pPr>
      <w:rPr>
        <w:rFonts w:ascii="Times New Roman" w:eastAsia="Times New Roman" w:hAnsi="Times New Roman" w:cs="Times New Roman"/>
        <w:b w:val="0"/>
        <w:i w:val="0"/>
        <w:strike w:val="0"/>
        <w:dstrike w:val="0"/>
        <w:color w:val="000000"/>
        <w:sz w:val="20"/>
        <w:szCs w:val="20"/>
        <w:u w:val="none" w:color="000000"/>
        <w:vertAlign w:val="baseline"/>
      </w:rPr>
    </w:lvl>
    <w:lvl w:ilvl="7" w:tplc="0DC813D8">
      <w:start w:val="1"/>
      <w:numFmt w:val="lowerLetter"/>
      <w:lvlText w:val="%8"/>
      <w:lvlJc w:val="left"/>
      <w:pPr>
        <w:ind w:left="5429"/>
      </w:pPr>
      <w:rPr>
        <w:rFonts w:ascii="Times New Roman" w:eastAsia="Times New Roman" w:hAnsi="Times New Roman" w:cs="Times New Roman"/>
        <w:b w:val="0"/>
        <w:i w:val="0"/>
        <w:strike w:val="0"/>
        <w:dstrike w:val="0"/>
        <w:color w:val="000000"/>
        <w:sz w:val="20"/>
        <w:szCs w:val="20"/>
        <w:u w:val="none" w:color="000000"/>
        <w:vertAlign w:val="baseline"/>
      </w:rPr>
    </w:lvl>
    <w:lvl w:ilvl="8" w:tplc="CA6E5AD0">
      <w:start w:val="1"/>
      <w:numFmt w:val="lowerRoman"/>
      <w:lvlText w:val="%9"/>
      <w:lvlJc w:val="left"/>
      <w:pPr>
        <w:ind w:left="6149"/>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31" w15:restartNumberingAfterBreak="0">
    <w:nsid w:val="69506F3F"/>
    <w:multiLevelType w:val="hybridMultilevel"/>
    <w:tmpl w:val="2EAAB49E"/>
    <w:lvl w:ilvl="0" w:tplc="1E3EAF60">
      <w:numFmt w:val="bullet"/>
      <w:lvlText w:val="-"/>
      <w:lvlJc w:val="left"/>
      <w:pPr>
        <w:ind w:left="360" w:hanging="360"/>
      </w:pPr>
      <w:rPr>
        <w:rFonts w:ascii="Arial" w:eastAsia="Times New Roman" w:hAnsi="Arial" w:hint="default"/>
        <w:b w:val="0"/>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69F34C41"/>
    <w:multiLevelType w:val="hybridMultilevel"/>
    <w:tmpl w:val="56463F9A"/>
    <w:lvl w:ilvl="0" w:tplc="819477B8">
      <w:start w:val="1"/>
      <w:numFmt w:val="lowerLetter"/>
      <w:lvlText w:val="%1)"/>
      <w:lvlJc w:val="left"/>
      <w:pPr>
        <w:ind w:left="362"/>
      </w:pPr>
      <w:rPr>
        <w:rFonts w:ascii="Times New Roman" w:eastAsia="Times New Roman" w:hAnsi="Times New Roman" w:cs="Times New Roman"/>
        <w:b w:val="0"/>
        <w:i w:val="0"/>
        <w:strike w:val="0"/>
        <w:dstrike w:val="0"/>
        <w:color w:val="000000"/>
        <w:sz w:val="20"/>
        <w:szCs w:val="20"/>
        <w:u w:val="none" w:color="000000"/>
        <w:vertAlign w:val="baseline"/>
      </w:rPr>
    </w:lvl>
    <w:lvl w:ilvl="1" w:tplc="59104610">
      <w:start w:val="1"/>
      <w:numFmt w:val="lowerLetter"/>
      <w:lvlText w:val="%2"/>
      <w:lvlJc w:val="left"/>
      <w:pPr>
        <w:ind w:left="1109"/>
      </w:pPr>
      <w:rPr>
        <w:rFonts w:ascii="Times New Roman" w:eastAsia="Times New Roman" w:hAnsi="Times New Roman" w:cs="Times New Roman"/>
        <w:b w:val="0"/>
        <w:i w:val="0"/>
        <w:strike w:val="0"/>
        <w:dstrike w:val="0"/>
        <w:color w:val="000000"/>
        <w:sz w:val="20"/>
        <w:szCs w:val="20"/>
        <w:u w:val="none" w:color="000000"/>
        <w:vertAlign w:val="baseline"/>
      </w:rPr>
    </w:lvl>
    <w:lvl w:ilvl="2" w:tplc="41CA6D7A">
      <w:start w:val="1"/>
      <w:numFmt w:val="lowerRoman"/>
      <w:lvlText w:val="%3"/>
      <w:lvlJc w:val="left"/>
      <w:pPr>
        <w:ind w:left="1829"/>
      </w:pPr>
      <w:rPr>
        <w:rFonts w:ascii="Times New Roman" w:eastAsia="Times New Roman" w:hAnsi="Times New Roman" w:cs="Times New Roman"/>
        <w:b w:val="0"/>
        <w:i w:val="0"/>
        <w:strike w:val="0"/>
        <w:dstrike w:val="0"/>
        <w:color w:val="000000"/>
        <w:sz w:val="20"/>
        <w:szCs w:val="20"/>
        <w:u w:val="none" w:color="000000"/>
        <w:vertAlign w:val="baseline"/>
      </w:rPr>
    </w:lvl>
    <w:lvl w:ilvl="3" w:tplc="5B1CCC96">
      <w:start w:val="1"/>
      <w:numFmt w:val="decimal"/>
      <w:lvlText w:val="%4"/>
      <w:lvlJc w:val="left"/>
      <w:pPr>
        <w:ind w:left="2549"/>
      </w:pPr>
      <w:rPr>
        <w:rFonts w:ascii="Times New Roman" w:eastAsia="Times New Roman" w:hAnsi="Times New Roman" w:cs="Times New Roman"/>
        <w:b w:val="0"/>
        <w:i w:val="0"/>
        <w:strike w:val="0"/>
        <w:dstrike w:val="0"/>
        <w:color w:val="000000"/>
        <w:sz w:val="20"/>
        <w:szCs w:val="20"/>
        <w:u w:val="none" w:color="000000"/>
        <w:vertAlign w:val="baseline"/>
      </w:rPr>
    </w:lvl>
    <w:lvl w:ilvl="4" w:tplc="13309DA0">
      <w:start w:val="1"/>
      <w:numFmt w:val="lowerLetter"/>
      <w:lvlText w:val="%5"/>
      <w:lvlJc w:val="left"/>
      <w:pPr>
        <w:ind w:left="3269"/>
      </w:pPr>
      <w:rPr>
        <w:rFonts w:ascii="Times New Roman" w:eastAsia="Times New Roman" w:hAnsi="Times New Roman" w:cs="Times New Roman"/>
        <w:b w:val="0"/>
        <w:i w:val="0"/>
        <w:strike w:val="0"/>
        <w:dstrike w:val="0"/>
        <w:color w:val="000000"/>
        <w:sz w:val="20"/>
        <w:szCs w:val="20"/>
        <w:u w:val="none" w:color="000000"/>
        <w:vertAlign w:val="baseline"/>
      </w:rPr>
    </w:lvl>
    <w:lvl w:ilvl="5" w:tplc="7200D692">
      <w:start w:val="1"/>
      <w:numFmt w:val="lowerRoman"/>
      <w:lvlText w:val="%6"/>
      <w:lvlJc w:val="left"/>
      <w:pPr>
        <w:ind w:left="3989"/>
      </w:pPr>
      <w:rPr>
        <w:rFonts w:ascii="Times New Roman" w:eastAsia="Times New Roman" w:hAnsi="Times New Roman" w:cs="Times New Roman"/>
        <w:b w:val="0"/>
        <w:i w:val="0"/>
        <w:strike w:val="0"/>
        <w:dstrike w:val="0"/>
        <w:color w:val="000000"/>
        <w:sz w:val="20"/>
        <w:szCs w:val="20"/>
        <w:u w:val="none" w:color="000000"/>
        <w:vertAlign w:val="baseline"/>
      </w:rPr>
    </w:lvl>
    <w:lvl w:ilvl="6" w:tplc="3B220E52">
      <w:start w:val="1"/>
      <w:numFmt w:val="decimal"/>
      <w:lvlText w:val="%7"/>
      <w:lvlJc w:val="left"/>
      <w:pPr>
        <w:ind w:left="4709"/>
      </w:pPr>
      <w:rPr>
        <w:rFonts w:ascii="Times New Roman" w:eastAsia="Times New Roman" w:hAnsi="Times New Roman" w:cs="Times New Roman"/>
        <w:b w:val="0"/>
        <w:i w:val="0"/>
        <w:strike w:val="0"/>
        <w:dstrike w:val="0"/>
        <w:color w:val="000000"/>
        <w:sz w:val="20"/>
        <w:szCs w:val="20"/>
        <w:u w:val="none" w:color="000000"/>
        <w:vertAlign w:val="baseline"/>
      </w:rPr>
    </w:lvl>
    <w:lvl w:ilvl="7" w:tplc="B680D71E">
      <w:start w:val="1"/>
      <w:numFmt w:val="lowerLetter"/>
      <w:lvlText w:val="%8"/>
      <w:lvlJc w:val="left"/>
      <w:pPr>
        <w:ind w:left="5429"/>
      </w:pPr>
      <w:rPr>
        <w:rFonts w:ascii="Times New Roman" w:eastAsia="Times New Roman" w:hAnsi="Times New Roman" w:cs="Times New Roman"/>
        <w:b w:val="0"/>
        <w:i w:val="0"/>
        <w:strike w:val="0"/>
        <w:dstrike w:val="0"/>
        <w:color w:val="000000"/>
        <w:sz w:val="20"/>
        <w:szCs w:val="20"/>
        <w:u w:val="none" w:color="000000"/>
        <w:vertAlign w:val="baseline"/>
      </w:rPr>
    </w:lvl>
    <w:lvl w:ilvl="8" w:tplc="1F2E9872">
      <w:start w:val="1"/>
      <w:numFmt w:val="lowerRoman"/>
      <w:lvlText w:val="%9"/>
      <w:lvlJc w:val="left"/>
      <w:pPr>
        <w:ind w:left="6149"/>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33" w15:restartNumberingAfterBreak="0">
    <w:nsid w:val="71F80690"/>
    <w:multiLevelType w:val="hybridMultilevel"/>
    <w:tmpl w:val="BC3AA5CC"/>
    <w:lvl w:ilvl="0" w:tplc="D3EE007A">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73E85B3B"/>
    <w:multiLevelType w:val="hybridMultilevel"/>
    <w:tmpl w:val="3C34EB72"/>
    <w:lvl w:ilvl="0" w:tplc="0D2EDA9A">
      <w:start w:val="1"/>
      <w:numFmt w:val="lowerLetter"/>
      <w:lvlText w:val="%1)"/>
      <w:lvlJc w:val="left"/>
      <w:rPr>
        <w:rFonts w:ascii="Times New Roman" w:eastAsia="Times New Roman" w:hAnsi="Times New Roman" w:cs="Times New Roman"/>
        <w:b w:val="0"/>
        <w:i w:val="0"/>
        <w:strike w:val="0"/>
        <w:dstrike w:val="0"/>
        <w:color w:val="000000"/>
        <w:sz w:val="20"/>
        <w:szCs w:val="20"/>
        <w:u w:val="none" w:color="000000"/>
        <w:vertAlign w:val="baseline"/>
      </w:rPr>
    </w:lvl>
    <w:lvl w:ilvl="1" w:tplc="F7FAC2D4">
      <w:start w:val="1"/>
      <w:numFmt w:val="lowerLetter"/>
      <w:lvlText w:val="%2"/>
      <w:lvlJc w:val="left"/>
      <w:pPr>
        <w:ind w:left="1106"/>
      </w:pPr>
      <w:rPr>
        <w:rFonts w:ascii="Times New Roman" w:eastAsia="Times New Roman" w:hAnsi="Times New Roman" w:cs="Times New Roman"/>
        <w:b w:val="0"/>
        <w:i w:val="0"/>
        <w:strike w:val="0"/>
        <w:dstrike w:val="0"/>
        <w:color w:val="000000"/>
        <w:sz w:val="20"/>
        <w:szCs w:val="20"/>
        <w:u w:val="none" w:color="000000"/>
        <w:vertAlign w:val="baseline"/>
      </w:rPr>
    </w:lvl>
    <w:lvl w:ilvl="2" w:tplc="C03A0674">
      <w:start w:val="1"/>
      <w:numFmt w:val="lowerRoman"/>
      <w:lvlText w:val="%3"/>
      <w:lvlJc w:val="left"/>
      <w:pPr>
        <w:ind w:left="1826"/>
      </w:pPr>
      <w:rPr>
        <w:rFonts w:ascii="Times New Roman" w:eastAsia="Times New Roman" w:hAnsi="Times New Roman" w:cs="Times New Roman"/>
        <w:b w:val="0"/>
        <w:i w:val="0"/>
        <w:strike w:val="0"/>
        <w:dstrike w:val="0"/>
        <w:color w:val="000000"/>
        <w:sz w:val="20"/>
        <w:szCs w:val="20"/>
        <w:u w:val="none" w:color="000000"/>
        <w:vertAlign w:val="baseline"/>
      </w:rPr>
    </w:lvl>
    <w:lvl w:ilvl="3" w:tplc="D974BF14">
      <w:start w:val="1"/>
      <w:numFmt w:val="decimal"/>
      <w:lvlText w:val="%4"/>
      <w:lvlJc w:val="left"/>
      <w:pPr>
        <w:ind w:left="2546"/>
      </w:pPr>
      <w:rPr>
        <w:rFonts w:ascii="Times New Roman" w:eastAsia="Times New Roman" w:hAnsi="Times New Roman" w:cs="Times New Roman"/>
        <w:b w:val="0"/>
        <w:i w:val="0"/>
        <w:strike w:val="0"/>
        <w:dstrike w:val="0"/>
        <w:color w:val="000000"/>
        <w:sz w:val="20"/>
        <w:szCs w:val="20"/>
        <w:u w:val="none" w:color="000000"/>
        <w:vertAlign w:val="baseline"/>
      </w:rPr>
    </w:lvl>
    <w:lvl w:ilvl="4" w:tplc="D5B06240">
      <w:start w:val="1"/>
      <w:numFmt w:val="lowerLetter"/>
      <w:lvlText w:val="%5"/>
      <w:lvlJc w:val="left"/>
      <w:pPr>
        <w:ind w:left="3266"/>
      </w:pPr>
      <w:rPr>
        <w:rFonts w:ascii="Times New Roman" w:eastAsia="Times New Roman" w:hAnsi="Times New Roman" w:cs="Times New Roman"/>
        <w:b w:val="0"/>
        <w:i w:val="0"/>
        <w:strike w:val="0"/>
        <w:dstrike w:val="0"/>
        <w:color w:val="000000"/>
        <w:sz w:val="20"/>
        <w:szCs w:val="20"/>
        <w:u w:val="none" w:color="000000"/>
        <w:vertAlign w:val="baseline"/>
      </w:rPr>
    </w:lvl>
    <w:lvl w:ilvl="5" w:tplc="CFF80A34">
      <w:start w:val="1"/>
      <w:numFmt w:val="lowerRoman"/>
      <w:lvlText w:val="%6"/>
      <w:lvlJc w:val="left"/>
      <w:pPr>
        <w:ind w:left="3986"/>
      </w:pPr>
      <w:rPr>
        <w:rFonts w:ascii="Times New Roman" w:eastAsia="Times New Roman" w:hAnsi="Times New Roman" w:cs="Times New Roman"/>
        <w:b w:val="0"/>
        <w:i w:val="0"/>
        <w:strike w:val="0"/>
        <w:dstrike w:val="0"/>
        <w:color w:val="000000"/>
        <w:sz w:val="20"/>
        <w:szCs w:val="20"/>
        <w:u w:val="none" w:color="000000"/>
        <w:vertAlign w:val="baseline"/>
      </w:rPr>
    </w:lvl>
    <w:lvl w:ilvl="6" w:tplc="AD2607B0">
      <w:start w:val="1"/>
      <w:numFmt w:val="decimal"/>
      <w:lvlText w:val="%7"/>
      <w:lvlJc w:val="left"/>
      <w:pPr>
        <w:ind w:left="4706"/>
      </w:pPr>
      <w:rPr>
        <w:rFonts w:ascii="Times New Roman" w:eastAsia="Times New Roman" w:hAnsi="Times New Roman" w:cs="Times New Roman"/>
        <w:b w:val="0"/>
        <w:i w:val="0"/>
        <w:strike w:val="0"/>
        <w:dstrike w:val="0"/>
        <w:color w:val="000000"/>
        <w:sz w:val="20"/>
        <w:szCs w:val="20"/>
        <w:u w:val="none" w:color="000000"/>
        <w:vertAlign w:val="baseline"/>
      </w:rPr>
    </w:lvl>
    <w:lvl w:ilvl="7" w:tplc="6BF62EAE">
      <w:start w:val="1"/>
      <w:numFmt w:val="lowerLetter"/>
      <w:lvlText w:val="%8"/>
      <w:lvlJc w:val="left"/>
      <w:pPr>
        <w:ind w:left="5426"/>
      </w:pPr>
      <w:rPr>
        <w:rFonts w:ascii="Times New Roman" w:eastAsia="Times New Roman" w:hAnsi="Times New Roman" w:cs="Times New Roman"/>
        <w:b w:val="0"/>
        <w:i w:val="0"/>
        <w:strike w:val="0"/>
        <w:dstrike w:val="0"/>
        <w:color w:val="000000"/>
        <w:sz w:val="20"/>
        <w:szCs w:val="20"/>
        <w:u w:val="none" w:color="000000"/>
        <w:vertAlign w:val="baseline"/>
      </w:rPr>
    </w:lvl>
    <w:lvl w:ilvl="8" w:tplc="22DA706A">
      <w:start w:val="1"/>
      <w:numFmt w:val="lowerRoman"/>
      <w:lvlText w:val="%9"/>
      <w:lvlJc w:val="left"/>
      <w:pPr>
        <w:ind w:left="6146"/>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35" w15:restartNumberingAfterBreak="0">
    <w:nsid w:val="7D59106A"/>
    <w:multiLevelType w:val="hybridMultilevel"/>
    <w:tmpl w:val="B3A65E28"/>
    <w:lvl w:ilvl="0" w:tplc="224AB50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33"/>
  </w:num>
  <w:num w:numId="4">
    <w:abstractNumId w:val="28"/>
  </w:num>
  <w:num w:numId="5">
    <w:abstractNumId w:val="25"/>
    <w:lvlOverride w:ilvl="0">
      <w:startOverride w:val="1"/>
    </w:lvlOverride>
  </w:num>
  <w:num w:numId="6">
    <w:abstractNumId w:val="14"/>
  </w:num>
  <w:num w:numId="7">
    <w:abstractNumId w:val="17"/>
  </w:num>
  <w:num w:numId="8">
    <w:abstractNumId w:val="23"/>
  </w:num>
  <w:num w:numId="9">
    <w:abstractNumId w:val="32"/>
  </w:num>
  <w:num w:numId="10">
    <w:abstractNumId w:val="29"/>
  </w:num>
  <w:num w:numId="11">
    <w:abstractNumId w:val="30"/>
  </w:num>
  <w:num w:numId="12">
    <w:abstractNumId w:val="21"/>
  </w:num>
  <w:num w:numId="13">
    <w:abstractNumId w:val="10"/>
  </w:num>
  <w:num w:numId="14">
    <w:abstractNumId w:val="16"/>
  </w:num>
  <w:num w:numId="15">
    <w:abstractNumId w:val="34"/>
  </w:num>
  <w:num w:numId="16">
    <w:abstractNumId w:val="11"/>
  </w:num>
  <w:num w:numId="17">
    <w:abstractNumId w:val="27"/>
  </w:num>
  <w:num w:numId="18">
    <w:abstractNumId w:val="31"/>
  </w:num>
  <w:num w:numId="19">
    <w:abstractNumId w:val="20"/>
  </w:num>
  <w:num w:numId="20">
    <w:abstractNumId w:val="35"/>
  </w:num>
  <w:num w:numId="21">
    <w:abstractNumId w:val="26"/>
  </w:num>
  <w:num w:numId="22">
    <w:abstractNumId w:val="13"/>
  </w:num>
  <w:num w:numId="23">
    <w:abstractNumId w:val="25"/>
  </w:num>
  <w:num w:numId="24">
    <w:abstractNumId w:val="12"/>
    <w:lvlOverride w:ilvl="0">
      <w:startOverride w:val="1"/>
    </w:lvlOverride>
  </w:num>
  <w:num w:numId="25">
    <w:abstractNumId w:val="22"/>
  </w:num>
  <w:num w:numId="26">
    <w:abstractNumId w:val="3"/>
  </w:num>
  <w:num w:numId="27">
    <w:abstractNumId w:val="2"/>
  </w:num>
  <w:num w:numId="28">
    <w:abstractNumId w:val="1"/>
  </w:num>
  <w:num w:numId="29">
    <w:abstractNumId w:val="0"/>
  </w:num>
  <w:num w:numId="30">
    <w:abstractNumId w:val="8"/>
  </w:num>
  <w:num w:numId="31">
    <w:abstractNumId w:val="7"/>
  </w:num>
  <w:num w:numId="32">
    <w:abstractNumId w:val="6"/>
  </w:num>
  <w:num w:numId="33">
    <w:abstractNumId w:val="5"/>
  </w:num>
  <w:num w:numId="34">
    <w:abstractNumId w:val="4"/>
  </w:num>
  <w:num w:numId="35">
    <w:abstractNumId w:val="18"/>
  </w:num>
  <w:num w:numId="36">
    <w:abstractNumId w:val="19"/>
  </w:num>
  <w:num w:numId="37">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E4B"/>
    <w:rsid w:val="00005488"/>
    <w:rsid w:val="000066A8"/>
    <w:rsid w:val="00010088"/>
    <w:rsid w:val="00011BC7"/>
    <w:rsid w:val="00011ED5"/>
    <w:rsid w:val="00012069"/>
    <w:rsid w:val="00015073"/>
    <w:rsid w:val="00015383"/>
    <w:rsid w:val="000155F3"/>
    <w:rsid w:val="00021B6C"/>
    <w:rsid w:val="00023A0A"/>
    <w:rsid w:val="00023CC1"/>
    <w:rsid w:val="00024F2E"/>
    <w:rsid w:val="000258FE"/>
    <w:rsid w:val="00025C96"/>
    <w:rsid w:val="000315F6"/>
    <w:rsid w:val="00031F63"/>
    <w:rsid w:val="0003378F"/>
    <w:rsid w:val="00034368"/>
    <w:rsid w:val="00042A93"/>
    <w:rsid w:val="00042B25"/>
    <w:rsid w:val="00043D8B"/>
    <w:rsid w:val="000440D7"/>
    <w:rsid w:val="000445D3"/>
    <w:rsid w:val="00044C30"/>
    <w:rsid w:val="00046006"/>
    <w:rsid w:val="000479D6"/>
    <w:rsid w:val="00047A75"/>
    <w:rsid w:val="000501EB"/>
    <w:rsid w:val="000537F0"/>
    <w:rsid w:val="00053E3B"/>
    <w:rsid w:val="00054203"/>
    <w:rsid w:val="00055178"/>
    <w:rsid w:val="00055255"/>
    <w:rsid w:val="0005541A"/>
    <w:rsid w:val="000555E7"/>
    <w:rsid w:val="000627B1"/>
    <w:rsid w:val="00063145"/>
    <w:rsid w:val="00063597"/>
    <w:rsid w:val="0006405F"/>
    <w:rsid w:val="00064B64"/>
    <w:rsid w:val="00064FDB"/>
    <w:rsid w:val="0006708B"/>
    <w:rsid w:val="0006754F"/>
    <w:rsid w:val="00071463"/>
    <w:rsid w:val="00072335"/>
    <w:rsid w:val="0007391B"/>
    <w:rsid w:val="00074A20"/>
    <w:rsid w:val="000752DB"/>
    <w:rsid w:val="00077921"/>
    <w:rsid w:val="000804E5"/>
    <w:rsid w:val="0008256D"/>
    <w:rsid w:val="0008418C"/>
    <w:rsid w:val="00085047"/>
    <w:rsid w:val="00086D85"/>
    <w:rsid w:val="000870E2"/>
    <w:rsid w:val="000914A3"/>
    <w:rsid w:val="00092560"/>
    <w:rsid w:val="00094635"/>
    <w:rsid w:val="00094CC4"/>
    <w:rsid w:val="000961AA"/>
    <w:rsid w:val="0009649D"/>
    <w:rsid w:val="00096C0C"/>
    <w:rsid w:val="00097227"/>
    <w:rsid w:val="00097721"/>
    <w:rsid w:val="000A0029"/>
    <w:rsid w:val="000A036D"/>
    <w:rsid w:val="000A0669"/>
    <w:rsid w:val="000A1139"/>
    <w:rsid w:val="000A124A"/>
    <w:rsid w:val="000A13B2"/>
    <w:rsid w:val="000A22C0"/>
    <w:rsid w:val="000A3081"/>
    <w:rsid w:val="000A31EC"/>
    <w:rsid w:val="000A3887"/>
    <w:rsid w:val="000A704A"/>
    <w:rsid w:val="000A73E4"/>
    <w:rsid w:val="000B2C8C"/>
    <w:rsid w:val="000B4003"/>
    <w:rsid w:val="000B4462"/>
    <w:rsid w:val="000B4568"/>
    <w:rsid w:val="000B50B8"/>
    <w:rsid w:val="000B6758"/>
    <w:rsid w:val="000C2BD4"/>
    <w:rsid w:val="000C371D"/>
    <w:rsid w:val="000C4B2A"/>
    <w:rsid w:val="000C656B"/>
    <w:rsid w:val="000C67D7"/>
    <w:rsid w:val="000C77DD"/>
    <w:rsid w:val="000D1F2D"/>
    <w:rsid w:val="000D273B"/>
    <w:rsid w:val="000D7A06"/>
    <w:rsid w:val="000E080B"/>
    <w:rsid w:val="000E1125"/>
    <w:rsid w:val="000E11B1"/>
    <w:rsid w:val="000E2378"/>
    <w:rsid w:val="000E2E5D"/>
    <w:rsid w:val="000E3D54"/>
    <w:rsid w:val="000E4079"/>
    <w:rsid w:val="000E4458"/>
    <w:rsid w:val="000E44FB"/>
    <w:rsid w:val="000E4C0D"/>
    <w:rsid w:val="000E4FBF"/>
    <w:rsid w:val="000E6CA2"/>
    <w:rsid w:val="000F1422"/>
    <w:rsid w:val="000F1E5F"/>
    <w:rsid w:val="000F1F54"/>
    <w:rsid w:val="000F2515"/>
    <w:rsid w:val="000F4670"/>
    <w:rsid w:val="000F473B"/>
    <w:rsid w:val="000F47B7"/>
    <w:rsid w:val="000F492B"/>
    <w:rsid w:val="000F4C23"/>
    <w:rsid w:val="000F5CEF"/>
    <w:rsid w:val="000F62EF"/>
    <w:rsid w:val="000F6D26"/>
    <w:rsid w:val="00100271"/>
    <w:rsid w:val="00100559"/>
    <w:rsid w:val="0010322F"/>
    <w:rsid w:val="00103DF8"/>
    <w:rsid w:val="00104943"/>
    <w:rsid w:val="0010560A"/>
    <w:rsid w:val="00105849"/>
    <w:rsid w:val="00107632"/>
    <w:rsid w:val="0010780A"/>
    <w:rsid w:val="001110DE"/>
    <w:rsid w:val="00111BF6"/>
    <w:rsid w:val="001129C1"/>
    <w:rsid w:val="00112A42"/>
    <w:rsid w:val="00112E83"/>
    <w:rsid w:val="00114214"/>
    <w:rsid w:val="00114329"/>
    <w:rsid w:val="00114C47"/>
    <w:rsid w:val="0011506E"/>
    <w:rsid w:val="001158A9"/>
    <w:rsid w:val="0012111E"/>
    <w:rsid w:val="00121CA1"/>
    <w:rsid w:val="00122FEB"/>
    <w:rsid w:val="00123B2F"/>
    <w:rsid w:val="0012520D"/>
    <w:rsid w:val="00125CF1"/>
    <w:rsid w:val="00126A26"/>
    <w:rsid w:val="0013029E"/>
    <w:rsid w:val="001310B3"/>
    <w:rsid w:val="00132663"/>
    <w:rsid w:val="00133937"/>
    <w:rsid w:val="0013598C"/>
    <w:rsid w:val="001378A7"/>
    <w:rsid w:val="00143AFC"/>
    <w:rsid w:val="00143C76"/>
    <w:rsid w:val="00144234"/>
    <w:rsid w:val="0014440A"/>
    <w:rsid w:val="00146393"/>
    <w:rsid w:val="00147901"/>
    <w:rsid w:val="00150E00"/>
    <w:rsid w:val="00150E05"/>
    <w:rsid w:val="00150E74"/>
    <w:rsid w:val="00152340"/>
    <w:rsid w:val="0015382C"/>
    <w:rsid w:val="00153DAB"/>
    <w:rsid w:val="00155492"/>
    <w:rsid w:val="00160895"/>
    <w:rsid w:val="00161D69"/>
    <w:rsid w:val="00162A17"/>
    <w:rsid w:val="001656D9"/>
    <w:rsid w:val="00166235"/>
    <w:rsid w:val="00166297"/>
    <w:rsid w:val="001664F5"/>
    <w:rsid w:val="00172DE8"/>
    <w:rsid w:val="0017629D"/>
    <w:rsid w:val="001762A2"/>
    <w:rsid w:val="001772DE"/>
    <w:rsid w:val="00182276"/>
    <w:rsid w:val="001836EE"/>
    <w:rsid w:val="001837E7"/>
    <w:rsid w:val="001862F3"/>
    <w:rsid w:val="00186878"/>
    <w:rsid w:val="001906FE"/>
    <w:rsid w:val="00190B38"/>
    <w:rsid w:val="00193D78"/>
    <w:rsid w:val="00193F49"/>
    <w:rsid w:val="001955E1"/>
    <w:rsid w:val="00195C5B"/>
    <w:rsid w:val="001975B1"/>
    <w:rsid w:val="00197699"/>
    <w:rsid w:val="0019793E"/>
    <w:rsid w:val="00197A5C"/>
    <w:rsid w:val="001A0ECC"/>
    <w:rsid w:val="001A22A1"/>
    <w:rsid w:val="001A3068"/>
    <w:rsid w:val="001A38FD"/>
    <w:rsid w:val="001A3D93"/>
    <w:rsid w:val="001A4016"/>
    <w:rsid w:val="001A4682"/>
    <w:rsid w:val="001A4DA0"/>
    <w:rsid w:val="001A5178"/>
    <w:rsid w:val="001A55A3"/>
    <w:rsid w:val="001A57AE"/>
    <w:rsid w:val="001A57F9"/>
    <w:rsid w:val="001A5D90"/>
    <w:rsid w:val="001A754C"/>
    <w:rsid w:val="001A7571"/>
    <w:rsid w:val="001A76ED"/>
    <w:rsid w:val="001A7AD5"/>
    <w:rsid w:val="001A7C91"/>
    <w:rsid w:val="001B1F70"/>
    <w:rsid w:val="001B23F7"/>
    <w:rsid w:val="001B28D4"/>
    <w:rsid w:val="001B2B4D"/>
    <w:rsid w:val="001B5053"/>
    <w:rsid w:val="001B5DB4"/>
    <w:rsid w:val="001B7275"/>
    <w:rsid w:val="001C06D3"/>
    <w:rsid w:val="001C0FA9"/>
    <w:rsid w:val="001C1445"/>
    <w:rsid w:val="001C325C"/>
    <w:rsid w:val="001C3297"/>
    <w:rsid w:val="001C3F50"/>
    <w:rsid w:val="001C7D71"/>
    <w:rsid w:val="001D0AF1"/>
    <w:rsid w:val="001D11A5"/>
    <w:rsid w:val="001D23BA"/>
    <w:rsid w:val="001D4C8C"/>
    <w:rsid w:val="001D620D"/>
    <w:rsid w:val="001D68A1"/>
    <w:rsid w:val="001E19A5"/>
    <w:rsid w:val="001E272A"/>
    <w:rsid w:val="001E44CF"/>
    <w:rsid w:val="001E47D9"/>
    <w:rsid w:val="001E5328"/>
    <w:rsid w:val="001E6585"/>
    <w:rsid w:val="001E7E1A"/>
    <w:rsid w:val="001F1053"/>
    <w:rsid w:val="001F11B1"/>
    <w:rsid w:val="001F1E7C"/>
    <w:rsid w:val="001F53EE"/>
    <w:rsid w:val="001F5655"/>
    <w:rsid w:val="001F600B"/>
    <w:rsid w:val="001F637F"/>
    <w:rsid w:val="00200DAB"/>
    <w:rsid w:val="002018FF"/>
    <w:rsid w:val="00201FCC"/>
    <w:rsid w:val="0020301E"/>
    <w:rsid w:val="00204DAA"/>
    <w:rsid w:val="0020655B"/>
    <w:rsid w:val="002072F8"/>
    <w:rsid w:val="002108C7"/>
    <w:rsid w:val="00210CB9"/>
    <w:rsid w:val="0021280C"/>
    <w:rsid w:val="002132C3"/>
    <w:rsid w:val="002146E8"/>
    <w:rsid w:val="00214DD2"/>
    <w:rsid w:val="00220483"/>
    <w:rsid w:val="00221361"/>
    <w:rsid w:val="00221D43"/>
    <w:rsid w:val="00222307"/>
    <w:rsid w:val="00225CB8"/>
    <w:rsid w:val="00225ED7"/>
    <w:rsid w:val="002315B8"/>
    <w:rsid w:val="00231877"/>
    <w:rsid w:val="002349F3"/>
    <w:rsid w:val="00235B13"/>
    <w:rsid w:val="00236FB2"/>
    <w:rsid w:val="00237F0D"/>
    <w:rsid w:val="00240EA2"/>
    <w:rsid w:val="00242954"/>
    <w:rsid w:val="00245737"/>
    <w:rsid w:val="0024610F"/>
    <w:rsid w:val="00246364"/>
    <w:rsid w:val="00250C73"/>
    <w:rsid w:val="002523B3"/>
    <w:rsid w:val="00252D2B"/>
    <w:rsid w:val="00256E62"/>
    <w:rsid w:val="002575BE"/>
    <w:rsid w:val="00257892"/>
    <w:rsid w:val="0026011C"/>
    <w:rsid w:val="002607E9"/>
    <w:rsid w:val="00262D9A"/>
    <w:rsid w:val="002640B8"/>
    <w:rsid w:val="00265526"/>
    <w:rsid w:val="00267085"/>
    <w:rsid w:val="00270037"/>
    <w:rsid w:val="00270118"/>
    <w:rsid w:val="0027087D"/>
    <w:rsid w:val="00270976"/>
    <w:rsid w:val="00270C42"/>
    <w:rsid w:val="00272FB3"/>
    <w:rsid w:val="002767A3"/>
    <w:rsid w:val="00277AF3"/>
    <w:rsid w:val="00280F81"/>
    <w:rsid w:val="0028183B"/>
    <w:rsid w:val="00282EE4"/>
    <w:rsid w:val="002831E0"/>
    <w:rsid w:val="002844CF"/>
    <w:rsid w:val="00285C0F"/>
    <w:rsid w:val="00287059"/>
    <w:rsid w:val="00291238"/>
    <w:rsid w:val="00291943"/>
    <w:rsid w:val="00293A91"/>
    <w:rsid w:val="00295ABE"/>
    <w:rsid w:val="00296CC7"/>
    <w:rsid w:val="002976DA"/>
    <w:rsid w:val="00297A74"/>
    <w:rsid w:val="002A1384"/>
    <w:rsid w:val="002A3598"/>
    <w:rsid w:val="002A491D"/>
    <w:rsid w:val="002A58D2"/>
    <w:rsid w:val="002B2744"/>
    <w:rsid w:val="002B2E5C"/>
    <w:rsid w:val="002B6056"/>
    <w:rsid w:val="002B6794"/>
    <w:rsid w:val="002B726C"/>
    <w:rsid w:val="002B74DA"/>
    <w:rsid w:val="002B7CB7"/>
    <w:rsid w:val="002B7DFC"/>
    <w:rsid w:val="002C05DB"/>
    <w:rsid w:val="002C0624"/>
    <w:rsid w:val="002C0BB6"/>
    <w:rsid w:val="002C29B9"/>
    <w:rsid w:val="002C2C0B"/>
    <w:rsid w:val="002C2FC0"/>
    <w:rsid w:val="002C5B34"/>
    <w:rsid w:val="002C78EC"/>
    <w:rsid w:val="002C7B06"/>
    <w:rsid w:val="002C7D17"/>
    <w:rsid w:val="002C7ED6"/>
    <w:rsid w:val="002D006A"/>
    <w:rsid w:val="002D07AB"/>
    <w:rsid w:val="002D176E"/>
    <w:rsid w:val="002D1783"/>
    <w:rsid w:val="002D1D64"/>
    <w:rsid w:val="002D2F5A"/>
    <w:rsid w:val="002D4C05"/>
    <w:rsid w:val="002D6ABA"/>
    <w:rsid w:val="002D7A69"/>
    <w:rsid w:val="002E04D3"/>
    <w:rsid w:val="002E1333"/>
    <w:rsid w:val="002E38E0"/>
    <w:rsid w:val="002E5A9D"/>
    <w:rsid w:val="002E6033"/>
    <w:rsid w:val="002E6206"/>
    <w:rsid w:val="002E6AB8"/>
    <w:rsid w:val="002E73DA"/>
    <w:rsid w:val="002F0F86"/>
    <w:rsid w:val="002F230B"/>
    <w:rsid w:val="002F2A04"/>
    <w:rsid w:val="002F6B3E"/>
    <w:rsid w:val="002F7216"/>
    <w:rsid w:val="003001C8"/>
    <w:rsid w:val="00300B00"/>
    <w:rsid w:val="0030155B"/>
    <w:rsid w:val="00302696"/>
    <w:rsid w:val="0030279E"/>
    <w:rsid w:val="0030330A"/>
    <w:rsid w:val="00306A23"/>
    <w:rsid w:val="00307403"/>
    <w:rsid w:val="00310557"/>
    <w:rsid w:val="00314F10"/>
    <w:rsid w:val="0032116D"/>
    <w:rsid w:val="003213ED"/>
    <w:rsid w:val="00326297"/>
    <w:rsid w:val="00327AE2"/>
    <w:rsid w:val="003314CE"/>
    <w:rsid w:val="00332156"/>
    <w:rsid w:val="00333D5E"/>
    <w:rsid w:val="003370F8"/>
    <w:rsid w:val="00341B61"/>
    <w:rsid w:val="00342E82"/>
    <w:rsid w:val="003440A8"/>
    <w:rsid w:val="0034454B"/>
    <w:rsid w:val="00344B62"/>
    <w:rsid w:val="0034527C"/>
    <w:rsid w:val="00346067"/>
    <w:rsid w:val="00346D29"/>
    <w:rsid w:val="00346D58"/>
    <w:rsid w:val="00347B3C"/>
    <w:rsid w:val="00350734"/>
    <w:rsid w:val="003508F0"/>
    <w:rsid w:val="00351765"/>
    <w:rsid w:val="003517A8"/>
    <w:rsid w:val="00352651"/>
    <w:rsid w:val="00353893"/>
    <w:rsid w:val="003543D2"/>
    <w:rsid w:val="00354ED5"/>
    <w:rsid w:val="00357A19"/>
    <w:rsid w:val="00363736"/>
    <w:rsid w:val="003645B9"/>
    <w:rsid w:val="0036590B"/>
    <w:rsid w:val="00365F31"/>
    <w:rsid w:val="00366B36"/>
    <w:rsid w:val="003702B5"/>
    <w:rsid w:val="00370DAB"/>
    <w:rsid w:val="0037100B"/>
    <w:rsid w:val="00371F4E"/>
    <w:rsid w:val="00372239"/>
    <w:rsid w:val="0037281F"/>
    <w:rsid w:val="00375B12"/>
    <w:rsid w:val="0037772F"/>
    <w:rsid w:val="00377FBC"/>
    <w:rsid w:val="0038091C"/>
    <w:rsid w:val="00381214"/>
    <w:rsid w:val="003826CE"/>
    <w:rsid w:val="00382716"/>
    <w:rsid w:val="00382996"/>
    <w:rsid w:val="003847E2"/>
    <w:rsid w:val="00384897"/>
    <w:rsid w:val="003851F2"/>
    <w:rsid w:val="00385652"/>
    <w:rsid w:val="003968B1"/>
    <w:rsid w:val="00397384"/>
    <w:rsid w:val="003975A2"/>
    <w:rsid w:val="00397606"/>
    <w:rsid w:val="003A0395"/>
    <w:rsid w:val="003A17E2"/>
    <w:rsid w:val="003A5CDA"/>
    <w:rsid w:val="003A673A"/>
    <w:rsid w:val="003A7794"/>
    <w:rsid w:val="003B0906"/>
    <w:rsid w:val="003B210F"/>
    <w:rsid w:val="003B2F37"/>
    <w:rsid w:val="003B3044"/>
    <w:rsid w:val="003B3563"/>
    <w:rsid w:val="003B390D"/>
    <w:rsid w:val="003B44AA"/>
    <w:rsid w:val="003B7D3A"/>
    <w:rsid w:val="003C41B5"/>
    <w:rsid w:val="003C45BD"/>
    <w:rsid w:val="003C5A59"/>
    <w:rsid w:val="003C70E4"/>
    <w:rsid w:val="003D10F9"/>
    <w:rsid w:val="003D2930"/>
    <w:rsid w:val="003D3594"/>
    <w:rsid w:val="003D5787"/>
    <w:rsid w:val="003D7870"/>
    <w:rsid w:val="003E09A7"/>
    <w:rsid w:val="003E111F"/>
    <w:rsid w:val="003E12FE"/>
    <w:rsid w:val="003E22F3"/>
    <w:rsid w:val="003E542B"/>
    <w:rsid w:val="003E55E8"/>
    <w:rsid w:val="003F1BA1"/>
    <w:rsid w:val="003F1BA8"/>
    <w:rsid w:val="003F32D8"/>
    <w:rsid w:val="003F3514"/>
    <w:rsid w:val="003F59BB"/>
    <w:rsid w:val="003F6601"/>
    <w:rsid w:val="004000BB"/>
    <w:rsid w:val="0040065B"/>
    <w:rsid w:val="00401B28"/>
    <w:rsid w:val="0040254F"/>
    <w:rsid w:val="00403147"/>
    <w:rsid w:val="0040624D"/>
    <w:rsid w:val="004072CB"/>
    <w:rsid w:val="0041413B"/>
    <w:rsid w:val="00414EBE"/>
    <w:rsid w:val="0041643C"/>
    <w:rsid w:val="00416551"/>
    <w:rsid w:val="00420F28"/>
    <w:rsid w:val="00422E19"/>
    <w:rsid w:val="0042496C"/>
    <w:rsid w:val="00425141"/>
    <w:rsid w:val="00425937"/>
    <w:rsid w:val="0043152E"/>
    <w:rsid w:val="00433728"/>
    <w:rsid w:val="00434749"/>
    <w:rsid w:val="00437A12"/>
    <w:rsid w:val="0044109D"/>
    <w:rsid w:val="00441916"/>
    <w:rsid w:val="00443F43"/>
    <w:rsid w:val="0044462D"/>
    <w:rsid w:val="00444866"/>
    <w:rsid w:val="0044496F"/>
    <w:rsid w:val="00444DEF"/>
    <w:rsid w:val="004461B0"/>
    <w:rsid w:val="0044664A"/>
    <w:rsid w:val="00447416"/>
    <w:rsid w:val="00450012"/>
    <w:rsid w:val="0045255E"/>
    <w:rsid w:val="00452B2C"/>
    <w:rsid w:val="00453256"/>
    <w:rsid w:val="0045355A"/>
    <w:rsid w:val="00453FBF"/>
    <w:rsid w:val="00455306"/>
    <w:rsid w:val="004570A1"/>
    <w:rsid w:val="004575D4"/>
    <w:rsid w:val="0045794B"/>
    <w:rsid w:val="004615FC"/>
    <w:rsid w:val="00462C75"/>
    <w:rsid w:val="00463266"/>
    <w:rsid w:val="00464140"/>
    <w:rsid w:val="004642A5"/>
    <w:rsid w:val="00467C6C"/>
    <w:rsid w:val="004716C8"/>
    <w:rsid w:val="00472098"/>
    <w:rsid w:val="00473531"/>
    <w:rsid w:val="004747F5"/>
    <w:rsid w:val="004751F5"/>
    <w:rsid w:val="004763CB"/>
    <w:rsid w:val="0047673C"/>
    <w:rsid w:val="00481387"/>
    <w:rsid w:val="00481747"/>
    <w:rsid w:val="00481D6A"/>
    <w:rsid w:val="00484851"/>
    <w:rsid w:val="0048546B"/>
    <w:rsid w:val="00486212"/>
    <w:rsid w:val="00490340"/>
    <w:rsid w:val="00490D73"/>
    <w:rsid w:val="004911FD"/>
    <w:rsid w:val="00492B1E"/>
    <w:rsid w:val="0049400B"/>
    <w:rsid w:val="00494942"/>
    <w:rsid w:val="0049588E"/>
    <w:rsid w:val="0049675D"/>
    <w:rsid w:val="00496A6D"/>
    <w:rsid w:val="004A3E3B"/>
    <w:rsid w:val="004A3F02"/>
    <w:rsid w:val="004A4478"/>
    <w:rsid w:val="004A6D8E"/>
    <w:rsid w:val="004A7C5A"/>
    <w:rsid w:val="004B28E1"/>
    <w:rsid w:val="004B2BA0"/>
    <w:rsid w:val="004B3B3F"/>
    <w:rsid w:val="004B5DA9"/>
    <w:rsid w:val="004B711E"/>
    <w:rsid w:val="004C00CB"/>
    <w:rsid w:val="004C04B6"/>
    <w:rsid w:val="004C5395"/>
    <w:rsid w:val="004C7011"/>
    <w:rsid w:val="004C7BB1"/>
    <w:rsid w:val="004D0AF5"/>
    <w:rsid w:val="004D1DC1"/>
    <w:rsid w:val="004D3007"/>
    <w:rsid w:val="004D3E3D"/>
    <w:rsid w:val="004D5371"/>
    <w:rsid w:val="004D5B76"/>
    <w:rsid w:val="004D5EB4"/>
    <w:rsid w:val="004D7BC9"/>
    <w:rsid w:val="004E07FA"/>
    <w:rsid w:val="004E2CBC"/>
    <w:rsid w:val="004E32F4"/>
    <w:rsid w:val="004E5C70"/>
    <w:rsid w:val="004E6615"/>
    <w:rsid w:val="004E7F33"/>
    <w:rsid w:val="004F0743"/>
    <w:rsid w:val="004F0966"/>
    <w:rsid w:val="004F227F"/>
    <w:rsid w:val="004F2352"/>
    <w:rsid w:val="004F26BF"/>
    <w:rsid w:val="004F274B"/>
    <w:rsid w:val="004F2C63"/>
    <w:rsid w:val="004F3B07"/>
    <w:rsid w:val="004F3B32"/>
    <w:rsid w:val="004F4E5E"/>
    <w:rsid w:val="004F61F5"/>
    <w:rsid w:val="00502600"/>
    <w:rsid w:val="00502F4F"/>
    <w:rsid w:val="00504438"/>
    <w:rsid w:val="00504C20"/>
    <w:rsid w:val="005076DE"/>
    <w:rsid w:val="00507E20"/>
    <w:rsid w:val="0051454C"/>
    <w:rsid w:val="00514E4B"/>
    <w:rsid w:val="00517568"/>
    <w:rsid w:val="0051787E"/>
    <w:rsid w:val="00522F2E"/>
    <w:rsid w:val="0052342F"/>
    <w:rsid w:val="00525027"/>
    <w:rsid w:val="005253B4"/>
    <w:rsid w:val="005258A1"/>
    <w:rsid w:val="00527475"/>
    <w:rsid w:val="005301E5"/>
    <w:rsid w:val="005325EF"/>
    <w:rsid w:val="00532F4E"/>
    <w:rsid w:val="00533922"/>
    <w:rsid w:val="00533E00"/>
    <w:rsid w:val="00534356"/>
    <w:rsid w:val="0053574A"/>
    <w:rsid w:val="00535D6C"/>
    <w:rsid w:val="00536116"/>
    <w:rsid w:val="005373B6"/>
    <w:rsid w:val="00540422"/>
    <w:rsid w:val="005404FA"/>
    <w:rsid w:val="00542FF9"/>
    <w:rsid w:val="005439D4"/>
    <w:rsid w:val="00543B8B"/>
    <w:rsid w:val="00543B8E"/>
    <w:rsid w:val="00544C72"/>
    <w:rsid w:val="00547648"/>
    <w:rsid w:val="00552882"/>
    <w:rsid w:val="00554073"/>
    <w:rsid w:val="00556A5C"/>
    <w:rsid w:val="00557779"/>
    <w:rsid w:val="00560B94"/>
    <w:rsid w:val="00565AD3"/>
    <w:rsid w:val="0056603C"/>
    <w:rsid w:val="0056660F"/>
    <w:rsid w:val="00566DC7"/>
    <w:rsid w:val="005725AB"/>
    <w:rsid w:val="005739F3"/>
    <w:rsid w:val="005742C3"/>
    <w:rsid w:val="00575F8D"/>
    <w:rsid w:val="00576233"/>
    <w:rsid w:val="00580A81"/>
    <w:rsid w:val="00581CBE"/>
    <w:rsid w:val="00581FA4"/>
    <w:rsid w:val="00582F72"/>
    <w:rsid w:val="005848CC"/>
    <w:rsid w:val="0058545E"/>
    <w:rsid w:val="005859CE"/>
    <w:rsid w:val="00585A2D"/>
    <w:rsid w:val="00586F38"/>
    <w:rsid w:val="00587537"/>
    <w:rsid w:val="00592A3A"/>
    <w:rsid w:val="0059326B"/>
    <w:rsid w:val="00593618"/>
    <w:rsid w:val="00593A7E"/>
    <w:rsid w:val="00594A04"/>
    <w:rsid w:val="005967B1"/>
    <w:rsid w:val="00597A08"/>
    <w:rsid w:val="005A016D"/>
    <w:rsid w:val="005A0A9B"/>
    <w:rsid w:val="005A0E7B"/>
    <w:rsid w:val="005A1971"/>
    <w:rsid w:val="005A2C8F"/>
    <w:rsid w:val="005A4820"/>
    <w:rsid w:val="005A4849"/>
    <w:rsid w:val="005A4CB3"/>
    <w:rsid w:val="005A51DC"/>
    <w:rsid w:val="005A6BEC"/>
    <w:rsid w:val="005B01F5"/>
    <w:rsid w:val="005B0379"/>
    <w:rsid w:val="005B120A"/>
    <w:rsid w:val="005B12C4"/>
    <w:rsid w:val="005B30EB"/>
    <w:rsid w:val="005B4D1C"/>
    <w:rsid w:val="005B53E6"/>
    <w:rsid w:val="005B5AFD"/>
    <w:rsid w:val="005C098C"/>
    <w:rsid w:val="005C1125"/>
    <w:rsid w:val="005C1FA4"/>
    <w:rsid w:val="005C2298"/>
    <w:rsid w:val="005C6687"/>
    <w:rsid w:val="005C757B"/>
    <w:rsid w:val="005D2178"/>
    <w:rsid w:val="005D301B"/>
    <w:rsid w:val="005D3D71"/>
    <w:rsid w:val="005D43AB"/>
    <w:rsid w:val="005D4533"/>
    <w:rsid w:val="005D5102"/>
    <w:rsid w:val="005D5B6E"/>
    <w:rsid w:val="005D61E4"/>
    <w:rsid w:val="005E02F4"/>
    <w:rsid w:val="005E2A71"/>
    <w:rsid w:val="005E4A84"/>
    <w:rsid w:val="005E6BE2"/>
    <w:rsid w:val="005E781E"/>
    <w:rsid w:val="005E7E6A"/>
    <w:rsid w:val="005F002B"/>
    <w:rsid w:val="005F18E3"/>
    <w:rsid w:val="005F48B5"/>
    <w:rsid w:val="005F65A2"/>
    <w:rsid w:val="005F66B1"/>
    <w:rsid w:val="005F77BA"/>
    <w:rsid w:val="006003CF"/>
    <w:rsid w:val="00600669"/>
    <w:rsid w:val="00600988"/>
    <w:rsid w:val="00601C88"/>
    <w:rsid w:val="00603ABB"/>
    <w:rsid w:val="00603F46"/>
    <w:rsid w:val="00605E95"/>
    <w:rsid w:val="00611223"/>
    <w:rsid w:val="00611786"/>
    <w:rsid w:val="00611B50"/>
    <w:rsid w:val="00616F2D"/>
    <w:rsid w:val="00621588"/>
    <w:rsid w:val="00622E7B"/>
    <w:rsid w:val="006243CA"/>
    <w:rsid w:val="00624B63"/>
    <w:rsid w:val="00630A84"/>
    <w:rsid w:val="00630CAF"/>
    <w:rsid w:val="006331DB"/>
    <w:rsid w:val="00633525"/>
    <w:rsid w:val="006341C2"/>
    <w:rsid w:val="0063470D"/>
    <w:rsid w:val="00636554"/>
    <w:rsid w:val="0064060B"/>
    <w:rsid w:val="00641738"/>
    <w:rsid w:val="0064307C"/>
    <w:rsid w:val="006458BF"/>
    <w:rsid w:val="006464B9"/>
    <w:rsid w:val="006466AE"/>
    <w:rsid w:val="00652848"/>
    <w:rsid w:val="00652C4A"/>
    <w:rsid w:val="00653192"/>
    <w:rsid w:val="00653E13"/>
    <w:rsid w:val="0065451D"/>
    <w:rsid w:val="00655569"/>
    <w:rsid w:val="00656FA3"/>
    <w:rsid w:val="00660512"/>
    <w:rsid w:val="0066094D"/>
    <w:rsid w:val="00662210"/>
    <w:rsid w:val="006624D0"/>
    <w:rsid w:val="0066354B"/>
    <w:rsid w:val="00664BBE"/>
    <w:rsid w:val="0066698D"/>
    <w:rsid w:val="00670DDE"/>
    <w:rsid w:val="00672662"/>
    <w:rsid w:val="0067346D"/>
    <w:rsid w:val="00674A6E"/>
    <w:rsid w:val="006762EC"/>
    <w:rsid w:val="006766A8"/>
    <w:rsid w:val="00676AA1"/>
    <w:rsid w:val="0067752B"/>
    <w:rsid w:val="00681166"/>
    <w:rsid w:val="0068201A"/>
    <w:rsid w:val="0068261B"/>
    <w:rsid w:val="00682D51"/>
    <w:rsid w:val="0068381E"/>
    <w:rsid w:val="00683D2B"/>
    <w:rsid w:val="00685CE9"/>
    <w:rsid w:val="00685E79"/>
    <w:rsid w:val="006868E3"/>
    <w:rsid w:val="00687CE7"/>
    <w:rsid w:val="00692605"/>
    <w:rsid w:val="0069341B"/>
    <w:rsid w:val="0069426E"/>
    <w:rsid w:val="00695E5F"/>
    <w:rsid w:val="006961B8"/>
    <w:rsid w:val="00697F6A"/>
    <w:rsid w:val="006A0AC7"/>
    <w:rsid w:val="006A208A"/>
    <w:rsid w:val="006A224D"/>
    <w:rsid w:val="006A259A"/>
    <w:rsid w:val="006A316A"/>
    <w:rsid w:val="006A4E62"/>
    <w:rsid w:val="006A57E0"/>
    <w:rsid w:val="006B0BBC"/>
    <w:rsid w:val="006B11C3"/>
    <w:rsid w:val="006B369B"/>
    <w:rsid w:val="006B4D80"/>
    <w:rsid w:val="006B53DB"/>
    <w:rsid w:val="006B6015"/>
    <w:rsid w:val="006B7871"/>
    <w:rsid w:val="006C1D32"/>
    <w:rsid w:val="006C23BA"/>
    <w:rsid w:val="006C2482"/>
    <w:rsid w:val="006C3A7F"/>
    <w:rsid w:val="006C3AB6"/>
    <w:rsid w:val="006C60A0"/>
    <w:rsid w:val="006C63A7"/>
    <w:rsid w:val="006C7168"/>
    <w:rsid w:val="006D07CD"/>
    <w:rsid w:val="006D0B3A"/>
    <w:rsid w:val="006D299C"/>
    <w:rsid w:val="006D36D7"/>
    <w:rsid w:val="006D3C97"/>
    <w:rsid w:val="006D4FBD"/>
    <w:rsid w:val="006D5779"/>
    <w:rsid w:val="006D7BA5"/>
    <w:rsid w:val="006E0C99"/>
    <w:rsid w:val="006E1719"/>
    <w:rsid w:val="006E19B1"/>
    <w:rsid w:val="006E2905"/>
    <w:rsid w:val="006E44B0"/>
    <w:rsid w:val="006E5E40"/>
    <w:rsid w:val="006E6893"/>
    <w:rsid w:val="006F2457"/>
    <w:rsid w:val="006F7182"/>
    <w:rsid w:val="007001EC"/>
    <w:rsid w:val="00701749"/>
    <w:rsid w:val="00701E39"/>
    <w:rsid w:val="0070215D"/>
    <w:rsid w:val="0070347B"/>
    <w:rsid w:val="00706134"/>
    <w:rsid w:val="00706E51"/>
    <w:rsid w:val="00711910"/>
    <w:rsid w:val="007133CC"/>
    <w:rsid w:val="00714BD3"/>
    <w:rsid w:val="00714D8B"/>
    <w:rsid w:val="00715691"/>
    <w:rsid w:val="00715752"/>
    <w:rsid w:val="007157B2"/>
    <w:rsid w:val="007162D8"/>
    <w:rsid w:val="00717371"/>
    <w:rsid w:val="0071778D"/>
    <w:rsid w:val="007205B0"/>
    <w:rsid w:val="00721786"/>
    <w:rsid w:val="007219B3"/>
    <w:rsid w:val="00722189"/>
    <w:rsid w:val="00722714"/>
    <w:rsid w:val="0072425C"/>
    <w:rsid w:val="00726E02"/>
    <w:rsid w:val="007275D7"/>
    <w:rsid w:val="0073084B"/>
    <w:rsid w:val="00730F55"/>
    <w:rsid w:val="00732DC0"/>
    <w:rsid w:val="0073316B"/>
    <w:rsid w:val="00735DD1"/>
    <w:rsid w:val="00736EC4"/>
    <w:rsid w:val="0073703A"/>
    <w:rsid w:val="00741392"/>
    <w:rsid w:val="00741817"/>
    <w:rsid w:val="00741A52"/>
    <w:rsid w:val="00741AEB"/>
    <w:rsid w:val="00741ECA"/>
    <w:rsid w:val="00742D0C"/>
    <w:rsid w:val="007435FD"/>
    <w:rsid w:val="00744D16"/>
    <w:rsid w:val="00744D77"/>
    <w:rsid w:val="00746D52"/>
    <w:rsid w:val="0074713D"/>
    <w:rsid w:val="00747CFF"/>
    <w:rsid w:val="00750E07"/>
    <w:rsid w:val="00751B76"/>
    <w:rsid w:val="00751E87"/>
    <w:rsid w:val="007528EE"/>
    <w:rsid w:val="00752ADE"/>
    <w:rsid w:val="007530E8"/>
    <w:rsid w:val="0075330D"/>
    <w:rsid w:val="00753EAE"/>
    <w:rsid w:val="00754081"/>
    <w:rsid w:val="0075526C"/>
    <w:rsid w:val="00756657"/>
    <w:rsid w:val="00756C09"/>
    <w:rsid w:val="007573EC"/>
    <w:rsid w:val="00757B8D"/>
    <w:rsid w:val="007639A4"/>
    <w:rsid w:val="00763E08"/>
    <w:rsid w:val="00764815"/>
    <w:rsid w:val="00764878"/>
    <w:rsid w:val="00765264"/>
    <w:rsid w:val="00766170"/>
    <w:rsid w:val="00766653"/>
    <w:rsid w:val="00767177"/>
    <w:rsid w:val="00767EDB"/>
    <w:rsid w:val="00771E3B"/>
    <w:rsid w:val="0077340D"/>
    <w:rsid w:val="00774C77"/>
    <w:rsid w:val="007766BA"/>
    <w:rsid w:val="007770E4"/>
    <w:rsid w:val="00780E74"/>
    <w:rsid w:val="00781C33"/>
    <w:rsid w:val="0078265A"/>
    <w:rsid w:val="00782722"/>
    <w:rsid w:val="00796471"/>
    <w:rsid w:val="00796A6E"/>
    <w:rsid w:val="007A0964"/>
    <w:rsid w:val="007A4CD4"/>
    <w:rsid w:val="007A5CBE"/>
    <w:rsid w:val="007A63B1"/>
    <w:rsid w:val="007A7EC4"/>
    <w:rsid w:val="007B1703"/>
    <w:rsid w:val="007B1DA6"/>
    <w:rsid w:val="007B246F"/>
    <w:rsid w:val="007B3889"/>
    <w:rsid w:val="007B4850"/>
    <w:rsid w:val="007B607C"/>
    <w:rsid w:val="007B6E14"/>
    <w:rsid w:val="007B6F22"/>
    <w:rsid w:val="007C01D9"/>
    <w:rsid w:val="007C079B"/>
    <w:rsid w:val="007C30B8"/>
    <w:rsid w:val="007C372F"/>
    <w:rsid w:val="007C429F"/>
    <w:rsid w:val="007C50C7"/>
    <w:rsid w:val="007C67CF"/>
    <w:rsid w:val="007C6D09"/>
    <w:rsid w:val="007D0527"/>
    <w:rsid w:val="007D102D"/>
    <w:rsid w:val="007D1105"/>
    <w:rsid w:val="007D11B1"/>
    <w:rsid w:val="007D6ABC"/>
    <w:rsid w:val="007D6E3A"/>
    <w:rsid w:val="007D70D8"/>
    <w:rsid w:val="007E1016"/>
    <w:rsid w:val="007E286E"/>
    <w:rsid w:val="007E38F3"/>
    <w:rsid w:val="007E51FE"/>
    <w:rsid w:val="007E6AC9"/>
    <w:rsid w:val="007E6B09"/>
    <w:rsid w:val="007E74BF"/>
    <w:rsid w:val="007F08FB"/>
    <w:rsid w:val="007F27B1"/>
    <w:rsid w:val="007F2A4F"/>
    <w:rsid w:val="007F32D9"/>
    <w:rsid w:val="007F4ECD"/>
    <w:rsid w:val="007F52B4"/>
    <w:rsid w:val="007F6C23"/>
    <w:rsid w:val="007F6CA0"/>
    <w:rsid w:val="007F7AF5"/>
    <w:rsid w:val="00801F82"/>
    <w:rsid w:val="00803641"/>
    <w:rsid w:val="00803E98"/>
    <w:rsid w:val="00804A38"/>
    <w:rsid w:val="008067FE"/>
    <w:rsid w:val="008100B1"/>
    <w:rsid w:val="008105FC"/>
    <w:rsid w:val="008114F7"/>
    <w:rsid w:val="008130BF"/>
    <w:rsid w:val="00815A89"/>
    <w:rsid w:val="00816D20"/>
    <w:rsid w:val="00817806"/>
    <w:rsid w:val="00820696"/>
    <w:rsid w:val="0082637C"/>
    <w:rsid w:val="008273FE"/>
    <w:rsid w:val="008327F4"/>
    <w:rsid w:val="00833647"/>
    <w:rsid w:val="00834B02"/>
    <w:rsid w:val="008377B3"/>
    <w:rsid w:val="0084046B"/>
    <w:rsid w:val="0084149F"/>
    <w:rsid w:val="00842C17"/>
    <w:rsid w:val="00844AE2"/>
    <w:rsid w:val="00846493"/>
    <w:rsid w:val="00846D1B"/>
    <w:rsid w:val="008512B8"/>
    <w:rsid w:val="00853890"/>
    <w:rsid w:val="00854283"/>
    <w:rsid w:val="00854292"/>
    <w:rsid w:val="00857B73"/>
    <w:rsid w:val="00857E66"/>
    <w:rsid w:val="00857E9A"/>
    <w:rsid w:val="008606BA"/>
    <w:rsid w:val="00860C8C"/>
    <w:rsid w:val="0086260E"/>
    <w:rsid w:val="0086390F"/>
    <w:rsid w:val="008644E8"/>
    <w:rsid w:val="00864C86"/>
    <w:rsid w:val="008654B2"/>
    <w:rsid w:val="00865AEF"/>
    <w:rsid w:val="008669BD"/>
    <w:rsid w:val="00867CCF"/>
    <w:rsid w:val="00872867"/>
    <w:rsid w:val="008734DA"/>
    <w:rsid w:val="0087454D"/>
    <w:rsid w:val="00874CB9"/>
    <w:rsid w:val="00876F75"/>
    <w:rsid w:val="00880912"/>
    <w:rsid w:val="00880B33"/>
    <w:rsid w:val="00881A17"/>
    <w:rsid w:val="008836B5"/>
    <w:rsid w:val="0088373D"/>
    <w:rsid w:val="0088741D"/>
    <w:rsid w:val="0089345A"/>
    <w:rsid w:val="00893518"/>
    <w:rsid w:val="00893E18"/>
    <w:rsid w:val="00893FCC"/>
    <w:rsid w:val="008948F1"/>
    <w:rsid w:val="00894963"/>
    <w:rsid w:val="00894B89"/>
    <w:rsid w:val="008964F5"/>
    <w:rsid w:val="008A038B"/>
    <w:rsid w:val="008A07D9"/>
    <w:rsid w:val="008A209E"/>
    <w:rsid w:val="008A4928"/>
    <w:rsid w:val="008A5CEB"/>
    <w:rsid w:val="008A5D49"/>
    <w:rsid w:val="008A715E"/>
    <w:rsid w:val="008B1823"/>
    <w:rsid w:val="008B19CD"/>
    <w:rsid w:val="008B7701"/>
    <w:rsid w:val="008B7EC2"/>
    <w:rsid w:val="008C0F0D"/>
    <w:rsid w:val="008C4CF9"/>
    <w:rsid w:val="008C5015"/>
    <w:rsid w:val="008C5A1F"/>
    <w:rsid w:val="008C5D1C"/>
    <w:rsid w:val="008C6672"/>
    <w:rsid w:val="008C6FC3"/>
    <w:rsid w:val="008C747E"/>
    <w:rsid w:val="008D0FEF"/>
    <w:rsid w:val="008D21C8"/>
    <w:rsid w:val="008D3AD4"/>
    <w:rsid w:val="008D4405"/>
    <w:rsid w:val="008D4456"/>
    <w:rsid w:val="008D5F6D"/>
    <w:rsid w:val="008E11B0"/>
    <w:rsid w:val="008E125F"/>
    <w:rsid w:val="008E14CF"/>
    <w:rsid w:val="008E2001"/>
    <w:rsid w:val="008E4B82"/>
    <w:rsid w:val="008E5145"/>
    <w:rsid w:val="008E70B7"/>
    <w:rsid w:val="008E76E9"/>
    <w:rsid w:val="008E7F6A"/>
    <w:rsid w:val="008F0AD2"/>
    <w:rsid w:val="008F2432"/>
    <w:rsid w:val="008F2F29"/>
    <w:rsid w:val="008F3679"/>
    <w:rsid w:val="008F6B25"/>
    <w:rsid w:val="008F6E9E"/>
    <w:rsid w:val="00902B4A"/>
    <w:rsid w:val="00904237"/>
    <w:rsid w:val="00906B3A"/>
    <w:rsid w:val="00910C2A"/>
    <w:rsid w:val="0091327A"/>
    <w:rsid w:val="0091374C"/>
    <w:rsid w:val="00913DAA"/>
    <w:rsid w:val="0091464D"/>
    <w:rsid w:val="00920FC2"/>
    <w:rsid w:val="00921393"/>
    <w:rsid w:val="00923B90"/>
    <w:rsid w:val="00923F0F"/>
    <w:rsid w:val="00925BAE"/>
    <w:rsid w:val="00926359"/>
    <w:rsid w:val="00926A4D"/>
    <w:rsid w:val="00926DA1"/>
    <w:rsid w:val="0092759D"/>
    <w:rsid w:val="00930131"/>
    <w:rsid w:val="00934222"/>
    <w:rsid w:val="00935EAD"/>
    <w:rsid w:val="00944596"/>
    <w:rsid w:val="00944CD8"/>
    <w:rsid w:val="009457C3"/>
    <w:rsid w:val="00945B4B"/>
    <w:rsid w:val="00950DB7"/>
    <w:rsid w:val="00950E95"/>
    <w:rsid w:val="00952328"/>
    <w:rsid w:val="0095272A"/>
    <w:rsid w:val="00953E01"/>
    <w:rsid w:val="0095452D"/>
    <w:rsid w:val="0095545E"/>
    <w:rsid w:val="009556FF"/>
    <w:rsid w:val="00960738"/>
    <w:rsid w:val="00961CAA"/>
    <w:rsid w:val="00961DD1"/>
    <w:rsid w:val="009634BA"/>
    <w:rsid w:val="00963BA0"/>
    <w:rsid w:val="00963F11"/>
    <w:rsid w:val="00964498"/>
    <w:rsid w:val="00964591"/>
    <w:rsid w:val="0096536A"/>
    <w:rsid w:val="00966489"/>
    <w:rsid w:val="009669D9"/>
    <w:rsid w:val="00967774"/>
    <w:rsid w:val="009678C3"/>
    <w:rsid w:val="00967D70"/>
    <w:rsid w:val="009711C2"/>
    <w:rsid w:val="00972D98"/>
    <w:rsid w:val="009734A4"/>
    <w:rsid w:val="009738E6"/>
    <w:rsid w:val="009738F8"/>
    <w:rsid w:val="0097420E"/>
    <w:rsid w:val="00975688"/>
    <w:rsid w:val="009814B7"/>
    <w:rsid w:val="00983850"/>
    <w:rsid w:val="00983DAD"/>
    <w:rsid w:val="0098533A"/>
    <w:rsid w:val="009919B2"/>
    <w:rsid w:val="00991C7D"/>
    <w:rsid w:val="00994606"/>
    <w:rsid w:val="009959F7"/>
    <w:rsid w:val="00996269"/>
    <w:rsid w:val="009971BA"/>
    <w:rsid w:val="009A29A2"/>
    <w:rsid w:val="009A2FBB"/>
    <w:rsid w:val="009A41C7"/>
    <w:rsid w:val="009A52B9"/>
    <w:rsid w:val="009B1A17"/>
    <w:rsid w:val="009B2539"/>
    <w:rsid w:val="009B3264"/>
    <w:rsid w:val="009B5D27"/>
    <w:rsid w:val="009B6AE6"/>
    <w:rsid w:val="009C4A96"/>
    <w:rsid w:val="009C4F6D"/>
    <w:rsid w:val="009C621A"/>
    <w:rsid w:val="009C7DAE"/>
    <w:rsid w:val="009D3228"/>
    <w:rsid w:val="009D4513"/>
    <w:rsid w:val="009D4E7B"/>
    <w:rsid w:val="009D4FB7"/>
    <w:rsid w:val="009E0624"/>
    <w:rsid w:val="009E2991"/>
    <w:rsid w:val="009E2E6E"/>
    <w:rsid w:val="009E56B2"/>
    <w:rsid w:val="009E5F60"/>
    <w:rsid w:val="009E6324"/>
    <w:rsid w:val="009E75DC"/>
    <w:rsid w:val="009E7601"/>
    <w:rsid w:val="009F01FD"/>
    <w:rsid w:val="009F1A96"/>
    <w:rsid w:val="009F4FDA"/>
    <w:rsid w:val="009F5750"/>
    <w:rsid w:val="009F6CE5"/>
    <w:rsid w:val="009F6DA7"/>
    <w:rsid w:val="009F77CA"/>
    <w:rsid w:val="00A003C4"/>
    <w:rsid w:val="00A00C4B"/>
    <w:rsid w:val="00A01D71"/>
    <w:rsid w:val="00A02172"/>
    <w:rsid w:val="00A03061"/>
    <w:rsid w:val="00A0507F"/>
    <w:rsid w:val="00A0594C"/>
    <w:rsid w:val="00A05A1C"/>
    <w:rsid w:val="00A06355"/>
    <w:rsid w:val="00A06474"/>
    <w:rsid w:val="00A1154B"/>
    <w:rsid w:val="00A119E5"/>
    <w:rsid w:val="00A13A6C"/>
    <w:rsid w:val="00A13B16"/>
    <w:rsid w:val="00A13BBD"/>
    <w:rsid w:val="00A13DEF"/>
    <w:rsid w:val="00A22EE7"/>
    <w:rsid w:val="00A23502"/>
    <w:rsid w:val="00A23899"/>
    <w:rsid w:val="00A24046"/>
    <w:rsid w:val="00A2541D"/>
    <w:rsid w:val="00A25812"/>
    <w:rsid w:val="00A25E90"/>
    <w:rsid w:val="00A26652"/>
    <w:rsid w:val="00A26908"/>
    <w:rsid w:val="00A26929"/>
    <w:rsid w:val="00A26E48"/>
    <w:rsid w:val="00A26E97"/>
    <w:rsid w:val="00A306A3"/>
    <w:rsid w:val="00A3228C"/>
    <w:rsid w:val="00A3330F"/>
    <w:rsid w:val="00A35EE5"/>
    <w:rsid w:val="00A360F9"/>
    <w:rsid w:val="00A4047D"/>
    <w:rsid w:val="00A407CD"/>
    <w:rsid w:val="00A4127E"/>
    <w:rsid w:val="00A41E9A"/>
    <w:rsid w:val="00A4393C"/>
    <w:rsid w:val="00A43988"/>
    <w:rsid w:val="00A45428"/>
    <w:rsid w:val="00A46A11"/>
    <w:rsid w:val="00A473D4"/>
    <w:rsid w:val="00A509F4"/>
    <w:rsid w:val="00A50B33"/>
    <w:rsid w:val="00A52782"/>
    <w:rsid w:val="00A53D18"/>
    <w:rsid w:val="00A53FBC"/>
    <w:rsid w:val="00A553CC"/>
    <w:rsid w:val="00A55468"/>
    <w:rsid w:val="00A557D1"/>
    <w:rsid w:val="00A56926"/>
    <w:rsid w:val="00A569FD"/>
    <w:rsid w:val="00A56B02"/>
    <w:rsid w:val="00A62F45"/>
    <w:rsid w:val="00A65EDF"/>
    <w:rsid w:val="00A705AC"/>
    <w:rsid w:val="00A71480"/>
    <w:rsid w:val="00A73E8A"/>
    <w:rsid w:val="00A779F7"/>
    <w:rsid w:val="00A8026B"/>
    <w:rsid w:val="00A836BE"/>
    <w:rsid w:val="00A83701"/>
    <w:rsid w:val="00A83D14"/>
    <w:rsid w:val="00A85210"/>
    <w:rsid w:val="00A860F7"/>
    <w:rsid w:val="00A86AF9"/>
    <w:rsid w:val="00A87D4C"/>
    <w:rsid w:val="00A9131B"/>
    <w:rsid w:val="00A9153D"/>
    <w:rsid w:val="00A9221F"/>
    <w:rsid w:val="00A9382E"/>
    <w:rsid w:val="00A93C5A"/>
    <w:rsid w:val="00A94018"/>
    <w:rsid w:val="00A953EB"/>
    <w:rsid w:val="00A9583F"/>
    <w:rsid w:val="00A95E08"/>
    <w:rsid w:val="00A95E4B"/>
    <w:rsid w:val="00A96215"/>
    <w:rsid w:val="00A9706B"/>
    <w:rsid w:val="00AA2305"/>
    <w:rsid w:val="00AA2C1C"/>
    <w:rsid w:val="00AA2F7A"/>
    <w:rsid w:val="00AA3964"/>
    <w:rsid w:val="00AA4B57"/>
    <w:rsid w:val="00AA4C62"/>
    <w:rsid w:val="00AA6996"/>
    <w:rsid w:val="00AA7468"/>
    <w:rsid w:val="00AB0B2D"/>
    <w:rsid w:val="00AB10CB"/>
    <w:rsid w:val="00AB234B"/>
    <w:rsid w:val="00AB3801"/>
    <w:rsid w:val="00AB5351"/>
    <w:rsid w:val="00AB59DA"/>
    <w:rsid w:val="00AB6A8C"/>
    <w:rsid w:val="00AC02C6"/>
    <w:rsid w:val="00AC2E11"/>
    <w:rsid w:val="00AC396B"/>
    <w:rsid w:val="00AC4D3E"/>
    <w:rsid w:val="00AC68D7"/>
    <w:rsid w:val="00AC6FB1"/>
    <w:rsid w:val="00AC771C"/>
    <w:rsid w:val="00AC7900"/>
    <w:rsid w:val="00AD0AB4"/>
    <w:rsid w:val="00AD0F96"/>
    <w:rsid w:val="00AD120F"/>
    <w:rsid w:val="00AD1CFB"/>
    <w:rsid w:val="00AD22A9"/>
    <w:rsid w:val="00AE3C6F"/>
    <w:rsid w:val="00AE3D43"/>
    <w:rsid w:val="00AE41C4"/>
    <w:rsid w:val="00AE57C4"/>
    <w:rsid w:val="00AE590E"/>
    <w:rsid w:val="00AF05DD"/>
    <w:rsid w:val="00AF317A"/>
    <w:rsid w:val="00AF40D2"/>
    <w:rsid w:val="00AF4AF4"/>
    <w:rsid w:val="00B01899"/>
    <w:rsid w:val="00B01AEF"/>
    <w:rsid w:val="00B02004"/>
    <w:rsid w:val="00B03AE3"/>
    <w:rsid w:val="00B03E57"/>
    <w:rsid w:val="00B042E9"/>
    <w:rsid w:val="00B050A3"/>
    <w:rsid w:val="00B06592"/>
    <w:rsid w:val="00B10728"/>
    <w:rsid w:val="00B10788"/>
    <w:rsid w:val="00B10FF9"/>
    <w:rsid w:val="00B12E6F"/>
    <w:rsid w:val="00B137F8"/>
    <w:rsid w:val="00B15C5E"/>
    <w:rsid w:val="00B1660F"/>
    <w:rsid w:val="00B170CF"/>
    <w:rsid w:val="00B205BA"/>
    <w:rsid w:val="00B218CF"/>
    <w:rsid w:val="00B22519"/>
    <w:rsid w:val="00B24C43"/>
    <w:rsid w:val="00B24EAC"/>
    <w:rsid w:val="00B25FE1"/>
    <w:rsid w:val="00B274D9"/>
    <w:rsid w:val="00B27DD0"/>
    <w:rsid w:val="00B37808"/>
    <w:rsid w:val="00B4050A"/>
    <w:rsid w:val="00B4095C"/>
    <w:rsid w:val="00B425DD"/>
    <w:rsid w:val="00B427CF"/>
    <w:rsid w:val="00B42D19"/>
    <w:rsid w:val="00B433BB"/>
    <w:rsid w:val="00B437A8"/>
    <w:rsid w:val="00B45AAC"/>
    <w:rsid w:val="00B45E63"/>
    <w:rsid w:val="00B4604A"/>
    <w:rsid w:val="00B460DD"/>
    <w:rsid w:val="00B46DB0"/>
    <w:rsid w:val="00B53123"/>
    <w:rsid w:val="00B53EF8"/>
    <w:rsid w:val="00B55D69"/>
    <w:rsid w:val="00B61654"/>
    <w:rsid w:val="00B61CF2"/>
    <w:rsid w:val="00B627B2"/>
    <w:rsid w:val="00B62DF0"/>
    <w:rsid w:val="00B62F20"/>
    <w:rsid w:val="00B63362"/>
    <w:rsid w:val="00B642FD"/>
    <w:rsid w:val="00B6611F"/>
    <w:rsid w:val="00B66E7F"/>
    <w:rsid w:val="00B7032C"/>
    <w:rsid w:val="00B70428"/>
    <w:rsid w:val="00B71438"/>
    <w:rsid w:val="00B71A5A"/>
    <w:rsid w:val="00B7526A"/>
    <w:rsid w:val="00B752F2"/>
    <w:rsid w:val="00B75AD0"/>
    <w:rsid w:val="00B771B0"/>
    <w:rsid w:val="00B808ED"/>
    <w:rsid w:val="00B80CB2"/>
    <w:rsid w:val="00B82051"/>
    <w:rsid w:val="00B8394F"/>
    <w:rsid w:val="00B8693C"/>
    <w:rsid w:val="00B87991"/>
    <w:rsid w:val="00B90495"/>
    <w:rsid w:val="00B91534"/>
    <w:rsid w:val="00B95F27"/>
    <w:rsid w:val="00B96D74"/>
    <w:rsid w:val="00B972E5"/>
    <w:rsid w:val="00BA11DA"/>
    <w:rsid w:val="00BA22E9"/>
    <w:rsid w:val="00BA37D3"/>
    <w:rsid w:val="00BA4DBB"/>
    <w:rsid w:val="00BA6DA3"/>
    <w:rsid w:val="00BB226D"/>
    <w:rsid w:val="00BB56D5"/>
    <w:rsid w:val="00BB6BB3"/>
    <w:rsid w:val="00BB73B6"/>
    <w:rsid w:val="00BC07E9"/>
    <w:rsid w:val="00BC0954"/>
    <w:rsid w:val="00BC33CE"/>
    <w:rsid w:val="00BC34DA"/>
    <w:rsid w:val="00BC4576"/>
    <w:rsid w:val="00BC46AE"/>
    <w:rsid w:val="00BC5B29"/>
    <w:rsid w:val="00BC5C80"/>
    <w:rsid w:val="00BC61EA"/>
    <w:rsid w:val="00BC7279"/>
    <w:rsid w:val="00BC7F5C"/>
    <w:rsid w:val="00BD315E"/>
    <w:rsid w:val="00BD3A18"/>
    <w:rsid w:val="00BD3F58"/>
    <w:rsid w:val="00BD4B12"/>
    <w:rsid w:val="00BD5F33"/>
    <w:rsid w:val="00BD72C0"/>
    <w:rsid w:val="00BD7601"/>
    <w:rsid w:val="00BE0402"/>
    <w:rsid w:val="00BE3FD1"/>
    <w:rsid w:val="00BE79B2"/>
    <w:rsid w:val="00BF0F6C"/>
    <w:rsid w:val="00BF10AF"/>
    <w:rsid w:val="00BF19CE"/>
    <w:rsid w:val="00BF31FE"/>
    <w:rsid w:val="00BF3700"/>
    <w:rsid w:val="00BF47B4"/>
    <w:rsid w:val="00BF4946"/>
    <w:rsid w:val="00BF6DD4"/>
    <w:rsid w:val="00BF7633"/>
    <w:rsid w:val="00C00726"/>
    <w:rsid w:val="00C00CEF"/>
    <w:rsid w:val="00C018FB"/>
    <w:rsid w:val="00C01FFE"/>
    <w:rsid w:val="00C02BE5"/>
    <w:rsid w:val="00C02BF7"/>
    <w:rsid w:val="00C048AC"/>
    <w:rsid w:val="00C05E9D"/>
    <w:rsid w:val="00C0646B"/>
    <w:rsid w:val="00C07C2D"/>
    <w:rsid w:val="00C1070E"/>
    <w:rsid w:val="00C11409"/>
    <w:rsid w:val="00C14C55"/>
    <w:rsid w:val="00C14C7F"/>
    <w:rsid w:val="00C151A7"/>
    <w:rsid w:val="00C151CD"/>
    <w:rsid w:val="00C1564B"/>
    <w:rsid w:val="00C167E2"/>
    <w:rsid w:val="00C16890"/>
    <w:rsid w:val="00C212EB"/>
    <w:rsid w:val="00C23419"/>
    <w:rsid w:val="00C23EE3"/>
    <w:rsid w:val="00C2611D"/>
    <w:rsid w:val="00C26646"/>
    <w:rsid w:val="00C26CA8"/>
    <w:rsid w:val="00C278FA"/>
    <w:rsid w:val="00C3111D"/>
    <w:rsid w:val="00C3129B"/>
    <w:rsid w:val="00C320B3"/>
    <w:rsid w:val="00C33BDD"/>
    <w:rsid w:val="00C4296E"/>
    <w:rsid w:val="00C45584"/>
    <w:rsid w:val="00C47712"/>
    <w:rsid w:val="00C47828"/>
    <w:rsid w:val="00C519BC"/>
    <w:rsid w:val="00C542FB"/>
    <w:rsid w:val="00C615BE"/>
    <w:rsid w:val="00C61783"/>
    <w:rsid w:val="00C623AE"/>
    <w:rsid w:val="00C62803"/>
    <w:rsid w:val="00C62B52"/>
    <w:rsid w:val="00C62FD7"/>
    <w:rsid w:val="00C63380"/>
    <w:rsid w:val="00C640D0"/>
    <w:rsid w:val="00C653B5"/>
    <w:rsid w:val="00C66C33"/>
    <w:rsid w:val="00C66E51"/>
    <w:rsid w:val="00C70CFA"/>
    <w:rsid w:val="00C71405"/>
    <w:rsid w:val="00C74BD8"/>
    <w:rsid w:val="00C74F1E"/>
    <w:rsid w:val="00C77176"/>
    <w:rsid w:val="00C77D8A"/>
    <w:rsid w:val="00C80955"/>
    <w:rsid w:val="00C819D9"/>
    <w:rsid w:val="00C82F9F"/>
    <w:rsid w:val="00C8398D"/>
    <w:rsid w:val="00C83DF6"/>
    <w:rsid w:val="00C8425F"/>
    <w:rsid w:val="00C84952"/>
    <w:rsid w:val="00C85752"/>
    <w:rsid w:val="00C8634A"/>
    <w:rsid w:val="00C8656E"/>
    <w:rsid w:val="00C87830"/>
    <w:rsid w:val="00C87C7C"/>
    <w:rsid w:val="00C919B8"/>
    <w:rsid w:val="00C922E9"/>
    <w:rsid w:val="00C9245B"/>
    <w:rsid w:val="00C944DC"/>
    <w:rsid w:val="00C9554E"/>
    <w:rsid w:val="00C97B29"/>
    <w:rsid w:val="00C97C87"/>
    <w:rsid w:val="00CA0505"/>
    <w:rsid w:val="00CA2AB9"/>
    <w:rsid w:val="00CA32B4"/>
    <w:rsid w:val="00CA3F59"/>
    <w:rsid w:val="00CA439B"/>
    <w:rsid w:val="00CA4908"/>
    <w:rsid w:val="00CA4B20"/>
    <w:rsid w:val="00CA5117"/>
    <w:rsid w:val="00CA6E29"/>
    <w:rsid w:val="00CA75A2"/>
    <w:rsid w:val="00CA75E8"/>
    <w:rsid w:val="00CB212B"/>
    <w:rsid w:val="00CB22BD"/>
    <w:rsid w:val="00CB2461"/>
    <w:rsid w:val="00CB293E"/>
    <w:rsid w:val="00CB595B"/>
    <w:rsid w:val="00CB6B1E"/>
    <w:rsid w:val="00CB6CBE"/>
    <w:rsid w:val="00CB7011"/>
    <w:rsid w:val="00CC0AF7"/>
    <w:rsid w:val="00CC0B8F"/>
    <w:rsid w:val="00CC35E8"/>
    <w:rsid w:val="00CC592E"/>
    <w:rsid w:val="00CC614F"/>
    <w:rsid w:val="00CD1BDD"/>
    <w:rsid w:val="00CD2CAA"/>
    <w:rsid w:val="00CD34C7"/>
    <w:rsid w:val="00CE0084"/>
    <w:rsid w:val="00CE026A"/>
    <w:rsid w:val="00CE3E3D"/>
    <w:rsid w:val="00CE59E3"/>
    <w:rsid w:val="00CE6940"/>
    <w:rsid w:val="00CF2357"/>
    <w:rsid w:val="00CF3788"/>
    <w:rsid w:val="00CF7405"/>
    <w:rsid w:val="00D004E1"/>
    <w:rsid w:val="00D013A8"/>
    <w:rsid w:val="00D01641"/>
    <w:rsid w:val="00D016AB"/>
    <w:rsid w:val="00D01AC4"/>
    <w:rsid w:val="00D020BC"/>
    <w:rsid w:val="00D03A5B"/>
    <w:rsid w:val="00D0433E"/>
    <w:rsid w:val="00D044FF"/>
    <w:rsid w:val="00D10797"/>
    <w:rsid w:val="00D1094F"/>
    <w:rsid w:val="00D10D1E"/>
    <w:rsid w:val="00D10D73"/>
    <w:rsid w:val="00D111DE"/>
    <w:rsid w:val="00D13E58"/>
    <w:rsid w:val="00D13E8D"/>
    <w:rsid w:val="00D14607"/>
    <w:rsid w:val="00D14AD0"/>
    <w:rsid w:val="00D15D4C"/>
    <w:rsid w:val="00D1677B"/>
    <w:rsid w:val="00D17291"/>
    <w:rsid w:val="00D21E47"/>
    <w:rsid w:val="00D2329C"/>
    <w:rsid w:val="00D24A1C"/>
    <w:rsid w:val="00D24D04"/>
    <w:rsid w:val="00D25F3E"/>
    <w:rsid w:val="00D26F8F"/>
    <w:rsid w:val="00D278EA"/>
    <w:rsid w:val="00D31221"/>
    <w:rsid w:val="00D340AF"/>
    <w:rsid w:val="00D35D7B"/>
    <w:rsid w:val="00D377D3"/>
    <w:rsid w:val="00D41ADA"/>
    <w:rsid w:val="00D46B4B"/>
    <w:rsid w:val="00D50102"/>
    <w:rsid w:val="00D539DF"/>
    <w:rsid w:val="00D53BA1"/>
    <w:rsid w:val="00D545C3"/>
    <w:rsid w:val="00D54A84"/>
    <w:rsid w:val="00D54BEB"/>
    <w:rsid w:val="00D55056"/>
    <w:rsid w:val="00D56442"/>
    <w:rsid w:val="00D571D1"/>
    <w:rsid w:val="00D57FC8"/>
    <w:rsid w:val="00D606AD"/>
    <w:rsid w:val="00D61184"/>
    <w:rsid w:val="00D614CE"/>
    <w:rsid w:val="00D620F7"/>
    <w:rsid w:val="00D62667"/>
    <w:rsid w:val="00D62ACB"/>
    <w:rsid w:val="00D62C8B"/>
    <w:rsid w:val="00D6335D"/>
    <w:rsid w:val="00D64972"/>
    <w:rsid w:val="00D6549B"/>
    <w:rsid w:val="00D662CF"/>
    <w:rsid w:val="00D66FDE"/>
    <w:rsid w:val="00D673F1"/>
    <w:rsid w:val="00D678B4"/>
    <w:rsid w:val="00D74231"/>
    <w:rsid w:val="00D746F2"/>
    <w:rsid w:val="00D74755"/>
    <w:rsid w:val="00D75B8B"/>
    <w:rsid w:val="00D771CD"/>
    <w:rsid w:val="00D81D1E"/>
    <w:rsid w:val="00D83198"/>
    <w:rsid w:val="00D85BBF"/>
    <w:rsid w:val="00D85DAC"/>
    <w:rsid w:val="00D865A1"/>
    <w:rsid w:val="00D86FDC"/>
    <w:rsid w:val="00D87ED0"/>
    <w:rsid w:val="00D95580"/>
    <w:rsid w:val="00DA006D"/>
    <w:rsid w:val="00DA067C"/>
    <w:rsid w:val="00DA0771"/>
    <w:rsid w:val="00DA1E48"/>
    <w:rsid w:val="00DA259E"/>
    <w:rsid w:val="00DA2A76"/>
    <w:rsid w:val="00DA3E99"/>
    <w:rsid w:val="00DA3F50"/>
    <w:rsid w:val="00DA4167"/>
    <w:rsid w:val="00DA41E1"/>
    <w:rsid w:val="00DA46B6"/>
    <w:rsid w:val="00DA4C04"/>
    <w:rsid w:val="00DA50CB"/>
    <w:rsid w:val="00DA669B"/>
    <w:rsid w:val="00DA79DA"/>
    <w:rsid w:val="00DB00E1"/>
    <w:rsid w:val="00DB03CC"/>
    <w:rsid w:val="00DB1FAA"/>
    <w:rsid w:val="00DB21D4"/>
    <w:rsid w:val="00DB2F89"/>
    <w:rsid w:val="00DB3FE5"/>
    <w:rsid w:val="00DB41D4"/>
    <w:rsid w:val="00DB458C"/>
    <w:rsid w:val="00DB4A73"/>
    <w:rsid w:val="00DB5D0B"/>
    <w:rsid w:val="00DC00D7"/>
    <w:rsid w:val="00DC1698"/>
    <w:rsid w:val="00DC3102"/>
    <w:rsid w:val="00DC4EFD"/>
    <w:rsid w:val="00DC5BDC"/>
    <w:rsid w:val="00DC5E8F"/>
    <w:rsid w:val="00DC6D63"/>
    <w:rsid w:val="00DC7D03"/>
    <w:rsid w:val="00DD05DE"/>
    <w:rsid w:val="00DD311F"/>
    <w:rsid w:val="00DD4C88"/>
    <w:rsid w:val="00DD503A"/>
    <w:rsid w:val="00DD77AA"/>
    <w:rsid w:val="00DD7D49"/>
    <w:rsid w:val="00DE0098"/>
    <w:rsid w:val="00DE2707"/>
    <w:rsid w:val="00DE2C4F"/>
    <w:rsid w:val="00DE34F9"/>
    <w:rsid w:val="00DE5E08"/>
    <w:rsid w:val="00DE5F5C"/>
    <w:rsid w:val="00DE692B"/>
    <w:rsid w:val="00DE6A1C"/>
    <w:rsid w:val="00DE7799"/>
    <w:rsid w:val="00DF03C5"/>
    <w:rsid w:val="00DF13AD"/>
    <w:rsid w:val="00DF1F26"/>
    <w:rsid w:val="00DF24B2"/>
    <w:rsid w:val="00DF255A"/>
    <w:rsid w:val="00DF514F"/>
    <w:rsid w:val="00E00908"/>
    <w:rsid w:val="00E00CCB"/>
    <w:rsid w:val="00E01BDC"/>
    <w:rsid w:val="00E02A60"/>
    <w:rsid w:val="00E039CE"/>
    <w:rsid w:val="00E10A49"/>
    <w:rsid w:val="00E1102D"/>
    <w:rsid w:val="00E128AA"/>
    <w:rsid w:val="00E146EB"/>
    <w:rsid w:val="00E153C5"/>
    <w:rsid w:val="00E153D9"/>
    <w:rsid w:val="00E173B7"/>
    <w:rsid w:val="00E24A20"/>
    <w:rsid w:val="00E250B5"/>
    <w:rsid w:val="00E251B8"/>
    <w:rsid w:val="00E25B47"/>
    <w:rsid w:val="00E26DCE"/>
    <w:rsid w:val="00E30360"/>
    <w:rsid w:val="00E3085F"/>
    <w:rsid w:val="00E30CC8"/>
    <w:rsid w:val="00E345C5"/>
    <w:rsid w:val="00E35F68"/>
    <w:rsid w:val="00E3662F"/>
    <w:rsid w:val="00E377A3"/>
    <w:rsid w:val="00E4013C"/>
    <w:rsid w:val="00E40404"/>
    <w:rsid w:val="00E40486"/>
    <w:rsid w:val="00E40858"/>
    <w:rsid w:val="00E41A5E"/>
    <w:rsid w:val="00E428AB"/>
    <w:rsid w:val="00E43C14"/>
    <w:rsid w:val="00E45319"/>
    <w:rsid w:val="00E45641"/>
    <w:rsid w:val="00E45DBF"/>
    <w:rsid w:val="00E467BE"/>
    <w:rsid w:val="00E46A66"/>
    <w:rsid w:val="00E47756"/>
    <w:rsid w:val="00E47D23"/>
    <w:rsid w:val="00E47DAC"/>
    <w:rsid w:val="00E50820"/>
    <w:rsid w:val="00E513FD"/>
    <w:rsid w:val="00E51A07"/>
    <w:rsid w:val="00E55BEE"/>
    <w:rsid w:val="00E62FAF"/>
    <w:rsid w:val="00E652A7"/>
    <w:rsid w:val="00E657FF"/>
    <w:rsid w:val="00E662E6"/>
    <w:rsid w:val="00E6635C"/>
    <w:rsid w:val="00E67C0D"/>
    <w:rsid w:val="00E74801"/>
    <w:rsid w:val="00E74F19"/>
    <w:rsid w:val="00E767C4"/>
    <w:rsid w:val="00E76D4A"/>
    <w:rsid w:val="00E77629"/>
    <w:rsid w:val="00E82630"/>
    <w:rsid w:val="00E83470"/>
    <w:rsid w:val="00E83B4A"/>
    <w:rsid w:val="00E83FAD"/>
    <w:rsid w:val="00E83FFE"/>
    <w:rsid w:val="00E85E80"/>
    <w:rsid w:val="00E86253"/>
    <w:rsid w:val="00E86FD4"/>
    <w:rsid w:val="00E922D3"/>
    <w:rsid w:val="00E9256E"/>
    <w:rsid w:val="00E944F9"/>
    <w:rsid w:val="00E95743"/>
    <w:rsid w:val="00E95B4D"/>
    <w:rsid w:val="00E95F13"/>
    <w:rsid w:val="00E960CB"/>
    <w:rsid w:val="00E962C2"/>
    <w:rsid w:val="00EA3610"/>
    <w:rsid w:val="00EA4530"/>
    <w:rsid w:val="00EA5009"/>
    <w:rsid w:val="00EA6583"/>
    <w:rsid w:val="00EA6778"/>
    <w:rsid w:val="00EA7ECA"/>
    <w:rsid w:val="00EB09CF"/>
    <w:rsid w:val="00EB28DA"/>
    <w:rsid w:val="00EB3753"/>
    <w:rsid w:val="00EB3A61"/>
    <w:rsid w:val="00EB4BBD"/>
    <w:rsid w:val="00EB5464"/>
    <w:rsid w:val="00EC1215"/>
    <w:rsid w:val="00EC1542"/>
    <w:rsid w:val="00EC16A8"/>
    <w:rsid w:val="00EC2E2C"/>
    <w:rsid w:val="00EC510F"/>
    <w:rsid w:val="00EC598E"/>
    <w:rsid w:val="00EC5A9B"/>
    <w:rsid w:val="00EC5ED7"/>
    <w:rsid w:val="00ED1C4B"/>
    <w:rsid w:val="00ED2A60"/>
    <w:rsid w:val="00ED3FED"/>
    <w:rsid w:val="00ED412E"/>
    <w:rsid w:val="00ED52F4"/>
    <w:rsid w:val="00EE4653"/>
    <w:rsid w:val="00EE4AAB"/>
    <w:rsid w:val="00EE4E2B"/>
    <w:rsid w:val="00EE5CBB"/>
    <w:rsid w:val="00EE692B"/>
    <w:rsid w:val="00EE7090"/>
    <w:rsid w:val="00EE7610"/>
    <w:rsid w:val="00EF27CF"/>
    <w:rsid w:val="00EF4B11"/>
    <w:rsid w:val="00EF778C"/>
    <w:rsid w:val="00F0158B"/>
    <w:rsid w:val="00F02779"/>
    <w:rsid w:val="00F036F7"/>
    <w:rsid w:val="00F049FC"/>
    <w:rsid w:val="00F04D40"/>
    <w:rsid w:val="00F0529C"/>
    <w:rsid w:val="00F06194"/>
    <w:rsid w:val="00F06291"/>
    <w:rsid w:val="00F06CC2"/>
    <w:rsid w:val="00F10F3E"/>
    <w:rsid w:val="00F126E2"/>
    <w:rsid w:val="00F12850"/>
    <w:rsid w:val="00F13041"/>
    <w:rsid w:val="00F131FB"/>
    <w:rsid w:val="00F1358C"/>
    <w:rsid w:val="00F16FA4"/>
    <w:rsid w:val="00F17143"/>
    <w:rsid w:val="00F17AEF"/>
    <w:rsid w:val="00F21470"/>
    <w:rsid w:val="00F225AA"/>
    <w:rsid w:val="00F22A7E"/>
    <w:rsid w:val="00F23922"/>
    <w:rsid w:val="00F23BDE"/>
    <w:rsid w:val="00F23DB4"/>
    <w:rsid w:val="00F24D1B"/>
    <w:rsid w:val="00F26879"/>
    <w:rsid w:val="00F26D47"/>
    <w:rsid w:val="00F275A6"/>
    <w:rsid w:val="00F3537A"/>
    <w:rsid w:val="00F35FDF"/>
    <w:rsid w:val="00F360C3"/>
    <w:rsid w:val="00F3640E"/>
    <w:rsid w:val="00F41A05"/>
    <w:rsid w:val="00F4390C"/>
    <w:rsid w:val="00F43DED"/>
    <w:rsid w:val="00F44758"/>
    <w:rsid w:val="00F450F8"/>
    <w:rsid w:val="00F45796"/>
    <w:rsid w:val="00F45CAD"/>
    <w:rsid w:val="00F45EB6"/>
    <w:rsid w:val="00F46572"/>
    <w:rsid w:val="00F46B8A"/>
    <w:rsid w:val="00F50111"/>
    <w:rsid w:val="00F50A6F"/>
    <w:rsid w:val="00F51D6B"/>
    <w:rsid w:val="00F52E69"/>
    <w:rsid w:val="00F54200"/>
    <w:rsid w:val="00F54E0C"/>
    <w:rsid w:val="00F56216"/>
    <w:rsid w:val="00F562C2"/>
    <w:rsid w:val="00F568A9"/>
    <w:rsid w:val="00F60F29"/>
    <w:rsid w:val="00F61821"/>
    <w:rsid w:val="00F62041"/>
    <w:rsid w:val="00F64257"/>
    <w:rsid w:val="00F65E1A"/>
    <w:rsid w:val="00F67C53"/>
    <w:rsid w:val="00F7122C"/>
    <w:rsid w:val="00F7331C"/>
    <w:rsid w:val="00F76049"/>
    <w:rsid w:val="00F804CD"/>
    <w:rsid w:val="00F816F8"/>
    <w:rsid w:val="00F838F3"/>
    <w:rsid w:val="00F84B0A"/>
    <w:rsid w:val="00F85DAB"/>
    <w:rsid w:val="00F915E0"/>
    <w:rsid w:val="00F928DA"/>
    <w:rsid w:val="00F92CD1"/>
    <w:rsid w:val="00F94CBB"/>
    <w:rsid w:val="00F954CB"/>
    <w:rsid w:val="00F959C7"/>
    <w:rsid w:val="00F9617F"/>
    <w:rsid w:val="00F9629E"/>
    <w:rsid w:val="00F97ED6"/>
    <w:rsid w:val="00FA0112"/>
    <w:rsid w:val="00FA03E9"/>
    <w:rsid w:val="00FA09CD"/>
    <w:rsid w:val="00FA1BA0"/>
    <w:rsid w:val="00FA31EF"/>
    <w:rsid w:val="00FA4520"/>
    <w:rsid w:val="00FA4E52"/>
    <w:rsid w:val="00FA64AC"/>
    <w:rsid w:val="00FA6926"/>
    <w:rsid w:val="00FB2638"/>
    <w:rsid w:val="00FB37E4"/>
    <w:rsid w:val="00FB38E4"/>
    <w:rsid w:val="00FB39CC"/>
    <w:rsid w:val="00FB6437"/>
    <w:rsid w:val="00FB6EA9"/>
    <w:rsid w:val="00FC02F3"/>
    <w:rsid w:val="00FC07D3"/>
    <w:rsid w:val="00FC108F"/>
    <w:rsid w:val="00FC468D"/>
    <w:rsid w:val="00FC4E55"/>
    <w:rsid w:val="00FC4EE4"/>
    <w:rsid w:val="00FC4FF5"/>
    <w:rsid w:val="00FC5690"/>
    <w:rsid w:val="00FD1408"/>
    <w:rsid w:val="00FD6C35"/>
    <w:rsid w:val="00FD7C43"/>
    <w:rsid w:val="00FE06DD"/>
    <w:rsid w:val="00FE13A1"/>
    <w:rsid w:val="00FE1BE2"/>
    <w:rsid w:val="00FE2023"/>
    <w:rsid w:val="00FE216A"/>
    <w:rsid w:val="00FE2961"/>
    <w:rsid w:val="00FE4121"/>
    <w:rsid w:val="00FE4957"/>
    <w:rsid w:val="00FE655B"/>
    <w:rsid w:val="00FE657E"/>
    <w:rsid w:val="00FE66D3"/>
    <w:rsid w:val="00FE722D"/>
    <w:rsid w:val="00FF18DF"/>
    <w:rsid w:val="00FF274A"/>
    <w:rsid w:val="00FF36A1"/>
    <w:rsid w:val="00FF3CCE"/>
    <w:rsid w:val="00FF4A51"/>
    <w:rsid w:val="00FF4CAA"/>
    <w:rsid w:val="00FF528A"/>
    <w:rsid w:val="00FF5FCF"/>
    <w:rsid w:val="00FF7A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2956AFF1"/>
  <w14:defaultImageDpi w14:val="0"/>
  <w15:docId w15:val="{49CCB5B8-F1BE-4320-B937-47BFD798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767A3"/>
    <w:pPr>
      <w:spacing w:after="160" w:line="252" w:lineRule="auto"/>
      <w:jc w:val="both"/>
    </w:pPr>
    <w:rPr>
      <w:rFonts w:ascii="Times New Roman" w:hAnsi="Times New Roman"/>
      <w:color w:val="000000"/>
      <w:sz w:val="24"/>
      <w:szCs w:val="22"/>
    </w:rPr>
  </w:style>
  <w:style w:type="paragraph" w:styleId="Nadpis1">
    <w:name w:val="heading 1"/>
    <w:basedOn w:val="Normlny"/>
    <w:next w:val="Normlny"/>
    <w:link w:val="Nadpis1Char"/>
    <w:uiPriority w:val="9"/>
    <w:qFormat/>
    <w:rsid w:val="00B53123"/>
    <w:pPr>
      <w:spacing w:after="0" w:line="240" w:lineRule="auto"/>
      <w:jc w:val="center"/>
      <w:outlineLvl w:val="0"/>
    </w:pPr>
    <w:rPr>
      <w:b/>
    </w:rPr>
  </w:style>
  <w:style w:type="paragraph" w:styleId="Nadpis2">
    <w:name w:val="heading 2"/>
    <w:basedOn w:val="Normlny"/>
    <w:next w:val="Normlny"/>
    <w:link w:val="Nadpis2Char"/>
    <w:uiPriority w:val="9"/>
    <w:unhideWhenUsed/>
    <w:qFormat/>
    <w:rsid w:val="00F225AA"/>
    <w:pPr>
      <w:keepNext/>
      <w:spacing w:before="240" w:after="60"/>
      <w:outlineLvl w:val="1"/>
    </w:pPr>
    <w:rPr>
      <w:b/>
      <w:bCs/>
      <w:iCs/>
      <w:szCs w:val="28"/>
    </w:rPr>
  </w:style>
  <w:style w:type="paragraph" w:styleId="Nadpis3">
    <w:name w:val="heading 3"/>
    <w:basedOn w:val="Normlny"/>
    <w:next w:val="Normlny"/>
    <w:link w:val="Nadpis3Char"/>
    <w:uiPriority w:val="9"/>
    <w:unhideWhenUsed/>
    <w:qFormat/>
    <w:rsid w:val="00B53123"/>
    <w:pPr>
      <w:keepNext/>
      <w:spacing w:after="0" w:line="240" w:lineRule="auto"/>
      <w:outlineLvl w:val="2"/>
    </w:pPr>
    <w:rPr>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25141"/>
    <w:rPr>
      <w:rFonts w:ascii="Times New Roman" w:hAnsi="Times New Roman" w:cs="Times New Roman"/>
      <w:b/>
      <w:color w:val="000000"/>
      <w:sz w:val="22"/>
      <w:szCs w:val="22"/>
    </w:rPr>
  </w:style>
  <w:style w:type="character" w:customStyle="1" w:styleId="Nadpis2Char">
    <w:name w:val="Nadpis 2 Char"/>
    <w:basedOn w:val="Predvolenpsmoodseku"/>
    <w:link w:val="Nadpis2"/>
    <w:uiPriority w:val="9"/>
    <w:locked/>
    <w:rsid w:val="00F225AA"/>
    <w:rPr>
      <w:rFonts w:ascii="Times New Roman" w:hAnsi="Times New Roman" w:cs="Times New Roman"/>
      <w:b/>
      <w:sz w:val="28"/>
      <w:lang w:val="x-none" w:eastAsia="en-US"/>
    </w:rPr>
  </w:style>
  <w:style w:type="character" w:customStyle="1" w:styleId="Nadpis3Char">
    <w:name w:val="Nadpis 3 Char"/>
    <w:basedOn w:val="Predvolenpsmoodseku"/>
    <w:link w:val="Nadpis3"/>
    <w:uiPriority w:val="9"/>
    <w:locked/>
    <w:rsid w:val="00B53123"/>
    <w:rPr>
      <w:rFonts w:ascii="Times New Roman" w:hAnsi="Times New Roman"/>
      <w:b/>
      <w:bCs/>
      <w:color w:val="000000"/>
      <w:sz w:val="24"/>
      <w:szCs w:val="26"/>
    </w:rPr>
  </w:style>
  <w:style w:type="paragraph" w:styleId="Normlnywebov">
    <w:name w:val="Normal (Web)"/>
    <w:aliases w:val="webb,Normálny (WWW)"/>
    <w:basedOn w:val="Normlny"/>
    <w:link w:val="NormlnywebovChar"/>
    <w:uiPriority w:val="99"/>
    <w:unhideWhenUsed/>
    <w:qFormat/>
    <w:rsid w:val="0073084B"/>
    <w:pPr>
      <w:spacing w:before="100" w:beforeAutospacing="1" w:after="100" w:afterAutospacing="1" w:line="240" w:lineRule="auto"/>
    </w:pPr>
    <w:rPr>
      <w:szCs w:val="24"/>
    </w:rPr>
  </w:style>
  <w:style w:type="paragraph" w:styleId="Nzov">
    <w:name w:val="Title"/>
    <w:basedOn w:val="Normlny"/>
    <w:link w:val="NzovChar"/>
    <w:uiPriority w:val="10"/>
    <w:qFormat/>
    <w:rsid w:val="0073084B"/>
    <w:pPr>
      <w:spacing w:after="0" w:line="240" w:lineRule="auto"/>
      <w:jc w:val="center"/>
    </w:pPr>
    <w:rPr>
      <w:sz w:val="20"/>
      <w:szCs w:val="20"/>
      <w:lang w:eastAsia="cs-CZ"/>
    </w:rPr>
  </w:style>
  <w:style w:type="character" w:customStyle="1" w:styleId="NzovChar">
    <w:name w:val="Názov Char"/>
    <w:basedOn w:val="Predvolenpsmoodseku"/>
    <w:link w:val="Nzov"/>
    <w:uiPriority w:val="10"/>
    <w:locked/>
    <w:rsid w:val="0073084B"/>
    <w:rPr>
      <w:rFonts w:ascii="Times New Roman" w:hAnsi="Times New Roman" w:cs="Times New Roman"/>
      <w:lang w:val="x-none" w:eastAsia="cs-CZ"/>
    </w:rPr>
  </w:style>
  <w:style w:type="character" w:styleId="Zstupntext">
    <w:name w:val="Placeholder Text"/>
    <w:basedOn w:val="Predvolenpsmoodseku"/>
    <w:uiPriority w:val="99"/>
    <w:rsid w:val="007A5CBE"/>
    <w:rPr>
      <w:rFonts w:ascii="Times New Roman" w:hAnsi="Times New Roman" w:cs="Times New Roman"/>
      <w:color w:val="808080"/>
    </w:rPr>
  </w:style>
  <w:style w:type="paragraph" w:customStyle="1" w:styleId="Zakladnystyl">
    <w:name w:val="Zakladny styl"/>
    <w:rsid w:val="0073084B"/>
    <w:rPr>
      <w:rFonts w:ascii="Times New Roman" w:hAnsi="Times New Roman" w:cs="Times New Roman"/>
      <w:sz w:val="24"/>
      <w:szCs w:val="24"/>
    </w:rPr>
  </w:style>
  <w:style w:type="paragraph" w:styleId="Bezriadkovania">
    <w:name w:val="No Spacing"/>
    <w:link w:val="BezriadkovaniaChar"/>
    <w:uiPriority w:val="1"/>
    <w:qFormat/>
    <w:rsid w:val="00EE4E2B"/>
    <w:rPr>
      <w:rFonts w:cs="Times New Roman"/>
      <w:sz w:val="22"/>
      <w:szCs w:val="22"/>
      <w:lang w:eastAsia="en-US"/>
    </w:rPr>
  </w:style>
  <w:style w:type="character" w:customStyle="1" w:styleId="BezriadkovaniaChar">
    <w:name w:val="Bez riadkovania Char"/>
    <w:link w:val="Bezriadkovania"/>
    <w:uiPriority w:val="1"/>
    <w:locked/>
    <w:rsid w:val="00EE4E2B"/>
    <w:rPr>
      <w:sz w:val="22"/>
      <w:lang w:val="x-none" w:eastAsia="en-US"/>
    </w:rPr>
  </w:style>
  <w:style w:type="paragraph" w:styleId="Hlavika">
    <w:name w:val="header"/>
    <w:basedOn w:val="Normlny"/>
    <w:link w:val="HlavikaChar"/>
    <w:uiPriority w:val="99"/>
    <w:unhideWhenUsed/>
    <w:rsid w:val="00291943"/>
    <w:pPr>
      <w:tabs>
        <w:tab w:val="center" w:pos="4536"/>
        <w:tab w:val="right" w:pos="9072"/>
      </w:tabs>
    </w:pPr>
  </w:style>
  <w:style w:type="character" w:customStyle="1" w:styleId="HlavikaChar">
    <w:name w:val="Hlavička Char"/>
    <w:basedOn w:val="Predvolenpsmoodseku"/>
    <w:link w:val="Hlavika"/>
    <w:uiPriority w:val="99"/>
    <w:locked/>
    <w:rsid w:val="00291943"/>
    <w:rPr>
      <w:rFonts w:cs="Times New Roman"/>
      <w:sz w:val="22"/>
      <w:lang w:val="x-none" w:eastAsia="en-US"/>
    </w:rPr>
  </w:style>
  <w:style w:type="paragraph" w:styleId="Pta">
    <w:name w:val="footer"/>
    <w:basedOn w:val="Normlny"/>
    <w:link w:val="PtaChar"/>
    <w:uiPriority w:val="99"/>
    <w:unhideWhenUsed/>
    <w:rsid w:val="00291943"/>
    <w:pPr>
      <w:tabs>
        <w:tab w:val="center" w:pos="4536"/>
        <w:tab w:val="right" w:pos="9072"/>
      </w:tabs>
    </w:pPr>
  </w:style>
  <w:style w:type="character" w:customStyle="1" w:styleId="PtaChar">
    <w:name w:val="Päta Char"/>
    <w:basedOn w:val="Predvolenpsmoodseku"/>
    <w:link w:val="Pta"/>
    <w:uiPriority w:val="99"/>
    <w:locked/>
    <w:rsid w:val="00291943"/>
    <w:rPr>
      <w:rFonts w:cs="Times New Roman"/>
      <w:sz w:val="22"/>
      <w:lang w:val="x-none" w:eastAsia="en-US"/>
    </w:rPr>
  </w:style>
  <w:style w:type="paragraph" w:customStyle="1" w:styleId="Default">
    <w:name w:val="Default"/>
    <w:qFormat/>
    <w:rsid w:val="00425141"/>
    <w:pPr>
      <w:autoSpaceDE w:val="0"/>
      <w:autoSpaceDN w:val="0"/>
      <w:adjustRightInd w:val="0"/>
      <w:jc w:val="both"/>
    </w:pPr>
    <w:rPr>
      <w:rFonts w:ascii="Times New Roman" w:hAnsi="Times New Roman" w:cs="Times New Roman"/>
      <w:color w:val="000000"/>
      <w:sz w:val="24"/>
      <w:szCs w:val="24"/>
    </w:rPr>
  </w:style>
  <w:style w:type="character" w:styleId="Zvraznenie">
    <w:name w:val="Emphasis"/>
    <w:basedOn w:val="Predvolenpsmoodseku"/>
    <w:uiPriority w:val="20"/>
    <w:qFormat/>
    <w:rsid w:val="007A5CBE"/>
    <w:rPr>
      <w:rFonts w:cs="Times New Roman"/>
      <w:i/>
    </w:rPr>
  </w:style>
  <w:style w:type="character" w:styleId="Hypertextovprepojenie">
    <w:name w:val="Hyperlink"/>
    <w:basedOn w:val="Predvolenpsmoodseku"/>
    <w:uiPriority w:val="99"/>
    <w:unhideWhenUsed/>
    <w:rsid w:val="007A5CBE"/>
    <w:rPr>
      <w:rFonts w:cs="Times New Roman"/>
      <w:color w:val="0000FF"/>
      <w:u w:val="single"/>
    </w:rPr>
  </w:style>
  <w:style w:type="paragraph" w:styleId="Odsekzoznamu">
    <w:name w:val="List Paragraph"/>
    <w:aliases w:val="Dot pt,No Spacing1,List Paragraph Char Char Char,Indicator Text,Numbered Para 1,List Paragraph à moi,Odsek zoznamu4,LISTA,List Paragraph1,Listaszerû bekezdés2,Listaszerû bekezdés3,Listaszerû bekezdés1,Bullet 1,Bullet Points,MAIN CONTENT"/>
    <w:basedOn w:val="Normlny"/>
    <w:link w:val="OdsekzoznamuChar"/>
    <w:uiPriority w:val="34"/>
    <w:qFormat/>
    <w:rsid w:val="007A5CBE"/>
    <w:pPr>
      <w:spacing w:line="259" w:lineRule="auto"/>
      <w:ind w:left="720"/>
      <w:contextualSpacing/>
    </w:pPr>
  </w:style>
  <w:style w:type="character" w:customStyle="1" w:styleId="OdsekzoznamuChar">
    <w:name w:val="Odsek zoznamu Char"/>
    <w:aliases w:val="Dot pt Char,No Spacing1 Char,List Paragraph Char Char Char Char,Indicator Text Char,Numbered Para 1 Char,List Paragraph à moi Char,Odsek zoznamu4 Char,LISTA Char,List Paragraph1 Char,Listaszerû bekezdés2 Char,Listaszerû bekezdés3 Char"/>
    <w:link w:val="Odsekzoznamu"/>
    <w:uiPriority w:val="34"/>
    <w:qFormat/>
    <w:locked/>
    <w:rsid w:val="007A5CBE"/>
    <w:rPr>
      <w:sz w:val="22"/>
      <w:lang w:val="x-none" w:eastAsia="en-US"/>
    </w:rPr>
  </w:style>
  <w:style w:type="character" w:customStyle="1" w:styleId="spanr">
    <w:name w:val="span_r"/>
    <w:rsid w:val="007A5CBE"/>
  </w:style>
  <w:style w:type="paragraph" w:styleId="Textpoznmkypodiarou">
    <w:name w:val="footnote text"/>
    <w:basedOn w:val="Normlny"/>
    <w:link w:val="TextpoznmkypodiarouChar"/>
    <w:uiPriority w:val="99"/>
    <w:unhideWhenUsed/>
    <w:rsid w:val="007A5CBE"/>
    <w:pPr>
      <w:spacing w:after="0" w:line="240" w:lineRule="auto"/>
    </w:pPr>
    <w:rPr>
      <w:rFonts w:ascii="Arial Narrow" w:hAnsi="Arial Narrow"/>
      <w:sz w:val="20"/>
      <w:szCs w:val="20"/>
    </w:rPr>
  </w:style>
  <w:style w:type="character" w:customStyle="1" w:styleId="TextpoznmkypodiarouChar">
    <w:name w:val="Text poznámky pod čiarou Char"/>
    <w:basedOn w:val="Predvolenpsmoodseku"/>
    <w:link w:val="Textpoznmkypodiarou"/>
    <w:uiPriority w:val="99"/>
    <w:locked/>
    <w:rsid w:val="007A5CBE"/>
    <w:rPr>
      <w:rFonts w:ascii="Arial Narrow" w:hAnsi="Arial Narrow" w:cs="Times New Roman"/>
      <w:lang w:val="x-none" w:eastAsia="en-US"/>
    </w:rPr>
  </w:style>
  <w:style w:type="character" w:styleId="Odkaznapoznmkupodiarou">
    <w:name w:val="footnote reference"/>
    <w:aliases w:val="Footnote Reference Number,Footnote Reference Superscript,BVI fnr,Footnote symbol,SUPERS,(Footnote Reference),Voetnootverwijzing,Times 10 Point,Exposant 3 Point,Footnote reference number,note TESI,Odwołanie przypisu"/>
    <w:basedOn w:val="Predvolenpsmoodseku"/>
    <w:uiPriority w:val="99"/>
    <w:unhideWhenUsed/>
    <w:rsid w:val="007A5CBE"/>
    <w:rPr>
      <w:rFonts w:cs="Times New Roman"/>
      <w:vertAlign w:val="superscript"/>
    </w:rPr>
  </w:style>
  <w:style w:type="character" w:styleId="Siln">
    <w:name w:val="Strong"/>
    <w:basedOn w:val="Predvolenpsmoodseku"/>
    <w:uiPriority w:val="22"/>
    <w:qFormat/>
    <w:rsid w:val="007A5CBE"/>
    <w:rPr>
      <w:rFonts w:cs="Times New Roman"/>
      <w:b/>
    </w:rPr>
  </w:style>
  <w:style w:type="paragraph" w:customStyle="1" w:styleId="playerscontent">
    <w:name w:val="players_content"/>
    <w:basedOn w:val="Normlny"/>
    <w:rsid w:val="007A5CBE"/>
    <w:pPr>
      <w:spacing w:before="100" w:beforeAutospacing="1" w:after="100" w:afterAutospacing="1" w:line="240" w:lineRule="auto"/>
    </w:pPr>
    <w:rPr>
      <w:szCs w:val="24"/>
    </w:rPr>
  </w:style>
  <w:style w:type="paragraph" w:styleId="Textbubliny">
    <w:name w:val="Balloon Text"/>
    <w:basedOn w:val="Normlny"/>
    <w:link w:val="TextbublinyChar"/>
    <w:uiPriority w:val="99"/>
    <w:semiHidden/>
    <w:unhideWhenUsed/>
    <w:rsid w:val="007A5CBE"/>
    <w:pPr>
      <w:spacing w:after="0" w:line="240" w:lineRule="auto"/>
    </w:pPr>
    <w:rPr>
      <w:rFonts w:ascii="Tahoma" w:hAnsi="Tahoma"/>
      <w:sz w:val="16"/>
      <w:szCs w:val="16"/>
    </w:rPr>
  </w:style>
  <w:style w:type="character" w:customStyle="1" w:styleId="TextbublinyChar">
    <w:name w:val="Text bubliny Char"/>
    <w:basedOn w:val="Predvolenpsmoodseku"/>
    <w:link w:val="Textbubliny"/>
    <w:uiPriority w:val="99"/>
    <w:semiHidden/>
    <w:locked/>
    <w:rsid w:val="007A5CBE"/>
    <w:rPr>
      <w:rFonts w:ascii="Tahoma" w:hAnsi="Tahoma" w:cs="Times New Roman"/>
      <w:sz w:val="16"/>
      <w:lang w:val="x-none" w:eastAsia="en-US"/>
    </w:rPr>
  </w:style>
  <w:style w:type="paragraph" w:customStyle="1" w:styleId="normal12hanging">
    <w:name w:val="normal12hanging"/>
    <w:basedOn w:val="Normlny"/>
    <w:uiPriority w:val="99"/>
    <w:rsid w:val="007A5CBE"/>
    <w:pPr>
      <w:spacing w:after="240" w:line="240" w:lineRule="auto"/>
      <w:ind w:left="357" w:hanging="357"/>
    </w:pPr>
    <w:rPr>
      <w:szCs w:val="24"/>
    </w:rPr>
  </w:style>
  <w:style w:type="paragraph" w:customStyle="1" w:styleId="tl1">
    <w:name w:val="Štýl1"/>
    <w:basedOn w:val="Normlny"/>
    <w:rsid w:val="007A5CBE"/>
    <w:pPr>
      <w:spacing w:after="0" w:line="240" w:lineRule="atLeast"/>
    </w:pPr>
    <w:rPr>
      <w:b/>
      <w:bCs/>
      <w:szCs w:val="20"/>
      <w:lang w:eastAsia="cs-CZ"/>
    </w:rPr>
  </w:style>
  <w:style w:type="paragraph" w:styleId="Zkladntext">
    <w:name w:val="Body Text"/>
    <w:basedOn w:val="Normlny"/>
    <w:link w:val="ZkladntextChar"/>
    <w:uiPriority w:val="99"/>
    <w:rsid w:val="007A5CBE"/>
    <w:pPr>
      <w:spacing w:after="120" w:line="240" w:lineRule="auto"/>
    </w:pPr>
    <w:rPr>
      <w:rFonts w:ascii="Arial" w:hAnsi="Arial"/>
      <w:szCs w:val="20"/>
      <w:lang w:eastAsia="cs-CZ"/>
    </w:rPr>
  </w:style>
  <w:style w:type="character" w:customStyle="1" w:styleId="ZkladntextChar">
    <w:name w:val="Základný text Char"/>
    <w:basedOn w:val="Predvolenpsmoodseku"/>
    <w:link w:val="Zkladntext"/>
    <w:uiPriority w:val="99"/>
    <w:locked/>
    <w:rsid w:val="007A5CBE"/>
    <w:rPr>
      <w:rFonts w:ascii="Arial" w:hAnsi="Arial" w:cs="Times New Roman"/>
      <w:sz w:val="24"/>
      <w:lang w:val="x-none" w:eastAsia="cs-CZ"/>
    </w:rPr>
  </w:style>
  <w:style w:type="paragraph" w:customStyle="1" w:styleId="CM1">
    <w:name w:val="CM1"/>
    <w:basedOn w:val="Normlny"/>
    <w:next w:val="Normlny"/>
    <w:uiPriority w:val="99"/>
    <w:rsid w:val="007A5CBE"/>
    <w:pPr>
      <w:autoSpaceDE w:val="0"/>
      <w:autoSpaceDN w:val="0"/>
      <w:adjustRightInd w:val="0"/>
      <w:spacing w:after="0" w:line="240" w:lineRule="auto"/>
    </w:pPr>
    <w:rPr>
      <w:rFonts w:ascii="EUAlbertina" w:hAnsi="EUAlbertina"/>
      <w:szCs w:val="24"/>
    </w:rPr>
  </w:style>
  <w:style w:type="character" w:customStyle="1" w:styleId="hps">
    <w:name w:val="hps"/>
    <w:rsid w:val="007A5CBE"/>
  </w:style>
  <w:style w:type="character" w:customStyle="1" w:styleId="shorttext">
    <w:name w:val="short_text"/>
    <w:rsid w:val="007A5CBE"/>
  </w:style>
  <w:style w:type="character" w:customStyle="1" w:styleId="notranslate">
    <w:name w:val="notranslate"/>
    <w:rsid w:val="007A5CBE"/>
  </w:style>
  <w:style w:type="paragraph" w:customStyle="1" w:styleId="Pointabc">
    <w:name w:val="Point abc"/>
    <w:basedOn w:val="Normlny"/>
    <w:rsid w:val="007A5CBE"/>
    <w:pPr>
      <w:numPr>
        <w:ilvl w:val="1"/>
        <w:numId w:val="2"/>
      </w:numPr>
      <w:spacing w:before="200" w:after="0" w:line="240" w:lineRule="auto"/>
    </w:pPr>
    <w:rPr>
      <w:szCs w:val="24"/>
      <w:lang w:val="en-GB"/>
    </w:rPr>
  </w:style>
  <w:style w:type="paragraph" w:customStyle="1" w:styleId="Pointabc1">
    <w:name w:val="Point abc (1)"/>
    <w:basedOn w:val="Normlny"/>
    <w:rsid w:val="007A5CBE"/>
    <w:pPr>
      <w:numPr>
        <w:ilvl w:val="3"/>
        <w:numId w:val="2"/>
      </w:numPr>
      <w:spacing w:after="0" w:line="240" w:lineRule="auto"/>
      <w:outlineLvl w:val="0"/>
    </w:pPr>
    <w:rPr>
      <w:szCs w:val="24"/>
      <w:lang w:val="en-GB"/>
    </w:rPr>
  </w:style>
  <w:style w:type="paragraph" w:customStyle="1" w:styleId="Pointabc2">
    <w:name w:val="Point abc (2)"/>
    <w:basedOn w:val="Normlny"/>
    <w:rsid w:val="007A5CBE"/>
    <w:pPr>
      <w:numPr>
        <w:ilvl w:val="5"/>
        <w:numId w:val="2"/>
      </w:numPr>
      <w:spacing w:after="0" w:line="240" w:lineRule="auto"/>
      <w:outlineLvl w:val="1"/>
    </w:pPr>
    <w:rPr>
      <w:szCs w:val="24"/>
      <w:lang w:val="en-GB"/>
    </w:rPr>
  </w:style>
  <w:style w:type="paragraph" w:customStyle="1" w:styleId="Pointabc3">
    <w:name w:val="Point abc (3)"/>
    <w:basedOn w:val="Normlny"/>
    <w:rsid w:val="007A5CBE"/>
    <w:pPr>
      <w:numPr>
        <w:ilvl w:val="7"/>
        <w:numId w:val="2"/>
      </w:numPr>
      <w:spacing w:after="0" w:line="240" w:lineRule="auto"/>
      <w:outlineLvl w:val="2"/>
    </w:pPr>
    <w:rPr>
      <w:szCs w:val="24"/>
      <w:lang w:val="en-GB"/>
    </w:rPr>
  </w:style>
  <w:style w:type="paragraph" w:customStyle="1" w:styleId="Pointabc4">
    <w:name w:val="Point abc (4)"/>
    <w:basedOn w:val="Normlny"/>
    <w:rsid w:val="007A5CBE"/>
    <w:pPr>
      <w:numPr>
        <w:ilvl w:val="8"/>
        <w:numId w:val="2"/>
      </w:numPr>
      <w:spacing w:after="0" w:line="240" w:lineRule="auto"/>
      <w:outlineLvl w:val="3"/>
    </w:pPr>
    <w:rPr>
      <w:szCs w:val="24"/>
      <w:lang w:val="en-GB"/>
    </w:rPr>
  </w:style>
  <w:style w:type="paragraph" w:customStyle="1" w:styleId="Point123">
    <w:name w:val="Point 123"/>
    <w:basedOn w:val="Normlny"/>
    <w:rsid w:val="007A5CBE"/>
    <w:pPr>
      <w:numPr>
        <w:numId w:val="2"/>
      </w:numPr>
      <w:spacing w:before="200" w:after="0" w:line="240" w:lineRule="auto"/>
    </w:pPr>
    <w:rPr>
      <w:szCs w:val="24"/>
      <w:lang w:val="en-GB" w:eastAsia="fr-BE"/>
    </w:rPr>
  </w:style>
  <w:style w:type="paragraph" w:customStyle="1" w:styleId="Point1231">
    <w:name w:val="Point 123 (1)"/>
    <w:basedOn w:val="Normlny"/>
    <w:rsid w:val="007A5CBE"/>
    <w:pPr>
      <w:numPr>
        <w:ilvl w:val="2"/>
        <w:numId w:val="2"/>
      </w:numPr>
      <w:spacing w:after="0" w:line="240" w:lineRule="auto"/>
      <w:outlineLvl w:val="0"/>
    </w:pPr>
    <w:rPr>
      <w:szCs w:val="24"/>
      <w:lang w:val="en-GB"/>
    </w:rPr>
  </w:style>
  <w:style w:type="paragraph" w:customStyle="1" w:styleId="Point1232">
    <w:name w:val="Point 123 (2)"/>
    <w:basedOn w:val="Normlny"/>
    <w:rsid w:val="007A5CBE"/>
    <w:pPr>
      <w:numPr>
        <w:ilvl w:val="4"/>
        <w:numId w:val="2"/>
      </w:numPr>
      <w:spacing w:after="0" w:line="240" w:lineRule="auto"/>
      <w:outlineLvl w:val="1"/>
    </w:pPr>
    <w:rPr>
      <w:szCs w:val="24"/>
      <w:lang w:val="en-GB"/>
    </w:rPr>
  </w:style>
  <w:style w:type="paragraph" w:customStyle="1" w:styleId="Point1233">
    <w:name w:val="Point 123 (3)"/>
    <w:basedOn w:val="Normlny"/>
    <w:rsid w:val="007A5CBE"/>
    <w:pPr>
      <w:numPr>
        <w:ilvl w:val="6"/>
        <w:numId w:val="2"/>
      </w:numPr>
      <w:spacing w:after="0" w:line="240" w:lineRule="auto"/>
      <w:outlineLvl w:val="2"/>
    </w:pPr>
    <w:rPr>
      <w:szCs w:val="24"/>
      <w:lang w:val="en-GB"/>
    </w:rPr>
  </w:style>
  <w:style w:type="paragraph" w:customStyle="1" w:styleId="PointManual">
    <w:name w:val="Point Manual"/>
    <w:basedOn w:val="Normlny"/>
    <w:rsid w:val="007A5CBE"/>
    <w:pPr>
      <w:spacing w:before="200" w:after="0" w:line="240" w:lineRule="auto"/>
      <w:ind w:left="567" w:hanging="567"/>
    </w:pPr>
    <w:rPr>
      <w:szCs w:val="24"/>
      <w:lang w:eastAsia="fr-BE"/>
    </w:rPr>
  </w:style>
  <w:style w:type="table" w:styleId="Mriekatabuky">
    <w:name w:val="Table Grid"/>
    <w:basedOn w:val="Normlnatabuka"/>
    <w:uiPriority w:val="39"/>
    <w:rsid w:val="007A5CB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uiPriority w:val="99"/>
    <w:semiHidden/>
    <w:unhideWhenUsed/>
    <w:rsid w:val="007A5CBE"/>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7A5CBE"/>
    <w:rPr>
      <w:rFonts w:cs="Times New Roman"/>
      <w:sz w:val="22"/>
      <w:lang w:val="x-none" w:eastAsia="en-US"/>
    </w:rPr>
  </w:style>
  <w:style w:type="paragraph" w:customStyle="1" w:styleId="zakladnystyl0">
    <w:name w:val="zakladnystyl"/>
    <w:basedOn w:val="Normlny"/>
    <w:rsid w:val="007A5CBE"/>
    <w:pPr>
      <w:spacing w:before="100" w:beforeAutospacing="1" w:after="100" w:afterAutospacing="1" w:line="240" w:lineRule="auto"/>
    </w:pPr>
    <w:rPr>
      <w:rFonts w:ascii="Arial Unicode MS"/>
      <w:szCs w:val="24"/>
    </w:rPr>
  </w:style>
  <w:style w:type="character" w:customStyle="1" w:styleId="update1">
    <w:name w:val="update1"/>
    <w:rsid w:val="007A5CBE"/>
    <w:rPr>
      <w:color w:val="006666"/>
    </w:rPr>
  </w:style>
  <w:style w:type="paragraph" w:styleId="Zarkazkladnhotextu">
    <w:name w:val="Body Text Indent"/>
    <w:basedOn w:val="Normlny"/>
    <w:link w:val="ZarkazkladnhotextuChar"/>
    <w:uiPriority w:val="99"/>
    <w:unhideWhenUsed/>
    <w:rsid w:val="007A5CBE"/>
    <w:pPr>
      <w:spacing w:after="120"/>
      <w:ind w:left="283"/>
    </w:pPr>
  </w:style>
  <w:style w:type="character" w:customStyle="1" w:styleId="ZarkazkladnhotextuChar">
    <w:name w:val="Zarážka základného textu Char"/>
    <w:basedOn w:val="Predvolenpsmoodseku"/>
    <w:link w:val="Zarkazkladnhotextu"/>
    <w:uiPriority w:val="99"/>
    <w:locked/>
    <w:rsid w:val="007A5CBE"/>
    <w:rPr>
      <w:rFonts w:cs="Times New Roman"/>
      <w:sz w:val="22"/>
      <w:lang w:val="x-none" w:eastAsia="en-US"/>
    </w:rPr>
  </w:style>
  <w:style w:type="paragraph" w:customStyle="1" w:styleId="Vlada">
    <w:name w:val="Vlada"/>
    <w:basedOn w:val="Normlny"/>
    <w:rsid w:val="007A5CBE"/>
    <w:pPr>
      <w:autoSpaceDE w:val="0"/>
      <w:autoSpaceDN w:val="0"/>
      <w:adjustRightInd w:val="0"/>
      <w:spacing w:before="480" w:after="120" w:line="240" w:lineRule="auto"/>
    </w:pPr>
    <w:rPr>
      <w:b/>
      <w:bCs/>
      <w:sz w:val="32"/>
      <w:szCs w:val="32"/>
      <w:lang w:eastAsia="cs-CZ"/>
    </w:rPr>
  </w:style>
  <w:style w:type="character" w:styleId="Odkaznakomentr">
    <w:name w:val="annotation reference"/>
    <w:basedOn w:val="Predvolenpsmoodseku"/>
    <w:uiPriority w:val="99"/>
    <w:semiHidden/>
    <w:unhideWhenUsed/>
    <w:rsid w:val="007A5CBE"/>
    <w:rPr>
      <w:rFonts w:cs="Times New Roman"/>
      <w:sz w:val="16"/>
    </w:rPr>
  </w:style>
  <w:style w:type="paragraph" w:styleId="Textkomentra">
    <w:name w:val="annotation text"/>
    <w:basedOn w:val="Normlny"/>
    <w:link w:val="TextkomentraChar"/>
    <w:uiPriority w:val="99"/>
    <w:unhideWhenUsed/>
    <w:rsid w:val="007A5CBE"/>
    <w:rPr>
      <w:sz w:val="20"/>
      <w:szCs w:val="20"/>
    </w:rPr>
  </w:style>
  <w:style w:type="character" w:customStyle="1" w:styleId="TextkomentraChar">
    <w:name w:val="Text komentára Char"/>
    <w:basedOn w:val="Predvolenpsmoodseku"/>
    <w:link w:val="Textkomentra"/>
    <w:uiPriority w:val="99"/>
    <w:locked/>
    <w:rsid w:val="007A5CBE"/>
    <w:rPr>
      <w:rFonts w:cs="Times New Roman"/>
      <w:lang w:val="x-none" w:eastAsia="en-US"/>
    </w:rPr>
  </w:style>
  <w:style w:type="paragraph" w:styleId="Predmetkomentra">
    <w:name w:val="annotation subject"/>
    <w:basedOn w:val="Textkomentra"/>
    <w:next w:val="Textkomentra"/>
    <w:link w:val="PredmetkomentraChar"/>
    <w:uiPriority w:val="99"/>
    <w:semiHidden/>
    <w:unhideWhenUsed/>
    <w:rsid w:val="007A5CBE"/>
    <w:rPr>
      <w:b/>
      <w:bCs/>
    </w:rPr>
  </w:style>
  <w:style w:type="character" w:customStyle="1" w:styleId="PredmetkomentraChar">
    <w:name w:val="Predmet komentára Char"/>
    <w:basedOn w:val="TextkomentraChar"/>
    <w:link w:val="Predmetkomentra"/>
    <w:uiPriority w:val="99"/>
    <w:semiHidden/>
    <w:locked/>
    <w:rsid w:val="007A5CBE"/>
    <w:rPr>
      <w:rFonts w:cs="Times New Roman"/>
      <w:b/>
      <w:lang w:val="x-none" w:eastAsia="en-US"/>
    </w:rPr>
  </w:style>
  <w:style w:type="character" w:customStyle="1" w:styleId="apple-converted-space">
    <w:name w:val="apple-converted-space"/>
    <w:rsid w:val="000F2515"/>
  </w:style>
  <w:style w:type="paragraph" w:customStyle="1" w:styleId="Textvysvetlivky1">
    <w:name w:val="Text vysvetlivky1"/>
    <w:basedOn w:val="Normlny"/>
    <w:next w:val="Textvysvetlivky"/>
    <w:link w:val="TextvysvetlivkyChar"/>
    <w:uiPriority w:val="99"/>
    <w:unhideWhenUsed/>
    <w:rsid w:val="000F2515"/>
    <w:pPr>
      <w:spacing w:after="0" w:line="240" w:lineRule="auto"/>
    </w:pPr>
    <w:rPr>
      <w:sz w:val="20"/>
      <w:szCs w:val="20"/>
    </w:rPr>
  </w:style>
  <w:style w:type="paragraph" w:styleId="Textvysvetlivky">
    <w:name w:val="endnote text"/>
    <w:basedOn w:val="Normlny"/>
    <w:link w:val="TextvysvetlivkyChar1"/>
    <w:uiPriority w:val="99"/>
    <w:semiHidden/>
    <w:unhideWhenUsed/>
    <w:rsid w:val="000F2515"/>
    <w:rPr>
      <w:sz w:val="20"/>
      <w:szCs w:val="20"/>
    </w:rPr>
  </w:style>
  <w:style w:type="character" w:customStyle="1" w:styleId="TextvysvetlivkyChar">
    <w:name w:val="Text vysvetlivky Char"/>
    <w:basedOn w:val="Predvolenpsmoodseku"/>
    <w:link w:val="Textvysvetlivky1"/>
    <w:uiPriority w:val="99"/>
    <w:locked/>
    <w:rsid w:val="000F2515"/>
    <w:rPr>
      <w:rFonts w:cs="Times New Roman"/>
      <w:lang w:val="x-none" w:eastAsia="en-US"/>
    </w:rPr>
  </w:style>
  <w:style w:type="character" w:customStyle="1" w:styleId="TextvysvetlivkyChar1">
    <w:name w:val="Text vysvetlivky Char1"/>
    <w:link w:val="Textvysvetlivky"/>
    <w:uiPriority w:val="99"/>
    <w:semiHidden/>
    <w:locked/>
    <w:rsid w:val="000F2515"/>
    <w:rPr>
      <w:lang w:val="x-none" w:eastAsia="en-US"/>
    </w:rPr>
  </w:style>
  <w:style w:type="paragraph" w:styleId="Obsah1">
    <w:name w:val="toc 1"/>
    <w:basedOn w:val="Normlny"/>
    <w:next w:val="Normlny"/>
    <w:autoRedefine/>
    <w:uiPriority w:val="39"/>
    <w:unhideWhenUsed/>
    <w:rsid w:val="00732DC0"/>
    <w:pPr>
      <w:tabs>
        <w:tab w:val="right" w:leader="dot" w:pos="8931"/>
      </w:tabs>
      <w:spacing w:line="240" w:lineRule="auto"/>
    </w:pPr>
  </w:style>
  <w:style w:type="paragraph" w:styleId="Obyajntext">
    <w:name w:val="Plain Text"/>
    <w:basedOn w:val="Normlny"/>
    <w:link w:val="ObyajntextChar"/>
    <w:uiPriority w:val="99"/>
    <w:unhideWhenUsed/>
    <w:rsid w:val="000F2515"/>
    <w:pPr>
      <w:spacing w:after="0" w:line="240" w:lineRule="auto"/>
    </w:pPr>
    <w:rPr>
      <w:szCs w:val="21"/>
    </w:rPr>
  </w:style>
  <w:style w:type="character" w:customStyle="1" w:styleId="ObyajntextChar">
    <w:name w:val="Obyčajný text Char"/>
    <w:basedOn w:val="Predvolenpsmoodseku"/>
    <w:link w:val="Obyajntext"/>
    <w:uiPriority w:val="99"/>
    <w:locked/>
    <w:rsid w:val="000F2515"/>
    <w:rPr>
      <w:rFonts w:cs="Times New Roman"/>
      <w:sz w:val="21"/>
      <w:lang w:val="x-none" w:eastAsia="en-US"/>
    </w:rPr>
  </w:style>
  <w:style w:type="paragraph" w:styleId="Hlavikaobsahu">
    <w:name w:val="TOC Heading"/>
    <w:basedOn w:val="Nadpis1"/>
    <w:next w:val="Normlny"/>
    <w:uiPriority w:val="39"/>
    <w:unhideWhenUsed/>
    <w:qFormat/>
    <w:rsid w:val="000F2515"/>
    <w:pPr>
      <w:keepNext/>
      <w:keepLines/>
      <w:spacing w:before="480"/>
      <w:outlineLvl w:val="9"/>
    </w:pPr>
    <w:rPr>
      <w:rFonts w:ascii="Cambria" w:hAnsi="Cambria"/>
      <w:bCs/>
      <w:color w:val="365F91"/>
      <w:sz w:val="28"/>
      <w:szCs w:val="28"/>
    </w:rPr>
  </w:style>
  <w:style w:type="paragraph" w:styleId="Obsah2">
    <w:name w:val="toc 2"/>
    <w:basedOn w:val="Normlny"/>
    <w:next w:val="Normlny"/>
    <w:autoRedefine/>
    <w:uiPriority w:val="39"/>
    <w:unhideWhenUsed/>
    <w:rsid w:val="00C919B8"/>
    <w:pPr>
      <w:tabs>
        <w:tab w:val="left" w:pos="660"/>
        <w:tab w:val="right" w:leader="dot" w:pos="9062"/>
      </w:tabs>
    </w:pPr>
  </w:style>
  <w:style w:type="paragraph" w:customStyle="1" w:styleId="Statut">
    <w:name w:val="Statut"/>
    <w:basedOn w:val="Normlny"/>
    <w:next w:val="Normlny"/>
    <w:rsid w:val="000F2515"/>
    <w:pPr>
      <w:spacing w:before="360" w:after="0" w:line="240" w:lineRule="auto"/>
      <w:jc w:val="center"/>
    </w:pPr>
  </w:style>
  <w:style w:type="paragraph" w:customStyle="1" w:styleId="Titreobjet">
    <w:name w:val="Titre objet"/>
    <w:basedOn w:val="Normlny"/>
    <w:next w:val="Normlny"/>
    <w:rsid w:val="000F2515"/>
    <w:pPr>
      <w:spacing w:before="360" w:after="360" w:line="240" w:lineRule="auto"/>
      <w:jc w:val="center"/>
    </w:pPr>
    <w:rPr>
      <w:b/>
    </w:rPr>
  </w:style>
  <w:style w:type="paragraph" w:styleId="Obsah3">
    <w:name w:val="toc 3"/>
    <w:basedOn w:val="Normlny"/>
    <w:next w:val="Normlny"/>
    <w:autoRedefine/>
    <w:uiPriority w:val="39"/>
    <w:unhideWhenUsed/>
    <w:rsid w:val="000E3D54"/>
    <w:pPr>
      <w:ind w:left="440"/>
    </w:pPr>
  </w:style>
  <w:style w:type="character" w:customStyle="1" w:styleId="st">
    <w:name w:val="st"/>
    <w:rsid w:val="006B11C3"/>
  </w:style>
  <w:style w:type="paragraph" w:customStyle="1" w:styleId="MZVnormal">
    <w:name w:val="MZV normal"/>
    <w:basedOn w:val="Normlny"/>
    <w:rsid w:val="003213ED"/>
    <w:pPr>
      <w:spacing w:after="0" w:line="240" w:lineRule="auto"/>
    </w:pPr>
    <w:rPr>
      <w:rFonts w:ascii="Arial" w:hAnsi="Arial"/>
      <w:szCs w:val="24"/>
    </w:rPr>
  </w:style>
  <w:style w:type="paragraph" w:customStyle="1" w:styleId="tl">
    <w:name w:val="Štýl"/>
    <w:uiPriority w:val="99"/>
    <w:rsid w:val="007B6F22"/>
    <w:pPr>
      <w:spacing w:after="200" w:line="276" w:lineRule="auto"/>
    </w:pPr>
    <w:rPr>
      <w:rFonts w:cs="Times New Roman"/>
      <w:sz w:val="22"/>
      <w:szCs w:val="22"/>
      <w:lang w:eastAsia="en-US"/>
    </w:rPr>
  </w:style>
  <w:style w:type="table" w:customStyle="1" w:styleId="Mriekatabuky1">
    <w:name w:val="Mriežka tabuľky1"/>
    <w:basedOn w:val="Normlnatabuka"/>
    <w:next w:val="Mriekatabuky"/>
    <w:uiPriority w:val="39"/>
    <w:rsid w:val="007B6F2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7B6F2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7B6F2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Considrant">
    <w:name w:val="Manual Considérant"/>
    <w:basedOn w:val="Normlny"/>
    <w:rsid w:val="007B6F22"/>
    <w:pPr>
      <w:spacing w:before="120" w:after="120" w:line="240" w:lineRule="auto"/>
      <w:ind w:left="709" w:hanging="709"/>
    </w:pPr>
  </w:style>
  <w:style w:type="table" w:customStyle="1" w:styleId="Mriekatabuky4">
    <w:name w:val="Mriežka tabuľky4"/>
    <w:basedOn w:val="Normlnatabuka"/>
    <w:next w:val="Mriekatabuky"/>
    <w:uiPriority w:val="59"/>
    <w:rsid w:val="007B6F2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rsid w:val="00ED1C4B"/>
    <w:rPr>
      <w:rFonts w:ascii="Tahoma" w:hAnsi="Tahoma" w:cs="Tahoma"/>
      <w:sz w:val="16"/>
      <w:szCs w:val="16"/>
    </w:rPr>
  </w:style>
  <w:style w:type="character" w:customStyle="1" w:styleId="truktradokumentuChar">
    <w:name w:val="Štruktúra dokumentu Char"/>
    <w:basedOn w:val="Predvolenpsmoodseku"/>
    <w:link w:val="truktradokumentu"/>
    <w:uiPriority w:val="99"/>
    <w:locked/>
    <w:rsid w:val="00ED1C4B"/>
    <w:rPr>
      <w:rFonts w:ascii="Tahoma" w:hAnsi="Tahoma" w:cs="Times New Roman"/>
      <w:sz w:val="16"/>
      <w:lang w:val="x-none" w:eastAsia="en-US"/>
    </w:rPr>
  </w:style>
  <w:style w:type="paragraph" w:styleId="Obsah4">
    <w:name w:val="toc 4"/>
    <w:basedOn w:val="Normlny"/>
    <w:next w:val="Normlny"/>
    <w:autoRedefine/>
    <w:uiPriority w:val="39"/>
    <w:unhideWhenUsed/>
    <w:rsid w:val="00F1358C"/>
    <w:pPr>
      <w:spacing w:after="100" w:line="259" w:lineRule="auto"/>
      <w:ind w:left="660"/>
    </w:pPr>
  </w:style>
  <w:style w:type="paragraph" w:styleId="Obsah5">
    <w:name w:val="toc 5"/>
    <w:basedOn w:val="Normlny"/>
    <w:next w:val="Normlny"/>
    <w:autoRedefine/>
    <w:uiPriority w:val="39"/>
    <w:unhideWhenUsed/>
    <w:rsid w:val="00F1358C"/>
    <w:pPr>
      <w:spacing w:after="100" w:line="259" w:lineRule="auto"/>
      <w:ind w:left="880"/>
    </w:pPr>
  </w:style>
  <w:style w:type="paragraph" w:styleId="Obsah6">
    <w:name w:val="toc 6"/>
    <w:basedOn w:val="Normlny"/>
    <w:next w:val="Normlny"/>
    <w:autoRedefine/>
    <w:uiPriority w:val="39"/>
    <w:unhideWhenUsed/>
    <w:rsid w:val="00F1358C"/>
    <w:pPr>
      <w:spacing w:after="100" w:line="259" w:lineRule="auto"/>
      <w:ind w:left="1100"/>
    </w:pPr>
  </w:style>
  <w:style w:type="paragraph" w:styleId="Obsah7">
    <w:name w:val="toc 7"/>
    <w:basedOn w:val="Normlny"/>
    <w:next w:val="Normlny"/>
    <w:autoRedefine/>
    <w:uiPriority w:val="39"/>
    <w:unhideWhenUsed/>
    <w:rsid w:val="00F1358C"/>
    <w:pPr>
      <w:spacing w:after="100" w:line="259" w:lineRule="auto"/>
      <w:ind w:left="1320"/>
    </w:pPr>
  </w:style>
  <w:style w:type="paragraph" w:styleId="Obsah8">
    <w:name w:val="toc 8"/>
    <w:basedOn w:val="Normlny"/>
    <w:next w:val="Normlny"/>
    <w:autoRedefine/>
    <w:uiPriority w:val="39"/>
    <w:unhideWhenUsed/>
    <w:rsid w:val="00F1358C"/>
    <w:pPr>
      <w:spacing w:after="100" w:line="259" w:lineRule="auto"/>
      <w:ind w:left="1540"/>
    </w:pPr>
  </w:style>
  <w:style w:type="paragraph" w:styleId="Obsah9">
    <w:name w:val="toc 9"/>
    <w:basedOn w:val="Normlny"/>
    <w:next w:val="Normlny"/>
    <w:autoRedefine/>
    <w:uiPriority w:val="39"/>
    <w:unhideWhenUsed/>
    <w:rsid w:val="00F1358C"/>
    <w:pPr>
      <w:spacing w:after="100" w:line="259" w:lineRule="auto"/>
      <w:ind w:left="1760"/>
    </w:pPr>
  </w:style>
  <w:style w:type="paragraph" w:customStyle="1" w:styleId="astandardsous-titre201">
    <w:name w:val="a_standard_sous-titre_20_1"/>
    <w:basedOn w:val="Normlny"/>
    <w:uiPriority w:val="99"/>
    <w:qFormat/>
    <w:rsid w:val="00A25E90"/>
    <w:pPr>
      <w:spacing w:before="120" w:after="120" w:line="240" w:lineRule="auto"/>
      <w:ind w:left="284" w:right="57"/>
    </w:pPr>
    <w:rPr>
      <w:b/>
      <w:bCs/>
      <w:szCs w:val="24"/>
    </w:rPr>
  </w:style>
  <w:style w:type="paragraph" w:customStyle="1" w:styleId="Dash">
    <w:name w:val="Dash"/>
    <w:basedOn w:val="Normlny"/>
    <w:rsid w:val="009F4FDA"/>
    <w:pPr>
      <w:spacing w:before="120" w:after="120" w:line="360" w:lineRule="auto"/>
    </w:pPr>
    <w:rPr>
      <w:lang w:val="en-GB"/>
    </w:rPr>
  </w:style>
  <w:style w:type="paragraph" w:customStyle="1" w:styleId="CONTENT2">
    <w:name w:val="CONTENT2"/>
    <w:basedOn w:val="Normlny"/>
    <w:qFormat/>
    <w:rsid w:val="002B7CB7"/>
    <w:pPr>
      <w:spacing w:after="0" w:line="240" w:lineRule="auto"/>
    </w:pPr>
    <w:rPr>
      <w:b/>
      <w:szCs w:val="28"/>
    </w:rPr>
  </w:style>
  <w:style w:type="paragraph" w:customStyle="1" w:styleId="footnotedescription">
    <w:name w:val="footnote description"/>
    <w:next w:val="Normlny"/>
    <w:link w:val="footnotedescriptionChar"/>
    <w:hidden/>
    <w:rsid w:val="00043D8B"/>
    <w:pPr>
      <w:spacing w:line="259" w:lineRule="auto"/>
      <w:jc w:val="both"/>
    </w:pPr>
    <w:rPr>
      <w:rFonts w:ascii="Times New Roman" w:hAnsi="Times New Roman" w:cs="Times New Roman"/>
      <w:color w:val="000000"/>
      <w:sz w:val="18"/>
      <w:szCs w:val="22"/>
    </w:rPr>
  </w:style>
  <w:style w:type="character" w:customStyle="1" w:styleId="footnotedescriptionChar">
    <w:name w:val="footnote description Char"/>
    <w:link w:val="footnotedescription"/>
    <w:locked/>
    <w:rsid w:val="00043D8B"/>
    <w:rPr>
      <w:rFonts w:ascii="Times New Roman" w:hAnsi="Times New Roman"/>
      <w:color w:val="000000"/>
      <w:sz w:val="22"/>
    </w:rPr>
  </w:style>
  <w:style w:type="table" w:customStyle="1" w:styleId="TableGrid">
    <w:name w:val="TableGrid"/>
    <w:rsid w:val="00043D8B"/>
    <w:rPr>
      <w:rFonts w:cs="Times New Roman"/>
      <w:sz w:val="22"/>
      <w:szCs w:val="22"/>
    </w:rPr>
    <w:tblPr>
      <w:tblCellMar>
        <w:top w:w="0" w:type="dxa"/>
        <w:left w:w="0" w:type="dxa"/>
        <w:bottom w:w="0" w:type="dxa"/>
        <w:right w:w="0" w:type="dxa"/>
      </w:tblCellMar>
    </w:tblPr>
  </w:style>
  <w:style w:type="character" w:customStyle="1" w:styleId="ablnaChar">
    <w:name w:val="Šablóna Char"/>
    <w:link w:val="ablna"/>
    <w:locked/>
    <w:rsid w:val="00043D8B"/>
    <w:rPr>
      <w:lang w:val="x-none" w:eastAsia="ar-SA" w:bidi="ar-SA"/>
    </w:rPr>
  </w:style>
  <w:style w:type="paragraph" w:customStyle="1" w:styleId="ablna">
    <w:name w:val="Šablóna"/>
    <w:basedOn w:val="Normlny"/>
    <w:link w:val="ablnaChar"/>
    <w:rsid w:val="00043D8B"/>
    <w:pPr>
      <w:spacing w:after="0" w:line="240" w:lineRule="auto"/>
      <w:ind w:right="-1"/>
    </w:pPr>
    <w:rPr>
      <w:color w:val="auto"/>
      <w:sz w:val="20"/>
      <w:szCs w:val="20"/>
      <w:lang w:eastAsia="ar-SA"/>
    </w:rPr>
  </w:style>
  <w:style w:type="character" w:customStyle="1" w:styleId="footnotemark">
    <w:name w:val="footnote mark"/>
    <w:hidden/>
    <w:rsid w:val="00043D8B"/>
    <w:rPr>
      <w:rFonts w:ascii="Times New Roman" w:hAnsi="Times New Roman"/>
      <w:color w:val="000000"/>
      <w:sz w:val="18"/>
      <w:vertAlign w:val="superscript"/>
    </w:rPr>
  </w:style>
  <w:style w:type="character" w:customStyle="1" w:styleId="A8">
    <w:name w:val="A8"/>
    <w:uiPriority w:val="99"/>
    <w:rsid w:val="00011BC7"/>
    <w:rPr>
      <w:color w:val="000000"/>
      <w:sz w:val="21"/>
    </w:rPr>
  </w:style>
  <w:style w:type="character" w:customStyle="1" w:styleId="tlid-translation">
    <w:name w:val="tlid-translation"/>
    <w:qFormat/>
    <w:rsid w:val="001E19A5"/>
  </w:style>
  <w:style w:type="character" w:customStyle="1" w:styleId="spellingerror">
    <w:name w:val="spellingerror"/>
    <w:rsid w:val="001E19A5"/>
  </w:style>
  <w:style w:type="paragraph" w:customStyle="1" w:styleId="Normlny1">
    <w:name w:val="Normálny1"/>
    <w:basedOn w:val="Normlny"/>
    <w:rsid w:val="001E19A5"/>
    <w:pPr>
      <w:spacing w:before="100" w:beforeAutospacing="1" w:after="100" w:afterAutospacing="1" w:line="240" w:lineRule="auto"/>
      <w:jc w:val="left"/>
    </w:pPr>
    <w:rPr>
      <w:rFonts w:cs="Times New Roman"/>
      <w:color w:val="auto"/>
      <w:szCs w:val="24"/>
    </w:rPr>
  </w:style>
  <w:style w:type="paragraph" w:customStyle="1" w:styleId="s20">
    <w:name w:val="s20"/>
    <w:basedOn w:val="Normlny"/>
    <w:rsid w:val="001E19A5"/>
    <w:pPr>
      <w:spacing w:before="100" w:beforeAutospacing="1" w:after="100" w:afterAutospacing="1" w:line="240" w:lineRule="auto"/>
      <w:jc w:val="left"/>
    </w:pPr>
    <w:rPr>
      <w:rFonts w:cs="Times New Roman"/>
      <w:color w:val="auto"/>
      <w:szCs w:val="24"/>
    </w:rPr>
  </w:style>
  <w:style w:type="character" w:customStyle="1" w:styleId="bumpedfont15">
    <w:name w:val="bumpedfont15"/>
    <w:rsid w:val="001E19A5"/>
  </w:style>
  <w:style w:type="character" w:customStyle="1" w:styleId="jlqj4b">
    <w:name w:val="jlqj4b"/>
    <w:rsid w:val="001E19A5"/>
  </w:style>
  <w:style w:type="paragraph" w:customStyle="1" w:styleId="Body">
    <w:name w:val="Body"/>
    <w:uiPriority w:val="99"/>
    <w:rsid w:val="001E19A5"/>
    <w:pPr>
      <w:pBdr>
        <w:top w:val="none" w:sz="96" w:space="31" w:color="FFFFFF" w:frame="1"/>
        <w:left w:val="none" w:sz="96" w:space="31" w:color="FFFFFF" w:frame="1"/>
        <w:bottom w:val="none" w:sz="96" w:space="31" w:color="FFFFFF" w:frame="1"/>
        <w:right w:val="none" w:sz="96" w:space="31" w:color="FFFFFF" w:frame="1"/>
      </w:pBdr>
    </w:pPr>
    <w:rPr>
      <w:rFonts w:ascii="Helvetica" w:hAnsi="Arial Unicode MS" w:cs="Arial Unicode MS"/>
      <w:color w:val="000000"/>
      <w:sz w:val="22"/>
      <w:szCs w:val="22"/>
    </w:rPr>
  </w:style>
  <w:style w:type="paragraph" w:styleId="PredformtovanHTML">
    <w:name w:val="HTML Preformatted"/>
    <w:basedOn w:val="Normlny"/>
    <w:link w:val="PredformtovanHTMLChar"/>
    <w:uiPriority w:val="99"/>
    <w:unhideWhenUsed/>
    <w:rsid w:val="001E1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auto"/>
      <w:sz w:val="20"/>
      <w:szCs w:val="20"/>
    </w:rPr>
  </w:style>
  <w:style w:type="character" w:customStyle="1" w:styleId="PredformtovanHTMLChar">
    <w:name w:val="Predformátované HTML Char"/>
    <w:basedOn w:val="Predvolenpsmoodseku"/>
    <w:link w:val="PredformtovanHTML"/>
    <w:uiPriority w:val="99"/>
    <w:locked/>
    <w:rsid w:val="001E19A5"/>
    <w:rPr>
      <w:rFonts w:ascii="Courier New" w:hAnsi="Courier New" w:cs="Courier New"/>
    </w:rPr>
  </w:style>
  <w:style w:type="character" w:customStyle="1" w:styleId="NormlnywebovChar">
    <w:name w:val="Normálny (webový) Char"/>
    <w:aliases w:val="webb Char,Normálny (WWW) Char"/>
    <w:link w:val="Normlnywebov"/>
    <w:uiPriority w:val="99"/>
    <w:locked/>
    <w:rsid w:val="001E19A5"/>
    <w:rPr>
      <w:rFonts w:ascii="Times New Roman" w:hAnsi="Times New Roman"/>
      <w:color w:val="000000"/>
      <w:sz w:val="24"/>
    </w:rPr>
  </w:style>
  <w:style w:type="paragraph" w:customStyle="1" w:styleId="xmsonormal">
    <w:name w:val="x_msonormal"/>
    <w:basedOn w:val="Normlny"/>
    <w:rsid w:val="001E19A5"/>
    <w:pPr>
      <w:spacing w:after="0" w:line="240" w:lineRule="auto"/>
      <w:jc w:val="left"/>
    </w:pPr>
    <w:rPr>
      <w:rFonts w:ascii="Calibri" w:eastAsia="SimSun" w:hAnsi="Calibri"/>
      <w:color w:val="auto"/>
      <w:sz w:val="22"/>
    </w:rPr>
  </w:style>
  <w:style w:type="paragraph" w:customStyle="1" w:styleId="default0">
    <w:name w:val="default"/>
    <w:basedOn w:val="Normlny"/>
    <w:rsid w:val="001E19A5"/>
    <w:pPr>
      <w:spacing w:after="0" w:line="240" w:lineRule="auto"/>
      <w:jc w:val="left"/>
    </w:pPr>
    <w:rPr>
      <w:rFonts w:ascii="Verdana" w:hAnsi="Verdana" w:cs="Times New Roman"/>
      <w:szCs w:val="24"/>
    </w:rPr>
  </w:style>
  <w:style w:type="paragraph" w:customStyle="1" w:styleId="xmsonormal0">
    <w:name w:val="xmsonormal"/>
    <w:basedOn w:val="Normlny"/>
    <w:rsid w:val="001E19A5"/>
    <w:pPr>
      <w:spacing w:after="0" w:line="240" w:lineRule="auto"/>
      <w:jc w:val="left"/>
    </w:pPr>
    <w:rPr>
      <w:rFonts w:ascii="Calibri" w:eastAsia="SimSun" w:hAnsi="Calibri"/>
      <w:color w:val="auto"/>
      <w:sz w:val="22"/>
    </w:rPr>
  </w:style>
  <w:style w:type="table" w:customStyle="1" w:styleId="Mriekatabuky5">
    <w:name w:val="Mriežka tabuľky5"/>
    <w:basedOn w:val="Normlnatabuka"/>
    <w:next w:val="Mriekatabuky"/>
    <w:uiPriority w:val="39"/>
    <w:rsid w:val="00E4775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E4775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39"/>
    <w:rsid w:val="00E4775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39"/>
    <w:rsid w:val="00E4775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
    <w:name w:val="Mriežka tabuľky41"/>
    <w:basedOn w:val="Normlnatabuka"/>
    <w:next w:val="Mriekatabuky"/>
    <w:uiPriority w:val="59"/>
    <w:rsid w:val="00E4775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E47756"/>
    <w:rPr>
      <w:rFonts w:cs="Times New Roman"/>
      <w:sz w:val="22"/>
      <w:szCs w:val="22"/>
    </w:rPr>
    <w:tblPr>
      <w:tblCellMar>
        <w:top w:w="0" w:type="dxa"/>
        <w:left w:w="0" w:type="dxa"/>
        <w:bottom w:w="0" w:type="dxa"/>
        <w:right w:w="0" w:type="dxa"/>
      </w:tblCellMar>
    </w:tblPr>
  </w:style>
  <w:style w:type="numbering" w:customStyle="1" w:styleId="Bezzoznamu1">
    <w:name w:val="Bez zoznamu1"/>
    <w:next w:val="Bezzoznamu"/>
    <w:uiPriority w:val="99"/>
    <w:semiHidden/>
    <w:unhideWhenUsed/>
    <w:rsid w:val="00732DC0"/>
  </w:style>
  <w:style w:type="table" w:customStyle="1" w:styleId="Mriekatabuky6">
    <w:name w:val="Mriežka tabuľky6"/>
    <w:basedOn w:val="Normlnatabuka"/>
    <w:next w:val="Mriekatabuky"/>
    <w:uiPriority w:val="39"/>
    <w:rsid w:val="00732DC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
    <w:name w:val="Mriežka tabuľky42"/>
    <w:basedOn w:val="Normlnatabuka"/>
    <w:next w:val="Mriekatabuky"/>
    <w:uiPriority w:val="5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32DC0"/>
    <w:rPr>
      <w:rFonts w:cs="Times New Roman"/>
      <w:sz w:val="22"/>
      <w:szCs w:val="22"/>
    </w:rPr>
    <w:tblPr>
      <w:tblCellMar>
        <w:top w:w="0" w:type="dxa"/>
        <w:left w:w="0" w:type="dxa"/>
        <w:bottom w:w="0" w:type="dxa"/>
        <w:right w:w="0" w:type="dxa"/>
      </w:tblCellMar>
    </w:tblPr>
  </w:style>
  <w:style w:type="table" w:customStyle="1" w:styleId="Mriekatabuky51">
    <w:name w:val="Mriežka tabuľky51"/>
    <w:basedOn w:val="Normlnatabuka"/>
    <w:next w:val="Mriekatabuky"/>
    <w:uiPriority w:val="39"/>
    <w:rsid w:val="00732DC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
    <w:name w:val="Mriežka tabuľky211"/>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
    <w:name w:val="Mriežka tabuľky311"/>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
    <w:name w:val="Mriežka tabuľky411"/>
    <w:basedOn w:val="Normlnatabuka"/>
    <w:next w:val="Mriekatabuky"/>
    <w:uiPriority w:val="5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732DC0"/>
    <w:rPr>
      <w:rFonts w:cs="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294418">
      <w:bodyDiv w:val="1"/>
      <w:marLeft w:val="0"/>
      <w:marRight w:val="0"/>
      <w:marTop w:val="0"/>
      <w:marBottom w:val="0"/>
      <w:divBdr>
        <w:top w:val="none" w:sz="0" w:space="0" w:color="auto"/>
        <w:left w:val="none" w:sz="0" w:space="0" w:color="auto"/>
        <w:bottom w:val="none" w:sz="0" w:space="0" w:color="auto"/>
        <w:right w:val="none" w:sz="0" w:space="0" w:color="auto"/>
      </w:divBdr>
    </w:div>
    <w:div w:id="1269119867">
      <w:bodyDiv w:val="1"/>
      <w:marLeft w:val="0"/>
      <w:marRight w:val="0"/>
      <w:marTop w:val="0"/>
      <w:marBottom w:val="0"/>
      <w:divBdr>
        <w:top w:val="none" w:sz="0" w:space="0" w:color="auto"/>
        <w:left w:val="none" w:sz="0" w:space="0" w:color="auto"/>
        <w:bottom w:val="none" w:sz="0" w:space="0" w:color="auto"/>
        <w:right w:val="none" w:sz="0" w:space="0" w:color="auto"/>
      </w:divBdr>
    </w:div>
    <w:div w:id="1408649029">
      <w:marLeft w:val="0"/>
      <w:marRight w:val="0"/>
      <w:marTop w:val="0"/>
      <w:marBottom w:val="0"/>
      <w:divBdr>
        <w:top w:val="none" w:sz="0" w:space="0" w:color="auto"/>
        <w:left w:val="none" w:sz="0" w:space="0" w:color="auto"/>
        <w:bottom w:val="none" w:sz="0" w:space="0" w:color="auto"/>
        <w:right w:val="none" w:sz="0" w:space="0" w:color="auto"/>
      </w:divBdr>
    </w:div>
    <w:div w:id="1408649030">
      <w:marLeft w:val="0"/>
      <w:marRight w:val="0"/>
      <w:marTop w:val="0"/>
      <w:marBottom w:val="0"/>
      <w:divBdr>
        <w:top w:val="none" w:sz="0" w:space="0" w:color="auto"/>
        <w:left w:val="none" w:sz="0" w:space="0" w:color="auto"/>
        <w:bottom w:val="none" w:sz="0" w:space="0" w:color="auto"/>
        <w:right w:val="none" w:sz="0" w:space="0" w:color="auto"/>
      </w:divBdr>
    </w:div>
    <w:div w:id="1408649031">
      <w:marLeft w:val="0"/>
      <w:marRight w:val="0"/>
      <w:marTop w:val="0"/>
      <w:marBottom w:val="0"/>
      <w:divBdr>
        <w:top w:val="none" w:sz="0" w:space="0" w:color="auto"/>
        <w:left w:val="none" w:sz="0" w:space="0" w:color="auto"/>
        <w:bottom w:val="none" w:sz="0" w:space="0" w:color="auto"/>
        <w:right w:val="none" w:sz="0" w:space="0" w:color="auto"/>
      </w:divBdr>
    </w:div>
    <w:div w:id="1408649032">
      <w:marLeft w:val="0"/>
      <w:marRight w:val="0"/>
      <w:marTop w:val="0"/>
      <w:marBottom w:val="0"/>
      <w:divBdr>
        <w:top w:val="none" w:sz="0" w:space="0" w:color="auto"/>
        <w:left w:val="none" w:sz="0" w:space="0" w:color="auto"/>
        <w:bottom w:val="none" w:sz="0" w:space="0" w:color="auto"/>
        <w:right w:val="none" w:sz="0" w:space="0" w:color="auto"/>
      </w:divBdr>
    </w:div>
    <w:div w:id="1408649033">
      <w:marLeft w:val="0"/>
      <w:marRight w:val="0"/>
      <w:marTop w:val="0"/>
      <w:marBottom w:val="0"/>
      <w:divBdr>
        <w:top w:val="none" w:sz="0" w:space="0" w:color="auto"/>
        <w:left w:val="none" w:sz="0" w:space="0" w:color="auto"/>
        <w:bottom w:val="none" w:sz="0" w:space="0" w:color="auto"/>
        <w:right w:val="none" w:sz="0" w:space="0" w:color="auto"/>
      </w:divBdr>
      <w:divsChild>
        <w:div w:id="1408649147">
          <w:marLeft w:val="0"/>
          <w:marRight w:val="0"/>
          <w:marTop w:val="0"/>
          <w:marBottom w:val="0"/>
          <w:divBdr>
            <w:top w:val="none" w:sz="0" w:space="0" w:color="auto"/>
            <w:left w:val="none" w:sz="0" w:space="0" w:color="auto"/>
            <w:bottom w:val="none" w:sz="0" w:space="0" w:color="auto"/>
            <w:right w:val="none" w:sz="0" w:space="0" w:color="auto"/>
          </w:divBdr>
          <w:divsChild>
            <w:div w:id="1408649145">
              <w:marLeft w:val="0"/>
              <w:marRight w:val="0"/>
              <w:marTop w:val="0"/>
              <w:marBottom w:val="0"/>
              <w:divBdr>
                <w:top w:val="none" w:sz="0" w:space="0" w:color="auto"/>
                <w:left w:val="none" w:sz="0" w:space="0" w:color="auto"/>
                <w:bottom w:val="none" w:sz="0" w:space="0" w:color="auto"/>
                <w:right w:val="none" w:sz="0" w:space="0" w:color="auto"/>
              </w:divBdr>
              <w:divsChild>
                <w:div w:id="14086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649034">
      <w:marLeft w:val="0"/>
      <w:marRight w:val="0"/>
      <w:marTop w:val="0"/>
      <w:marBottom w:val="0"/>
      <w:divBdr>
        <w:top w:val="none" w:sz="0" w:space="0" w:color="auto"/>
        <w:left w:val="none" w:sz="0" w:space="0" w:color="auto"/>
        <w:bottom w:val="none" w:sz="0" w:space="0" w:color="auto"/>
        <w:right w:val="none" w:sz="0" w:space="0" w:color="auto"/>
      </w:divBdr>
    </w:div>
    <w:div w:id="1408649035">
      <w:marLeft w:val="0"/>
      <w:marRight w:val="0"/>
      <w:marTop w:val="0"/>
      <w:marBottom w:val="0"/>
      <w:divBdr>
        <w:top w:val="none" w:sz="0" w:space="0" w:color="auto"/>
        <w:left w:val="none" w:sz="0" w:space="0" w:color="auto"/>
        <w:bottom w:val="none" w:sz="0" w:space="0" w:color="auto"/>
        <w:right w:val="none" w:sz="0" w:space="0" w:color="auto"/>
      </w:divBdr>
    </w:div>
    <w:div w:id="1408649036">
      <w:marLeft w:val="0"/>
      <w:marRight w:val="0"/>
      <w:marTop w:val="0"/>
      <w:marBottom w:val="0"/>
      <w:divBdr>
        <w:top w:val="none" w:sz="0" w:space="0" w:color="auto"/>
        <w:left w:val="none" w:sz="0" w:space="0" w:color="auto"/>
        <w:bottom w:val="none" w:sz="0" w:space="0" w:color="auto"/>
        <w:right w:val="none" w:sz="0" w:space="0" w:color="auto"/>
      </w:divBdr>
    </w:div>
    <w:div w:id="1408649037">
      <w:marLeft w:val="0"/>
      <w:marRight w:val="0"/>
      <w:marTop w:val="0"/>
      <w:marBottom w:val="0"/>
      <w:divBdr>
        <w:top w:val="none" w:sz="0" w:space="0" w:color="auto"/>
        <w:left w:val="none" w:sz="0" w:space="0" w:color="auto"/>
        <w:bottom w:val="none" w:sz="0" w:space="0" w:color="auto"/>
        <w:right w:val="none" w:sz="0" w:space="0" w:color="auto"/>
      </w:divBdr>
    </w:div>
    <w:div w:id="1408649038">
      <w:marLeft w:val="0"/>
      <w:marRight w:val="0"/>
      <w:marTop w:val="0"/>
      <w:marBottom w:val="0"/>
      <w:divBdr>
        <w:top w:val="none" w:sz="0" w:space="0" w:color="auto"/>
        <w:left w:val="none" w:sz="0" w:space="0" w:color="auto"/>
        <w:bottom w:val="none" w:sz="0" w:space="0" w:color="auto"/>
        <w:right w:val="none" w:sz="0" w:space="0" w:color="auto"/>
      </w:divBdr>
    </w:div>
    <w:div w:id="1408649039">
      <w:marLeft w:val="0"/>
      <w:marRight w:val="0"/>
      <w:marTop w:val="0"/>
      <w:marBottom w:val="0"/>
      <w:divBdr>
        <w:top w:val="none" w:sz="0" w:space="0" w:color="auto"/>
        <w:left w:val="none" w:sz="0" w:space="0" w:color="auto"/>
        <w:bottom w:val="none" w:sz="0" w:space="0" w:color="auto"/>
        <w:right w:val="none" w:sz="0" w:space="0" w:color="auto"/>
      </w:divBdr>
    </w:div>
    <w:div w:id="1408649040">
      <w:marLeft w:val="0"/>
      <w:marRight w:val="0"/>
      <w:marTop w:val="0"/>
      <w:marBottom w:val="0"/>
      <w:divBdr>
        <w:top w:val="none" w:sz="0" w:space="0" w:color="auto"/>
        <w:left w:val="none" w:sz="0" w:space="0" w:color="auto"/>
        <w:bottom w:val="none" w:sz="0" w:space="0" w:color="auto"/>
        <w:right w:val="none" w:sz="0" w:space="0" w:color="auto"/>
      </w:divBdr>
    </w:div>
    <w:div w:id="1408649041">
      <w:marLeft w:val="0"/>
      <w:marRight w:val="0"/>
      <w:marTop w:val="0"/>
      <w:marBottom w:val="0"/>
      <w:divBdr>
        <w:top w:val="none" w:sz="0" w:space="0" w:color="auto"/>
        <w:left w:val="none" w:sz="0" w:space="0" w:color="auto"/>
        <w:bottom w:val="none" w:sz="0" w:space="0" w:color="auto"/>
        <w:right w:val="none" w:sz="0" w:space="0" w:color="auto"/>
      </w:divBdr>
    </w:div>
    <w:div w:id="1408649042">
      <w:marLeft w:val="0"/>
      <w:marRight w:val="0"/>
      <w:marTop w:val="0"/>
      <w:marBottom w:val="0"/>
      <w:divBdr>
        <w:top w:val="none" w:sz="0" w:space="0" w:color="auto"/>
        <w:left w:val="none" w:sz="0" w:space="0" w:color="auto"/>
        <w:bottom w:val="none" w:sz="0" w:space="0" w:color="auto"/>
        <w:right w:val="none" w:sz="0" w:space="0" w:color="auto"/>
      </w:divBdr>
    </w:div>
    <w:div w:id="1408649043">
      <w:marLeft w:val="0"/>
      <w:marRight w:val="0"/>
      <w:marTop w:val="0"/>
      <w:marBottom w:val="0"/>
      <w:divBdr>
        <w:top w:val="none" w:sz="0" w:space="0" w:color="auto"/>
        <w:left w:val="none" w:sz="0" w:space="0" w:color="auto"/>
        <w:bottom w:val="none" w:sz="0" w:space="0" w:color="auto"/>
        <w:right w:val="none" w:sz="0" w:space="0" w:color="auto"/>
      </w:divBdr>
    </w:div>
    <w:div w:id="1408649044">
      <w:marLeft w:val="0"/>
      <w:marRight w:val="0"/>
      <w:marTop w:val="0"/>
      <w:marBottom w:val="0"/>
      <w:divBdr>
        <w:top w:val="none" w:sz="0" w:space="0" w:color="auto"/>
        <w:left w:val="none" w:sz="0" w:space="0" w:color="auto"/>
        <w:bottom w:val="none" w:sz="0" w:space="0" w:color="auto"/>
        <w:right w:val="none" w:sz="0" w:space="0" w:color="auto"/>
      </w:divBdr>
    </w:div>
    <w:div w:id="1408649045">
      <w:marLeft w:val="0"/>
      <w:marRight w:val="0"/>
      <w:marTop w:val="0"/>
      <w:marBottom w:val="0"/>
      <w:divBdr>
        <w:top w:val="none" w:sz="0" w:space="0" w:color="auto"/>
        <w:left w:val="none" w:sz="0" w:space="0" w:color="auto"/>
        <w:bottom w:val="none" w:sz="0" w:space="0" w:color="auto"/>
        <w:right w:val="none" w:sz="0" w:space="0" w:color="auto"/>
      </w:divBdr>
    </w:div>
    <w:div w:id="1408649046">
      <w:marLeft w:val="0"/>
      <w:marRight w:val="0"/>
      <w:marTop w:val="0"/>
      <w:marBottom w:val="0"/>
      <w:divBdr>
        <w:top w:val="none" w:sz="0" w:space="0" w:color="auto"/>
        <w:left w:val="none" w:sz="0" w:space="0" w:color="auto"/>
        <w:bottom w:val="none" w:sz="0" w:space="0" w:color="auto"/>
        <w:right w:val="none" w:sz="0" w:space="0" w:color="auto"/>
      </w:divBdr>
    </w:div>
    <w:div w:id="1408649047">
      <w:marLeft w:val="0"/>
      <w:marRight w:val="0"/>
      <w:marTop w:val="0"/>
      <w:marBottom w:val="0"/>
      <w:divBdr>
        <w:top w:val="none" w:sz="0" w:space="0" w:color="auto"/>
        <w:left w:val="none" w:sz="0" w:space="0" w:color="auto"/>
        <w:bottom w:val="none" w:sz="0" w:space="0" w:color="auto"/>
        <w:right w:val="none" w:sz="0" w:space="0" w:color="auto"/>
      </w:divBdr>
    </w:div>
    <w:div w:id="1408649048">
      <w:marLeft w:val="0"/>
      <w:marRight w:val="0"/>
      <w:marTop w:val="0"/>
      <w:marBottom w:val="0"/>
      <w:divBdr>
        <w:top w:val="none" w:sz="0" w:space="0" w:color="auto"/>
        <w:left w:val="none" w:sz="0" w:space="0" w:color="auto"/>
        <w:bottom w:val="none" w:sz="0" w:space="0" w:color="auto"/>
        <w:right w:val="none" w:sz="0" w:space="0" w:color="auto"/>
      </w:divBdr>
    </w:div>
    <w:div w:id="1408649049">
      <w:marLeft w:val="0"/>
      <w:marRight w:val="0"/>
      <w:marTop w:val="0"/>
      <w:marBottom w:val="0"/>
      <w:divBdr>
        <w:top w:val="none" w:sz="0" w:space="0" w:color="auto"/>
        <w:left w:val="none" w:sz="0" w:space="0" w:color="auto"/>
        <w:bottom w:val="none" w:sz="0" w:space="0" w:color="auto"/>
        <w:right w:val="none" w:sz="0" w:space="0" w:color="auto"/>
      </w:divBdr>
    </w:div>
    <w:div w:id="1408649050">
      <w:marLeft w:val="0"/>
      <w:marRight w:val="0"/>
      <w:marTop w:val="0"/>
      <w:marBottom w:val="0"/>
      <w:divBdr>
        <w:top w:val="none" w:sz="0" w:space="0" w:color="auto"/>
        <w:left w:val="none" w:sz="0" w:space="0" w:color="auto"/>
        <w:bottom w:val="none" w:sz="0" w:space="0" w:color="auto"/>
        <w:right w:val="none" w:sz="0" w:space="0" w:color="auto"/>
      </w:divBdr>
    </w:div>
    <w:div w:id="1408649051">
      <w:marLeft w:val="0"/>
      <w:marRight w:val="0"/>
      <w:marTop w:val="0"/>
      <w:marBottom w:val="0"/>
      <w:divBdr>
        <w:top w:val="none" w:sz="0" w:space="0" w:color="auto"/>
        <w:left w:val="none" w:sz="0" w:space="0" w:color="auto"/>
        <w:bottom w:val="none" w:sz="0" w:space="0" w:color="auto"/>
        <w:right w:val="none" w:sz="0" w:space="0" w:color="auto"/>
      </w:divBdr>
    </w:div>
    <w:div w:id="1408649052">
      <w:marLeft w:val="0"/>
      <w:marRight w:val="0"/>
      <w:marTop w:val="0"/>
      <w:marBottom w:val="0"/>
      <w:divBdr>
        <w:top w:val="none" w:sz="0" w:space="0" w:color="auto"/>
        <w:left w:val="none" w:sz="0" w:space="0" w:color="auto"/>
        <w:bottom w:val="none" w:sz="0" w:space="0" w:color="auto"/>
        <w:right w:val="none" w:sz="0" w:space="0" w:color="auto"/>
      </w:divBdr>
    </w:div>
    <w:div w:id="1408649053">
      <w:marLeft w:val="0"/>
      <w:marRight w:val="0"/>
      <w:marTop w:val="0"/>
      <w:marBottom w:val="0"/>
      <w:divBdr>
        <w:top w:val="none" w:sz="0" w:space="0" w:color="auto"/>
        <w:left w:val="none" w:sz="0" w:space="0" w:color="auto"/>
        <w:bottom w:val="none" w:sz="0" w:space="0" w:color="auto"/>
        <w:right w:val="none" w:sz="0" w:space="0" w:color="auto"/>
      </w:divBdr>
    </w:div>
    <w:div w:id="1408649054">
      <w:marLeft w:val="0"/>
      <w:marRight w:val="0"/>
      <w:marTop w:val="0"/>
      <w:marBottom w:val="0"/>
      <w:divBdr>
        <w:top w:val="none" w:sz="0" w:space="0" w:color="auto"/>
        <w:left w:val="none" w:sz="0" w:space="0" w:color="auto"/>
        <w:bottom w:val="none" w:sz="0" w:space="0" w:color="auto"/>
        <w:right w:val="none" w:sz="0" w:space="0" w:color="auto"/>
      </w:divBdr>
    </w:div>
    <w:div w:id="1408649055">
      <w:marLeft w:val="0"/>
      <w:marRight w:val="0"/>
      <w:marTop w:val="0"/>
      <w:marBottom w:val="0"/>
      <w:divBdr>
        <w:top w:val="none" w:sz="0" w:space="0" w:color="auto"/>
        <w:left w:val="none" w:sz="0" w:space="0" w:color="auto"/>
        <w:bottom w:val="none" w:sz="0" w:space="0" w:color="auto"/>
        <w:right w:val="none" w:sz="0" w:space="0" w:color="auto"/>
      </w:divBdr>
    </w:div>
    <w:div w:id="1408649056">
      <w:marLeft w:val="0"/>
      <w:marRight w:val="0"/>
      <w:marTop w:val="0"/>
      <w:marBottom w:val="0"/>
      <w:divBdr>
        <w:top w:val="none" w:sz="0" w:space="0" w:color="auto"/>
        <w:left w:val="none" w:sz="0" w:space="0" w:color="auto"/>
        <w:bottom w:val="none" w:sz="0" w:space="0" w:color="auto"/>
        <w:right w:val="none" w:sz="0" w:space="0" w:color="auto"/>
      </w:divBdr>
    </w:div>
    <w:div w:id="1408649057">
      <w:marLeft w:val="0"/>
      <w:marRight w:val="0"/>
      <w:marTop w:val="0"/>
      <w:marBottom w:val="0"/>
      <w:divBdr>
        <w:top w:val="none" w:sz="0" w:space="0" w:color="auto"/>
        <w:left w:val="none" w:sz="0" w:space="0" w:color="auto"/>
        <w:bottom w:val="none" w:sz="0" w:space="0" w:color="auto"/>
        <w:right w:val="none" w:sz="0" w:space="0" w:color="auto"/>
      </w:divBdr>
    </w:div>
    <w:div w:id="1408649058">
      <w:marLeft w:val="0"/>
      <w:marRight w:val="0"/>
      <w:marTop w:val="0"/>
      <w:marBottom w:val="0"/>
      <w:divBdr>
        <w:top w:val="none" w:sz="0" w:space="0" w:color="auto"/>
        <w:left w:val="none" w:sz="0" w:space="0" w:color="auto"/>
        <w:bottom w:val="none" w:sz="0" w:space="0" w:color="auto"/>
        <w:right w:val="none" w:sz="0" w:space="0" w:color="auto"/>
      </w:divBdr>
    </w:div>
    <w:div w:id="1408649059">
      <w:marLeft w:val="0"/>
      <w:marRight w:val="0"/>
      <w:marTop w:val="0"/>
      <w:marBottom w:val="0"/>
      <w:divBdr>
        <w:top w:val="none" w:sz="0" w:space="0" w:color="auto"/>
        <w:left w:val="none" w:sz="0" w:space="0" w:color="auto"/>
        <w:bottom w:val="none" w:sz="0" w:space="0" w:color="auto"/>
        <w:right w:val="none" w:sz="0" w:space="0" w:color="auto"/>
      </w:divBdr>
    </w:div>
    <w:div w:id="1408649060">
      <w:marLeft w:val="0"/>
      <w:marRight w:val="0"/>
      <w:marTop w:val="0"/>
      <w:marBottom w:val="0"/>
      <w:divBdr>
        <w:top w:val="none" w:sz="0" w:space="0" w:color="auto"/>
        <w:left w:val="none" w:sz="0" w:space="0" w:color="auto"/>
        <w:bottom w:val="none" w:sz="0" w:space="0" w:color="auto"/>
        <w:right w:val="none" w:sz="0" w:space="0" w:color="auto"/>
      </w:divBdr>
    </w:div>
    <w:div w:id="1408649061">
      <w:marLeft w:val="0"/>
      <w:marRight w:val="0"/>
      <w:marTop w:val="0"/>
      <w:marBottom w:val="0"/>
      <w:divBdr>
        <w:top w:val="none" w:sz="0" w:space="0" w:color="auto"/>
        <w:left w:val="none" w:sz="0" w:space="0" w:color="auto"/>
        <w:bottom w:val="none" w:sz="0" w:space="0" w:color="auto"/>
        <w:right w:val="none" w:sz="0" w:space="0" w:color="auto"/>
      </w:divBdr>
    </w:div>
    <w:div w:id="1408649062">
      <w:marLeft w:val="0"/>
      <w:marRight w:val="0"/>
      <w:marTop w:val="0"/>
      <w:marBottom w:val="0"/>
      <w:divBdr>
        <w:top w:val="none" w:sz="0" w:space="0" w:color="auto"/>
        <w:left w:val="none" w:sz="0" w:space="0" w:color="auto"/>
        <w:bottom w:val="none" w:sz="0" w:space="0" w:color="auto"/>
        <w:right w:val="none" w:sz="0" w:space="0" w:color="auto"/>
      </w:divBdr>
    </w:div>
    <w:div w:id="1408649063">
      <w:marLeft w:val="0"/>
      <w:marRight w:val="0"/>
      <w:marTop w:val="0"/>
      <w:marBottom w:val="0"/>
      <w:divBdr>
        <w:top w:val="none" w:sz="0" w:space="0" w:color="auto"/>
        <w:left w:val="none" w:sz="0" w:space="0" w:color="auto"/>
        <w:bottom w:val="none" w:sz="0" w:space="0" w:color="auto"/>
        <w:right w:val="none" w:sz="0" w:space="0" w:color="auto"/>
      </w:divBdr>
    </w:div>
    <w:div w:id="1408649064">
      <w:marLeft w:val="0"/>
      <w:marRight w:val="0"/>
      <w:marTop w:val="0"/>
      <w:marBottom w:val="0"/>
      <w:divBdr>
        <w:top w:val="none" w:sz="0" w:space="0" w:color="auto"/>
        <w:left w:val="none" w:sz="0" w:space="0" w:color="auto"/>
        <w:bottom w:val="none" w:sz="0" w:space="0" w:color="auto"/>
        <w:right w:val="none" w:sz="0" w:space="0" w:color="auto"/>
      </w:divBdr>
    </w:div>
    <w:div w:id="1408649065">
      <w:marLeft w:val="0"/>
      <w:marRight w:val="0"/>
      <w:marTop w:val="0"/>
      <w:marBottom w:val="0"/>
      <w:divBdr>
        <w:top w:val="none" w:sz="0" w:space="0" w:color="auto"/>
        <w:left w:val="none" w:sz="0" w:space="0" w:color="auto"/>
        <w:bottom w:val="none" w:sz="0" w:space="0" w:color="auto"/>
        <w:right w:val="none" w:sz="0" w:space="0" w:color="auto"/>
      </w:divBdr>
    </w:div>
    <w:div w:id="1408649066">
      <w:marLeft w:val="0"/>
      <w:marRight w:val="0"/>
      <w:marTop w:val="0"/>
      <w:marBottom w:val="0"/>
      <w:divBdr>
        <w:top w:val="none" w:sz="0" w:space="0" w:color="auto"/>
        <w:left w:val="none" w:sz="0" w:space="0" w:color="auto"/>
        <w:bottom w:val="none" w:sz="0" w:space="0" w:color="auto"/>
        <w:right w:val="none" w:sz="0" w:space="0" w:color="auto"/>
      </w:divBdr>
    </w:div>
    <w:div w:id="1408649067">
      <w:marLeft w:val="0"/>
      <w:marRight w:val="0"/>
      <w:marTop w:val="0"/>
      <w:marBottom w:val="0"/>
      <w:divBdr>
        <w:top w:val="none" w:sz="0" w:space="0" w:color="auto"/>
        <w:left w:val="none" w:sz="0" w:space="0" w:color="auto"/>
        <w:bottom w:val="none" w:sz="0" w:space="0" w:color="auto"/>
        <w:right w:val="none" w:sz="0" w:space="0" w:color="auto"/>
      </w:divBdr>
    </w:div>
    <w:div w:id="1408649068">
      <w:marLeft w:val="0"/>
      <w:marRight w:val="0"/>
      <w:marTop w:val="0"/>
      <w:marBottom w:val="0"/>
      <w:divBdr>
        <w:top w:val="none" w:sz="0" w:space="0" w:color="auto"/>
        <w:left w:val="none" w:sz="0" w:space="0" w:color="auto"/>
        <w:bottom w:val="none" w:sz="0" w:space="0" w:color="auto"/>
        <w:right w:val="none" w:sz="0" w:space="0" w:color="auto"/>
      </w:divBdr>
    </w:div>
    <w:div w:id="1408649069">
      <w:marLeft w:val="0"/>
      <w:marRight w:val="0"/>
      <w:marTop w:val="0"/>
      <w:marBottom w:val="0"/>
      <w:divBdr>
        <w:top w:val="none" w:sz="0" w:space="0" w:color="auto"/>
        <w:left w:val="none" w:sz="0" w:space="0" w:color="auto"/>
        <w:bottom w:val="none" w:sz="0" w:space="0" w:color="auto"/>
        <w:right w:val="none" w:sz="0" w:space="0" w:color="auto"/>
      </w:divBdr>
    </w:div>
    <w:div w:id="1408649070">
      <w:marLeft w:val="0"/>
      <w:marRight w:val="0"/>
      <w:marTop w:val="0"/>
      <w:marBottom w:val="0"/>
      <w:divBdr>
        <w:top w:val="none" w:sz="0" w:space="0" w:color="auto"/>
        <w:left w:val="none" w:sz="0" w:space="0" w:color="auto"/>
        <w:bottom w:val="none" w:sz="0" w:space="0" w:color="auto"/>
        <w:right w:val="none" w:sz="0" w:space="0" w:color="auto"/>
      </w:divBdr>
    </w:div>
    <w:div w:id="1408649071">
      <w:marLeft w:val="0"/>
      <w:marRight w:val="0"/>
      <w:marTop w:val="0"/>
      <w:marBottom w:val="0"/>
      <w:divBdr>
        <w:top w:val="none" w:sz="0" w:space="0" w:color="auto"/>
        <w:left w:val="none" w:sz="0" w:space="0" w:color="auto"/>
        <w:bottom w:val="none" w:sz="0" w:space="0" w:color="auto"/>
        <w:right w:val="none" w:sz="0" w:space="0" w:color="auto"/>
      </w:divBdr>
    </w:div>
    <w:div w:id="1408649072">
      <w:marLeft w:val="0"/>
      <w:marRight w:val="0"/>
      <w:marTop w:val="0"/>
      <w:marBottom w:val="0"/>
      <w:divBdr>
        <w:top w:val="none" w:sz="0" w:space="0" w:color="auto"/>
        <w:left w:val="none" w:sz="0" w:space="0" w:color="auto"/>
        <w:bottom w:val="none" w:sz="0" w:space="0" w:color="auto"/>
        <w:right w:val="none" w:sz="0" w:space="0" w:color="auto"/>
      </w:divBdr>
    </w:div>
    <w:div w:id="1408649073">
      <w:marLeft w:val="0"/>
      <w:marRight w:val="0"/>
      <w:marTop w:val="0"/>
      <w:marBottom w:val="0"/>
      <w:divBdr>
        <w:top w:val="none" w:sz="0" w:space="0" w:color="auto"/>
        <w:left w:val="none" w:sz="0" w:space="0" w:color="auto"/>
        <w:bottom w:val="none" w:sz="0" w:space="0" w:color="auto"/>
        <w:right w:val="none" w:sz="0" w:space="0" w:color="auto"/>
      </w:divBdr>
    </w:div>
    <w:div w:id="1408649074">
      <w:marLeft w:val="0"/>
      <w:marRight w:val="0"/>
      <w:marTop w:val="0"/>
      <w:marBottom w:val="0"/>
      <w:divBdr>
        <w:top w:val="none" w:sz="0" w:space="0" w:color="auto"/>
        <w:left w:val="none" w:sz="0" w:space="0" w:color="auto"/>
        <w:bottom w:val="none" w:sz="0" w:space="0" w:color="auto"/>
        <w:right w:val="none" w:sz="0" w:space="0" w:color="auto"/>
      </w:divBdr>
    </w:div>
    <w:div w:id="1408649075">
      <w:marLeft w:val="0"/>
      <w:marRight w:val="0"/>
      <w:marTop w:val="0"/>
      <w:marBottom w:val="0"/>
      <w:divBdr>
        <w:top w:val="none" w:sz="0" w:space="0" w:color="auto"/>
        <w:left w:val="none" w:sz="0" w:space="0" w:color="auto"/>
        <w:bottom w:val="none" w:sz="0" w:space="0" w:color="auto"/>
        <w:right w:val="none" w:sz="0" w:space="0" w:color="auto"/>
      </w:divBdr>
    </w:div>
    <w:div w:id="1408649076">
      <w:marLeft w:val="0"/>
      <w:marRight w:val="0"/>
      <w:marTop w:val="0"/>
      <w:marBottom w:val="0"/>
      <w:divBdr>
        <w:top w:val="none" w:sz="0" w:space="0" w:color="auto"/>
        <w:left w:val="none" w:sz="0" w:space="0" w:color="auto"/>
        <w:bottom w:val="none" w:sz="0" w:space="0" w:color="auto"/>
        <w:right w:val="none" w:sz="0" w:space="0" w:color="auto"/>
      </w:divBdr>
    </w:div>
    <w:div w:id="1408649077">
      <w:marLeft w:val="0"/>
      <w:marRight w:val="0"/>
      <w:marTop w:val="0"/>
      <w:marBottom w:val="0"/>
      <w:divBdr>
        <w:top w:val="none" w:sz="0" w:space="0" w:color="auto"/>
        <w:left w:val="none" w:sz="0" w:space="0" w:color="auto"/>
        <w:bottom w:val="none" w:sz="0" w:space="0" w:color="auto"/>
        <w:right w:val="none" w:sz="0" w:space="0" w:color="auto"/>
      </w:divBdr>
    </w:div>
    <w:div w:id="1408649078">
      <w:marLeft w:val="0"/>
      <w:marRight w:val="0"/>
      <w:marTop w:val="0"/>
      <w:marBottom w:val="0"/>
      <w:divBdr>
        <w:top w:val="none" w:sz="0" w:space="0" w:color="auto"/>
        <w:left w:val="none" w:sz="0" w:space="0" w:color="auto"/>
        <w:bottom w:val="none" w:sz="0" w:space="0" w:color="auto"/>
        <w:right w:val="none" w:sz="0" w:space="0" w:color="auto"/>
      </w:divBdr>
    </w:div>
    <w:div w:id="1408649079">
      <w:marLeft w:val="0"/>
      <w:marRight w:val="0"/>
      <w:marTop w:val="0"/>
      <w:marBottom w:val="0"/>
      <w:divBdr>
        <w:top w:val="none" w:sz="0" w:space="0" w:color="auto"/>
        <w:left w:val="none" w:sz="0" w:space="0" w:color="auto"/>
        <w:bottom w:val="none" w:sz="0" w:space="0" w:color="auto"/>
        <w:right w:val="none" w:sz="0" w:space="0" w:color="auto"/>
      </w:divBdr>
    </w:div>
    <w:div w:id="1408649080">
      <w:marLeft w:val="0"/>
      <w:marRight w:val="0"/>
      <w:marTop w:val="0"/>
      <w:marBottom w:val="0"/>
      <w:divBdr>
        <w:top w:val="none" w:sz="0" w:space="0" w:color="auto"/>
        <w:left w:val="none" w:sz="0" w:space="0" w:color="auto"/>
        <w:bottom w:val="none" w:sz="0" w:space="0" w:color="auto"/>
        <w:right w:val="none" w:sz="0" w:space="0" w:color="auto"/>
      </w:divBdr>
    </w:div>
    <w:div w:id="1408649081">
      <w:marLeft w:val="0"/>
      <w:marRight w:val="0"/>
      <w:marTop w:val="0"/>
      <w:marBottom w:val="0"/>
      <w:divBdr>
        <w:top w:val="none" w:sz="0" w:space="0" w:color="auto"/>
        <w:left w:val="none" w:sz="0" w:space="0" w:color="auto"/>
        <w:bottom w:val="none" w:sz="0" w:space="0" w:color="auto"/>
        <w:right w:val="none" w:sz="0" w:space="0" w:color="auto"/>
      </w:divBdr>
    </w:div>
    <w:div w:id="1408649082">
      <w:marLeft w:val="0"/>
      <w:marRight w:val="0"/>
      <w:marTop w:val="0"/>
      <w:marBottom w:val="0"/>
      <w:divBdr>
        <w:top w:val="none" w:sz="0" w:space="0" w:color="auto"/>
        <w:left w:val="none" w:sz="0" w:space="0" w:color="auto"/>
        <w:bottom w:val="none" w:sz="0" w:space="0" w:color="auto"/>
        <w:right w:val="none" w:sz="0" w:space="0" w:color="auto"/>
      </w:divBdr>
    </w:div>
    <w:div w:id="1408649083">
      <w:marLeft w:val="0"/>
      <w:marRight w:val="0"/>
      <w:marTop w:val="0"/>
      <w:marBottom w:val="0"/>
      <w:divBdr>
        <w:top w:val="none" w:sz="0" w:space="0" w:color="auto"/>
        <w:left w:val="none" w:sz="0" w:space="0" w:color="auto"/>
        <w:bottom w:val="none" w:sz="0" w:space="0" w:color="auto"/>
        <w:right w:val="none" w:sz="0" w:space="0" w:color="auto"/>
      </w:divBdr>
    </w:div>
    <w:div w:id="1408649084">
      <w:marLeft w:val="0"/>
      <w:marRight w:val="0"/>
      <w:marTop w:val="0"/>
      <w:marBottom w:val="0"/>
      <w:divBdr>
        <w:top w:val="none" w:sz="0" w:space="0" w:color="auto"/>
        <w:left w:val="none" w:sz="0" w:space="0" w:color="auto"/>
        <w:bottom w:val="none" w:sz="0" w:space="0" w:color="auto"/>
        <w:right w:val="none" w:sz="0" w:space="0" w:color="auto"/>
      </w:divBdr>
    </w:div>
    <w:div w:id="1408649085">
      <w:marLeft w:val="0"/>
      <w:marRight w:val="0"/>
      <w:marTop w:val="0"/>
      <w:marBottom w:val="0"/>
      <w:divBdr>
        <w:top w:val="none" w:sz="0" w:space="0" w:color="auto"/>
        <w:left w:val="none" w:sz="0" w:space="0" w:color="auto"/>
        <w:bottom w:val="none" w:sz="0" w:space="0" w:color="auto"/>
        <w:right w:val="none" w:sz="0" w:space="0" w:color="auto"/>
      </w:divBdr>
    </w:div>
    <w:div w:id="1408649086">
      <w:marLeft w:val="0"/>
      <w:marRight w:val="0"/>
      <w:marTop w:val="0"/>
      <w:marBottom w:val="0"/>
      <w:divBdr>
        <w:top w:val="none" w:sz="0" w:space="0" w:color="auto"/>
        <w:left w:val="none" w:sz="0" w:space="0" w:color="auto"/>
        <w:bottom w:val="none" w:sz="0" w:space="0" w:color="auto"/>
        <w:right w:val="none" w:sz="0" w:space="0" w:color="auto"/>
      </w:divBdr>
    </w:div>
    <w:div w:id="1408649087">
      <w:marLeft w:val="0"/>
      <w:marRight w:val="0"/>
      <w:marTop w:val="0"/>
      <w:marBottom w:val="0"/>
      <w:divBdr>
        <w:top w:val="none" w:sz="0" w:space="0" w:color="auto"/>
        <w:left w:val="none" w:sz="0" w:space="0" w:color="auto"/>
        <w:bottom w:val="none" w:sz="0" w:space="0" w:color="auto"/>
        <w:right w:val="none" w:sz="0" w:space="0" w:color="auto"/>
      </w:divBdr>
    </w:div>
    <w:div w:id="1408649088">
      <w:marLeft w:val="0"/>
      <w:marRight w:val="0"/>
      <w:marTop w:val="0"/>
      <w:marBottom w:val="0"/>
      <w:divBdr>
        <w:top w:val="none" w:sz="0" w:space="0" w:color="auto"/>
        <w:left w:val="none" w:sz="0" w:space="0" w:color="auto"/>
        <w:bottom w:val="none" w:sz="0" w:space="0" w:color="auto"/>
        <w:right w:val="none" w:sz="0" w:space="0" w:color="auto"/>
      </w:divBdr>
    </w:div>
    <w:div w:id="1408649089">
      <w:marLeft w:val="0"/>
      <w:marRight w:val="0"/>
      <w:marTop w:val="0"/>
      <w:marBottom w:val="0"/>
      <w:divBdr>
        <w:top w:val="none" w:sz="0" w:space="0" w:color="auto"/>
        <w:left w:val="none" w:sz="0" w:space="0" w:color="auto"/>
        <w:bottom w:val="none" w:sz="0" w:space="0" w:color="auto"/>
        <w:right w:val="none" w:sz="0" w:space="0" w:color="auto"/>
      </w:divBdr>
    </w:div>
    <w:div w:id="1408649090">
      <w:marLeft w:val="0"/>
      <w:marRight w:val="0"/>
      <w:marTop w:val="0"/>
      <w:marBottom w:val="0"/>
      <w:divBdr>
        <w:top w:val="none" w:sz="0" w:space="0" w:color="auto"/>
        <w:left w:val="none" w:sz="0" w:space="0" w:color="auto"/>
        <w:bottom w:val="none" w:sz="0" w:space="0" w:color="auto"/>
        <w:right w:val="none" w:sz="0" w:space="0" w:color="auto"/>
      </w:divBdr>
    </w:div>
    <w:div w:id="1408649091">
      <w:marLeft w:val="0"/>
      <w:marRight w:val="0"/>
      <w:marTop w:val="0"/>
      <w:marBottom w:val="0"/>
      <w:divBdr>
        <w:top w:val="none" w:sz="0" w:space="0" w:color="auto"/>
        <w:left w:val="none" w:sz="0" w:space="0" w:color="auto"/>
        <w:bottom w:val="none" w:sz="0" w:space="0" w:color="auto"/>
        <w:right w:val="none" w:sz="0" w:space="0" w:color="auto"/>
      </w:divBdr>
    </w:div>
    <w:div w:id="1408649092">
      <w:marLeft w:val="0"/>
      <w:marRight w:val="0"/>
      <w:marTop w:val="0"/>
      <w:marBottom w:val="0"/>
      <w:divBdr>
        <w:top w:val="none" w:sz="0" w:space="0" w:color="auto"/>
        <w:left w:val="none" w:sz="0" w:space="0" w:color="auto"/>
        <w:bottom w:val="none" w:sz="0" w:space="0" w:color="auto"/>
        <w:right w:val="none" w:sz="0" w:space="0" w:color="auto"/>
      </w:divBdr>
    </w:div>
    <w:div w:id="1408649093">
      <w:marLeft w:val="0"/>
      <w:marRight w:val="0"/>
      <w:marTop w:val="0"/>
      <w:marBottom w:val="0"/>
      <w:divBdr>
        <w:top w:val="none" w:sz="0" w:space="0" w:color="auto"/>
        <w:left w:val="none" w:sz="0" w:space="0" w:color="auto"/>
        <w:bottom w:val="none" w:sz="0" w:space="0" w:color="auto"/>
        <w:right w:val="none" w:sz="0" w:space="0" w:color="auto"/>
      </w:divBdr>
    </w:div>
    <w:div w:id="1408649094">
      <w:marLeft w:val="0"/>
      <w:marRight w:val="0"/>
      <w:marTop w:val="0"/>
      <w:marBottom w:val="0"/>
      <w:divBdr>
        <w:top w:val="none" w:sz="0" w:space="0" w:color="auto"/>
        <w:left w:val="none" w:sz="0" w:space="0" w:color="auto"/>
        <w:bottom w:val="none" w:sz="0" w:space="0" w:color="auto"/>
        <w:right w:val="none" w:sz="0" w:space="0" w:color="auto"/>
      </w:divBdr>
    </w:div>
    <w:div w:id="1408649095">
      <w:marLeft w:val="0"/>
      <w:marRight w:val="0"/>
      <w:marTop w:val="0"/>
      <w:marBottom w:val="0"/>
      <w:divBdr>
        <w:top w:val="none" w:sz="0" w:space="0" w:color="auto"/>
        <w:left w:val="none" w:sz="0" w:space="0" w:color="auto"/>
        <w:bottom w:val="none" w:sz="0" w:space="0" w:color="auto"/>
        <w:right w:val="none" w:sz="0" w:space="0" w:color="auto"/>
      </w:divBdr>
    </w:div>
    <w:div w:id="1408649096">
      <w:marLeft w:val="0"/>
      <w:marRight w:val="0"/>
      <w:marTop w:val="0"/>
      <w:marBottom w:val="0"/>
      <w:divBdr>
        <w:top w:val="none" w:sz="0" w:space="0" w:color="auto"/>
        <w:left w:val="none" w:sz="0" w:space="0" w:color="auto"/>
        <w:bottom w:val="none" w:sz="0" w:space="0" w:color="auto"/>
        <w:right w:val="none" w:sz="0" w:space="0" w:color="auto"/>
      </w:divBdr>
    </w:div>
    <w:div w:id="1408649097">
      <w:marLeft w:val="0"/>
      <w:marRight w:val="0"/>
      <w:marTop w:val="0"/>
      <w:marBottom w:val="0"/>
      <w:divBdr>
        <w:top w:val="none" w:sz="0" w:space="0" w:color="auto"/>
        <w:left w:val="none" w:sz="0" w:space="0" w:color="auto"/>
        <w:bottom w:val="none" w:sz="0" w:space="0" w:color="auto"/>
        <w:right w:val="none" w:sz="0" w:space="0" w:color="auto"/>
      </w:divBdr>
    </w:div>
    <w:div w:id="1408649098">
      <w:marLeft w:val="0"/>
      <w:marRight w:val="0"/>
      <w:marTop w:val="0"/>
      <w:marBottom w:val="0"/>
      <w:divBdr>
        <w:top w:val="none" w:sz="0" w:space="0" w:color="auto"/>
        <w:left w:val="none" w:sz="0" w:space="0" w:color="auto"/>
        <w:bottom w:val="none" w:sz="0" w:space="0" w:color="auto"/>
        <w:right w:val="none" w:sz="0" w:space="0" w:color="auto"/>
      </w:divBdr>
    </w:div>
    <w:div w:id="1408649099">
      <w:marLeft w:val="0"/>
      <w:marRight w:val="0"/>
      <w:marTop w:val="0"/>
      <w:marBottom w:val="0"/>
      <w:divBdr>
        <w:top w:val="none" w:sz="0" w:space="0" w:color="auto"/>
        <w:left w:val="none" w:sz="0" w:space="0" w:color="auto"/>
        <w:bottom w:val="none" w:sz="0" w:space="0" w:color="auto"/>
        <w:right w:val="none" w:sz="0" w:space="0" w:color="auto"/>
      </w:divBdr>
    </w:div>
    <w:div w:id="1408649100">
      <w:marLeft w:val="0"/>
      <w:marRight w:val="0"/>
      <w:marTop w:val="0"/>
      <w:marBottom w:val="0"/>
      <w:divBdr>
        <w:top w:val="none" w:sz="0" w:space="0" w:color="auto"/>
        <w:left w:val="none" w:sz="0" w:space="0" w:color="auto"/>
        <w:bottom w:val="none" w:sz="0" w:space="0" w:color="auto"/>
        <w:right w:val="none" w:sz="0" w:space="0" w:color="auto"/>
      </w:divBdr>
    </w:div>
    <w:div w:id="1408649101">
      <w:marLeft w:val="0"/>
      <w:marRight w:val="0"/>
      <w:marTop w:val="0"/>
      <w:marBottom w:val="0"/>
      <w:divBdr>
        <w:top w:val="none" w:sz="0" w:space="0" w:color="auto"/>
        <w:left w:val="none" w:sz="0" w:space="0" w:color="auto"/>
        <w:bottom w:val="none" w:sz="0" w:space="0" w:color="auto"/>
        <w:right w:val="none" w:sz="0" w:space="0" w:color="auto"/>
      </w:divBdr>
    </w:div>
    <w:div w:id="1408649102">
      <w:marLeft w:val="0"/>
      <w:marRight w:val="0"/>
      <w:marTop w:val="0"/>
      <w:marBottom w:val="0"/>
      <w:divBdr>
        <w:top w:val="none" w:sz="0" w:space="0" w:color="auto"/>
        <w:left w:val="none" w:sz="0" w:space="0" w:color="auto"/>
        <w:bottom w:val="none" w:sz="0" w:space="0" w:color="auto"/>
        <w:right w:val="none" w:sz="0" w:space="0" w:color="auto"/>
      </w:divBdr>
    </w:div>
    <w:div w:id="1408649103">
      <w:marLeft w:val="0"/>
      <w:marRight w:val="0"/>
      <w:marTop w:val="0"/>
      <w:marBottom w:val="0"/>
      <w:divBdr>
        <w:top w:val="none" w:sz="0" w:space="0" w:color="auto"/>
        <w:left w:val="none" w:sz="0" w:space="0" w:color="auto"/>
        <w:bottom w:val="none" w:sz="0" w:space="0" w:color="auto"/>
        <w:right w:val="none" w:sz="0" w:space="0" w:color="auto"/>
      </w:divBdr>
    </w:div>
    <w:div w:id="1408649104">
      <w:marLeft w:val="0"/>
      <w:marRight w:val="0"/>
      <w:marTop w:val="0"/>
      <w:marBottom w:val="0"/>
      <w:divBdr>
        <w:top w:val="none" w:sz="0" w:space="0" w:color="auto"/>
        <w:left w:val="none" w:sz="0" w:space="0" w:color="auto"/>
        <w:bottom w:val="none" w:sz="0" w:space="0" w:color="auto"/>
        <w:right w:val="none" w:sz="0" w:space="0" w:color="auto"/>
      </w:divBdr>
    </w:div>
    <w:div w:id="1408649105">
      <w:marLeft w:val="0"/>
      <w:marRight w:val="0"/>
      <w:marTop w:val="0"/>
      <w:marBottom w:val="0"/>
      <w:divBdr>
        <w:top w:val="none" w:sz="0" w:space="0" w:color="auto"/>
        <w:left w:val="none" w:sz="0" w:space="0" w:color="auto"/>
        <w:bottom w:val="none" w:sz="0" w:space="0" w:color="auto"/>
        <w:right w:val="none" w:sz="0" w:space="0" w:color="auto"/>
      </w:divBdr>
    </w:div>
    <w:div w:id="1408649106">
      <w:marLeft w:val="0"/>
      <w:marRight w:val="0"/>
      <w:marTop w:val="0"/>
      <w:marBottom w:val="0"/>
      <w:divBdr>
        <w:top w:val="none" w:sz="0" w:space="0" w:color="auto"/>
        <w:left w:val="none" w:sz="0" w:space="0" w:color="auto"/>
        <w:bottom w:val="none" w:sz="0" w:space="0" w:color="auto"/>
        <w:right w:val="none" w:sz="0" w:space="0" w:color="auto"/>
      </w:divBdr>
    </w:div>
    <w:div w:id="1408649107">
      <w:marLeft w:val="0"/>
      <w:marRight w:val="0"/>
      <w:marTop w:val="0"/>
      <w:marBottom w:val="0"/>
      <w:divBdr>
        <w:top w:val="none" w:sz="0" w:space="0" w:color="auto"/>
        <w:left w:val="none" w:sz="0" w:space="0" w:color="auto"/>
        <w:bottom w:val="none" w:sz="0" w:space="0" w:color="auto"/>
        <w:right w:val="none" w:sz="0" w:space="0" w:color="auto"/>
      </w:divBdr>
    </w:div>
    <w:div w:id="1408649108">
      <w:marLeft w:val="0"/>
      <w:marRight w:val="0"/>
      <w:marTop w:val="0"/>
      <w:marBottom w:val="0"/>
      <w:divBdr>
        <w:top w:val="none" w:sz="0" w:space="0" w:color="auto"/>
        <w:left w:val="none" w:sz="0" w:space="0" w:color="auto"/>
        <w:bottom w:val="none" w:sz="0" w:space="0" w:color="auto"/>
        <w:right w:val="none" w:sz="0" w:space="0" w:color="auto"/>
      </w:divBdr>
    </w:div>
    <w:div w:id="1408649109">
      <w:marLeft w:val="0"/>
      <w:marRight w:val="0"/>
      <w:marTop w:val="0"/>
      <w:marBottom w:val="0"/>
      <w:divBdr>
        <w:top w:val="none" w:sz="0" w:space="0" w:color="auto"/>
        <w:left w:val="none" w:sz="0" w:space="0" w:color="auto"/>
        <w:bottom w:val="none" w:sz="0" w:space="0" w:color="auto"/>
        <w:right w:val="none" w:sz="0" w:space="0" w:color="auto"/>
      </w:divBdr>
    </w:div>
    <w:div w:id="1408649110">
      <w:marLeft w:val="0"/>
      <w:marRight w:val="0"/>
      <w:marTop w:val="0"/>
      <w:marBottom w:val="0"/>
      <w:divBdr>
        <w:top w:val="none" w:sz="0" w:space="0" w:color="auto"/>
        <w:left w:val="none" w:sz="0" w:space="0" w:color="auto"/>
        <w:bottom w:val="none" w:sz="0" w:space="0" w:color="auto"/>
        <w:right w:val="none" w:sz="0" w:space="0" w:color="auto"/>
      </w:divBdr>
    </w:div>
    <w:div w:id="1408649111">
      <w:marLeft w:val="0"/>
      <w:marRight w:val="0"/>
      <w:marTop w:val="0"/>
      <w:marBottom w:val="0"/>
      <w:divBdr>
        <w:top w:val="none" w:sz="0" w:space="0" w:color="auto"/>
        <w:left w:val="none" w:sz="0" w:space="0" w:color="auto"/>
        <w:bottom w:val="none" w:sz="0" w:space="0" w:color="auto"/>
        <w:right w:val="none" w:sz="0" w:space="0" w:color="auto"/>
      </w:divBdr>
    </w:div>
    <w:div w:id="1408649112">
      <w:marLeft w:val="0"/>
      <w:marRight w:val="0"/>
      <w:marTop w:val="0"/>
      <w:marBottom w:val="0"/>
      <w:divBdr>
        <w:top w:val="none" w:sz="0" w:space="0" w:color="auto"/>
        <w:left w:val="none" w:sz="0" w:space="0" w:color="auto"/>
        <w:bottom w:val="none" w:sz="0" w:space="0" w:color="auto"/>
        <w:right w:val="none" w:sz="0" w:space="0" w:color="auto"/>
      </w:divBdr>
    </w:div>
    <w:div w:id="1408649113">
      <w:marLeft w:val="0"/>
      <w:marRight w:val="0"/>
      <w:marTop w:val="0"/>
      <w:marBottom w:val="0"/>
      <w:divBdr>
        <w:top w:val="none" w:sz="0" w:space="0" w:color="auto"/>
        <w:left w:val="none" w:sz="0" w:space="0" w:color="auto"/>
        <w:bottom w:val="none" w:sz="0" w:space="0" w:color="auto"/>
        <w:right w:val="none" w:sz="0" w:space="0" w:color="auto"/>
      </w:divBdr>
    </w:div>
    <w:div w:id="1408649114">
      <w:marLeft w:val="0"/>
      <w:marRight w:val="0"/>
      <w:marTop w:val="0"/>
      <w:marBottom w:val="0"/>
      <w:divBdr>
        <w:top w:val="none" w:sz="0" w:space="0" w:color="auto"/>
        <w:left w:val="none" w:sz="0" w:space="0" w:color="auto"/>
        <w:bottom w:val="none" w:sz="0" w:space="0" w:color="auto"/>
        <w:right w:val="none" w:sz="0" w:space="0" w:color="auto"/>
      </w:divBdr>
    </w:div>
    <w:div w:id="1408649115">
      <w:marLeft w:val="0"/>
      <w:marRight w:val="0"/>
      <w:marTop w:val="0"/>
      <w:marBottom w:val="0"/>
      <w:divBdr>
        <w:top w:val="none" w:sz="0" w:space="0" w:color="auto"/>
        <w:left w:val="none" w:sz="0" w:space="0" w:color="auto"/>
        <w:bottom w:val="none" w:sz="0" w:space="0" w:color="auto"/>
        <w:right w:val="none" w:sz="0" w:space="0" w:color="auto"/>
      </w:divBdr>
    </w:div>
    <w:div w:id="1408649116">
      <w:marLeft w:val="0"/>
      <w:marRight w:val="0"/>
      <w:marTop w:val="0"/>
      <w:marBottom w:val="0"/>
      <w:divBdr>
        <w:top w:val="none" w:sz="0" w:space="0" w:color="auto"/>
        <w:left w:val="none" w:sz="0" w:space="0" w:color="auto"/>
        <w:bottom w:val="none" w:sz="0" w:space="0" w:color="auto"/>
        <w:right w:val="none" w:sz="0" w:space="0" w:color="auto"/>
      </w:divBdr>
    </w:div>
    <w:div w:id="1408649117">
      <w:marLeft w:val="0"/>
      <w:marRight w:val="0"/>
      <w:marTop w:val="0"/>
      <w:marBottom w:val="0"/>
      <w:divBdr>
        <w:top w:val="none" w:sz="0" w:space="0" w:color="auto"/>
        <w:left w:val="none" w:sz="0" w:space="0" w:color="auto"/>
        <w:bottom w:val="none" w:sz="0" w:space="0" w:color="auto"/>
        <w:right w:val="none" w:sz="0" w:space="0" w:color="auto"/>
      </w:divBdr>
    </w:div>
    <w:div w:id="1408649118">
      <w:marLeft w:val="0"/>
      <w:marRight w:val="0"/>
      <w:marTop w:val="0"/>
      <w:marBottom w:val="0"/>
      <w:divBdr>
        <w:top w:val="none" w:sz="0" w:space="0" w:color="auto"/>
        <w:left w:val="none" w:sz="0" w:space="0" w:color="auto"/>
        <w:bottom w:val="none" w:sz="0" w:space="0" w:color="auto"/>
        <w:right w:val="none" w:sz="0" w:space="0" w:color="auto"/>
      </w:divBdr>
    </w:div>
    <w:div w:id="1408649119">
      <w:marLeft w:val="0"/>
      <w:marRight w:val="0"/>
      <w:marTop w:val="0"/>
      <w:marBottom w:val="0"/>
      <w:divBdr>
        <w:top w:val="none" w:sz="0" w:space="0" w:color="auto"/>
        <w:left w:val="none" w:sz="0" w:space="0" w:color="auto"/>
        <w:bottom w:val="none" w:sz="0" w:space="0" w:color="auto"/>
        <w:right w:val="none" w:sz="0" w:space="0" w:color="auto"/>
      </w:divBdr>
    </w:div>
    <w:div w:id="1408649120">
      <w:marLeft w:val="0"/>
      <w:marRight w:val="0"/>
      <w:marTop w:val="0"/>
      <w:marBottom w:val="0"/>
      <w:divBdr>
        <w:top w:val="none" w:sz="0" w:space="0" w:color="auto"/>
        <w:left w:val="none" w:sz="0" w:space="0" w:color="auto"/>
        <w:bottom w:val="none" w:sz="0" w:space="0" w:color="auto"/>
        <w:right w:val="none" w:sz="0" w:space="0" w:color="auto"/>
      </w:divBdr>
    </w:div>
    <w:div w:id="1408649121">
      <w:marLeft w:val="0"/>
      <w:marRight w:val="0"/>
      <w:marTop w:val="0"/>
      <w:marBottom w:val="0"/>
      <w:divBdr>
        <w:top w:val="none" w:sz="0" w:space="0" w:color="auto"/>
        <w:left w:val="none" w:sz="0" w:space="0" w:color="auto"/>
        <w:bottom w:val="none" w:sz="0" w:space="0" w:color="auto"/>
        <w:right w:val="none" w:sz="0" w:space="0" w:color="auto"/>
      </w:divBdr>
    </w:div>
    <w:div w:id="1408649122">
      <w:marLeft w:val="0"/>
      <w:marRight w:val="0"/>
      <w:marTop w:val="0"/>
      <w:marBottom w:val="0"/>
      <w:divBdr>
        <w:top w:val="none" w:sz="0" w:space="0" w:color="auto"/>
        <w:left w:val="none" w:sz="0" w:space="0" w:color="auto"/>
        <w:bottom w:val="none" w:sz="0" w:space="0" w:color="auto"/>
        <w:right w:val="none" w:sz="0" w:space="0" w:color="auto"/>
      </w:divBdr>
    </w:div>
    <w:div w:id="1408649123">
      <w:marLeft w:val="0"/>
      <w:marRight w:val="0"/>
      <w:marTop w:val="0"/>
      <w:marBottom w:val="0"/>
      <w:divBdr>
        <w:top w:val="none" w:sz="0" w:space="0" w:color="auto"/>
        <w:left w:val="none" w:sz="0" w:space="0" w:color="auto"/>
        <w:bottom w:val="none" w:sz="0" w:space="0" w:color="auto"/>
        <w:right w:val="none" w:sz="0" w:space="0" w:color="auto"/>
      </w:divBdr>
    </w:div>
    <w:div w:id="1408649124">
      <w:marLeft w:val="0"/>
      <w:marRight w:val="0"/>
      <w:marTop w:val="0"/>
      <w:marBottom w:val="0"/>
      <w:divBdr>
        <w:top w:val="none" w:sz="0" w:space="0" w:color="auto"/>
        <w:left w:val="none" w:sz="0" w:space="0" w:color="auto"/>
        <w:bottom w:val="none" w:sz="0" w:space="0" w:color="auto"/>
        <w:right w:val="none" w:sz="0" w:space="0" w:color="auto"/>
      </w:divBdr>
    </w:div>
    <w:div w:id="1408649125">
      <w:marLeft w:val="0"/>
      <w:marRight w:val="0"/>
      <w:marTop w:val="0"/>
      <w:marBottom w:val="0"/>
      <w:divBdr>
        <w:top w:val="none" w:sz="0" w:space="0" w:color="auto"/>
        <w:left w:val="none" w:sz="0" w:space="0" w:color="auto"/>
        <w:bottom w:val="none" w:sz="0" w:space="0" w:color="auto"/>
        <w:right w:val="none" w:sz="0" w:space="0" w:color="auto"/>
      </w:divBdr>
    </w:div>
    <w:div w:id="1408649126">
      <w:marLeft w:val="0"/>
      <w:marRight w:val="0"/>
      <w:marTop w:val="0"/>
      <w:marBottom w:val="0"/>
      <w:divBdr>
        <w:top w:val="none" w:sz="0" w:space="0" w:color="auto"/>
        <w:left w:val="none" w:sz="0" w:space="0" w:color="auto"/>
        <w:bottom w:val="none" w:sz="0" w:space="0" w:color="auto"/>
        <w:right w:val="none" w:sz="0" w:space="0" w:color="auto"/>
      </w:divBdr>
    </w:div>
    <w:div w:id="1408649127">
      <w:marLeft w:val="0"/>
      <w:marRight w:val="0"/>
      <w:marTop w:val="0"/>
      <w:marBottom w:val="0"/>
      <w:divBdr>
        <w:top w:val="none" w:sz="0" w:space="0" w:color="auto"/>
        <w:left w:val="none" w:sz="0" w:space="0" w:color="auto"/>
        <w:bottom w:val="none" w:sz="0" w:space="0" w:color="auto"/>
        <w:right w:val="none" w:sz="0" w:space="0" w:color="auto"/>
      </w:divBdr>
    </w:div>
    <w:div w:id="1408649128">
      <w:marLeft w:val="0"/>
      <w:marRight w:val="0"/>
      <w:marTop w:val="0"/>
      <w:marBottom w:val="0"/>
      <w:divBdr>
        <w:top w:val="none" w:sz="0" w:space="0" w:color="auto"/>
        <w:left w:val="none" w:sz="0" w:space="0" w:color="auto"/>
        <w:bottom w:val="none" w:sz="0" w:space="0" w:color="auto"/>
        <w:right w:val="none" w:sz="0" w:space="0" w:color="auto"/>
      </w:divBdr>
    </w:div>
    <w:div w:id="1408649129">
      <w:marLeft w:val="0"/>
      <w:marRight w:val="0"/>
      <w:marTop w:val="0"/>
      <w:marBottom w:val="0"/>
      <w:divBdr>
        <w:top w:val="none" w:sz="0" w:space="0" w:color="auto"/>
        <w:left w:val="none" w:sz="0" w:space="0" w:color="auto"/>
        <w:bottom w:val="none" w:sz="0" w:space="0" w:color="auto"/>
        <w:right w:val="none" w:sz="0" w:space="0" w:color="auto"/>
      </w:divBdr>
    </w:div>
    <w:div w:id="1408649130">
      <w:marLeft w:val="0"/>
      <w:marRight w:val="0"/>
      <w:marTop w:val="0"/>
      <w:marBottom w:val="0"/>
      <w:divBdr>
        <w:top w:val="none" w:sz="0" w:space="0" w:color="auto"/>
        <w:left w:val="none" w:sz="0" w:space="0" w:color="auto"/>
        <w:bottom w:val="none" w:sz="0" w:space="0" w:color="auto"/>
        <w:right w:val="none" w:sz="0" w:space="0" w:color="auto"/>
      </w:divBdr>
    </w:div>
    <w:div w:id="1408649131">
      <w:marLeft w:val="0"/>
      <w:marRight w:val="0"/>
      <w:marTop w:val="0"/>
      <w:marBottom w:val="0"/>
      <w:divBdr>
        <w:top w:val="none" w:sz="0" w:space="0" w:color="auto"/>
        <w:left w:val="none" w:sz="0" w:space="0" w:color="auto"/>
        <w:bottom w:val="none" w:sz="0" w:space="0" w:color="auto"/>
        <w:right w:val="none" w:sz="0" w:space="0" w:color="auto"/>
      </w:divBdr>
    </w:div>
    <w:div w:id="1408649132">
      <w:marLeft w:val="0"/>
      <w:marRight w:val="0"/>
      <w:marTop w:val="0"/>
      <w:marBottom w:val="0"/>
      <w:divBdr>
        <w:top w:val="none" w:sz="0" w:space="0" w:color="auto"/>
        <w:left w:val="none" w:sz="0" w:space="0" w:color="auto"/>
        <w:bottom w:val="none" w:sz="0" w:space="0" w:color="auto"/>
        <w:right w:val="none" w:sz="0" w:space="0" w:color="auto"/>
      </w:divBdr>
    </w:div>
    <w:div w:id="1408649133">
      <w:marLeft w:val="0"/>
      <w:marRight w:val="0"/>
      <w:marTop w:val="0"/>
      <w:marBottom w:val="0"/>
      <w:divBdr>
        <w:top w:val="none" w:sz="0" w:space="0" w:color="auto"/>
        <w:left w:val="none" w:sz="0" w:space="0" w:color="auto"/>
        <w:bottom w:val="none" w:sz="0" w:space="0" w:color="auto"/>
        <w:right w:val="none" w:sz="0" w:space="0" w:color="auto"/>
      </w:divBdr>
    </w:div>
    <w:div w:id="1408649134">
      <w:marLeft w:val="0"/>
      <w:marRight w:val="0"/>
      <w:marTop w:val="0"/>
      <w:marBottom w:val="0"/>
      <w:divBdr>
        <w:top w:val="none" w:sz="0" w:space="0" w:color="auto"/>
        <w:left w:val="none" w:sz="0" w:space="0" w:color="auto"/>
        <w:bottom w:val="none" w:sz="0" w:space="0" w:color="auto"/>
        <w:right w:val="none" w:sz="0" w:space="0" w:color="auto"/>
      </w:divBdr>
    </w:div>
    <w:div w:id="1408649135">
      <w:marLeft w:val="0"/>
      <w:marRight w:val="0"/>
      <w:marTop w:val="0"/>
      <w:marBottom w:val="0"/>
      <w:divBdr>
        <w:top w:val="none" w:sz="0" w:space="0" w:color="auto"/>
        <w:left w:val="none" w:sz="0" w:space="0" w:color="auto"/>
        <w:bottom w:val="none" w:sz="0" w:space="0" w:color="auto"/>
        <w:right w:val="none" w:sz="0" w:space="0" w:color="auto"/>
      </w:divBdr>
    </w:div>
    <w:div w:id="1408649136">
      <w:marLeft w:val="0"/>
      <w:marRight w:val="0"/>
      <w:marTop w:val="0"/>
      <w:marBottom w:val="0"/>
      <w:divBdr>
        <w:top w:val="none" w:sz="0" w:space="0" w:color="auto"/>
        <w:left w:val="none" w:sz="0" w:space="0" w:color="auto"/>
        <w:bottom w:val="none" w:sz="0" w:space="0" w:color="auto"/>
        <w:right w:val="none" w:sz="0" w:space="0" w:color="auto"/>
      </w:divBdr>
    </w:div>
    <w:div w:id="1408649137">
      <w:marLeft w:val="0"/>
      <w:marRight w:val="0"/>
      <w:marTop w:val="0"/>
      <w:marBottom w:val="0"/>
      <w:divBdr>
        <w:top w:val="none" w:sz="0" w:space="0" w:color="auto"/>
        <w:left w:val="none" w:sz="0" w:space="0" w:color="auto"/>
        <w:bottom w:val="none" w:sz="0" w:space="0" w:color="auto"/>
        <w:right w:val="none" w:sz="0" w:space="0" w:color="auto"/>
      </w:divBdr>
    </w:div>
    <w:div w:id="1408649138">
      <w:marLeft w:val="0"/>
      <w:marRight w:val="0"/>
      <w:marTop w:val="0"/>
      <w:marBottom w:val="0"/>
      <w:divBdr>
        <w:top w:val="none" w:sz="0" w:space="0" w:color="auto"/>
        <w:left w:val="none" w:sz="0" w:space="0" w:color="auto"/>
        <w:bottom w:val="none" w:sz="0" w:space="0" w:color="auto"/>
        <w:right w:val="none" w:sz="0" w:space="0" w:color="auto"/>
      </w:divBdr>
    </w:div>
    <w:div w:id="1408649139">
      <w:marLeft w:val="0"/>
      <w:marRight w:val="0"/>
      <w:marTop w:val="0"/>
      <w:marBottom w:val="0"/>
      <w:divBdr>
        <w:top w:val="none" w:sz="0" w:space="0" w:color="auto"/>
        <w:left w:val="none" w:sz="0" w:space="0" w:color="auto"/>
        <w:bottom w:val="none" w:sz="0" w:space="0" w:color="auto"/>
        <w:right w:val="none" w:sz="0" w:space="0" w:color="auto"/>
      </w:divBdr>
    </w:div>
    <w:div w:id="1408649140">
      <w:marLeft w:val="0"/>
      <w:marRight w:val="0"/>
      <w:marTop w:val="0"/>
      <w:marBottom w:val="0"/>
      <w:divBdr>
        <w:top w:val="none" w:sz="0" w:space="0" w:color="auto"/>
        <w:left w:val="none" w:sz="0" w:space="0" w:color="auto"/>
        <w:bottom w:val="none" w:sz="0" w:space="0" w:color="auto"/>
        <w:right w:val="none" w:sz="0" w:space="0" w:color="auto"/>
      </w:divBdr>
    </w:div>
    <w:div w:id="1408649141">
      <w:marLeft w:val="0"/>
      <w:marRight w:val="0"/>
      <w:marTop w:val="0"/>
      <w:marBottom w:val="0"/>
      <w:divBdr>
        <w:top w:val="none" w:sz="0" w:space="0" w:color="auto"/>
        <w:left w:val="none" w:sz="0" w:space="0" w:color="auto"/>
        <w:bottom w:val="none" w:sz="0" w:space="0" w:color="auto"/>
        <w:right w:val="none" w:sz="0" w:space="0" w:color="auto"/>
      </w:divBdr>
    </w:div>
    <w:div w:id="1408649142">
      <w:marLeft w:val="0"/>
      <w:marRight w:val="0"/>
      <w:marTop w:val="0"/>
      <w:marBottom w:val="0"/>
      <w:divBdr>
        <w:top w:val="none" w:sz="0" w:space="0" w:color="auto"/>
        <w:left w:val="none" w:sz="0" w:space="0" w:color="auto"/>
        <w:bottom w:val="none" w:sz="0" w:space="0" w:color="auto"/>
        <w:right w:val="none" w:sz="0" w:space="0" w:color="auto"/>
      </w:divBdr>
    </w:div>
    <w:div w:id="1408649143">
      <w:marLeft w:val="0"/>
      <w:marRight w:val="0"/>
      <w:marTop w:val="0"/>
      <w:marBottom w:val="0"/>
      <w:divBdr>
        <w:top w:val="none" w:sz="0" w:space="0" w:color="auto"/>
        <w:left w:val="none" w:sz="0" w:space="0" w:color="auto"/>
        <w:bottom w:val="none" w:sz="0" w:space="0" w:color="auto"/>
        <w:right w:val="none" w:sz="0" w:space="0" w:color="auto"/>
      </w:divBdr>
    </w:div>
    <w:div w:id="1408649144">
      <w:marLeft w:val="0"/>
      <w:marRight w:val="0"/>
      <w:marTop w:val="0"/>
      <w:marBottom w:val="0"/>
      <w:divBdr>
        <w:top w:val="none" w:sz="0" w:space="0" w:color="auto"/>
        <w:left w:val="none" w:sz="0" w:space="0" w:color="auto"/>
        <w:bottom w:val="none" w:sz="0" w:space="0" w:color="auto"/>
        <w:right w:val="none" w:sz="0" w:space="0" w:color="auto"/>
      </w:divBdr>
    </w:div>
    <w:div w:id="1408649148">
      <w:marLeft w:val="0"/>
      <w:marRight w:val="0"/>
      <w:marTop w:val="0"/>
      <w:marBottom w:val="0"/>
      <w:divBdr>
        <w:top w:val="none" w:sz="0" w:space="0" w:color="auto"/>
        <w:left w:val="none" w:sz="0" w:space="0" w:color="auto"/>
        <w:bottom w:val="none" w:sz="0" w:space="0" w:color="auto"/>
        <w:right w:val="none" w:sz="0" w:space="0" w:color="auto"/>
      </w:divBdr>
    </w:div>
    <w:div w:id="1444231653">
      <w:bodyDiv w:val="1"/>
      <w:marLeft w:val="0"/>
      <w:marRight w:val="0"/>
      <w:marTop w:val="0"/>
      <w:marBottom w:val="0"/>
      <w:divBdr>
        <w:top w:val="none" w:sz="0" w:space="0" w:color="auto"/>
        <w:left w:val="none" w:sz="0" w:space="0" w:color="auto"/>
        <w:bottom w:val="none" w:sz="0" w:space="0" w:color="auto"/>
        <w:right w:val="none" w:sz="0" w:space="0" w:color="auto"/>
      </w:divBdr>
    </w:div>
    <w:div w:id="206552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info/law/better-regulation/have-your-say/initiatives/11835-Evaluation-of-State-aid-rules-for-health-and-social-services-of-general-economic-interest-and-SGEI-De-Minimis/public-consult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law/better-regulation/have-your-say/initiatives/12398-Evaluation-of-State-Aid-rules-for-broadband-infrastructure-deploy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SK/TXT/PDF/?uri=CELEX:32020R2008&amp;qid=1610970913359&amp;from=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opsr.sk/files/hodnota-ekosys.pdf" TargetMode="External"/><Relationship Id="rId4" Type="http://schemas.openxmlformats.org/officeDocument/2006/relationships/settings" Target="settings.xml"/><Relationship Id="rId9" Type="http://schemas.openxmlformats.org/officeDocument/2006/relationships/hyperlink" Target="http://www.sopsr.sk/files/hodnota-ekosys.pdf"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100F2-56A3-4C1E-8EB4-EE199FD7D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82</Pages>
  <Words>23825</Words>
  <Characters>150784</Characters>
  <Application>Microsoft Office Word</Application>
  <DocSecurity>0</DocSecurity>
  <Lines>1256</Lines>
  <Paragraphs>348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174261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Ondrej /OVZI/MZV</dc:creator>
  <cp:keywords/>
  <dc:description/>
  <cp:lastModifiedBy>Zilinek Martin /OVZI/MZV</cp:lastModifiedBy>
  <cp:revision>23</cp:revision>
  <cp:lastPrinted>2021-02-01T19:05:00Z</cp:lastPrinted>
  <dcterms:created xsi:type="dcterms:W3CDTF">2021-02-04T11:57:00Z</dcterms:created>
  <dcterms:modified xsi:type="dcterms:W3CDTF">2021-02-22T13:20:00Z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2017</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PhDr. Hana Vermešová</vt:lpwstr>
  </property>
  <property fmtid="{D5CDD505-2E9C-101B-9397-08002B2CF9AE}" pid="12" name="FSC#SKEDITIONSLOVLEX@103.510:zodppredkladatel">
    <vt:lpwstr>Miroslav Lajčák</vt:lpwstr>
  </property>
  <property fmtid="{D5CDD505-2E9C-101B-9397-08002B2CF9AE}" pid="13" name="FSC#SKEDITIONSLOVLEX@103.510:dalsipredkladatel">
    <vt:lpwstr/>
  </property>
  <property fmtid="{D5CDD505-2E9C-101B-9397-08002B2CF9AE}" pid="14" name="FSC#SKEDITIONSLOVLEX@103.510:nazovpredpis">
    <vt:lpwstr> Výročná správa o členstve Slovenskej republiky v Európskej únii – hodnotenie a aktuálne priority vyplývajúce z Pracovného programu Európskej komisie</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zahraničných vecí a európskych záležitostí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SR č. 118/2013 zo 7. marca 2013 _x000d__x000d_</vt:lpwstr>
  </property>
  <property fmtid="{D5CDD505-2E9C-101B-9397-08002B2CF9AE}" pid="23" name="FSC#SKEDITIONSLOVLEX@103.510:plnynazovpredpis">
    <vt:lpwstr> Výročná správa o členstve Slovenskej republiky v Európskej únii – hodnotenie a aktuálne priority vyplývajúce z Pracovného programu Európskej komisie</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005068/2017-OVZI-0018211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LP/2017/89</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10. 2. 2017</vt:lpwstr>
  </property>
  <property fmtid="{D5CDD505-2E9C-101B-9397-08002B2CF9AE}" pid="59" name="FSC#SKEDITIONSLOVLEX@103.510:AttrDateDocPropUkonceniePKK">
    <vt:lpwstr>17. 2. 2017</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vt:lpwstr>
  </property>
  <property fmtid="{D5CDD505-2E9C-101B-9397-08002B2CF9AE}" pid="66" name="FSC#SKEDITIONSLOVLEX@103.510:AttrStrListDocPropAltRiesenia">
    <vt:lpwstr>Nenavrhujú sa.</vt:lpwstr>
  </property>
  <property fmtid="{D5CDD505-2E9C-101B-9397-08002B2CF9AE}" pid="67" name="FSC#SKEDITIONSLOVLEX@103.510:AttrStrListDocPropStanoviskoGest">
    <vt:lpwstr>-</vt:lpwstr>
  </property>
  <property fmtid="{D5CDD505-2E9C-101B-9397-08002B2CF9AE}" pid="68" name="FSC#SKEDITIONSLOVLEX@103.510:AttrStrListDocPropTextKomunike">
    <vt:lpwstr>Vláda Slovenskej republiky na svojom rokovaní dňa ....................... prerokovala a schválila materiál Výročná správa o členstve Slovenskej republiky v Európskej únii – hodnotenie a aktuálne priority vyplývajúce z Pracovného programu Európskej komisie</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SR _x000d__x000d_minister zahraničných vecí a európskych záležitostí SR </vt:lpwstr>
  </property>
  <property fmtid="{D5CDD505-2E9C-101B-9397-08002B2CF9AE}" pid="137" name="FSC#SKEDITIONSLOVLEX@103.510:AttrStrListDocPropUznesenieNaVedomie">
    <vt:lpwstr>predsedovi Národnej rady SR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zahraničných vecí a európskych záležitostí Slovenskej republiky</vt:lpwstr>
  </property>
  <property fmtid="{D5CDD505-2E9C-101B-9397-08002B2CF9AE}" pid="142" name="FSC#SKEDITIONSLOVLEX@103.510:funkciaZodpPredAkuzativ">
    <vt:lpwstr>ministrovi zahraničných vecí a európskych záležitostí Slovenskej republiky</vt:lpwstr>
  </property>
  <property fmtid="{D5CDD505-2E9C-101B-9397-08002B2CF9AE}" pid="143" name="FSC#SKEDITIONSLOVLEX@103.510:funkciaZodpPredDativ">
    <vt:lpwstr>ministra zahraničných vecí a európskych záležitostí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Miroslav Lajčák_x000d__x000d_minister zahraničných vecí a európskych záležitostí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justify;"&gt;Na základe uznesenia vlády SR č. 118 zo 7. marca 2013 predkladá minister zahraničných vecí a európskych záležitostí SR na rokovanie vlády SR &lt;em&gt;Výročnú správu o členstve Slovenskej republiky v Európskej únii – hodnotenie a</vt:lpwstr>
  </property>
  <property fmtid="{D5CDD505-2E9C-101B-9397-08002B2CF9AE}" pid="150" name="FSC#COOSYSTEM@1.1:Container">
    <vt:lpwstr>COO.2145.1000.3.1840153</vt:lpwstr>
  </property>
  <property fmtid="{D5CDD505-2E9C-101B-9397-08002B2CF9AE}" pid="151" name="FSC#FSCFOLIO@1.1001:docpropproject">
    <vt:lpwstr/>
  </property>
</Properties>
</file>