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97" w:rsidRDefault="00490B97" w:rsidP="00490B97">
      <w:pPr>
        <w:pStyle w:val="Bezriadkovania"/>
        <w:spacing w:line="252" w:lineRule="auto"/>
        <w:jc w:val="both"/>
        <w:rPr>
          <w:rStyle w:val="Zstupntext"/>
          <w:color w:val="auto"/>
          <w:sz w:val="24"/>
        </w:rPr>
      </w:pPr>
    </w:p>
    <w:p w:rsidR="00490B97" w:rsidRDefault="00490B97" w:rsidP="00490B97">
      <w:pPr>
        <w:pStyle w:val="Bezriadkovania"/>
        <w:spacing w:line="252" w:lineRule="auto"/>
        <w:jc w:val="both"/>
        <w:rPr>
          <w:rStyle w:val="Zstupntext"/>
          <w:color w:val="auto"/>
          <w:sz w:val="24"/>
        </w:rPr>
      </w:pPr>
    </w:p>
    <w:p w:rsidR="00490B97" w:rsidRDefault="00490B97" w:rsidP="00490B97">
      <w:pPr>
        <w:pStyle w:val="Normlnywebov"/>
        <w:spacing w:before="0" w:after="120"/>
        <w:jc w:val="center"/>
      </w:pPr>
      <w:r>
        <w:rPr>
          <w:b/>
          <w:bCs/>
          <w:caps/>
          <w:spacing w:val="30"/>
        </w:rPr>
        <w:t>Doložka zlučiteľnosti</w:t>
      </w:r>
    </w:p>
    <w:p w:rsidR="00490B97" w:rsidRDefault="00490B97" w:rsidP="00490B97">
      <w:pPr>
        <w:pStyle w:val="Normlnywebov"/>
        <w:spacing w:before="0"/>
        <w:jc w:val="center"/>
        <w:rPr>
          <w:b/>
          <w:bCs/>
        </w:rPr>
      </w:pPr>
      <w:r>
        <w:rPr>
          <w:b/>
          <w:bCs/>
        </w:rPr>
        <w:t xml:space="preserve">právneho predpisu s právom Európskej únie </w:t>
      </w:r>
    </w:p>
    <w:p w:rsidR="00490B97" w:rsidRDefault="00490B97" w:rsidP="00490B97">
      <w:pPr>
        <w:pStyle w:val="Normlnywebov"/>
        <w:spacing w:before="0"/>
        <w:jc w:val="center"/>
      </w:pPr>
    </w:p>
    <w:p w:rsidR="00490B97" w:rsidRDefault="00490B97" w:rsidP="00490B97">
      <w:pPr>
        <w:pStyle w:val="Normlnywebov"/>
        <w:spacing w:before="0"/>
        <w:jc w:val="center"/>
      </w:pPr>
    </w:p>
    <w:p w:rsidR="006D2366" w:rsidRDefault="006D2366" w:rsidP="006D2366">
      <w:pPr>
        <w:spacing w:line="276" w:lineRule="auto"/>
        <w:ind w:left="284" w:hanging="28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1. </w:t>
      </w:r>
      <w:r w:rsidR="00926189">
        <w:rPr>
          <w:rFonts w:ascii="Times New Roman" w:hAnsi="Times New Roman"/>
          <w:b/>
          <w:bCs/>
          <w:sz w:val="24"/>
        </w:rPr>
        <w:t>P</w:t>
      </w:r>
      <w:r w:rsidR="00490B97" w:rsidRPr="00926189">
        <w:rPr>
          <w:rFonts w:ascii="Times New Roman" w:hAnsi="Times New Roman"/>
          <w:b/>
          <w:bCs/>
          <w:sz w:val="24"/>
        </w:rPr>
        <w:t>redkladate</w:t>
      </w:r>
      <w:r w:rsidR="00926189">
        <w:rPr>
          <w:rFonts w:ascii="Times New Roman" w:hAnsi="Times New Roman"/>
          <w:b/>
          <w:bCs/>
          <w:sz w:val="24"/>
        </w:rPr>
        <w:t>lia</w:t>
      </w:r>
      <w:r w:rsidR="00490B97" w:rsidRPr="00926189">
        <w:rPr>
          <w:rFonts w:ascii="Times New Roman" w:hAnsi="Times New Roman"/>
          <w:b/>
          <w:bCs/>
          <w:sz w:val="24"/>
        </w:rPr>
        <w:t xml:space="preserve"> právneho predpisu:</w:t>
      </w:r>
      <w:r w:rsidR="00490B97" w:rsidRPr="00926189">
        <w:rPr>
          <w:rFonts w:ascii="Times New Roman" w:hAnsi="Times New Roman"/>
          <w:sz w:val="24"/>
        </w:rPr>
        <w:t xml:space="preserve"> Poslanci Národnej rady Slovenskej republiky</w:t>
      </w:r>
      <w:r w:rsidR="00926189" w:rsidRPr="00926189">
        <w:rPr>
          <w:rFonts w:ascii="Times New Roman" w:hAnsi="Times New Roman"/>
          <w:color w:val="000000"/>
          <w:sz w:val="24"/>
          <w:lang w:eastAsia="sk-SK"/>
        </w:rPr>
        <w:t xml:space="preserve"> Jozef </w:t>
      </w:r>
      <w:bookmarkStart w:id="0" w:name="_GoBack"/>
      <w:bookmarkEnd w:id="0"/>
      <w:r w:rsidR="00926189" w:rsidRPr="00926189">
        <w:rPr>
          <w:rFonts w:ascii="Times New Roman" w:hAnsi="Times New Roman"/>
          <w:color w:val="000000"/>
          <w:sz w:val="24"/>
          <w:lang w:eastAsia="sk-SK"/>
        </w:rPr>
        <w:t xml:space="preserve">LUKÁČ,  </w:t>
      </w:r>
      <w:r w:rsidR="00926189" w:rsidRPr="00926189">
        <w:rPr>
          <w:rFonts w:ascii="Times New Roman" w:hAnsi="Times New Roman"/>
          <w:bCs/>
          <w:color w:val="000000"/>
          <w:sz w:val="24"/>
          <w:lang w:eastAsia="sk-SK"/>
        </w:rPr>
        <w:t>Jozef HLINKA</w:t>
      </w:r>
      <w:r w:rsidR="00926189" w:rsidRPr="00926189">
        <w:rPr>
          <w:rFonts w:ascii="Times New Roman" w:hAnsi="Times New Roman"/>
          <w:b/>
          <w:bCs/>
          <w:color w:val="000000"/>
          <w:sz w:val="24"/>
          <w:lang w:eastAsia="sk-SK"/>
        </w:rPr>
        <w:t xml:space="preserve">,  </w:t>
      </w:r>
      <w:r w:rsidR="00926189" w:rsidRPr="00926189">
        <w:rPr>
          <w:rFonts w:ascii="Times New Roman" w:hAnsi="Times New Roman"/>
          <w:bCs/>
          <w:color w:val="000000"/>
          <w:sz w:val="24"/>
          <w:lang w:eastAsia="sk-SK"/>
        </w:rPr>
        <w:t>M</w:t>
      </w:r>
      <w:r w:rsidR="00926189" w:rsidRPr="00926189">
        <w:rPr>
          <w:rFonts w:ascii="Times New Roman" w:hAnsi="Times New Roman"/>
          <w:color w:val="000000"/>
          <w:sz w:val="24"/>
          <w:lang w:eastAsia="sk-SK"/>
        </w:rPr>
        <w:t xml:space="preserve">iloš SVRČEK, Martin BORGUĽA, </w:t>
      </w:r>
      <w:r w:rsidR="00926189" w:rsidRPr="00926189">
        <w:rPr>
          <w:rFonts w:ascii="Times New Roman" w:hAnsi="Times New Roman"/>
          <w:bCs/>
          <w:sz w:val="24"/>
        </w:rPr>
        <w:t>Ľudovít GOGA, Petra HAJŠELOVÁ, Eva HUDECOVÁ, Jaroslav KARAHUTA,  Igor KAŠPER, Ľuboš KRAJČÍR, Petra KRIŠTÚFKOVÁ, Adriana PČOLINSKÁ, Monika PÉTER, Zuzana ŠEBOVÁ, Alexandra PIVKOVÁ, V</w:t>
      </w:r>
      <w:r>
        <w:rPr>
          <w:rFonts w:ascii="Times New Roman" w:hAnsi="Times New Roman"/>
          <w:bCs/>
          <w:sz w:val="24"/>
        </w:rPr>
        <w:t xml:space="preserve">iera LEŠČÁKOVÁ, Marián VISKUPIČ, </w:t>
      </w:r>
      <w:r w:rsidRPr="006D2366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Milan LAURENČÍK</w:t>
      </w:r>
      <w:r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Michal ŠIPOŠ</w:t>
      </w:r>
      <w:r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Zita PELŠTINSKÁ</w:t>
      </w:r>
    </w:p>
    <w:p w:rsidR="00926189" w:rsidRPr="00926189" w:rsidRDefault="00926189" w:rsidP="006D2366">
      <w:pPr>
        <w:pStyle w:val="Odsekzoznamu"/>
        <w:spacing w:line="276" w:lineRule="auto"/>
        <w:ind w:left="284"/>
        <w:jc w:val="both"/>
        <w:rPr>
          <w:rFonts w:ascii="Times New Roman" w:hAnsi="Times New Roman"/>
          <w:bCs/>
          <w:sz w:val="24"/>
        </w:rPr>
      </w:pPr>
    </w:p>
    <w:p w:rsidR="00490B97" w:rsidRPr="006309E7" w:rsidRDefault="00490B97" w:rsidP="006D2366">
      <w:pPr>
        <w:pStyle w:val="Normlnywebov"/>
        <w:spacing w:before="0" w:line="276" w:lineRule="auto"/>
        <w:ind w:left="284"/>
        <w:jc w:val="both"/>
      </w:pPr>
    </w:p>
    <w:p w:rsidR="00490B97" w:rsidRPr="00F362EF" w:rsidRDefault="006D2366" w:rsidP="006D2366">
      <w:pPr>
        <w:pStyle w:val="Normlnywebov"/>
        <w:spacing w:before="0" w:line="276" w:lineRule="auto"/>
        <w:jc w:val="both"/>
        <w:rPr>
          <w:color w:val="0070C0"/>
        </w:rPr>
      </w:pPr>
      <w:r>
        <w:rPr>
          <w:b/>
          <w:bCs/>
        </w:rPr>
        <w:t xml:space="preserve">2. </w:t>
      </w:r>
      <w:r w:rsidR="00490B97" w:rsidRPr="00337791">
        <w:rPr>
          <w:b/>
          <w:bCs/>
        </w:rPr>
        <w:t>Názov návrhu právneho predpisu:</w:t>
      </w:r>
      <w:r w:rsidR="00490B97" w:rsidRPr="00337791">
        <w:t xml:space="preserve"> </w:t>
      </w:r>
    </w:p>
    <w:p w:rsidR="00490B97" w:rsidRPr="006309E7" w:rsidRDefault="00490B97" w:rsidP="006D2366">
      <w:pPr>
        <w:pStyle w:val="Normlnywebov"/>
        <w:spacing w:before="0" w:line="276" w:lineRule="auto"/>
        <w:ind w:left="284"/>
        <w:jc w:val="both"/>
        <w:rPr>
          <w:color w:val="0070C0"/>
        </w:rPr>
      </w:pPr>
      <w:r w:rsidRPr="006309E7">
        <w:t xml:space="preserve">Návrh zákona, </w:t>
      </w:r>
      <w:r w:rsidRPr="00651021">
        <w:t>ktorým sa mení a dopĺňa zákon č. 56/2012 Z. z. o cestnej doprave v znení neskorších predpisov</w:t>
      </w:r>
      <w:r w:rsidRPr="006309E7">
        <w:t xml:space="preserve"> </w:t>
      </w:r>
    </w:p>
    <w:p w:rsidR="00490B97" w:rsidRPr="006309E7" w:rsidRDefault="00490B97" w:rsidP="006D2366">
      <w:pPr>
        <w:pStyle w:val="Odsekzoznamu"/>
        <w:spacing w:line="276" w:lineRule="auto"/>
        <w:rPr>
          <w:rFonts w:ascii="Times New Roman" w:hAnsi="Times New Roman"/>
        </w:rPr>
      </w:pPr>
    </w:p>
    <w:p w:rsidR="00490B97" w:rsidRPr="006309E7" w:rsidRDefault="006D2366" w:rsidP="006D2366">
      <w:pPr>
        <w:pStyle w:val="Normlnywebov"/>
        <w:spacing w:before="0" w:line="276" w:lineRule="auto"/>
        <w:jc w:val="both"/>
      </w:pPr>
      <w:r>
        <w:rPr>
          <w:b/>
        </w:rPr>
        <w:t xml:space="preserve">3. </w:t>
      </w:r>
      <w:r w:rsidR="00490B97" w:rsidRPr="006309E7">
        <w:rPr>
          <w:b/>
        </w:rPr>
        <w:t>Problematika návrhu právneho predpisu:</w:t>
      </w:r>
    </w:p>
    <w:p w:rsidR="00490B97" w:rsidRPr="006309E7" w:rsidRDefault="00490B97" w:rsidP="006D2366">
      <w:pPr>
        <w:pStyle w:val="Normlnywebov"/>
        <w:spacing w:before="0" w:line="276" w:lineRule="auto"/>
        <w:ind w:left="284"/>
        <w:jc w:val="both"/>
      </w:pPr>
    </w:p>
    <w:p w:rsidR="00490B97" w:rsidRPr="00426E5B" w:rsidRDefault="00490B97" w:rsidP="006D2366">
      <w:pPr>
        <w:pStyle w:val="Odsekzoznamu"/>
        <w:numPr>
          <w:ilvl w:val="0"/>
          <w:numId w:val="2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426E5B">
        <w:rPr>
          <w:rFonts w:ascii="Times New Roman" w:hAnsi="Times New Roman"/>
          <w:sz w:val="24"/>
          <w:szCs w:val="24"/>
        </w:rPr>
        <w:t>je upravená v práve Európskej únie</w:t>
      </w:r>
    </w:p>
    <w:p w:rsidR="00490B97" w:rsidRPr="00426E5B" w:rsidRDefault="00490B97" w:rsidP="006D2366">
      <w:pPr>
        <w:pStyle w:val="Odsekzoznamu"/>
        <w:spacing w:line="276" w:lineRule="auto"/>
        <w:rPr>
          <w:rFonts w:ascii="Times New Roman" w:hAnsi="Times New Roman"/>
          <w:sz w:val="24"/>
          <w:szCs w:val="24"/>
        </w:rPr>
      </w:pPr>
    </w:p>
    <w:p w:rsidR="00490B97" w:rsidRPr="00426E5B" w:rsidRDefault="00490B97" w:rsidP="006D2366">
      <w:pPr>
        <w:pStyle w:val="Odsekzoznamu"/>
        <w:numPr>
          <w:ilvl w:val="0"/>
          <w:numId w:val="2"/>
        </w:numPr>
        <w:spacing w:line="276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426E5B">
        <w:rPr>
          <w:rFonts w:ascii="Times New Roman" w:hAnsi="Times New Roman"/>
          <w:color w:val="000000"/>
          <w:sz w:val="24"/>
          <w:szCs w:val="24"/>
        </w:rPr>
        <w:t>je obsiahnutá v judikatúre Súdneho dvora Európskej únie.</w:t>
      </w:r>
    </w:p>
    <w:p w:rsidR="00490B97" w:rsidRDefault="00490B97" w:rsidP="006D2366">
      <w:pPr>
        <w:spacing w:before="60" w:after="60" w:line="276" w:lineRule="auto"/>
        <w:ind w:left="709" w:hanging="349"/>
        <w:rPr>
          <w:rFonts w:ascii="Times New Roman" w:hAnsi="Times New Roman"/>
          <w:color w:val="FF0000"/>
        </w:rPr>
      </w:pPr>
    </w:p>
    <w:p w:rsidR="00490B97" w:rsidRPr="006309E7" w:rsidRDefault="006D2366" w:rsidP="006D2366">
      <w:pPr>
        <w:pStyle w:val="Normlnywebov"/>
        <w:spacing w:before="0" w:line="276" w:lineRule="auto"/>
        <w:jc w:val="both"/>
      </w:pPr>
      <w:r>
        <w:rPr>
          <w:b/>
        </w:rPr>
        <w:t xml:space="preserve">4. </w:t>
      </w:r>
      <w:r w:rsidR="00490B97" w:rsidRPr="006309E7">
        <w:rPr>
          <w:b/>
        </w:rPr>
        <w:t xml:space="preserve">Záväzky Slovenskej republiky vo vzťahu k Európskej únii: </w:t>
      </w:r>
    </w:p>
    <w:p w:rsidR="00490B97" w:rsidRDefault="00490B97" w:rsidP="006D2366">
      <w:pPr>
        <w:pStyle w:val="Normlnywebov"/>
        <w:spacing w:before="0" w:line="276" w:lineRule="auto"/>
        <w:ind w:left="284"/>
        <w:jc w:val="both"/>
      </w:pPr>
    </w:p>
    <w:p w:rsidR="00490B97" w:rsidRDefault="00490B97" w:rsidP="006D2366">
      <w:pPr>
        <w:pStyle w:val="Normlnywebov"/>
        <w:spacing w:before="0" w:line="276" w:lineRule="auto"/>
        <w:ind w:left="284"/>
        <w:jc w:val="both"/>
      </w:pPr>
      <w:r>
        <w:t xml:space="preserve">Upresňuje sa konanie objednávateľa verejnej osobnej dopravy </w:t>
      </w:r>
      <w:r w:rsidRPr="00651021">
        <w:t xml:space="preserve">v prípade prerušenia poskytovania dopravných služieb vo verejnom záujme vychádzajú </w:t>
      </w:r>
      <w:r>
        <w:t xml:space="preserve">podľa článku 5 ods. 5 </w:t>
      </w:r>
      <w:r w:rsidRPr="00426E5B">
        <w:t>nariadeni</w:t>
      </w:r>
      <w:r>
        <w:t>a</w:t>
      </w:r>
      <w:r w:rsidRPr="00426E5B">
        <w:t xml:space="preserve"> Európskeho parlamentu a Rady (ES) č. 1370/2007 o službách vo verejnom záujme v železničnej a cestnej osobnej doprave, ktorým sa zrušujú nariadenia Rady (EHS) č. 1191/69 a (EHS) č. 1107/70 (ďalej len ,,nariadenie (ES) č. 1370/2007“)</w:t>
      </w:r>
    </w:p>
    <w:p w:rsidR="00490B97" w:rsidRDefault="00490B97" w:rsidP="006D2366">
      <w:pPr>
        <w:pStyle w:val="Normlnywebov"/>
        <w:spacing w:before="0" w:line="276" w:lineRule="auto"/>
        <w:ind w:left="284"/>
        <w:jc w:val="both"/>
      </w:pPr>
    </w:p>
    <w:p w:rsidR="00490B97" w:rsidRPr="006309E7" w:rsidRDefault="00490B97" w:rsidP="006D2366">
      <w:pPr>
        <w:pStyle w:val="Normlnywebov"/>
        <w:spacing w:before="0" w:line="276" w:lineRule="auto"/>
        <w:ind w:left="284"/>
        <w:jc w:val="both"/>
        <w:rPr>
          <w:b/>
          <w:color w:val="FF0000"/>
        </w:rPr>
      </w:pPr>
    </w:p>
    <w:p w:rsidR="00490B97" w:rsidRPr="00AC6801" w:rsidRDefault="006D2366" w:rsidP="006D2366">
      <w:pPr>
        <w:pStyle w:val="Normlnywebov"/>
        <w:spacing w:before="0" w:line="276" w:lineRule="auto"/>
        <w:ind w:left="284" w:hanging="284"/>
        <w:jc w:val="both"/>
        <w:rPr>
          <w:color w:val="FF0000"/>
        </w:rPr>
      </w:pPr>
      <w:r>
        <w:rPr>
          <w:b/>
        </w:rPr>
        <w:t xml:space="preserve">5. </w:t>
      </w:r>
      <w:r w:rsidR="00490B97" w:rsidRPr="00AC6801">
        <w:rPr>
          <w:b/>
        </w:rPr>
        <w:t>Stupeň zlučiteľnosti návrhu právneho predpisu s právom Európskej únie</w:t>
      </w:r>
      <w:r w:rsidR="00490B97" w:rsidRPr="00AC6801">
        <w:t>:</w:t>
      </w:r>
    </w:p>
    <w:p w:rsidR="00490B97" w:rsidRPr="00426E5B" w:rsidRDefault="00490B97" w:rsidP="006D2366">
      <w:pPr>
        <w:spacing w:before="60" w:after="60" w:line="276" w:lineRule="auto"/>
        <w:rPr>
          <w:rFonts w:ascii="Times New Roman" w:hAnsi="Times New Roman"/>
          <w:sz w:val="24"/>
        </w:rPr>
      </w:pPr>
      <w:r w:rsidRPr="006309E7">
        <w:rPr>
          <w:rFonts w:ascii="Times New Roman" w:hAnsi="Times New Roman"/>
        </w:rPr>
        <w:t xml:space="preserve">    </w:t>
      </w:r>
      <w:r w:rsidRPr="00426E5B">
        <w:rPr>
          <w:rFonts w:ascii="Times New Roman" w:hAnsi="Times New Roman"/>
          <w:sz w:val="24"/>
        </w:rPr>
        <w:t xml:space="preserve">Stupeň zlučiteľnosti - úplný </w:t>
      </w:r>
    </w:p>
    <w:p w:rsidR="00490B97" w:rsidRPr="00426E5B" w:rsidRDefault="00490B97" w:rsidP="006D2366">
      <w:pPr>
        <w:spacing w:line="276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</w:rPr>
      </w:pPr>
      <w:r w:rsidRPr="006309E7">
        <w:rPr>
          <w:rStyle w:val="Zstupntext"/>
          <w:color w:val="000000"/>
        </w:rPr>
        <w:br w:type="page"/>
      </w:r>
      <w:r w:rsidRPr="00426E5B">
        <w:rPr>
          <w:rFonts w:ascii="Times New Roman" w:hAnsi="Times New Roman"/>
          <w:b/>
          <w:bCs/>
          <w:caps/>
          <w:color w:val="000000"/>
          <w:spacing w:val="30"/>
          <w:sz w:val="24"/>
        </w:rPr>
        <w:lastRenderedPageBreak/>
        <w:t>Doložka</w:t>
      </w:r>
    </w:p>
    <w:p w:rsidR="00490B97" w:rsidRPr="00426E5B" w:rsidRDefault="00490B97" w:rsidP="00490B97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426E5B">
        <w:rPr>
          <w:rFonts w:ascii="Times New Roman" w:hAnsi="Times New Roman"/>
          <w:b/>
          <w:bCs/>
          <w:color w:val="000000"/>
          <w:sz w:val="24"/>
        </w:rPr>
        <w:t>vybraných vplyvov</w:t>
      </w:r>
    </w:p>
    <w:p w:rsidR="00490B97" w:rsidRPr="00426E5B" w:rsidRDefault="00490B97" w:rsidP="00490B97">
      <w:pPr>
        <w:rPr>
          <w:rFonts w:ascii="Times New Roman" w:hAnsi="Times New Roman"/>
          <w:color w:val="000000"/>
          <w:sz w:val="24"/>
        </w:rPr>
      </w:pPr>
    </w:p>
    <w:p w:rsidR="00490B97" w:rsidRPr="00426E5B" w:rsidRDefault="00490B97" w:rsidP="00490B97">
      <w:pPr>
        <w:jc w:val="both"/>
        <w:rPr>
          <w:rFonts w:ascii="Times New Roman" w:hAnsi="Times New Roman"/>
          <w:sz w:val="24"/>
        </w:rPr>
      </w:pPr>
      <w:r w:rsidRPr="00426E5B">
        <w:rPr>
          <w:rFonts w:ascii="Times New Roman" w:hAnsi="Times New Roman"/>
          <w:b/>
          <w:bCs/>
          <w:color w:val="000000"/>
          <w:sz w:val="24"/>
        </w:rPr>
        <w:t xml:space="preserve">A.1. Názov materiálu: </w:t>
      </w:r>
      <w:r w:rsidRPr="00426E5B">
        <w:rPr>
          <w:rFonts w:ascii="Times New Roman" w:hAnsi="Times New Roman"/>
          <w:color w:val="000000"/>
          <w:sz w:val="24"/>
        </w:rPr>
        <w:t xml:space="preserve">Návrh zákona, ktorým sa mení a dopĺňa zákon č. 56/2012 Z. z. o cestnej doprave v znení neskorších predpisov  </w:t>
      </w:r>
      <w:r w:rsidRPr="00426E5B">
        <w:rPr>
          <w:rFonts w:ascii="Times New Roman" w:hAnsi="Times New Roman"/>
          <w:sz w:val="24"/>
        </w:rPr>
        <w:t xml:space="preserve"> </w:t>
      </w:r>
    </w:p>
    <w:p w:rsidR="00490B97" w:rsidRPr="00426E5B" w:rsidRDefault="00490B97" w:rsidP="00490B97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490B97" w:rsidRPr="00426E5B" w:rsidRDefault="00490B97" w:rsidP="00490B97">
      <w:pPr>
        <w:spacing w:after="200" w:line="276" w:lineRule="auto"/>
        <w:jc w:val="both"/>
        <w:rPr>
          <w:rFonts w:ascii="Times New Roman" w:eastAsiaTheme="minorEastAsia" w:hAnsi="Times New Roman"/>
          <w:i/>
          <w:sz w:val="24"/>
        </w:rPr>
      </w:pPr>
      <w:r w:rsidRPr="00426E5B">
        <w:rPr>
          <w:rFonts w:ascii="Times New Roman" w:hAnsi="Times New Roman"/>
          <w:b/>
          <w:bCs/>
          <w:color w:val="000000"/>
          <w:sz w:val="24"/>
        </w:rPr>
        <w:t>Termín začatia a ukončenia PPK:</w:t>
      </w:r>
      <w:r w:rsidRPr="00426E5B">
        <w:rPr>
          <w:rFonts w:ascii="Times New Roman" w:hAnsi="Times New Roman"/>
          <w:color w:val="000000"/>
          <w:sz w:val="24"/>
        </w:rPr>
        <w:t xml:space="preserve">   </w:t>
      </w:r>
      <w:r w:rsidRPr="00426E5B">
        <w:rPr>
          <w:rFonts w:ascii="Times New Roman" w:eastAsiaTheme="minorEastAsia" w:hAnsi="Times New Roman"/>
          <w:i/>
          <w:sz w:val="24"/>
        </w:rPr>
        <w:t>bezpredmetné</w:t>
      </w:r>
    </w:p>
    <w:p w:rsidR="00490B97" w:rsidRPr="00426E5B" w:rsidRDefault="00490B97" w:rsidP="00490B97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490B97" w:rsidRPr="00426E5B" w:rsidRDefault="00490B97" w:rsidP="00490B97">
      <w:pPr>
        <w:jc w:val="both"/>
        <w:rPr>
          <w:rFonts w:ascii="Times New Roman" w:hAnsi="Times New Roman"/>
          <w:b/>
          <w:bCs/>
          <w:color w:val="000000"/>
          <w:sz w:val="24"/>
        </w:rPr>
      </w:pPr>
      <w:r w:rsidRPr="00426E5B">
        <w:rPr>
          <w:rFonts w:ascii="Times New Roman" w:hAnsi="Times New Roman"/>
          <w:b/>
          <w:bCs/>
          <w:color w:val="000000"/>
          <w:sz w:val="24"/>
        </w:rPr>
        <w:t>A.2. Vplyvy:</w:t>
      </w:r>
    </w:p>
    <w:tbl>
      <w:tblPr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4"/>
        <w:gridCol w:w="1187"/>
        <w:gridCol w:w="1174"/>
        <w:gridCol w:w="1191"/>
      </w:tblGrid>
      <w:tr w:rsidR="00490B97" w:rsidRPr="00426E5B" w:rsidTr="004218AE">
        <w:tc>
          <w:tcPr>
            <w:tcW w:w="5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>Pozitívne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>Žiadne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>Negatívne</w:t>
            </w:r>
          </w:p>
        </w:tc>
      </w:tr>
      <w:tr w:rsidR="00490B97" w:rsidRPr="00426E5B" w:rsidTr="004218AE">
        <w:tc>
          <w:tcPr>
            <w:tcW w:w="5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>1. Vplyvy na rozpočet verejnej správy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>x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90B97" w:rsidRPr="00426E5B" w:rsidTr="004218AE">
        <w:tc>
          <w:tcPr>
            <w:tcW w:w="5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rPr>
                <w:rFonts w:ascii="Times New Roman" w:hAnsi="Times New Roman"/>
                <w:sz w:val="24"/>
              </w:rPr>
            </w:pPr>
            <w:r w:rsidRPr="00426E5B">
              <w:rPr>
                <w:rFonts w:ascii="Times New Roman" w:hAnsi="Times New Roman"/>
                <w:sz w:val="24"/>
              </w:rPr>
              <w:t>2. Vplyvy na podnikateľské prostredie – dochádza k zvýšeniu regulačného zaťaženia?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sz w:val="24"/>
              </w:rPr>
            </w:pPr>
            <w:r w:rsidRPr="00426E5B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dstrike/>
                <w:sz w:val="24"/>
              </w:rPr>
            </w:pPr>
          </w:p>
        </w:tc>
      </w:tr>
      <w:tr w:rsidR="00490B97" w:rsidRPr="00426E5B" w:rsidTr="004218AE">
        <w:trPr>
          <w:trHeight w:val="1380"/>
        </w:trPr>
        <w:tc>
          <w:tcPr>
            <w:tcW w:w="57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>3. Sociálne vplyvy</w:t>
            </w:r>
          </w:p>
          <w:p w:rsidR="00490B97" w:rsidRPr="00426E5B" w:rsidRDefault="00490B97" w:rsidP="004218AE">
            <w:pPr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>– vplyvy na hospodárenie obyvateľstva,</w:t>
            </w:r>
          </w:p>
          <w:p w:rsidR="00490B97" w:rsidRPr="00426E5B" w:rsidRDefault="00490B97" w:rsidP="004218AE">
            <w:pPr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 xml:space="preserve">– sociálnu </w:t>
            </w:r>
            <w:proofErr w:type="spellStart"/>
            <w:r w:rsidRPr="00426E5B">
              <w:rPr>
                <w:rFonts w:ascii="Times New Roman" w:hAnsi="Times New Roman"/>
                <w:color w:val="000000"/>
                <w:sz w:val="24"/>
              </w:rPr>
              <w:t>exklúziu</w:t>
            </w:r>
            <w:proofErr w:type="spellEnd"/>
            <w:r w:rsidRPr="00426E5B"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490B97" w:rsidRPr="00426E5B" w:rsidRDefault="00490B97" w:rsidP="004218AE">
            <w:pPr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>– rovnosť príležitostí a rodovú rovnosť a vplyvy na zamestnanosť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>x</w:t>
            </w:r>
          </w:p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>x</w:t>
            </w:r>
          </w:p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>x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90B97" w:rsidRPr="00426E5B" w:rsidTr="004218AE">
        <w:tc>
          <w:tcPr>
            <w:tcW w:w="5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>4. Vplyvy na životné prostredie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26E5B">
              <w:rPr>
                <w:rFonts w:ascii="Times New Roman" w:hAnsi="Times New Roman"/>
                <w:color w:val="000000"/>
                <w:sz w:val="24"/>
              </w:rPr>
              <w:t>x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90B97" w:rsidRPr="00426E5B" w:rsidTr="004218AE">
        <w:tc>
          <w:tcPr>
            <w:tcW w:w="5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rPr>
                <w:rFonts w:ascii="Times New Roman" w:hAnsi="Times New Roman"/>
                <w:sz w:val="24"/>
              </w:rPr>
            </w:pPr>
            <w:r w:rsidRPr="00426E5B">
              <w:rPr>
                <w:rFonts w:ascii="Times New Roman" w:hAnsi="Times New Roman"/>
                <w:sz w:val="24"/>
              </w:rPr>
              <w:t>5. Vplyvy na informatizáciu spoločnosti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sz w:val="24"/>
              </w:rPr>
            </w:pPr>
            <w:r w:rsidRPr="00426E5B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90B97" w:rsidRPr="00426E5B" w:rsidTr="004218AE">
        <w:tc>
          <w:tcPr>
            <w:tcW w:w="5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rPr>
                <w:rFonts w:ascii="Times New Roman" w:hAnsi="Times New Roman"/>
                <w:sz w:val="24"/>
              </w:rPr>
            </w:pPr>
            <w:r w:rsidRPr="00426E5B">
              <w:rPr>
                <w:rFonts w:ascii="Times New Roman" w:hAnsi="Times New Roman"/>
                <w:sz w:val="24"/>
              </w:rPr>
              <w:t>6. Vplyvy na manželstvo, rodičovstvo a rodinu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sz w:val="24"/>
              </w:rPr>
            </w:pPr>
            <w:r w:rsidRPr="00426E5B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97" w:rsidRPr="00426E5B" w:rsidRDefault="00490B97" w:rsidP="004218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90B97" w:rsidRPr="00426E5B" w:rsidRDefault="00490B97" w:rsidP="00490B97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490B97" w:rsidRPr="00426E5B" w:rsidRDefault="00490B97" w:rsidP="00490B97">
      <w:pPr>
        <w:jc w:val="both"/>
        <w:rPr>
          <w:rFonts w:ascii="Times New Roman" w:hAnsi="Times New Roman"/>
          <w:b/>
          <w:bCs/>
          <w:color w:val="000000"/>
          <w:sz w:val="24"/>
        </w:rPr>
      </w:pPr>
      <w:r w:rsidRPr="00426E5B">
        <w:rPr>
          <w:rStyle w:val="awspan1"/>
          <w:rFonts w:ascii="Times New Roman" w:hAnsi="Times New Roman"/>
        </w:rPr>
        <w:t>*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Predkladateľ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označí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znakom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x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zodpovedajúci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vplyv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(pozitívny,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negatívny,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žiadny),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ktorý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návrh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prináša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v každej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oblasti</w:t>
      </w:r>
      <w:r w:rsidRPr="00426E5B">
        <w:rPr>
          <w:rStyle w:val="awspan1"/>
          <w:rFonts w:ascii="Times New Roman" w:hAnsi="Times New Roman"/>
          <w:spacing w:val="25"/>
        </w:rPr>
        <w:t xml:space="preserve"> </w:t>
      </w:r>
      <w:r w:rsidRPr="00426E5B">
        <w:rPr>
          <w:rStyle w:val="awspan1"/>
          <w:rFonts w:ascii="Times New Roman" w:hAnsi="Times New Roman"/>
        </w:rPr>
        <w:t>posudzovania vplyvov.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Návrh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môže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mať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v jednej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oblasti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zároveň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pozitívny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aj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negatívny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vplyv,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v tom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prípade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predkladateľ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označí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obe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možnosti.</w:t>
      </w:r>
      <w:r w:rsidRPr="00426E5B">
        <w:rPr>
          <w:rStyle w:val="awspan1"/>
          <w:rFonts w:ascii="Times New Roman" w:hAnsi="Times New Roman"/>
          <w:spacing w:val="14"/>
        </w:rPr>
        <w:t xml:space="preserve"> </w:t>
      </w:r>
      <w:r w:rsidRPr="00426E5B">
        <w:rPr>
          <w:rStyle w:val="awspan1"/>
          <w:rFonts w:ascii="Times New Roman" w:hAnsi="Times New Roman"/>
        </w:rPr>
        <w:t>Bližšie vysvetlenie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označených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vplyvov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bude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obsahovať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analýza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vplyvov.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Isté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vysvetlenie,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či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bilanciu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vplyvov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(sumárne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zhodnotenie,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ktorý</w:t>
      </w:r>
      <w:r w:rsidRPr="00426E5B">
        <w:rPr>
          <w:rStyle w:val="awspan1"/>
          <w:rFonts w:ascii="Times New Roman" w:hAnsi="Times New Roman"/>
          <w:spacing w:val="10"/>
        </w:rPr>
        <w:t xml:space="preserve"> </w:t>
      </w:r>
      <w:r w:rsidRPr="00426E5B">
        <w:rPr>
          <w:rStyle w:val="awspan1"/>
          <w:rFonts w:ascii="Times New Roman" w:hAnsi="Times New Roman"/>
        </w:rPr>
        <w:t>vplyv v danej oblasti prevažuje) môže predkladateľ uviesť v poznámke.</w:t>
      </w:r>
    </w:p>
    <w:p w:rsidR="00490B97" w:rsidRPr="00426E5B" w:rsidRDefault="00490B97" w:rsidP="00490B97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490B97" w:rsidRPr="00426E5B" w:rsidRDefault="00490B97" w:rsidP="00490B97">
      <w:pPr>
        <w:jc w:val="both"/>
        <w:rPr>
          <w:rFonts w:ascii="Times New Roman" w:hAnsi="Times New Roman"/>
          <w:b/>
          <w:bCs/>
          <w:color w:val="000000"/>
          <w:sz w:val="24"/>
        </w:rPr>
      </w:pPr>
      <w:r w:rsidRPr="00426E5B">
        <w:rPr>
          <w:rFonts w:ascii="Times New Roman" w:hAnsi="Times New Roman"/>
          <w:b/>
          <w:bCs/>
          <w:color w:val="000000"/>
          <w:sz w:val="24"/>
        </w:rPr>
        <w:t>A.3. Poznámky</w:t>
      </w:r>
    </w:p>
    <w:p w:rsidR="00490B97" w:rsidRPr="00426E5B" w:rsidRDefault="00490B97" w:rsidP="00490B97">
      <w:pPr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490B97" w:rsidRPr="00426E5B" w:rsidRDefault="00490B97" w:rsidP="00490B97">
      <w:pPr>
        <w:jc w:val="both"/>
        <w:rPr>
          <w:rFonts w:ascii="Times New Roman" w:hAnsi="Times New Roman"/>
          <w:b/>
          <w:bCs/>
          <w:color w:val="000000"/>
          <w:sz w:val="24"/>
        </w:rPr>
      </w:pPr>
      <w:r w:rsidRPr="00426E5B">
        <w:rPr>
          <w:rFonts w:ascii="Times New Roman" w:hAnsi="Times New Roman"/>
          <w:b/>
          <w:bCs/>
          <w:color w:val="000000"/>
          <w:sz w:val="24"/>
        </w:rPr>
        <w:t>A.4. Alternatívne riešenia</w:t>
      </w:r>
    </w:p>
    <w:p w:rsidR="00490B97" w:rsidRPr="00426E5B" w:rsidRDefault="00490B97" w:rsidP="00490B97">
      <w:pPr>
        <w:spacing w:after="200" w:line="276" w:lineRule="auto"/>
        <w:jc w:val="both"/>
        <w:rPr>
          <w:rFonts w:ascii="Times New Roman" w:eastAsiaTheme="minorEastAsia" w:hAnsi="Times New Roman"/>
          <w:i/>
          <w:sz w:val="24"/>
        </w:rPr>
      </w:pPr>
      <w:r w:rsidRPr="00426E5B">
        <w:rPr>
          <w:rFonts w:ascii="Times New Roman" w:eastAsiaTheme="minorEastAsia" w:hAnsi="Times New Roman"/>
          <w:i/>
          <w:sz w:val="24"/>
        </w:rPr>
        <w:t>bezpredmetné</w:t>
      </w:r>
    </w:p>
    <w:p w:rsidR="00490B97" w:rsidRPr="00426E5B" w:rsidRDefault="00490B97" w:rsidP="00490B97">
      <w:pPr>
        <w:jc w:val="both"/>
        <w:rPr>
          <w:rFonts w:ascii="Times New Roman" w:hAnsi="Times New Roman"/>
          <w:b/>
          <w:bCs/>
          <w:color w:val="000000"/>
          <w:sz w:val="24"/>
        </w:rPr>
      </w:pPr>
      <w:r w:rsidRPr="00426E5B">
        <w:rPr>
          <w:rFonts w:ascii="Times New Roman" w:hAnsi="Times New Roman"/>
          <w:b/>
          <w:bCs/>
          <w:color w:val="000000"/>
          <w:sz w:val="24"/>
        </w:rPr>
        <w:t>A.5. Stanovisko gestorov</w:t>
      </w:r>
    </w:p>
    <w:p w:rsidR="00490B97" w:rsidRPr="00426E5B" w:rsidRDefault="00490B97" w:rsidP="00490B97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(</w:t>
      </w:r>
      <w:r w:rsidRPr="00426E5B">
        <w:rPr>
          <w:rFonts w:ascii="Times New Roman" w:hAnsi="Times New Roman"/>
          <w:i/>
          <w:iCs/>
          <w:sz w:val="24"/>
        </w:rPr>
        <w:t>Návrh zákona bol zaslaný na vyjadrenie Ministerstvu financií SR</w:t>
      </w:r>
      <w:r>
        <w:rPr>
          <w:rFonts w:ascii="Times New Roman" w:hAnsi="Times New Roman"/>
          <w:i/>
          <w:iCs/>
          <w:sz w:val="24"/>
        </w:rPr>
        <w:t>)</w:t>
      </w:r>
      <w:r w:rsidRPr="00426E5B">
        <w:rPr>
          <w:rFonts w:ascii="Times New Roman" w:hAnsi="Times New Roman"/>
          <w:i/>
          <w:iCs/>
          <w:sz w:val="24"/>
        </w:rPr>
        <w:t xml:space="preserve">. </w:t>
      </w:r>
    </w:p>
    <w:p w:rsidR="00490B97" w:rsidRDefault="00490B97" w:rsidP="00490B97"/>
    <w:p w:rsidR="00AC5FC5" w:rsidRDefault="00AC5FC5"/>
    <w:sectPr w:rsidR="00AC5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75D54"/>
    <w:multiLevelType w:val="hybridMultilevel"/>
    <w:tmpl w:val="85EC4106"/>
    <w:lvl w:ilvl="0" w:tplc="0920690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32D81"/>
    <w:multiLevelType w:val="hybridMultilevel"/>
    <w:tmpl w:val="720A6F08"/>
    <w:lvl w:ilvl="0" w:tplc="F55664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auto"/>
        <w:rtl w:val="0"/>
        <w:cs w:val="0"/>
      </w:rPr>
    </w:lvl>
    <w:lvl w:ilvl="1" w:tplc="E2D4849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BB0535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B2272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2A0933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E72D2D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EFC0CD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B3C225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FD21BB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97"/>
    <w:rsid w:val="00490B97"/>
    <w:rsid w:val="006D2366"/>
    <w:rsid w:val="00926189"/>
    <w:rsid w:val="00AC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A927"/>
  <w15:chartTrackingRefBased/>
  <w15:docId w15:val="{D549E65F-4256-4B5F-BD17-7F057E0D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B97"/>
    <w:pPr>
      <w:spacing w:before="120"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link w:val="NormlnywebovChar"/>
    <w:uiPriority w:val="99"/>
    <w:rsid w:val="00490B97"/>
    <w:rPr>
      <w:rFonts w:ascii="Times New Roman" w:hAnsi="Times New Roman"/>
      <w:sz w:val="24"/>
    </w:rPr>
  </w:style>
  <w:style w:type="character" w:customStyle="1" w:styleId="NormlnywebovChar">
    <w:name w:val="Normálny (webový) Char"/>
    <w:aliases w:val="webb Char"/>
    <w:basedOn w:val="Predvolenpsmoodseku"/>
    <w:link w:val="Normlnywebov"/>
    <w:uiPriority w:val="99"/>
    <w:locked/>
    <w:rsid w:val="00490B97"/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Predvolenpsmoodseku"/>
    <w:uiPriority w:val="99"/>
    <w:rsid w:val="00490B97"/>
    <w:rPr>
      <w:rFonts w:ascii="Times New Roman" w:hAnsi="Times New Roman" w:cs="Times New Roman"/>
      <w:color w:val="808080"/>
      <w:rtl w:val="0"/>
      <w:cs w:val="0"/>
    </w:rPr>
  </w:style>
  <w:style w:type="paragraph" w:styleId="Odsekzoznamu">
    <w:name w:val="List Paragraph"/>
    <w:basedOn w:val="Normlny"/>
    <w:uiPriority w:val="34"/>
    <w:qFormat/>
    <w:rsid w:val="00490B97"/>
    <w:pPr>
      <w:spacing w:before="0"/>
      <w:ind w:left="720"/>
    </w:pPr>
    <w:rPr>
      <w:rFonts w:ascii="Calibri" w:hAnsi="Calibri"/>
      <w:sz w:val="22"/>
      <w:szCs w:val="22"/>
    </w:rPr>
  </w:style>
  <w:style w:type="paragraph" w:styleId="Bezriadkovania">
    <w:name w:val="No Spacing"/>
    <w:uiPriority w:val="1"/>
    <w:qFormat/>
    <w:rsid w:val="00490B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sk-SK"/>
    </w:rPr>
  </w:style>
  <w:style w:type="character" w:customStyle="1" w:styleId="awspan1">
    <w:name w:val="awspan1"/>
    <w:basedOn w:val="Predvolenpsmoodseku"/>
    <w:rsid w:val="00490B97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Hlinka, Jozef</dc:creator>
  <cp:keywords/>
  <dc:description/>
  <cp:lastModifiedBy>Hlinka, Jozef</cp:lastModifiedBy>
  <cp:revision>4</cp:revision>
  <dcterms:created xsi:type="dcterms:W3CDTF">2021-02-25T17:18:00Z</dcterms:created>
  <dcterms:modified xsi:type="dcterms:W3CDTF">2021-02-25T17:38:00Z</dcterms:modified>
</cp:coreProperties>
</file>