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A72E" w14:textId="77777777" w:rsidR="00D44C5B" w:rsidRPr="00A46C04" w:rsidRDefault="00D44C5B" w:rsidP="00D44C5B">
      <w:pPr>
        <w:jc w:val="center"/>
        <w:rPr>
          <w:b/>
          <w:u w:val="single"/>
        </w:rPr>
      </w:pPr>
      <w:r w:rsidRPr="00A46C04">
        <w:rPr>
          <w:b/>
          <w:u w:val="single"/>
        </w:rPr>
        <w:t>Dôvodová správa</w:t>
      </w:r>
    </w:p>
    <w:p w14:paraId="60857D1B" w14:textId="77777777" w:rsidR="00D44C5B" w:rsidRPr="00A46C04" w:rsidRDefault="00D44C5B" w:rsidP="00D44C5B">
      <w:pPr>
        <w:jc w:val="center"/>
        <w:rPr>
          <w:b/>
          <w:u w:val="single"/>
        </w:rPr>
      </w:pPr>
    </w:p>
    <w:p w14:paraId="7C1D5623" w14:textId="77777777" w:rsidR="00D44C5B" w:rsidRPr="00A46C04" w:rsidRDefault="00D44C5B" w:rsidP="00D44C5B">
      <w:pPr>
        <w:jc w:val="center"/>
        <w:rPr>
          <w:b/>
          <w:u w:val="single"/>
        </w:rPr>
      </w:pPr>
    </w:p>
    <w:p w14:paraId="0C7E7B0C" w14:textId="77777777" w:rsidR="00D44C5B" w:rsidRPr="00A46C04" w:rsidRDefault="00D44C5B" w:rsidP="004F4787">
      <w:pPr>
        <w:widowControl/>
        <w:numPr>
          <w:ilvl w:val="0"/>
          <w:numId w:val="1"/>
        </w:numPr>
        <w:tabs>
          <w:tab w:val="left" w:pos="284"/>
        </w:tabs>
        <w:adjustRightInd/>
        <w:ind w:left="0" w:firstLine="0"/>
        <w:contextualSpacing/>
        <w:rPr>
          <w:b/>
        </w:rPr>
      </w:pPr>
      <w:r w:rsidRPr="00A46C04">
        <w:rPr>
          <w:b/>
        </w:rPr>
        <w:t>Všeobecná časť</w:t>
      </w:r>
    </w:p>
    <w:p w14:paraId="0CD888DD" w14:textId="3E36B170" w:rsidR="001B1112" w:rsidRPr="00A46C04" w:rsidRDefault="001B1112" w:rsidP="00D44C5B">
      <w:pPr>
        <w:jc w:val="both"/>
      </w:pPr>
    </w:p>
    <w:p w14:paraId="5ABACC10" w14:textId="00AE106F" w:rsidR="001841DD" w:rsidRDefault="000B61BE" w:rsidP="00AA2D86">
      <w:pPr>
        <w:ind w:firstLine="708"/>
        <w:jc w:val="both"/>
      </w:pPr>
      <w:r>
        <w:t>Vláda</w:t>
      </w:r>
      <w:r w:rsidR="001B1112" w:rsidRPr="00AD7C21">
        <w:t xml:space="preserve"> Slovenskej republiky </w:t>
      </w:r>
      <w:r w:rsidR="00945DB8">
        <w:t>p</w:t>
      </w:r>
      <w:r w:rsidR="001B1112" w:rsidRPr="00AD7C21">
        <w:t>redkladá</w:t>
      </w:r>
      <w:r w:rsidR="00067B93" w:rsidRPr="00C64CAB">
        <w:t xml:space="preserve"> </w:t>
      </w:r>
      <w:r w:rsidR="00067B93">
        <w:t xml:space="preserve">na rokovanie </w:t>
      </w:r>
      <w:r w:rsidR="000370C2">
        <w:t xml:space="preserve">Národnej rady </w:t>
      </w:r>
      <w:r w:rsidR="00067B93">
        <w:t>Slovenskej republiky</w:t>
      </w:r>
      <w:r w:rsidR="00EE2030" w:rsidRPr="00EE2030">
        <w:rPr>
          <w:bCs/>
        </w:rPr>
        <w:t xml:space="preserve"> </w:t>
      </w:r>
      <w:r w:rsidR="0010663D">
        <w:rPr>
          <w:bCs/>
        </w:rPr>
        <w:t xml:space="preserve">vládny </w:t>
      </w:r>
      <w:r w:rsidR="0079393F">
        <w:t>n</w:t>
      </w:r>
      <w:r w:rsidR="0079393F" w:rsidRPr="0079393F">
        <w:t xml:space="preserve">ávrh zákona, </w:t>
      </w:r>
      <w:r w:rsidR="00AA2D86" w:rsidRPr="00AA2D86">
        <w:t xml:space="preserve">ktorým sa mení a dopĺňa zákon č. 307/2016 Z. z. o </w:t>
      </w:r>
      <w:proofErr w:type="spellStart"/>
      <w:r w:rsidR="00AA2D86" w:rsidRPr="00AA2D86">
        <w:t>upomínacom</w:t>
      </w:r>
      <w:proofErr w:type="spellEnd"/>
      <w:r w:rsidR="00AA2D86" w:rsidRPr="00AA2D86">
        <w:t xml:space="preserve"> konaní a o doplnení niektorých zákonov a ktorým sa menia a dopĺňajú niektoré zákony</w:t>
      </w:r>
      <w:r w:rsidR="00AA2D86">
        <w:t xml:space="preserve"> </w:t>
      </w:r>
      <w:r w:rsidR="001B1112" w:rsidRPr="00AD7C21">
        <w:t>(ďalej len „</w:t>
      </w:r>
      <w:r w:rsidR="00B6303E">
        <w:t xml:space="preserve">vládny </w:t>
      </w:r>
      <w:r w:rsidR="001B1112" w:rsidRPr="00AD7C21">
        <w:t xml:space="preserve">návrh </w:t>
      </w:r>
      <w:r w:rsidR="001841DD">
        <w:t>zákona</w:t>
      </w:r>
      <w:r w:rsidR="001B1112" w:rsidRPr="00AD7C21">
        <w:t>“)</w:t>
      </w:r>
      <w:r w:rsidR="001B1112">
        <w:t xml:space="preserve">. </w:t>
      </w:r>
      <w:r w:rsidR="00B6303E">
        <w:t>Vládny n</w:t>
      </w:r>
      <w:r w:rsidR="002A1095" w:rsidRPr="002A1095">
        <w:t xml:space="preserve">ávrh zákona sa predkladá </w:t>
      </w:r>
      <w:r w:rsidR="002A1095" w:rsidRPr="002A1095">
        <w:rPr>
          <w:rStyle w:val="awspan"/>
          <w:color w:val="000000"/>
        </w:rPr>
        <w:t>v</w:t>
      </w:r>
      <w:r w:rsidR="00E70403">
        <w:rPr>
          <w:rStyle w:val="awspan"/>
          <w:color w:val="000000"/>
        </w:rPr>
        <w:t> </w:t>
      </w:r>
      <w:r w:rsidR="002A1095" w:rsidRPr="002A1095">
        <w:rPr>
          <w:rStyle w:val="awspan"/>
          <w:color w:val="000000"/>
        </w:rPr>
        <w:t>súlade</w:t>
      </w:r>
      <w:r w:rsidR="00E70403">
        <w:rPr>
          <w:rStyle w:val="awspan"/>
          <w:color w:val="000000"/>
          <w:spacing w:val="92"/>
        </w:rPr>
        <w:t xml:space="preserve"> </w:t>
      </w:r>
      <w:r w:rsidR="002A1095" w:rsidRPr="002A1095">
        <w:rPr>
          <w:rStyle w:val="awspan"/>
          <w:color w:val="000000"/>
        </w:rPr>
        <w:t>s Programovým</w:t>
      </w:r>
      <w:r w:rsidR="002A1095" w:rsidRPr="002A1095">
        <w:rPr>
          <w:rStyle w:val="awspan"/>
          <w:color w:val="000000"/>
          <w:spacing w:val="92"/>
        </w:rPr>
        <w:t xml:space="preserve"> </w:t>
      </w:r>
      <w:r w:rsidR="002A1095" w:rsidRPr="002A1095">
        <w:rPr>
          <w:rStyle w:val="awspan"/>
          <w:color w:val="000000"/>
        </w:rPr>
        <w:t>vyhlásením</w:t>
      </w:r>
      <w:r w:rsidR="002A1095" w:rsidRPr="002A1095">
        <w:rPr>
          <w:rStyle w:val="awspan"/>
          <w:color w:val="000000"/>
          <w:spacing w:val="92"/>
        </w:rPr>
        <w:t xml:space="preserve"> </w:t>
      </w:r>
      <w:r w:rsidR="002A1095" w:rsidRPr="002A1095">
        <w:rPr>
          <w:rStyle w:val="awspan"/>
          <w:color w:val="000000"/>
        </w:rPr>
        <w:t>vlády Slovenskej</w:t>
      </w:r>
      <w:r w:rsidR="002A1095" w:rsidRPr="002A1095">
        <w:rPr>
          <w:rStyle w:val="awspan"/>
          <w:color w:val="000000"/>
          <w:spacing w:val="2"/>
        </w:rPr>
        <w:t xml:space="preserve"> </w:t>
      </w:r>
      <w:r w:rsidR="002A1095" w:rsidRPr="002A1095">
        <w:rPr>
          <w:rStyle w:val="awspan"/>
          <w:color w:val="000000"/>
        </w:rPr>
        <w:t>republiky</w:t>
      </w:r>
      <w:r w:rsidR="002A1095" w:rsidRPr="002A1095">
        <w:rPr>
          <w:rStyle w:val="awspan"/>
          <w:color w:val="000000"/>
          <w:spacing w:val="2"/>
        </w:rPr>
        <w:t xml:space="preserve"> </w:t>
      </w:r>
      <w:r w:rsidR="002A1095" w:rsidRPr="002A1095">
        <w:rPr>
          <w:rStyle w:val="awspan"/>
          <w:color w:val="000000"/>
        </w:rPr>
        <w:t>na</w:t>
      </w:r>
      <w:r w:rsidR="002A1095" w:rsidRPr="002A1095">
        <w:rPr>
          <w:rStyle w:val="awspan"/>
          <w:color w:val="000000"/>
          <w:spacing w:val="2"/>
        </w:rPr>
        <w:t xml:space="preserve"> </w:t>
      </w:r>
      <w:r w:rsidR="002A1095" w:rsidRPr="002A1095">
        <w:rPr>
          <w:rStyle w:val="awspan"/>
          <w:color w:val="000000"/>
        </w:rPr>
        <w:t>roky</w:t>
      </w:r>
      <w:r w:rsidR="002A1095" w:rsidRPr="002A1095">
        <w:rPr>
          <w:rStyle w:val="awspan"/>
          <w:color w:val="000000"/>
          <w:spacing w:val="2"/>
        </w:rPr>
        <w:t xml:space="preserve"> </w:t>
      </w:r>
      <w:r w:rsidR="002A1095" w:rsidRPr="002A1095">
        <w:rPr>
          <w:rStyle w:val="awspan"/>
          <w:color w:val="000000"/>
        </w:rPr>
        <w:t>2020</w:t>
      </w:r>
      <w:r w:rsidR="002A1095" w:rsidRPr="002A1095">
        <w:rPr>
          <w:rStyle w:val="awspan"/>
          <w:color w:val="000000"/>
          <w:spacing w:val="2"/>
        </w:rPr>
        <w:t xml:space="preserve"> </w:t>
      </w:r>
      <w:r w:rsidR="002A1095" w:rsidRPr="002A1095">
        <w:rPr>
          <w:rStyle w:val="awspan"/>
          <w:color w:val="000000"/>
        </w:rPr>
        <w:t>až</w:t>
      </w:r>
      <w:r w:rsidR="002A1095" w:rsidRPr="002A1095">
        <w:rPr>
          <w:rStyle w:val="awspan"/>
          <w:color w:val="000000"/>
          <w:spacing w:val="2"/>
        </w:rPr>
        <w:t xml:space="preserve"> </w:t>
      </w:r>
      <w:r w:rsidR="002A1095" w:rsidRPr="002A1095">
        <w:rPr>
          <w:rStyle w:val="awspan"/>
          <w:color w:val="000000"/>
        </w:rPr>
        <w:t>2024,</w:t>
      </w:r>
      <w:r w:rsidR="002A1095" w:rsidRPr="002A1095">
        <w:rPr>
          <w:rStyle w:val="awspan"/>
          <w:color w:val="000000"/>
          <w:spacing w:val="2"/>
        </w:rPr>
        <w:t xml:space="preserve"> </w:t>
      </w:r>
      <w:r w:rsidR="002A1095" w:rsidRPr="002A1095">
        <w:rPr>
          <w:rStyle w:val="awspan"/>
          <w:color w:val="000000"/>
        </w:rPr>
        <w:t>v ktorom</w:t>
      </w:r>
      <w:r w:rsidR="002A1095" w:rsidRPr="002A1095">
        <w:rPr>
          <w:rStyle w:val="awspan"/>
          <w:color w:val="000000"/>
          <w:spacing w:val="2"/>
        </w:rPr>
        <w:t xml:space="preserve"> </w:t>
      </w:r>
      <w:r w:rsidR="002A1095" w:rsidRPr="002A1095">
        <w:rPr>
          <w:rStyle w:val="awspan"/>
          <w:color w:val="000000"/>
        </w:rPr>
        <w:t>sa</w:t>
      </w:r>
      <w:r w:rsidR="002A1095" w:rsidRPr="002A1095">
        <w:rPr>
          <w:rStyle w:val="awspan"/>
          <w:color w:val="000000"/>
          <w:spacing w:val="2"/>
        </w:rPr>
        <w:t xml:space="preserve"> </w:t>
      </w:r>
      <w:r w:rsidR="002A1095" w:rsidRPr="002A1095">
        <w:rPr>
          <w:rStyle w:val="awspan"/>
          <w:color w:val="000000"/>
        </w:rPr>
        <w:t>vláda</w:t>
      </w:r>
      <w:r w:rsidR="002A1095" w:rsidRPr="002A1095">
        <w:rPr>
          <w:rStyle w:val="awspan"/>
          <w:color w:val="000000"/>
          <w:spacing w:val="2"/>
        </w:rPr>
        <w:t xml:space="preserve"> </w:t>
      </w:r>
      <w:r w:rsidR="002A1095" w:rsidRPr="002A1095">
        <w:rPr>
          <w:rStyle w:val="awspan"/>
          <w:color w:val="000000"/>
        </w:rPr>
        <w:t>Slovenskej</w:t>
      </w:r>
      <w:r w:rsidR="002A1095" w:rsidRPr="002A1095">
        <w:rPr>
          <w:rStyle w:val="awspan"/>
          <w:color w:val="000000"/>
          <w:spacing w:val="2"/>
        </w:rPr>
        <w:t xml:space="preserve"> </w:t>
      </w:r>
      <w:r w:rsidR="002A1095" w:rsidRPr="002A1095">
        <w:rPr>
          <w:rStyle w:val="awspan"/>
          <w:color w:val="000000"/>
        </w:rPr>
        <w:t>republiky</w:t>
      </w:r>
      <w:r w:rsidR="002A1095" w:rsidRPr="002A1095">
        <w:rPr>
          <w:rStyle w:val="awspan"/>
          <w:color w:val="000000"/>
          <w:spacing w:val="2"/>
        </w:rPr>
        <w:t xml:space="preserve"> </w:t>
      </w:r>
      <w:r w:rsidR="002A1095" w:rsidRPr="002A1095">
        <w:rPr>
          <w:rStyle w:val="awspan"/>
          <w:color w:val="000000"/>
        </w:rPr>
        <w:t>zaviazala zlepšiť</w:t>
      </w:r>
      <w:r w:rsidR="002A1095" w:rsidRPr="002A1095">
        <w:rPr>
          <w:rStyle w:val="awspan"/>
          <w:color w:val="000000"/>
          <w:spacing w:val="104"/>
        </w:rPr>
        <w:t xml:space="preserve"> </w:t>
      </w:r>
      <w:r w:rsidR="002A1095" w:rsidRPr="002A1095">
        <w:rPr>
          <w:rStyle w:val="awspan"/>
          <w:color w:val="000000"/>
        </w:rPr>
        <w:t>prístup</w:t>
      </w:r>
      <w:r w:rsidR="002A1095" w:rsidRPr="002A1095">
        <w:rPr>
          <w:rStyle w:val="awspan"/>
          <w:color w:val="000000"/>
          <w:spacing w:val="104"/>
        </w:rPr>
        <w:t xml:space="preserve"> </w:t>
      </w:r>
      <w:r w:rsidR="002A1095" w:rsidRPr="002A1095">
        <w:rPr>
          <w:rStyle w:val="awspan"/>
          <w:color w:val="000000"/>
        </w:rPr>
        <w:t>k spravodlivosti</w:t>
      </w:r>
      <w:r w:rsidR="002A1095" w:rsidRPr="002A1095">
        <w:rPr>
          <w:rStyle w:val="awspan"/>
          <w:color w:val="000000"/>
          <w:spacing w:val="104"/>
        </w:rPr>
        <w:t xml:space="preserve"> </w:t>
      </w:r>
      <w:r w:rsidR="002A1095" w:rsidRPr="002A1095">
        <w:rPr>
          <w:rStyle w:val="awspan"/>
          <w:color w:val="000000"/>
        </w:rPr>
        <w:t>a taktiež</w:t>
      </w:r>
      <w:r w:rsidR="002A1095" w:rsidRPr="002A1095">
        <w:rPr>
          <w:rStyle w:val="awspan"/>
          <w:color w:val="000000"/>
          <w:spacing w:val="104"/>
        </w:rPr>
        <w:t xml:space="preserve"> </w:t>
      </w:r>
      <w:r w:rsidR="002A1095" w:rsidRPr="002A1095">
        <w:rPr>
          <w:rStyle w:val="awspan"/>
          <w:color w:val="000000"/>
        </w:rPr>
        <w:t>sa</w:t>
      </w:r>
      <w:r w:rsidR="002A1095" w:rsidRPr="002A1095">
        <w:rPr>
          <w:rStyle w:val="awspan"/>
          <w:color w:val="000000"/>
          <w:spacing w:val="104"/>
        </w:rPr>
        <w:t xml:space="preserve"> </w:t>
      </w:r>
      <w:r w:rsidR="002A1095" w:rsidRPr="002A1095">
        <w:rPr>
          <w:rStyle w:val="awspan"/>
          <w:color w:val="000000"/>
        </w:rPr>
        <w:t>zaviazala</w:t>
      </w:r>
      <w:r w:rsidR="002A1095" w:rsidRPr="002A1095">
        <w:rPr>
          <w:rStyle w:val="awspan"/>
          <w:color w:val="000000"/>
          <w:spacing w:val="104"/>
        </w:rPr>
        <w:t xml:space="preserve"> </w:t>
      </w:r>
      <w:r w:rsidR="002A1095" w:rsidRPr="002A1095">
        <w:rPr>
          <w:rStyle w:val="awspan"/>
          <w:color w:val="000000"/>
        </w:rPr>
        <w:t>realizovať</w:t>
      </w:r>
      <w:r w:rsidR="002A1095" w:rsidRPr="002A1095">
        <w:rPr>
          <w:rStyle w:val="awspan"/>
          <w:color w:val="000000"/>
          <w:spacing w:val="104"/>
        </w:rPr>
        <w:t xml:space="preserve"> </w:t>
      </w:r>
      <w:r w:rsidR="002A1095" w:rsidRPr="002A1095">
        <w:rPr>
          <w:rStyle w:val="awspan"/>
          <w:color w:val="000000"/>
        </w:rPr>
        <w:t>analýzu</w:t>
      </w:r>
      <w:r w:rsidR="002A1095" w:rsidRPr="002A1095">
        <w:rPr>
          <w:rStyle w:val="awspan"/>
          <w:color w:val="000000"/>
          <w:spacing w:val="104"/>
        </w:rPr>
        <w:t xml:space="preserve"> </w:t>
      </w:r>
      <w:r w:rsidR="002A1095" w:rsidRPr="002A1095">
        <w:rPr>
          <w:rStyle w:val="awspan"/>
          <w:color w:val="000000"/>
        </w:rPr>
        <w:t>rekodifikácie občianskeho procesného práva a podľa potreby navrhnúť zmeny právnej úpravy.</w:t>
      </w:r>
    </w:p>
    <w:p w14:paraId="7A777467" w14:textId="0A83766D" w:rsidR="008B42F0" w:rsidRDefault="00947F6E" w:rsidP="00661A9D">
      <w:pPr>
        <w:pStyle w:val="Normlnywebov"/>
        <w:ind w:firstLine="708"/>
        <w:jc w:val="both"/>
      </w:pPr>
      <w:r w:rsidRPr="00871F47">
        <w:t xml:space="preserve">Platná a účinná právna úprava v zákone č. 307/2016 Z. z. o </w:t>
      </w:r>
      <w:proofErr w:type="spellStart"/>
      <w:r w:rsidRPr="00871F47">
        <w:t>upomínacom</w:t>
      </w:r>
      <w:proofErr w:type="spellEnd"/>
      <w:r w:rsidRPr="00871F47">
        <w:t xml:space="preserve"> konaní a o doplnen</w:t>
      </w:r>
      <w:r w:rsidR="00877FFB">
        <w:t>í niektorých zákonov</w:t>
      </w:r>
      <w:r w:rsidR="00A11A24">
        <w:t xml:space="preserve"> (ďalej len „zákon o </w:t>
      </w:r>
      <w:proofErr w:type="spellStart"/>
      <w:r w:rsidR="00A11A24">
        <w:t>upomínacom</w:t>
      </w:r>
      <w:proofErr w:type="spellEnd"/>
      <w:r w:rsidR="00A11A24">
        <w:t xml:space="preserve"> konaní“)</w:t>
      </w:r>
      <w:r w:rsidR="00877FFB">
        <w:t xml:space="preserve"> a v</w:t>
      </w:r>
      <w:r w:rsidR="00A11A24">
        <w:t xml:space="preserve"> zákone </w:t>
      </w:r>
      <w:r w:rsidR="00A5666F">
        <w:t>č</w:t>
      </w:r>
      <w:r w:rsidR="00A11A24">
        <w:t>.</w:t>
      </w:r>
      <w:r w:rsidR="00A5666F">
        <w:t xml:space="preserve"> 160/2015 Z. z.</w:t>
      </w:r>
      <w:r w:rsidR="00A11A24">
        <w:t xml:space="preserve"> </w:t>
      </w:r>
      <w:r w:rsidR="00A5666F">
        <w:t xml:space="preserve">Civilný sporový poriadok v znení neskorších predpisov (ďalej len „Civilný sporový poriadok“) </w:t>
      </w:r>
      <w:r w:rsidRPr="00871F47">
        <w:t>obsahuje povinnosť vecne odôvodniť</w:t>
      </w:r>
      <w:r w:rsidR="008D11EB">
        <w:t xml:space="preserve"> odpor proti platobnému rozkazu</w:t>
      </w:r>
      <w:r w:rsidR="0047788E">
        <w:t xml:space="preserve">. </w:t>
      </w:r>
      <w:r w:rsidR="00627DFF">
        <w:t xml:space="preserve">Ak žalovaný uplatnený nárok spochybňuje, musí sa podľa súčasnej právnej úpravy brániť podaním odporu s vecným odôvodnením. </w:t>
      </w:r>
      <w:r w:rsidR="00627DFF" w:rsidRPr="008B42F0">
        <w:t>Vecné odôvodnenie odporu spočíva predovšetkým v uvedení argumentov, ktoré závažným spôsobom spochybňujú žalobcom uplatnený nárok</w:t>
      </w:r>
      <w:r w:rsidR="00627DFF">
        <w:t xml:space="preserve">, v pripojení listín na ktoré sa odvoláva a  označení dôkazov, ktorými sa majú preukázať tvrdenia žalovaného. </w:t>
      </w:r>
      <w:r w:rsidR="00A5666F" w:rsidRPr="00A5666F">
        <w:t xml:space="preserve">Pokiaľ odpor nie je vecne odôvodnený, súd v súvislosti s absenciou vecného odôvodnenia </w:t>
      </w:r>
      <w:r w:rsidR="00A5666F">
        <w:t>nevyzýva</w:t>
      </w:r>
      <w:r w:rsidR="00A5666F" w:rsidRPr="00A5666F">
        <w:t xml:space="preserve"> žalovaného na doplnenie, resp. opravu odporu</w:t>
      </w:r>
      <w:r w:rsidR="00A5666F">
        <w:t xml:space="preserve">. </w:t>
      </w:r>
      <w:r w:rsidR="00627DFF">
        <w:t xml:space="preserve">Požiadavka vecného odôvodnenia odporu môže spôsobovať pre </w:t>
      </w:r>
      <w:r w:rsidR="0047788E">
        <w:t xml:space="preserve">spotrebiteľov </w:t>
      </w:r>
      <w:r w:rsidR="00627DFF">
        <w:t>ťažkosti (napríklad potreba v relatívne krátkom čase vyhľadať právnu pomoc)</w:t>
      </w:r>
      <w:r w:rsidR="008B42F0" w:rsidRPr="008B42F0">
        <w:t xml:space="preserve">. </w:t>
      </w:r>
      <w:r w:rsidR="00627DFF">
        <w:t>Môže nastať</w:t>
      </w:r>
      <w:r w:rsidR="008927A5">
        <w:t xml:space="preserve"> prípad</w:t>
      </w:r>
      <w:r w:rsidR="00627DFF">
        <w:t>,</w:t>
      </w:r>
      <w:r w:rsidR="008927A5">
        <w:t xml:space="preserve"> </w:t>
      </w:r>
      <w:r w:rsidR="00C54750">
        <w:t>k</w:t>
      </w:r>
      <w:r w:rsidR="008927A5">
        <w:t xml:space="preserve">edy si </w:t>
      </w:r>
      <w:r w:rsidR="0047788E">
        <w:t>spotrebiteľ</w:t>
      </w:r>
      <w:r w:rsidR="008B42F0" w:rsidRPr="008B42F0">
        <w:t xml:space="preserve"> vyhotov</w:t>
      </w:r>
      <w:r w:rsidR="00627DFF">
        <w:t>í</w:t>
      </w:r>
      <w:r w:rsidR="008B42F0" w:rsidRPr="008B42F0">
        <w:t xml:space="preserve"> odpor na základe svojich osobných znalostí</w:t>
      </w:r>
      <w:r w:rsidR="00C54750">
        <w:t xml:space="preserve"> práva</w:t>
      </w:r>
      <w:r w:rsidR="00FA6CF0">
        <w:t>,</w:t>
      </w:r>
      <w:r w:rsidR="008B42F0" w:rsidRPr="008B42F0">
        <w:t xml:space="preserve"> v dôsledku čoho môže byť odpor súdom odmietnutý ako ned</w:t>
      </w:r>
      <w:r w:rsidR="00661A9D">
        <w:t>ostatočne odôvodnený</w:t>
      </w:r>
      <w:r w:rsidR="00755055">
        <w:t>,</w:t>
      </w:r>
      <w:r w:rsidR="0047788E">
        <w:t xml:space="preserve"> čo môže znamenať</w:t>
      </w:r>
      <w:r w:rsidR="008B42F0" w:rsidRPr="008B42F0">
        <w:t xml:space="preserve"> automatickú prehru</w:t>
      </w:r>
      <w:r w:rsidR="0047788E">
        <w:t xml:space="preserve"> v spore</w:t>
      </w:r>
      <w:r w:rsidR="00627DFF">
        <w:t xml:space="preserve">, nakoľko platobný rozkaz, </w:t>
      </w:r>
      <w:r w:rsidR="00661A9D">
        <w:t>ktorý súd odmietol</w:t>
      </w:r>
      <w:r w:rsidR="00627DFF">
        <w:t xml:space="preserve"> má účinky právoplatného rozsudku (je exekučným titulom)</w:t>
      </w:r>
      <w:r w:rsidR="008B42F0" w:rsidRPr="008B42F0">
        <w:t xml:space="preserve">. </w:t>
      </w:r>
    </w:p>
    <w:p w14:paraId="57A393C9" w14:textId="2892BD2C" w:rsidR="000C4D58" w:rsidRDefault="008B42F0" w:rsidP="00ED565B">
      <w:pPr>
        <w:ind w:firstLine="708"/>
        <w:jc w:val="both"/>
        <w:rPr>
          <w:bCs/>
        </w:rPr>
      </w:pPr>
      <w:r>
        <w:t xml:space="preserve">Cieľom </w:t>
      </w:r>
      <w:r w:rsidR="00B6303E">
        <w:t xml:space="preserve">vládneho </w:t>
      </w:r>
      <w:r>
        <w:t xml:space="preserve">návrhu zákona je </w:t>
      </w:r>
      <w:r w:rsidR="00CC70B5">
        <w:t xml:space="preserve">tak </w:t>
      </w:r>
      <w:r w:rsidR="00723071">
        <w:t xml:space="preserve">prehodnotenie právnej úpravy </w:t>
      </w:r>
      <w:proofErr w:type="spellStart"/>
      <w:r w:rsidR="000038EB">
        <w:t>upomínacieho</w:t>
      </w:r>
      <w:proofErr w:type="spellEnd"/>
      <w:r w:rsidR="000038EB">
        <w:t xml:space="preserve"> konania</w:t>
      </w:r>
      <w:r w:rsidR="000038EB" w:rsidRPr="000038EB">
        <w:t xml:space="preserve"> podľa zákona </w:t>
      </w:r>
      <w:r w:rsidR="00DA54A2">
        <w:t>o </w:t>
      </w:r>
      <w:proofErr w:type="spellStart"/>
      <w:r w:rsidR="00DA54A2">
        <w:t>upomínacom</w:t>
      </w:r>
      <w:proofErr w:type="spellEnd"/>
      <w:r w:rsidR="00DA54A2">
        <w:t xml:space="preserve"> konaní</w:t>
      </w:r>
      <w:r w:rsidR="00DA54A2" w:rsidRPr="000038EB" w:rsidDel="00DA54A2">
        <w:t xml:space="preserve"> </w:t>
      </w:r>
      <w:r w:rsidR="000038EB">
        <w:t>a  konania</w:t>
      </w:r>
      <w:r w:rsidR="000038EB" w:rsidRPr="000038EB">
        <w:t xml:space="preserve"> o platobnom rozkaze podľa Civilného sporového poriadku</w:t>
      </w:r>
      <w:r w:rsidR="000038EB">
        <w:t xml:space="preserve"> </w:t>
      </w:r>
      <w:r w:rsidR="00723071" w:rsidRPr="00723071">
        <w:t xml:space="preserve">v súvislosti s povinnosťou súdu </w:t>
      </w:r>
      <w:r w:rsidR="00F31D06">
        <w:t xml:space="preserve">prihliadať na </w:t>
      </w:r>
      <w:r w:rsidR="00927C3E">
        <w:t xml:space="preserve"> postavenie žalovaného ako </w:t>
      </w:r>
      <w:r w:rsidR="00927C3E" w:rsidRPr="00723071">
        <w:t>spotrebiteľa</w:t>
      </w:r>
      <w:r w:rsidR="000038EB">
        <w:t xml:space="preserve"> pri vecnom </w:t>
      </w:r>
      <w:r w:rsidR="00A5666F">
        <w:t xml:space="preserve">odôvodnení </w:t>
      </w:r>
      <w:r w:rsidR="00F31D06">
        <w:t>odporu</w:t>
      </w:r>
      <w:r w:rsidR="00A5666F">
        <w:t xml:space="preserve"> a v dôsledku uvedeného posudzovať </w:t>
      </w:r>
      <w:r w:rsidR="00F07CAF">
        <w:t xml:space="preserve">vecné odôvodnenie </w:t>
      </w:r>
      <w:r w:rsidR="00A5666F">
        <w:t>odpor</w:t>
      </w:r>
      <w:r w:rsidR="00F07CAF">
        <w:t>u</w:t>
      </w:r>
      <w:r w:rsidR="00A5666F">
        <w:t xml:space="preserve"> miernejšie</w:t>
      </w:r>
      <w:r w:rsidR="00C118F5">
        <w:t xml:space="preserve">. </w:t>
      </w:r>
      <w:r w:rsidR="008264C1" w:rsidRPr="007A610C">
        <w:rPr>
          <w:bCs/>
        </w:rPr>
        <w:t xml:space="preserve">Súd posudzuje </w:t>
      </w:r>
      <w:r w:rsidR="008264C1">
        <w:rPr>
          <w:bCs/>
        </w:rPr>
        <w:t>vecné odôvodnenie odporu</w:t>
      </w:r>
      <w:r w:rsidR="008264C1" w:rsidRPr="007A610C">
        <w:rPr>
          <w:bCs/>
        </w:rPr>
        <w:t xml:space="preserve"> miernejšie vo vzťahu k odmietnutiu odporu.</w:t>
      </w:r>
    </w:p>
    <w:p w14:paraId="36C0B6CE" w14:textId="77777777" w:rsidR="008264C1" w:rsidRDefault="008264C1" w:rsidP="00ED565B">
      <w:pPr>
        <w:ind w:firstLine="708"/>
        <w:jc w:val="both"/>
      </w:pPr>
    </w:p>
    <w:p w14:paraId="0199FB3A" w14:textId="129BAEB9" w:rsidR="00544D4C" w:rsidRDefault="00A5666F" w:rsidP="00ED565B">
      <w:pPr>
        <w:ind w:firstLine="708"/>
        <w:jc w:val="both"/>
      </w:pPr>
      <w:r>
        <w:t>V</w:t>
      </w:r>
      <w:r w:rsidR="00257827" w:rsidRPr="00257827">
        <w:t xml:space="preserve">zhľadom na skutočnosť, že </w:t>
      </w:r>
      <w:proofErr w:type="spellStart"/>
      <w:r w:rsidR="00257827" w:rsidRPr="00257827">
        <w:t>upomínacie</w:t>
      </w:r>
      <w:proofErr w:type="spellEnd"/>
      <w:r w:rsidR="00257827" w:rsidRPr="00257827">
        <w:t xml:space="preserve"> konanie a konanie o platobnom rozkaze podľa Civilného sporového poriadku sú skrátené konania</w:t>
      </w:r>
      <w:r>
        <w:t>,</w:t>
      </w:r>
      <w:r w:rsidR="00257827" w:rsidRPr="00257827">
        <w:t xml:space="preserve"> v ktorých rozhodnutie vydáva predovšetkým </w:t>
      </w:r>
      <w:r>
        <w:t xml:space="preserve">vyšší </w:t>
      </w:r>
      <w:r w:rsidR="00257827" w:rsidRPr="00257827">
        <w:t>súdny úradník</w:t>
      </w:r>
      <w:r w:rsidR="00675079">
        <w:t>,</w:t>
      </w:r>
      <w:r w:rsidR="00257827">
        <w:t xml:space="preserve"> n</w:t>
      </w:r>
      <w:r w:rsidR="009507B1">
        <w:t xml:space="preserve">ávrhom zákona sa má </w:t>
      </w:r>
      <w:r w:rsidR="001C69FD">
        <w:t xml:space="preserve">zároveň </w:t>
      </w:r>
      <w:r w:rsidR="00ED7497">
        <w:t xml:space="preserve">zabezpečiť </w:t>
      </w:r>
      <w:r w:rsidR="001C69FD">
        <w:t xml:space="preserve">posúdenie a právny názor sudcu vo veciach </w:t>
      </w:r>
      <w:r>
        <w:t>v ktorých sa predpokladá posúdenie spotrebiteľskej</w:t>
      </w:r>
      <w:r w:rsidR="001C69FD">
        <w:t xml:space="preserve"> zmluvy alebo zmluvných dokumentov súvisiacich</w:t>
      </w:r>
      <w:r w:rsidR="00ED7497" w:rsidRPr="00544D4C">
        <w:t xml:space="preserve"> so spotrebiteľskou zmluvou s ohľadom na existenciu neprijateľných zmluvných podmienok, ktoré ešte neboli posudzované v </w:t>
      </w:r>
      <w:r w:rsidR="00ED7497">
        <w:t>už právoplatne skončenom k</w:t>
      </w:r>
      <w:r w:rsidR="001F557F">
        <w:t>onaní.</w:t>
      </w:r>
    </w:p>
    <w:p w14:paraId="62CF3577" w14:textId="43F7EFD7" w:rsidR="00723071" w:rsidRDefault="00723071" w:rsidP="00B43F6F">
      <w:pPr>
        <w:jc w:val="both"/>
      </w:pPr>
    </w:p>
    <w:p w14:paraId="330FFDF4" w14:textId="0159A524" w:rsidR="00615623" w:rsidRDefault="006907A2" w:rsidP="00CC70B5">
      <w:pPr>
        <w:ind w:firstLine="708"/>
        <w:jc w:val="both"/>
      </w:pPr>
      <w:r>
        <w:t xml:space="preserve">Právnou úpravou sa </w:t>
      </w:r>
      <w:r w:rsidR="00274439">
        <w:t xml:space="preserve">má </w:t>
      </w:r>
      <w:r w:rsidR="00517B45">
        <w:t>zabezpečiť</w:t>
      </w:r>
      <w:r w:rsidR="00274439">
        <w:t xml:space="preserve"> </w:t>
      </w:r>
      <w:r w:rsidR="00517B45">
        <w:t>kontrola neprijateľnosti zmluvných podmienok, ktoré doposiaľ neboli posudzované v </w:t>
      </w:r>
      <w:r w:rsidR="00615623">
        <w:t>súdnom konaní</w:t>
      </w:r>
      <w:r w:rsidR="00517B45">
        <w:t xml:space="preserve"> sudcom</w:t>
      </w:r>
      <w:r w:rsidR="00615623">
        <w:t>, tak aby sa zabránilo</w:t>
      </w:r>
      <w:r w:rsidR="001E562F">
        <w:t xml:space="preserve"> </w:t>
      </w:r>
      <w:r w:rsidR="003054D5">
        <w:t xml:space="preserve">ich </w:t>
      </w:r>
      <w:r w:rsidR="001E562F">
        <w:t xml:space="preserve">súvislému uplatňovaniu a zároveň sa má </w:t>
      </w:r>
      <w:r w:rsidR="00CC70B5">
        <w:t>zlepš</w:t>
      </w:r>
      <w:r w:rsidR="009C047F">
        <w:t>iť</w:t>
      </w:r>
      <w:r w:rsidR="00CC70B5">
        <w:t xml:space="preserve"> prístup k spravodlivosti pre spotrebiteľov.</w:t>
      </w:r>
    </w:p>
    <w:p w14:paraId="05D397DF" w14:textId="30077C27" w:rsidR="00D84700" w:rsidRDefault="00D84700" w:rsidP="00D84700">
      <w:pPr>
        <w:jc w:val="both"/>
        <w:rPr>
          <w:rFonts w:cstheme="minorHAnsi"/>
        </w:rPr>
      </w:pPr>
    </w:p>
    <w:p w14:paraId="71B5F69D" w14:textId="5752BF25" w:rsidR="00017EF1" w:rsidRDefault="003609E2" w:rsidP="008007B7">
      <w:pPr>
        <w:ind w:firstLine="708"/>
        <w:jc w:val="both"/>
        <w:rPr>
          <w:rFonts w:cstheme="minorHAnsi"/>
        </w:rPr>
      </w:pPr>
      <w:r>
        <w:t>L</w:t>
      </w:r>
      <w:r w:rsidR="00D84700" w:rsidRPr="00060BB6">
        <w:t xml:space="preserve">egislatívna aktivita sa realizuje </w:t>
      </w:r>
      <w:r w:rsidR="008C6337">
        <w:t xml:space="preserve">na základe </w:t>
      </w:r>
      <w:r w:rsidR="00F07CAF">
        <w:t>výhrad Európskej komisie týkajúcich sa súladu vnútroštátnej právnej úpravy s judikatúrou Súdneho dvora EÚ v spotrebiteľských veciach (</w:t>
      </w:r>
      <w:r w:rsidR="00F07CAF" w:rsidRPr="00060BB6">
        <w:t>EUP(2020)9731</w:t>
      </w:r>
      <w:r w:rsidR="00F07CAF">
        <w:t>).</w:t>
      </w:r>
    </w:p>
    <w:p w14:paraId="1C7BD9AB" w14:textId="77777777" w:rsidR="006C19EB" w:rsidRPr="008007B7" w:rsidRDefault="006C19EB" w:rsidP="008007B7">
      <w:pPr>
        <w:ind w:firstLine="708"/>
        <w:jc w:val="both"/>
        <w:rPr>
          <w:rFonts w:cstheme="minorHAnsi"/>
        </w:rPr>
      </w:pPr>
    </w:p>
    <w:p w14:paraId="3E275FD6" w14:textId="2AF930B5" w:rsidR="008A68BD" w:rsidRPr="00ED565B" w:rsidRDefault="00B6303E" w:rsidP="00ED565B">
      <w:pPr>
        <w:ind w:firstLine="708"/>
        <w:jc w:val="both"/>
      </w:pPr>
      <w:r>
        <w:t>Vládnym n</w:t>
      </w:r>
      <w:r w:rsidR="008A68BD" w:rsidRPr="00ED565B">
        <w:t>ávrhom zákona</w:t>
      </w:r>
      <w:r w:rsidR="00D565E6" w:rsidRPr="00ED565B">
        <w:t xml:space="preserve"> sa </w:t>
      </w:r>
      <w:r w:rsidR="00A5666F">
        <w:t>ďalej</w:t>
      </w:r>
      <w:r w:rsidR="00A5666F" w:rsidRPr="00ED565B">
        <w:t xml:space="preserve"> </w:t>
      </w:r>
      <w:r w:rsidR="008A68BD" w:rsidRPr="00ED565B">
        <w:t xml:space="preserve">zjednocuje </w:t>
      </w:r>
      <w:r w:rsidR="00D565E6" w:rsidRPr="00ED565B">
        <w:t xml:space="preserve">právna úprava </w:t>
      </w:r>
      <w:r w:rsidR="008A68BD" w:rsidRPr="00ED565B">
        <w:t xml:space="preserve">procesného postupu v </w:t>
      </w:r>
      <w:proofErr w:type="spellStart"/>
      <w:r w:rsidR="008A68BD" w:rsidRPr="00ED565B">
        <w:t>upomínacom</w:t>
      </w:r>
      <w:proofErr w:type="spellEnd"/>
      <w:r w:rsidR="008A68BD" w:rsidRPr="00ED565B">
        <w:t xml:space="preserve"> konaní podľa zákona </w:t>
      </w:r>
      <w:r w:rsidR="00034F57" w:rsidRPr="00034F57">
        <w:t xml:space="preserve">o </w:t>
      </w:r>
      <w:proofErr w:type="spellStart"/>
      <w:r w:rsidR="00034F57" w:rsidRPr="00034F57">
        <w:t>upomínacom</w:t>
      </w:r>
      <w:proofErr w:type="spellEnd"/>
      <w:r w:rsidR="00034F57" w:rsidRPr="00034F57">
        <w:t xml:space="preserve"> konaní</w:t>
      </w:r>
      <w:r w:rsidR="00034F57" w:rsidRPr="00034F57" w:rsidDel="00034F57">
        <w:t xml:space="preserve"> </w:t>
      </w:r>
      <w:r w:rsidR="008A68BD" w:rsidRPr="00ED565B">
        <w:t>a v konaní o platobnom rozkaze podľa Civilného sporového poriadku pri určení procesnoprávnej skutočnosti, ktorou nastáva zrušenie platobného rozkazu.</w:t>
      </w:r>
    </w:p>
    <w:p w14:paraId="66218D8D" w14:textId="6F1A30F2" w:rsidR="00145A18" w:rsidRDefault="00B5116D" w:rsidP="00ED565B">
      <w:pPr>
        <w:pStyle w:val="Normlnywebov"/>
        <w:ind w:firstLine="708"/>
        <w:jc w:val="both"/>
      </w:pPr>
      <w:r>
        <w:t>Vládny n</w:t>
      </w:r>
      <w:r w:rsidR="00145A18">
        <w:t xml:space="preserve">ávrh </w:t>
      </w:r>
      <w:r w:rsidR="00627DFF">
        <w:t>zákona</w:t>
      </w:r>
      <w:r w:rsidR="00145A18">
        <w:t xml:space="preserve"> nemá vplyv na rozpočet verejnej správy, na manželstvo, rodičovstvo a rodinu, vplyvy na životné prostredie, na služby pre občana, na informatizáciu spoločnosti a</w:t>
      </w:r>
      <w:r w:rsidR="003057B3">
        <w:t>ni podnikateľské vplyvy</w:t>
      </w:r>
      <w:r w:rsidR="00145A18">
        <w:t xml:space="preserve">. Možno očakávať pozitívne </w:t>
      </w:r>
      <w:r w:rsidR="002A1095">
        <w:t>s</w:t>
      </w:r>
      <w:r w:rsidR="003057B3">
        <w:t xml:space="preserve">ociálne </w:t>
      </w:r>
      <w:r w:rsidR="00145A18">
        <w:t>vplyvy</w:t>
      </w:r>
      <w:r w:rsidR="003057B3">
        <w:t>.</w:t>
      </w:r>
      <w:r w:rsidR="00145A18">
        <w:t xml:space="preserve"> </w:t>
      </w:r>
    </w:p>
    <w:p w14:paraId="30403DA7" w14:textId="5F6F7C63" w:rsidR="00145A18" w:rsidRPr="004C6D0C" w:rsidRDefault="00B5116D" w:rsidP="00627DFF">
      <w:pPr>
        <w:pStyle w:val="Normlnywebov"/>
        <w:ind w:firstLine="708"/>
        <w:jc w:val="both"/>
      </w:pPr>
      <w:r>
        <w:t>Vládny n</w:t>
      </w:r>
      <w:r w:rsidR="00145A18" w:rsidRPr="004C6D0C">
        <w:t xml:space="preserve">ávrh </w:t>
      </w:r>
      <w:r w:rsidR="003057B3" w:rsidRPr="004C6D0C">
        <w:t>zákona</w:t>
      </w:r>
      <w:r w:rsidR="00145A18" w:rsidRPr="004C6D0C">
        <w:t xml:space="preserve"> </w:t>
      </w:r>
      <w:r w:rsidR="00EA61A7">
        <w:t xml:space="preserve">nie </w:t>
      </w:r>
      <w:r w:rsidR="00145A18" w:rsidRPr="004C6D0C">
        <w:t xml:space="preserve">je predmetom </w:t>
      </w:r>
      <w:proofErr w:type="spellStart"/>
      <w:r w:rsidR="00145A18" w:rsidRPr="004C6D0C">
        <w:t>vnútrokomunitárneho</w:t>
      </w:r>
      <w:proofErr w:type="spellEnd"/>
      <w:r w:rsidR="00145A18" w:rsidRPr="004C6D0C">
        <w:t xml:space="preserve"> pripomienkového konania. </w:t>
      </w:r>
    </w:p>
    <w:p w14:paraId="69D22F70" w14:textId="5F3C6055" w:rsidR="009247FE" w:rsidRDefault="00B5116D" w:rsidP="00627DFF">
      <w:pPr>
        <w:pStyle w:val="Normlnywebov"/>
        <w:ind w:firstLine="708"/>
        <w:jc w:val="both"/>
      </w:pPr>
      <w:r>
        <w:t>Vládny n</w:t>
      </w:r>
      <w:r w:rsidR="00145A18">
        <w:t xml:space="preserve">ávrh </w:t>
      </w:r>
      <w:r w:rsidR="00627DFF">
        <w:t>zákon</w:t>
      </w:r>
      <w:r w:rsidR="00145A18">
        <w:t>a je v súlade s Ústavou Slovenskej republiky, ústavnými zákonmi, nálezmi Ústavného súdu</w:t>
      </w:r>
      <w:r w:rsidR="009C1BC0">
        <w:t xml:space="preserve"> Slovenskej republiky</w:t>
      </w:r>
      <w:r w:rsidR="00145A18">
        <w:t xml:space="preserve"> a ostatnými všeobecne záväznými právnymi predpismi, medzinárodnými zmluvami, ktorými je Slovenská republika viazaná a je v súlade s právom Európskej únie.</w:t>
      </w:r>
    </w:p>
    <w:p w14:paraId="0B29B894" w14:textId="5C998B90" w:rsidR="008E301C" w:rsidRDefault="008E301C" w:rsidP="00627DFF">
      <w:pPr>
        <w:pStyle w:val="Normlnywebov"/>
        <w:ind w:firstLine="708"/>
        <w:jc w:val="both"/>
      </w:pPr>
    </w:p>
    <w:p w14:paraId="098C01D6" w14:textId="309ACD54" w:rsidR="008E301C" w:rsidRDefault="008E301C" w:rsidP="00627DFF">
      <w:pPr>
        <w:pStyle w:val="Normlnywebov"/>
        <w:ind w:firstLine="708"/>
        <w:jc w:val="both"/>
      </w:pPr>
    </w:p>
    <w:p w14:paraId="3DC3CE62" w14:textId="10001963" w:rsidR="008E301C" w:rsidRDefault="008E301C" w:rsidP="00627DFF">
      <w:pPr>
        <w:pStyle w:val="Normlnywebov"/>
        <w:ind w:firstLine="708"/>
        <w:jc w:val="both"/>
      </w:pPr>
    </w:p>
    <w:p w14:paraId="6EDA9226" w14:textId="127FFA4C" w:rsidR="008E301C" w:rsidRDefault="008E301C" w:rsidP="00627DFF">
      <w:pPr>
        <w:pStyle w:val="Normlnywebov"/>
        <w:ind w:firstLine="708"/>
        <w:jc w:val="both"/>
      </w:pPr>
    </w:p>
    <w:p w14:paraId="52B1FB38" w14:textId="3505CA1A" w:rsidR="008E301C" w:rsidRDefault="008E301C" w:rsidP="00627DFF">
      <w:pPr>
        <w:pStyle w:val="Normlnywebov"/>
        <w:ind w:firstLine="708"/>
        <w:jc w:val="both"/>
      </w:pPr>
    </w:p>
    <w:p w14:paraId="3A270AF5" w14:textId="0F478D9B" w:rsidR="008E301C" w:rsidRDefault="008E301C" w:rsidP="00627DFF">
      <w:pPr>
        <w:pStyle w:val="Normlnywebov"/>
        <w:ind w:firstLine="708"/>
        <w:jc w:val="both"/>
      </w:pPr>
    </w:p>
    <w:p w14:paraId="47102656" w14:textId="27AC2450" w:rsidR="008E301C" w:rsidRDefault="008E301C" w:rsidP="00627DFF">
      <w:pPr>
        <w:pStyle w:val="Normlnywebov"/>
        <w:ind w:firstLine="708"/>
        <w:jc w:val="both"/>
      </w:pPr>
    </w:p>
    <w:p w14:paraId="11F9CB96" w14:textId="7D5D555A" w:rsidR="008E301C" w:rsidRDefault="008E301C" w:rsidP="00627DFF">
      <w:pPr>
        <w:pStyle w:val="Normlnywebov"/>
        <w:ind w:firstLine="708"/>
        <w:jc w:val="both"/>
      </w:pPr>
    </w:p>
    <w:p w14:paraId="00A05E0D" w14:textId="441BD6E4" w:rsidR="008E301C" w:rsidRDefault="008E301C" w:rsidP="00627DFF">
      <w:pPr>
        <w:pStyle w:val="Normlnywebov"/>
        <w:ind w:firstLine="708"/>
        <w:jc w:val="both"/>
      </w:pPr>
    </w:p>
    <w:p w14:paraId="7B0FBC8F" w14:textId="0099A337" w:rsidR="008E301C" w:rsidRDefault="008E301C" w:rsidP="00627DFF">
      <w:pPr>
        <w:pStyle w:val="Normlnywebov"/>
        <w:ind w:firstLine="708"/>
        <w:jc w:val="both"/>
      </w:pPr>
    </w:p>
    <w:p w14:paraId="7157956E" w14:textId="2DE6CC59" w:rsidR="008E301C" w:rsidRDefault="008E301C" w:rsidP="00627DFF">
      <w:pPr>
        <w:pStyle w:val="Normlnywebov"/>
        <w:ind w:firstLine="708"/>
        <w:jc w:val="both"/>
      </w:pPr>
    </w:p>
    <w:p w14:paraId="67C3BF7E" w14:textId="0ECE013A" w:rsidR="008E301C" w:rsidRDefault="008E301C" w:rsidP="00627DFF">
      <w:pPr>
        <w:pStyle w:val="Normlnywebov"/>
        <w:ind w:firstLine="708"/>
        <w:jc w:val="both"/>
      </w:pPr>
    </w:p>
    <w:p w14:paraId="1011D807" w14:textId="03A2B093" w:rsidR="00AC6AB3" w:rsidRDefault="00AC6AB3" w:rsidP="00627DFF">
      <w:pPr>
        <w:pStyle w:val="Normlnywebov"/>
        <w:ind w:firstLine="708"/>
        <w:jc w:val="both"/>
      </w:pPr>
    </w:p>
    <w:p w14:paraId="135CAD81" w14:textId="3A398B09" w:rsidR="00AC6AB3" w:rsidRDefault="00AC6AB3" w:rsidP="00627DFF">
      <w:pPr>
        <w:pStyle w:val="Normlnywebov"/>
        <w:ind w:firstLine="708"/>
        <w:jc w:val="both"/>
      </w:pPr>
    </w:p>
    <w:p w14:paraId="4C97A79E" w14:textId="26A91CEC" w:rsidR="00AC6AB3" w:rsidRDefault="00AC6AB3" w:rsidP="00627DFF">
      <w:pPr>
        <w:pStyle w:val="Normlnywebov"/>
        <w:ind w:firstLine="708"/>
        <w:jc w:val="both"/>
      </w:pPr>
    </w:p>
    <w:p w14:paraId="40C75ABB" w14:textId="77777777" w:rsidR="00AC6AB3" w:rsidRDefault="00AC6AB3" w:rsidP="00627DFF">
      <w:pPr>
        <w:pStyle w:val="Normlnywebov"/>
        <w:ind w:firstLine="708"/>
        <w:jc w:val="both"/>
      </w:pPr>
    </w:p>
    <w:p w14:paraId="21DD0082" w14:textId="2C4575F4" w:rsidR="005F409B" w:rsidRDefault="005F409B" w:rsidP="008E301C">
      <w:pPr>
        <w:widowControl/>
        <w:adjustRightInd/>
        <w:jc w:val="center"/>
        <w:rPr>
          <w:b/>
          <w:bCs/>
          <w:sz w:val="20"/>
          <w:szCs w:val="20"/>
        </w:rPr>
      </w:pPr>
    </w:p>
    <w:p w14:paraId="72A22976" w14:textId="77777777" w:rsidR="000246EC" w:rsidRDefault="000246EC" w:rsidP="008E301C">
      <w:pPr>
        <w:widowControl/>
        <w:adjustRightInd/>
        <w:jc w:val="center"/>
        <w:rPr>
          <w:b/>
          <w:bCs/>
          <w:sz w:val="20"/>
          <w:szCs w:val="20"/>
        </w:rPr>
      </w:pPr>
    </w:p>
    <w:p w14:paraId="4B9696AF" w14:textId="435A19F2" w:rsidR="008E301C" w:rsidRPr="008E301C" w:rsidRDefault="008E301C" w:rsidP="008E301C">
      <w:pPr>
        <w:widowControl/>
        <w:adjustRightInd/>
        <w:jc w:val="center"/>
        <w:rPr>
          <w:b/>
          <w:bCs/>
          <w:sz w:val="20"/>
          <w:szCs w:val="20"/>
        </w:rPr>
      </w:pPr>
      <w:r w:rsidRPr="008E301C">
        <w:rPr>
          <w:b/>
          <w:bCs/>
          <w:sz w:val="20"/>
          <w:szCs w:val="20"/>
        </w:rPr>
        <w:lastRenderedPageBreak/>
        <w:t>Doložka vybraných vplyvov</w:t>
      </w:r>
    </w:p>
    <w:p w14:paraId="6B1F9AA1" w14:textId="77777777" w:rsidR="008E301C" w:rsidRPr="008E301C" w:rsidRDefault="008E301C" w:rsidP="008E301C">
      <w:pPr>
        <w:widowControl/>
        <w:adjustRightInd/>
        <w:rPr>
          <w:bC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8E301C" w:rsidRPr="008E301C" w14:paraId="4BE3DBBA" w14:textId="77777777" w:rsidTr="008B2519">
        <w:trPr>
          <w:jc w:val="center"/>
        </w:trPr>
        <w:tc>
          <w:tcPr>
            <w:tcW w:w="250" w:type="pct"/>
            <w:gridSpan w:val="2"/>
            <w:tcBorders>
              <w:top w:val="outset" w:sz="6" w:space="0" w:color="000000"/>
              <w:bottom w:val="outset" w:sz="6" w:space="0" w:color="000000"/>
            </w:tcBorders>
            <w:shd w:val="clear" w:color="auto" w:fill="E6E6E6"/>
            <w:hideMark/>
          </w:tcPr>
          <w:p w14:paraId="367BF146"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1.  Základné údaje</w:t>
            </w:r>
          </w:p>
        </w:tc>
      </w:tr>
      <w:tr w:rsidR="008E301C" w:rsidRPr="008E301C" w14:paraId="38699084" w14:textId="77777777" w:rsidTr="008B2519">
        <w:trPr>
          <w:trHeight w:val="450"/>
          <w:jc w:val="center"/>
        </w:trPr>
        <w:tc>
          <w:tcPr>
            <w:tcW w:w="250" w:type="pct"/>
            <w:gridSpan w:val="2"/>
            <w:tcBorders>
              <w:top w:val="outset" w:sz="6" w:space="0" w:color="000000"/>
              <w:bottom w:val="outset" w:sz="6" w:space="0" w:color="000000"/>
            </w:tcBorders>
            <w:shd w:val="clear" w:color="auto" w:fill="E6E6E6"/>
            <w:hideMark/>
          </w:tcPr>
          <w:p w14:paraId="7F714B7A"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Názov materiálu</w:t>
            </w:r>
          </w:p>
        </w:tc>
      </w:tr>
      <w:tr w:rsidR="008E301C" w:rsidRPr="008E301C" w14:paraId="579B9370" w14:textId="77777777" w:rsidTr="008B2519">
        <w:trPr>
          <w:trHeight w:val="450"/>
          <w:jc w:val="center"/>
        </w:trPr>
        <w:tc>
          <w:tcPr>
            <w:tcW w:w="250" w:type="pct"/>
            <w:gridSpan w:val="2"/>
            <w:tcBorders>
              <w:top w:val="outset" w:sz="6" w:space="0" w:color="000000"/>
              <w:bottom w:val="outset" w:sz="6" w:space="0" w:color="000000"/>
            </w:tcBorders>
            <w:hideMark/>
          </w:tcPr>
          <w:p w14:paraId="21CB03E1" w14:textId="77777777" w:rsidR="008E301C" w:rsidRDefault="00A00DB1" w:rsidP="008E301C">
            <w:pPr>
              <w:widowControl/>
              <w:adjustRightInd/>
              <w:jc w:val="both"/>
              <w:rPr>
                <w:rFonts w:ascii="Times" w:hAnsi="Times" w:cs="Times"/>
                <w:sz w:val="20"/>
                <w:szCs w:val="20"/>
              </w:rPr>
            </w:pPr>
            <w:r>
              <w:rPr>
                <w:rFonts w:ascii="Times" w:hAnsi="Times" w:cs="Times"/>
                <w:sz w:val="20"/>
                <w:szCs w:val="20"/>
              </w:rPr>
              <w:t>Vládny návrh</w:t>
            </w:r>
            <w:r w:rsidR="008E301C" w:rsidRPr="008E301C">
              <w:rPr>
                <w:rFonts w:ascii="Times" w:hAnsi="Times" w:cs="Times"/>
                <w:sz w:val="20"/>
                <w:szCs w:val="20"/>
              </w:rPr>
              <w:t xml:space="preserve"> zákona, ktorým sa mení a dopĺňa zákon č. 307/2016 Z. z. o </w:t>
            </w:r>
            <w:proofErr w:type="spellStart"/>
            <w:r w:rsidR="008E301C" w:rsidRPr="008E301C">
              <w:rPr>
                <w:rFonts w:ascii="Times" w:hAnsi="Times" w:cs="Times"/>
                <w:sz w:val="20"/>
                <w:szCs w:val="20"/>
              </w:rPr>
              <w:t>upomínacom</w:t>
            </w:r>
            <w:proofErr w:type="spellEnd"/>
            <w:r w:rsidR="008E301C" w:rsidRPr="008E301C">
              <w:rPr>
                <w:rFonts w:ascii="Times" w:hAnsi="Times" w:cs="Times"/>
                <w:sz w:val="20"/>
                <w:szCs w:val="20"/>
              </w:rPr>
              <w:t xml:space="preserve"> konaní a o doplnení niektorých zákonov a ktorým sa menia a dopĺňajú niektoré zákony</w:t>
            </w:r>
          </w:p>
          <w:p w14:paraId="75BC65D5" w14:textId="5C00B274" w:rsidR="00FF7EEF" w:rsidRPr="008E301C" w:rsidRDefault="00FF7EEF" w:rsidP="008E301C">
            <w:pPr>
              <w:widowControl/>
              <w:adjustRightInd/>
              <w:jc w:val="both"/>
              <w:rPr>
                <w:rFonts w:ascii="Times" w:hAnsi="Times" w:cs="Times"/>
                <w:sz w:val="20"/>
                <w:szCs w:val="20"/>
              </w:rPr>
            </w:pPr>
          </w:p>
        </w:tc>
      </w:tr>
      <w:tr w:rsidR="008E301C" w:rsidRPr="008E301C" w14:paraId="303BE813" w14:textId="77777777" w:rsidTr="008B2519">
        <w:trPr>
          <w:trHeight w:val="450"/>
          <w:jc w:val="center"/>
        </w:trPr>
        <w:tc>
          <w:tcPr>
            <w:tcW w:w="250" w:type="pct"/>
            <w:gridSpan w:val="2"/>
            <w:tcBorders>
              <w:top w:val="outset" w:sz="6" w:space="0" w:color="000000"/>
              <w:bottom w:val="outset" w:sz="6" w:space="0" w:color="000000"/>
            </w:tcBorders>
            <w:shd w:val="clear" w:color="auto" w:fill="E6E6E6"/>
            <w:hideMark/>
          </w:tcPr>
          <w:p w14:paraId="067421A8"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Predkladateľ (a spolupredkladateľ)</w:t>
            </w:r>
          </w:p>
        </w:tc>
      </w:tr>
      <w:tr w:rsidR="008E301C" w:rsidRPr="008E301C" w14:paraId="7224C486" w14:textId="77777777" w:rsidTr="008B2519">
        <w:trPr>
          <w:trHeight w:val="450"/>
          <w:jc w:val="center"/>
        </w:trPr>
        <w:tc>
          <w:tcPr>
            <w:tcW w:w="250" w:type="pct"/>
            <w:gridSpan w:val="2"/>
            <w:tcBorders>
              <w:top w:val="outset" w:sz="6" w:space="0" w:color="000000"/>
              <w:bottom w:val="outset" w:sz="6" w:space="0" w:color="000000"/>
            </w:tcBorders>
            <w:hideMark/>
          </w:tcPr>
          <w:p w14:paraId="0542E3AB" w14:textId="70C4955A" w:rsidR="008E301C" w:rsidRPr="008E301C" w:rsidRDefault="00F72465" w:rsidP="008E301C">
            <w:pPr>
              <w:widowControl/>
              <w:adjustRightInd/>
              <w:rPr>
                <w:rFonts w:ascii="Times" w:hAnsi="Times" w:cs="Times"/>
                <w:sz w:val="20"/>
                <w:szCs w:val="20"/>
              </w:rPr>
            </w:pPr>
            <w:r>
              <w:rPr>
                <w:rFonts w:ascii="Times" w:hAnsi="Times" w:cs="Times"/>
                <w:sz w:val="20"/>
                <w:szCs w:val="20"/>
              </w:rPr>
              <w:t xml:space="preserve">Vláda Slovenskej republiky </w:t>
            </w:r>
          </w:p>
        </w:tc>
      </w:tr>
      <w:tr w:rsidR="008E301C" w:rsidRPr="008E301C" w14:paraId="6C253808" w14:textId="77777777" w:rsidTr="008B2519">
        <w:trPr>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14:paraId="07944BBC" w14:textId="77777777" w:rsidR="008E301C" w:rsidRPr="008E301C" w:rsidRDefault="008E301C" w:rsidP="008E301C">
            <w:pPr>
              <w:widowControl/>
              <w:adjustRightInd/>
              <w:jc w:val="center"/>
              <w:rPr>
                <w:rFonts w:ascii="Times" w:hAnsi="Times" w:cs="Times"/>
                <w:b/>
                <w:bCs/>
                <w:sz w:val="20"/>
                <w:szCs w:val="20"/>
              </w:rPr>
            </w:pPr>
            <w:r w:rsidRPr="008E301C">
              <w:rPr>
                <w:rFonts w:ascii="Times" w:hAnsi="Times" w:cs="Times"/>
                <w:b/>
                <w:bCs/>
                <w:sz w:val="20"/>
                <w:szCs w:val="20"/>
              </w:rPr>
              <w:t>Charakter predkladaného materiálu</w:t>
            </w:r>
          </w:p>
        </w:tc>
        <w:tc>
          <w:tcPr>
            <w:tcW w:w="2500" w:type="pct"/>
            <w:tcBorders>
              <w:top w:val="outset" w:sz="6" w:space="0" w:color="000000"/>
              <w:left w:val="outset" w:sz="6" w:space="0" w:color="000000"/>
              <w:bottom w:val="outset" w:sz="6" w:space="0" w:color="000000"/>
            </w:tcBorders>
            <w:vAlign w:val="center"/>
            <w:hideMark/>
          </w:tcPr>
          <w:p w14:paraId="5F2A12EF"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Materiál nelegislatívnej povahy</w:t>
            </w:r>
          </w:p>
        </w:tc>
      </w:tr>
      <w:tr w:rsidR="008E301C" w:rsidRPr="008E301C" w14:paraId="78970BFD" w14:textId="77777777" w:rsidTr="008B2519">
        <w:trPr>
          <w:trHeight w:val="255"/>
          <w:jc w:val="center"/>
        </w:trPr>
        <w:tc>
          <w:tcPr>
            <w:tcW w:w="0" w:type="auto"/>
            <w:vMerge/>
            <w:tcBorders>
              <w:top w:val="outset" w:sz="6" w:space="0" w:color="000000"/>
              <w:bottom w:val="outset" w:sz="6" w:space="0" w:color="000000"/>
              <w:right w:val="outset" w:sz="6" w:space="0" w:color="000000"/>
            </w:tcBorders>
            <w:vAlign w:val="center"/>
            <w:hideMark/>
          </w:tcPr>
          <w:p w14:paraId="6AE3899C" w14:textId="77777777" w:rsidR="008E301C" w:rsidRPr="008E301C" w:rsidRDefault="008E301C" w:rsidP="008E301C">
            <w:pPr>
              <w:widowControl/>
              <w:adjustRightInd/>
              <w:rPr>
                <w:rFonts w:ascii="Times" w:hAnsi="Times" w:cs="Times"/>
                <w:b/>
                <w:bCs/>
                <w:sz w:val="20"/>
                <w:szCs w:val="20"/>
              </w:rPr>
            </w:pPr>
          </w:p>
        </w:tc>
        <w:tc>
          <w:tcPr>
            <w:tcW w:w="2500" w:type="pct"/>
            <w:tcBorders>
              <w:top w:val="outset" w:sz="6" w:space="0" w:color="000000"/>
              <w:left w:val="outset" w:sz="6" w:space="0" w:color="000000"/>
              <w:bottom w:val="outset" w:sz="6" w:space="0" w:color="000000"/>
            </w:tcBorders>
            <w:vAlign w:val="center"/>
            <w:hideMark/>
          </w:tcPr>
          <w:p w14:paraId="36230582"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Materiál legislatívnej povahy </w:t>
            </w:r>
          </w:p>
        </w:tc>
      </w:tr>
      <w:tr w:rsidR="008E301C" w:rsidRPr="008E301C" w14:paraId="7729FB1C" w14:textId="77777777" w:rsidTr="008B2519">
        <w:trPr>
          <w:trHeight w:val="255"/>
          <w:jc w:val="center"/>
        </w:trPr>
        <w:tc>
          <w:tcPr>
            <w:tcW w:w="0" w:type="auto"/>
            <w:vMerge/>
            <w:tcBorders>
              <w:top w:val="outset" w:sz="6" w:space="0" w:color="000000"/>
              <w:bottom w:val="outset" w:sz="6" w:space="0" w:color="000000"/>
              <w:right w:val="outset" w:sz="6" w:space="0" w:color="000000"/>
            </w:tcBorders>
            <w:vAlign w:val="center"/>
            <w:hideMark/>
          </w:tcPr>
          <w:p w14:paraId="55B3D8DA" w14:textId="77777777" w:rsidR="008E301C" w:rsidRPr="008E301C" w:rsidRDefault="008E301C" w:rsidP="008E301C">
            <w:pPr>
              <w:widowControl/>
              <w:adjustRightInd/>
              <w:rPr>
                <w:rFonts w:ascii="Times" w:hAnsi="Times" w:cs="Times"/>
                <w:b/>
                <w:bCs/>
                <w:sz w:val="20"/>
                <w:szCs w:val="20"/>
              </w:rPr>
            </w:pPr>
          </w:p>
        </w:tc>
        <w:tc>
          <w:tcPr>
            <w:tcW w:w="2500" w:type="pct"/>
            <w:tcBorders>
              <w:top w:val="outset" w:sz="6" w:space="0" w:color="000000"/>
              <w:left w:val="outset" w:sz="6" w:space="0" w:color="000000"/>
              <w:bottom w:val="outset" w:sz="6" w:space="0" w:color="000000"/>
            </w:tcBorders>
            <w:vAlign w:val="center"/>
            <w:hideMark/>
          </w:tcPr>
          <w:p w14:paraId="6F930B6B"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Transpozícia práva EÚ </w:t>
            </w:r>
          </w:p>
        </w:tc>
      </w:tr>
      <w:tr w:rsidR="008E301C" w:rsidRPr="008E301C" w14:paraId="4D681B86" w14:textId="77777777" w:rsidTr="008B2519">
        <w:trPr>
          <w:trHeight w:val="675"/>
          <w:jc w:val="center"/>
        </w:trPr>
        <w:tc>
          <w:tcPr>
            <w:tcW w:w="0" w:type="auto"/>
            <w:gridSpan w:val="2"/>
            <w:tcBorders>
              <w:top w:val="outset" w:sz="6" w:space="0" w:color="000000"/>
              <w:bottom w:val="outset" w:sz="6" w:space="0" w:color="000000"/>
            </w:tcBorders>
            <w:hideMark/>
          </w:tcPr>
          <w:p w14:paraId="2093491A" w14:textId="77777777" w:rsidR="008E301C" w:rsidRPr="008E301C" w:rsidRDefault="008E301C" w:rsidP="008E301C">
            <w:pPr>
              <w:widowControl/>
              <w:adjustRightInd/>
              <w:rPr>
                <w:rFonts w:ascii="Times" w:hAnsi="Times" w:cs="Times"/>
                <w:sz w:val="20"/>
                <w:szCs w:val="20"/>
              </w:rPr>
            </w:pPr>
          </w:p>
        </w:tc>
      </w:tr>
      <w:tr w:rsidR="008E301C" w:rsidRPr="008E301C" w14:paraId="35C3C490" w14:textId="77777777" w:rsidTr="008B2519">
        <w:trPr>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14:paraId="2DF4BC8C"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tcBorders>
            <w:hideMark/>
          </w:tcPr>
          <w:p w14:paraId="20F20AAC"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Začiatok:     December 2020</w:t>
            </w:r>
          </w:p>
          <w:p w14:paraId="00902ABA"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Ukončenie:  December 2020</w:t>
            </w:r>
          </w:p>
        </w:tc>
      </w:tr>
      <w:tr w:rsidR="008E301C" w:rsidRPr="008E301C" w14:paraId="3678A471" w14:textId="77777777" w:rsidTr="008B2519">
        <w:trPr>
          <w:trHeight w:val="564"/>
          <w:jc w:val="center"/>
        </w:trPr>
        <w:tc>
          <w:tcPr>
            <w:tcW w:w="3000" w:type="pct"/>
            <w:tcBorders>
              <w:top w:val="outset" w:sz="6" w:space="0" w:color="000000"/>
              <w:bottom w:val="outset" w:sz="6" w:space="0" w:color="000000"/>
              <w:right w:val="outset" w:sz="6" w:space="0" w:color="000000"/>
            </w:tcBorders>
            <w:shd w:val="clear" w:color="auto" w:fill="E6E6E6"/>
            <w:hideMark/>
          </w:tcPr>
          <w:p w14:paraId="32589B7C"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tcBorders>
            <w:hideMark/>
          </w:tcPr>
          <w:p w14:paraId="0C51BAD1" w14:textId="77777777" w:rsidR="008E301C" w:rsidRPr="008E301C" w:rsidRDefault="008E301C" w:rsidP="008E301C">
            <w:pPr>
              <w:widowControl/>
              <w:adjustRightInd/>
              <w:rPr>
                <w:rFonts w:ascii="Times" w:hAnsi="Times" w:cs="Times"/>
                <w:bCs/>
                <w:sz w:val="20"/>
                <w:szCs w:val="20"/>
              </w:rPr>
            </w:pPr>
            <w:r w:rsidRPr="008E301C">
              <w:rPr>
                <w:rFonts w:ascii="Times" w:hAnsi="Times" w:cs="Times"/>
                <w:sz w:val="20"/>
                <w:szCs w:val="20"/>
              </w:rPr>
              <w:t>December 2020</w:t>
            </w:r>
          </w:p>
        </w:tc>
      </w:tr>
      <w:tr w:rsidR="008E301C" w:rsidRPr="008E301C" w14:paraId="78942BE4" w14:textId="77777777" w:rsidTr="008B2519">
        <w:trPr>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14:paraId="4D494596"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Predpokladaný termín predloženia na Rokovanie vlády</w:t>
            </w:r>
            <w:r w:rsidRPr="008E301C">
              <w:rPr>
                <w:rFonts w:ascii="Times" w:hAnsi="Times" w:cs="Times"/>
                <w:b/>
                <w:bCs/>
                <w:sz w:val="20"/>
                <w:szCs w:val="20"/>
              </w:rPr>
              <w:br/>
              <w:t>  SR*</w:t>
            </w:r>
          </w:p>
        </w:tc>
        <w:tc>
          <w:tcPr>
            <w:tcW w:w="2000" w:type="pct"/>
            <w:tcBorders>
              <w:top w:val="outset" w:sz="6" w:space="0" w:color="000000"/>
              <w:left w:val="outset" w:sz="6" w:space="0" w:color="000000"/>
              <w:bottom w:val="outset" w:sz="6" w:space="0" w:color="000000"/>
            </w:tcBorders>
            <w:hideMark/>
          </w:tcPr>
          <w:p w14:paraId="0EFF70B9" w14:textId="77777777" w:rsidR="008E301C" w:rsidRPr="008E301C" w:rsidRDefault="008E301C" w:rsidP="008E301C">
            <w:pPr>
              <w:widowControl/>
              <w:adjustRightInd/>
              <w:rPr>
                <w:rFonts w:ascii="Times" w:hAnsi="Times" w:cs="Times"/>
                <w:b/>
                <w:bCs/>
                <w:sz w:val="20"/>
                <w:szCs w:val="20"/>
              </w:rPr>
            </w:pPr>
            <w:r w:rsidRPr="008E301C">
              <w:rPr>
                <w:rFonts w:ascii="Times" w:hAnsi="Times" w:cs="Times"/>
                <w:sz w:val="20"/>
                <w:szCs w:val="20"/>
              </w:rPr>
              <w:t xml:space="preserve"> Február 2021</w:t>
            </w:r>
          </w:p>
        </w:tc>
      </w:tr>
    </w:tbl>
    <w:p w14:paraId="6764BCFE" w14:textId="77777777" w:rsidR="008E301C" w:rsidRPr="008E301C" w:rsidRDefault="008E301C" w:rsidP="008E301C">
      <w:pPr>
        <w:widowControl/>
        <w:adjustRightInd/>
        <w:rPr>
          <w:bCs/>
          <w:sz w:val="20"/>
          <w:szCs w:val="20"/>
        </w:rPr>
      </w:pPr>
    </w:p>
    <w:p w14:paraId="1EB33D28" w14:textId="77777777" w:rsidR="008E301C" w:rsidRPr="008E301C" w:rsidRDefault="008E301C" w:rsidP="008E301C">
      <w:pPr>
        <w:widowControl/>
        <w:adjustRightInd/>
        <w:rPr>
          <w:bCs/>
          <w:sz w:val="20"/>
          <w:szCs w:val="20"/>
        </w:rPr>
      </w:pPr>
    </w:p>
    <w:tbl>
      <w:tblPr>
        <w:tblW w:w="4917"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04"/>
      </w:tblGrid>
      <w:tr w:rsidR="008E301C" w:rsidRPr="008E301C" w14:paraId="2DFB545E" w14:textId="77777777" w:rsidTr="008B2519">
        <w:trPr>
          <w:jc w:val="center"/>
        </w:trPr>
        <w:tc>
          <w:tcPr>
            <w:tcW w:w="5000" w:type="pct"/>
            <w:tcBorders>
              <w:top w:val="outset" w:sz="6" w:space="0" w:color="000000"/>
              <w:bottom w:val="outset" w:sz="6" w:space="0" w:color="000000"/>
            </w:tcBorders>
            <w:shd w:val="clear" w:color="auto" w:fill="E6E6E6"/>
            <w:hideMark/>
          </w:tcPr>
          <w:p w14:paraId="5D3DFC0D"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2.  Definícia problému</w:t>
            </w:r>
          </w:p>
        </w:tc>
      </w:tr>
      <w:tr w:rsidR="008E301C" w:rsidRPr="008E301C" w14:paraId="44983C0F" w14:textId="77777777" w:rsidTr="008B2519">
        <w:trPr>
          <w:trHeight w:val="600"/>
          <w:jc w:val="center"/>
        </w:trPr>
        <w:tc>
          <w:tcPr>
            <w:tcW w:w="5000" w:type="pct"/>
            <w:tcBorders>
              <w:top w:val="outset" w:sz="6" w:space="0" w:color="000000"/>
              <w:bottom w:val="outset" w:sz="6" w:space="0" w:color="000000"/>
            </w:tcBorders>
            <w:hideMark/>
          </w:tcPr>
          <w:p w14:paraId="1DE0653B" w14:textId="77777777" w:rsidR="008E301C" w:rsidRPr="008E301C" w:rsidRDefault="008E301C" w:rsidP="008E301C">
            <w:pPr>
              <w:widowControl/>
              <w:adjustRightInd/>
              <w:spacing w:line="276" w:lineRule="auto"/>
              <w:jc w:val="both"/>
              <w:rPr>
                <w:rFonts w:eastAsia="Calibri"/>
                <w:sz w:val="20"/>
                <w:szCs w:val="20"/>
                <w:lang w:eastAsia="en-US"/>
              </w:rPr>
            </w:pPr>
            <w:r w:rsidRPr="008E301C">
              <w:rPr>
                <w:rFonts w:eastAsia="Calibri"/>
                <w:sz w:val="20"/>
                <w:szCs w:val="20"/>
                <w:lang w:eastAsia="en-US"/>
              </w:rPr>
              <w:t>Na základe platnej právnej úpravy má žalovaný povinnosť v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podľa zákona č. 307/2016 Z. z. o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a o doplnení niektorých zákonov a v konaní o platobnom rozkaze podľa Civilného sporového poriadku povinnosť vecne odôvodniť odpor proti platobnému rozkazu. Ak žalovaný uplatnený nárok spochybňuje, musí sa podľa súčasnej právnej úpravy brániť podaním odporu s vecným odôvodnením. Požiadavka vecného odôvodnenia odporu môže najmä pre spotrebiteľov spôsobovať ťažkosti (na príklad potreba v relatívne krátkom čase vyhľadať právnu pomoc). Na základe predkladaného materiálu súd zohľadní skutočnosť, že je žalovaný spotrebiteľ a vecne odôvodnený odpor podaný  žalovaným ako spotrebiteľom bude posudzovať miernejšie. Vzhľadom na skutočnosť, že </w:t>
            </w:r>
            <w:proofErr w:type="spellStart"/>
            <w:r w:rsidRPr="008E301C">
              <w:rPr>
                <w:rFonts w:eastAsia="Calibri"/>
                <w:sz w:val="20"/>
                <w:szCs w:val="20"/>
                <w:lang w:eastAsia="en-US"/>
              </w:rPr>
              <w:t>upomínacie</w:t>
            </w:r>
            <w:proofErr w:type="spellEnd"/>
            <w:r w:rsidRPr="008E301C">
              <w:rPr>
                <w:rFonts w:eastAsia="Calibri"/>
                <w:sz w:val="20"/>
                <w:szCs w:val="20"/>
                <w:lang w:eastAsia="en-US"/>
              </w:rPr>
              <w:t xml:space="preserve"> konanie a konanie o platobnom rozkaze podľa Civilného sporového poriadku sú skrátené konania v ktorých rozhodnutie vydáva predovšetkým súdny úradník, návrhom zákona sa rovnako zavádza povinnosť vyššieho súdneho úradníka predložiť vec na posúdenie sudcovi, ak sa v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a v konaní o platobnom rozkaze predpokladá posúdenie zmluvy alebo zmluvných dokumentov súvisiacich so spotrebiteľskou zmluvou s ohľadom na existenciu neprijateľných zmluvných podmienok, ktoré ešte neboli posudzované v už právoplatne skončenom konaní. Navrhovanou právnou úpravou sa má zabezpečiť lepšia prístupnosť prostriedku procesnej obrany voči platobnému rozkazu pre spotrebiteľov a zvýšená kontrola súdu pri posudzovaní neprijateľných zmluvných podmienok v spotrebiteľských zmluvách. </w:t>
            </w:r>
          </w:p>
        </w:tc>
      </w:tr>
      <w:tr w:rsidR="008E301C" w:rsidRPr="008E301C" w14:paraId="31FA6F99" w14:textId="77777777" w:rsidTr="008B2519">
        <w:trPr>
          <w:jc w:val="center"/>
        </w:trPr>
        <w:tc>
          <w:tcPr>
            <w:tcW w:w="5000" w:type="pct"/>
            <w:tcBorders>
              <w:top w:val="outset" w:sz="6" w:space="0" w:color="000000"/>
              <w:bottom w:val="outset" w:sz="6" w:space="0" w:color="000000"/>
            </w:tcBorders>
            <w:shd w:val="clear" w:color="auto" w:fill="E6E6E6"/>
            <w:hideMark/>
          </w:tcPr>
          <w:p w14:paraId="1F44EB0F" w14:textId="77777777" w:rsidR="008E301C" w:rsidRPr="008E301C" w:rsidRDefault="008E301C" w:rsidP="008E301C">
            <w:pPr>
              <w:widowControl/>
              <w:adjustRightInd/>
              <w:rPr>
                <w:b/>
                <w:bCs/>
                <w:sz w:val="20"/>
                <w:szCs w:val="20"/>
              </w:rPr>
            </w:pPr>
            <w:r w:rsidRPr="008E301C">
              <w:rPr>
                <w:b/>
                <w:bCs/>
                <w:sz w:val="20"/>
                <w:szCs w:val="20"/>
              </w:rPr>
              <w:t>  3.  Ciele a výsledný stav</w:t>
            </w:r>
          </w:p>
        </w:tc>
      </w:tr>
      <w:tr w:rsidR="008E301C" w:rsidRPr="008E301C" w14:paraId="3799A5A9" w14:textId="77777777" w:rsidTr="008B2519">
        <w:trPr>
          <w:trHeight w:val="600"/>
          <w:jc w:val="center"/>
        </w:trPr>
        <w:tc>
          <w:tcPr>
            <w:tcW w:w="5000" w:type="pct"/>
            <w:tcBorders>
              <w:top w:val="outset" w:sz="6" w:space="0" w:color="000000"/>
              <w:bottom w:val="outset" w:sz="6" w:space="0" w:color="000000"/>
            </w:tcBorders>
            <w:hideMark/>
          </w:tcPr>
          <w:p w14:paraId="6F980F8E" w14:textId="56E6F5D4" w:rsidR="008E301C" w:rsidRPr="008E301C" w:rsidRDefault="008E301C" w:rsidP="008E301C">
            <w:pPr>
              <w:widowControl/>
              <w:adjustRightInd/>
              <w:spacing w:before="120" w:line="276" w:lineRule="auto"/>
              <w:jc w:val="both"/>
              <w:rPr>
                <w:rFonts w:eastAsia="Calibri"/>
                <w:sz w:val="20"/>
                <w:szCs w:val="20"/>
                <w:lang w:eastAsia="en-US"/>
              </w:rPr>
            </w:pPr>
            <w:r w:rsidRPr="008E301C">
              <w:rPr>
                <w:rFonts w:eastAsia="Calibri"/>
                <w:sz w:val="20"/>
                <w:szCs w:val="20"/>
                <w:lang w:eastAsia="en-US"/>
              </w:rPr>
              <w:t xml:space="preserve">Cieľom materiálu je prehodnotenie právnej úpravy </w:t>
            </w:r>
            <w:proofErr w:type="spellStart"/>
            <w:r w:rsidRPr="008E301C">
              <w:rPr>
                <w:rFonts w:eastAsia="Calibri"/>
                <w:sz w:val="20"/>
                <w:szCs w:val="20"/>
                <w:lang w:eastAsia="en-US"/>
              </w:rPr>
              <w:t>upomínacieho</w:t>
            </w:r>
            <w:proofErr w:type="spellEnd"/>
            <w:r w:rsidRPr="008E301C">
              <w:rPr>
                <w:rFonts w:eastAsia="Calibri"/>
                <w:sz w:val="20"/>
                <w:szCs w:val="20"/>
                <w:lang w:eastAsia="en-US"/>
              </w:rPr>
              <w:t xml:space="preserve"> konania</w:t>
            </w:r>
            <w:r w:rsidRPr="008E301C">
              <w:t xml:space="preserve"> </w:t>
            </w:r>
            <w:r w:rsidRPr="008E301C">
              <w:rPr>
                <w:rFonts w:eastAsia="Calibri"/>
                <w:sz w:val="20"/>
                <w:szCs w:val="20"/>
                <w:lang w:eastAsia="en-US"/>
              </w:rPr>
              <w:t xml:space="preserve">v zákone č. 307/2016 Z. z. o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a o doplnení niektorých zákonov a konania o platobnom rozkaze v Civilnom sporovom poriadku v spojitosti s povinnosťou súdu miernejšie posudzovať vecne odôvodený odpor podaný žalovaným ako spotrebiteľom. V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a konaní o platobnom rozkaze sa súčasne navrhuje upraviť povinnosť vyššieho súdneho úradník predložiť sudcovi na posúdenie vec, ktorá sa týka zmluvy alebo zmluvných dokumentov súvisiacich so spotrebiteľskou zmluvou. </w:t>
            </w:r>
            <w:r w:rsidR="00BC458E">
              <w:rPr>
                <w:rFonts w:eastAsia="Calibri"/>
                <w:sz w:val="20"/>
                <w:szCs w:val="20"/>
                <w:lang w:eastAsia="en-US"/>
              </w:rPr>
              <w:t>Vládnym n</w:t>
            </w:r>
            <w:r w:rsidRPr="008E301C">
              <w:rPr>
                <w:rFonts w:eastAsia="Calibri"/>
                <w:sz w:val="20"/>
                <w:szCs w:val="20"/>
                <w:lang w:eastAsia="en-US"/>
              </w:rPr>
              <w:t xml:space="preserve">ávrhom zákona sa zároveň zjednocuje právna úprava procesného postupu v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podľa zákona č. 307/2016 Z. z. o </w:t>
            </w:r>
            <w:proofErr w:type="spellStart"/>
            <w:r w:rsidRPr="008E301C">
              <w:rPr>
                <w:rFonts w:eastAsia="Calibri"/>
                <w:sz w:val="20"/>
                <w:szCs w:val="20"/>
                <w:lang w:eastAsia="en-US"/>
              </w:rPr>
              <w:t>upomínacom</w:t>
            </w:r>
            <w:proofErr w:type="spellEnd"/>
            <w:r w:rsidRPr="008E301C">
              <w:rPr>
                <w:rFonts w:eastAsia="Calibri"/>
                <w:sz w:val="20"/>
                <w:szCs w:val="20"/>
                <w:lang w:eastAsia="en-US"/>
              </w:rPr>
              <w:t xml:space="preserve"> konaní a o doplnení niektorých zákonov a v konaní o platobnom rozkaze podľa Civilného sporového poriadku pri určení procesnoprávnej skutočnosti, ktorou nastáva zrušenie platobného rozkazu.</w:t>
            </w:r>
          </w:p>
        </w:tc>
      </w:tr>
      <w:tr w:rsidR="008E301C" w:rsidRPr="008E301C" w14:paraId="5197922E" w14:textId="77777777" w:rsidTr="008B2519">
        <w:trPr>
          <w:jc w:val="center"/>
        </w:trPr>
        <w:tc>
          <w:tcPr>
            <w:tcW w:w="5000" w:type="pct"/>
            <w:tcBorders>
              <w:top w:val="outset" w:sz="6" w:space="0" w:color="000000"/>
              <w:bottom w:val="outset" w:sz="6" w:space="0" w:color="000000"/>
            </w:tcBorders>
            <w:shd w:val="clear" w:color="auto" w:fill="E6E6E6"/>
            <w:hideMark/>
          </w:tcPr>
          <w:p w14:paraId="1C750D9A" w14:textId="77777777" w:rsidR="008E301C" w:rsidRPr="008E301C" w:rsidRDefault="008E301C" w:rsidP="008E301C">
            <w:pPr>
              <w:widowControl/>
              <w:adjustRightInd/>
              <w:rPr>
                <w:b/>
                <w:bCs/>
                <w:sz w:val="20"/>
                <w:szCs w:val="20"/>
              </w:rPr>
            </w:pPr>
            <w:r w:rsidRPr="008E301C">
              <w:rPr>
                <w:b/>
                <w:bCs/>
                <w:sz w:val="20"/>
                <w:szCs w:val="20"/>
              </w:rPr>
              <w:t xml:space="preserve"> 4.  Dotknuté subjekty</w:t>
            </w:r>
          </w:p>
        </w:tc>
      </w:tr>
      <w:tr w:rsidR="008E301C" w:rsidRPr="008E301C" w14:paraId="435C25C2" w14:textId="77777777" w:rsidTr="008B2519">
        <w:trPr>
          <w:trHeight w:val="600"/>
          <w:jc w:val="center"/>
        </w:trPr>
        <w:tc>
          <w:tcPr>
            <w:tcW w:w="5000" w:type="pct"/>
            <w:tcBorders>
              <w:top w:val="outset" w:sz="6" w:space="0" w:color="000000"/>
              <w:bottom w:val="outset" w:sz="6" w:space="0" w:color="000000"/>
            </w:tcBorders>
            <w:hideMark/>
          </w:tcPr>
          <w:p w14:paraId="3ECFC242"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Ministerstvo spravodlivosti Slovenskej republiky, súdy, fyzické osoby, právnické osoby. </w:t>
            </w:r>
          </w:p>
        </w:tc>
      </w:tr>
      <w:tr w:rsidR="008E301C" w:rsidRPr="008E301C" w14:paraId="3816FD53" w14:textId="77777777" w:rsidTr="008B2519">
        <w:trPr>
          <w:jc w:val="center"/>
        </w:trPr>
        <w:tc>
          <w:tcPr>
            <w:tcW w:w="5000" w:type="pct"/>
            <w:tcBorders>
              <w:top w:val="outset" w:sz="6" w:space="0" w:color="000000"/>
              <w:bottom w:val="outset" w:sz="6" w:space="0" w:color="000000"/>
            </w:tcBorders>
            <w:shd w:val="clear" w:color="auto" w:fill="E6E6E6"/>
            <w:hideMark/>
          </w:tcPr>
          <w:p w14:paraId="41215DC4"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lastRenderedPageBreak/>
              <w:t>  5.  Alternatívne riešenia</w:t>
            </w:r>
          </w:p>
        </w:tc>
      </w:tr>
      <w:tr w:rsidR="008E301C" w:rsidRPr="008E301C" w14:paraId="76483765" w14:textId="77777777" w:rsidTr="008B2519">
        <w:trPr>
          <w:trHeight w:val="600"/>
          <w:jc w:val="center"/>
        </w:trPr>
        <w:tc>
          <w:tcPr>
            <w:tcW w:w="5000" w:type="pct"/>
            <w:tcBorders>
              <w:top w:val="outset" w:sz="6" w:space="0" w:color="000000"/>
              <w:bottom w:val="outset" w:sz="6" w:space="0" w:color="000000"/>
            </w:tcBorders>
            <w:hideMark/>
          </w:tcPr>
          <w:p w14:paraId="650119D0" w14:textId="77777777" w:rsidR="008E301C" w:rsidRPr="008E301C" w:rsidRDefault="008E301C" w:rsidP="008E301C">
            <w:pPr>
              <w:widowControl/>
              <w:adjustRightInd/>
              <w:jc w:val="both"/>
              <w:rPr>
                <w:bCs/>
              </w:rPr>
            </w:pPr>
            <w:r w:rsidRPr="008E301C">
              <w:rPr>
                <w:rFonts w:ascii="Times" w:hAnsi="Times" w:cs="Times"/>
                <w:sz w:val="20"/>
                <w:szCs w:val="20"/>
              </w:rPr>
              <w:t xml:space="preserve">Alternatívne riešenia neboli zvažované a teda nie sú predkladané. Nulový variant, </w:t>
            </w:r>
            <w:proofErr w:type="spellStart"/>
            <w:r w:rsidRPr="008E301C">
              <w:rPr>
                <w:rFonts w:ascii="Times" w:hAnsi="Times" w:cs="Times"/>
                <w:sz w:val="20"/>
                <w:szCs w:val="20"/>
              </w:rPr>
              <w:t>t.j</w:t>
            </w:r>
            <w:proofErr w:type="spellEnd"/>
            <w:r w:rsidRPr="008E301C">
              <w:rPr>
                <w:rFonts w:ascii="Times" w:hAnsi="Times" w:cs="Times"/>
                <w:sz w:val="20"/>
                <w:szCs w:val="20"/>
              </w:rPr>
              <w:t>. zachovanie súčasného stavu je nežiaduce aj s ohľadom na vývoj judikatúry Súdneho dvora Európskej únie v ochrane spotrebiteľov (napr. rozhodnutie C-448/2017).</w:t>
            </w:r>
          </w:p>
        </w:tc>
      </w:tr>
      <w:tr w:rsidR="008E301C" w:rsidRPr="008E301C" w14:paraId="5A3A6681" w14:textId="77777777" w:rsidTr="008B2519">
        <w:trPr>
          <w:jc w:val="center"/>
        </w:trPr>
        <w:tc>
          <w:tcPr>
            <w:tcW w:w="5000" w:type="pct"/>
            <w:tcBorders>
              <w:top w:val="outset" w:sz="6" w:space="0" w:color="000000"/>
              <w:bottom w:val="outset" w:sz="6" w:space="0" w:color="000000"/>
            </w:tcBorders>
            <w:shd w:val="clear" w:color="auto" w:fill="E6E6E6"/>
            <w:hideMark/>
          </w:tcPr>
          <w:p w14:paraId="4B82210A"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6.  Vykonávacie predpisy</w:t>
            </w:r>
          </w:p>
        </w:tc>
      </w:tr>
      <w:tr w:rsidR="008E301C" w:rsidRPr="008E301C" w14:paraId="4F9D4B7B" w14:textId="77777777" w:rsidTr="008B2519">
        <w:trPr>
          <w:trHeight w:val="387"/>
          <w:jc w:val="center"/>
        </w:trPr>
        <w:tc>
          <w:tcPr>
            <w:tcW w:w="5000" w:type="pct"/>
            <w:tcBorders>
              <w:top w:val="outset" w:sz="6" w:space="0" w:color="000000"/>
              <w:bottom w:val="outset" w:sz="6" w:space="0" w:color="000000"/>
            </w:tcBorders>
            <w:hideMark/>
          </w:tcPr>
          <w:p w14:paraId="0D7B55F5" w14:textId="77777777" w:rsidR="008E301C" w:rsidRPr="008E301C" w:rsidRDefault="008E301C" w:rsidP="008E301C">
            <w:pPr>
              <w:widowControl/>
              <w:adjustRightInd/>
              <w:rPr>
                <w:sz w:val="20"/>
                <w:szCs w:val="20"/>
              </w:rPr>
            </w:pPr>
            <w:r w:rsidRPr="008E301C">
              <w:rPr>
                <w:sz w:val="20"/>
                <w:szCs w:val="20"/>
              </w:rPr>
              <w:t>Predpokladá sa prijatie/zmena vykonávacích predpisov?                </w:t>
            </w:r>
            <w:r w:rsidRPr="008E301C">
              <w:rPr>
                <w:sz w:val="20"/>
                <w:szCs w:val="20"/>
              </w:rPr>
              <w:t> Áno        </w:t>
            </w:r>
            <w:r w:rsidRPr="008E301C">
              <w:rPr>
                <w:rFonts w:ascii="Wingdings 2" w:hAnsi="Wingdings 2" w:cs="Times"/>
                <w:sz w:val="20"/>
                <w:szCs w:val="20"/>
              </w:rPr>
              <w:t></w:t>
            </w:r>
            <w:r w:rsidRPr="008E301C">
              <w:rPr>
                <w:sz w:val="20"/>
                <w:szCs w:val="20"/>
              </w:rPr>
              <w:t> Nie   </w:t>
            </w:r>
          </w:p>
        </w:tc>
      </w:tr>
      <w:tr w:rsidR="008E301C" w:rsidRPr="008E301C" w14:paraId="30D39F73" w14:textId="77777777" w:rsidTr="008B2519">
        <w:trPr>
          <w:jc w:val="center"/>
        </w:trPr>
        <w:tc>
          <w:tcPr>
            <w:tcW w:w="5000" w:type="pct"/>
            <w:tcBorders>
              <w:top w:val="outset" w:sz="6" w:space="0" w:color="000000"/>
              <w:bottom w:val="outset" w:sz="6" w:space="0" w:color="000000"/>
            </w:tcBorders>
            <w:shd w:val="clear" w:color="auto" w:fill="E6E6E6"/>
            <w:hideMark/>
          </w:tcPr>
          <w:p w14:paraId="60657F5B"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xml:space="preserve">  7.  Transpozícia práva EÚ </w:t>
            </w:r>
          </w:p>
        </w:tc>
      </w:tr>
      <w:tr w:rsidR="008E301C" w:rsidRPr="008E301C" w14:paraId="1DFD6B1E" w14:textId="77777777" w:rsidTr="008B2519">
        <w:trPr>
          <w:trHeight w:val="385"/>
          <w:jc w:val="center"/>
        </w:trPr>
        <w:tc>
          <w:tcPr>
            <w:tcW w:w="5000" w:type="pct"/>
            <w:tcBorders>
              <w:top w:val="outset" w:sz="6" w:space="0" w:color="000000"/>
              <w:bottom w:val="outset" w:sz="6" w:space="0" w:color="000000"/>
            </w:tcBorders>
            <w:hideMark/>
          </w:tcPr>
          <w:p w14:paraId="4198CD01" w14:textId="77777777" w:rsidR="008E301C" w:rsidRPr="008E301C" w:rsidRDefault="008E301C" w:rsidP="008E301C">
            <w:pPr>
              <w:widowControl/>
              <w:adjustRightInd/>
              <w:jc w:val="both"/>
              <w:rPr>
                <w:rFonts w:ascii="Times" w:hAnsi="Times" w:cs="Times"/>
                <w:sz w:val="20"/>
                <w:szCs w:val="20"/>
              </w:rPr>
            </w:pPr>
            <w:r w:rsidRPr="008E301C">
              <w:rPr>
                <w:sz w:val="20"/>
                <w:szCs w:val="20"/>
              </w:rPr>
              <w:t>Nie.</w:t>
            </w:r>
          </w:p>
        </w:tc>
      </w:tr>
      <w:tr w:rsidR="008E301C" w:rsidRPr="008E301C" w14:paraId="7A6A5741" w14:textId="77777777" w:rsidTr="008B2519">
        <w:trPr>
          <w:jc w:val="center"/>
        </w:trPr>
        <w:tc>
          <w:tcPr>
            <w:tcW w:w="5000" w:type="pct"/>
            <w:tcBorders>
              <w:top w:val="outset" w:sz="6" w:space="0" w:color="000000"/>
              <w:bottom w:val="outset" w:sz="6" w:space="0" w:color="000000"/>
            </w:tcBorders>
            <w:shd w:val="clear" w:color="auto" w:fill="E6E6E6"/>
            <w:hideMark/>
          </w:tcPr>
          <w:p w14:paraId="1E0329E1"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8.  Preskúmanie účelnosti**</w:t>
            </w:r>
          </w:p>
        </w:tc>
      </w:tr>
      <w:tr w:rsidR="008E301C" w:rsidRPr="008E301C" w14:paraId="5A6A04C7" w14:textId="77777777" w:rsidTr="008B2519">
        <w:trPr>
          <w:trHeight w:val="600"/>
          <w:jc w:val="center"/>
        </w:trPr>
        <w:tc>
          <w:tcPr>
            <w:tcW w:w="5000" w:type="pct"/>
            <w:tcBorders>
              <w:top w:val="outset" w:sz="6" w:space="0" w:color="000000"/>
              <w:bottom w:val="outset" w:sz="6" w:space="0" w:color="000000"/>
            </w:tcBorders>
            <w:hideMark/>
          </w:tcPr>
          <w:p w14:paraId="5CA2537F" w14:textId="77777777" w:rsidR="008E301C" w:rsidRPr="008E301C" w:rsidRDefault="008E301C" w:rsidP="008E301C">
            <w:pPr>
              <w:widowControl/>
              <w:adjustRightInd/>
              <w:jc w:val="both"/>
              <w:rPr>
                <w:rFonts w:ascii="Times" w:hAnsi="Times" w:cs="Times"/>
                <w:sz w:val="20"/>
                <w:szCs w:val="20"/>
              </w:rPr>
            </w:pPr>
            <w:r w:rsidRPr="008E301C">
              <w:rPr>
                <w:rFonts w:ascii="Times" w:hAnsi="Times" w:cs="Times"/>
                <w:sz w:val="20"/>
                <w:szCs w:val="20"/>
              </w:rPr>
              <w:t>Preskúmanie účelnosti navrhovaného materiálu bude vykonávané priebežne po nadobudnutí účinnosti a jeho aplikácii.</w:t>
            </w:r>
          </w:p>
        </w:tc>
      </w:tr>
    </w:tbl>
    <w:p w14:paraId="304637BC" w14:textId="77777777" w:rsidR="008E301C" w:rsidRPr="008E301C" w:rsidRDefault="008E301C" w:rsidP="008E301C">
      <w:pPr>
        <w:widowControl/>
        <w:adjustRightInd/>
        <w:rPr>
          <w:bCs/>
          <w:sz w:val="20"/>
          <w:szCs w:val="20"/>
        </w:rPr>
      </w:pPr>
    </w:p>
    <w:p w14:paraId="10D5014A" w14:textId="77777777" w:rsidR="008E301C" w:rsidRPr="008E301C" w:rsidRDefault="008E301C" w:rsidP="008E301C">
      <w:pPr>
        <w:widowControl/>
        <w:adjustRightInd/>
        <w:ind w:left="142" w:hanging="142"/>
        <w:rPr>
          <w:sz w:val="20"/>
          <w:szCs w:val="20"/>
        </w:rPr>
      </w:pPr>
      <w:r w:rsidRPr="008E301C">
        <w:rPr>
          <w:sz w:val="20"/>
          <w:szCs w:val="20"/>
        </w:rPr>
        <w:t xml:space="preserve">* vyplniť iba v prípade, ak materiál nie je zahrnutý do Plánu práce vlády Slovenskej republiky alebo Plánu        legislatívnych úloh vlády Slovenskej republiky. </w:t>
      </w:r>
    </w:p>
    <w:p w14:paraId="569F2D21" w14:textId="77777777" w:rsidR="008E301C" w:rsidRPr="008E301C" w:rsidRDefault="008E301C" w:rsidP="008E301C">
      <w:pPr>
        <w:widowControl/>
        <w:adjustRightInd/>
        <w:rPr>
          <w:sz w:val="20"/>
          <w:szCs w:val="20"/>
        </w:rPr>
      </w:pPr>
      <w:r w:rsidRPr="008E301C">
        <w:rPr>
          <w:sz w:val="20"/>
          <w:szCs w:val="20"/>
        </w:rPr>
        <w:t>** nepovinné</w:t>
      </w:r>
    </w:p>
    <w:p w14:paraId="33931C23" w14:textId="77777777" w:rsidR="008E301C" w:rsidRPr="008E301C" w:rsidRDefault="008E301C" w:rsidP="008E301C">
      <w:pPr>
        <w:widowControl/>
        <w:adjustRightInd/>
        <w:rPr>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8E301C" w:rsidRPr="008E301C" w14:paraId="1CD10003" w14:textId="77777777" w:rsidTr="008B2519">
        <w:trPr>
          <w:trHeight w:val="450"/>
          <w:jc w:val="center"/>
        </w:trPr>
        <w:tc>
          <w:tcPr>
            <w:tcW w:w="250" w:type="pct"/>
            <w:gridSpan w:val="4"/>
            <w:tcBorders>
              <w:top w:val="outset" w:sz="6" w:space="0" w:color="000000"/>
              <w:bottom w:val="outset" w:sz="6" w:space="0" w:color="000000"/>
            </w:tcBorders>
            <w:shd w:val="clear" w:color="auto" w:fill="E6E6E6"/>
            <w:hideMark/>
          </w:tcPr>
          <w:p w14:paraId="2DAB39B1"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9.   Vplyvy navrhovaného materiálu</w:t>
            </w:r>
          </w:p>
        </w:tc>
      </w:tr>
      <w:tr w:rsidR="008E301C" w:rsidRPr="008E301C" w14:paraId="584543B7" w14:textId="77777777" w:rsidTr="008B2519">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18FA3C39"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Vplyvy na rozpočet verejnej správy</w:t>
            </w:r>
            <w:r w:rsidRPr="008E301C">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E514F9"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626C20"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0FDACF09"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Negatívne</w:t>
            </w:r>
          </w:p>
        </w:tc>
      </w:tr>
      <w:tr w:rsidR="008E301C" w:rsidRPr="008E301C" w14:paraId="1CD2EAA7" w14:textId="77777777" w:rsidTr="008B2519">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7443AD34" w14:textId="77777777" w:rsidR="008E301C" w:rsidRPr="008E301C" w:rsidRDefault="008E301C" w:rsidP="008E301C">
            <w:pPr>
              <w:widowControl/>
              <w:adjustRightInd/>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58890B"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8E4D3A"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14:paraId="2C3588EE"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Čiastočne</w:t>
            </w:r>
          </w:p>
        </w:tc>
      </w:tr>
      <w:tr w:rsidR="008E301C" w:rsidRPr="008E301C" w14:paraId="62B58459" w14:textId="77777777" w:rsidTr="008B2519">
        <w:trPr>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6280DA7D"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Vplyvy na podnikateľské prostredie</w:t>
            </w:r>
            <w:r w:rsidRPr="008E301C">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44AD4BE"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D01CA5"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5BE7B271"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5FC1A748" w14:textId="77777777" w:rsidTr="008B2519">
        <w:trPr>
          <w:trHeight w:val="270"/>
          <w:jc w:val="center"/>
        </w:trPr>
        <w:tc>
          <w:tcPr>
            <w:tcW w:w="0" w:type="auto"/>
            <w:vMerge/>
            <w:tcBorders>
              <w:top w:val="outset" w:sz="6" w:space="0" w:color="000000"/>
              <w:bottom w:val="outset" w:sz="6" w:space="0" w:color="000000"/>
              <w:right w:val="outset" w:sz="6" w:space="0" w:color="000000"/>
            </w:tcBorders>
            <w:vAlign w:val="center"/>
            <w:hideMark/>
          </w:tcPr>
          <w:p w14:paraId="68A3285D" w14:textId="77777777" w:rsidR="008E301C" w:rsidRPr="008E301C" w:rsidRDefault="008E301C" w:rsidP="008E301C">
            <w:pPr>
              <w:widowControl/>
              <w:adjustRightInd/>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50766A"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DB994C"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6E94DBD0"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7CDAB026" w14:textId="77777777" w:rsidTr="008B2519">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233B6494"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8E3910"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2FF69A"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221438FB"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50557967" w14:textId="77777777" w:rsidTr="008B2519">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6CA4A022"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A01BC9"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356A2FE"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3DB7D43A"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0ECA3059" w14:textId="77777777" w:rsidTr="008B2519">
        <w:trPr>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14:paraId="7A1F576E"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F6A1032"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FC241B"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Žiadne</w:t>
            </w:r>
          </w:p>
        </w:tc>
        <w:tc>
          <w:tcPr>
            <w:tcW w:w="1000" w:type="pct"/>
            <w:tcBorders>
              <w:top w:val="outset" w:sz="6" w:space="0" w:color="000000"/>
              <w:left w:val="outset" w:sz="6" w:space="0" w:color="000000"/>
              <w:bottom w:val="outset" w:sz="6" w:space="0" w:color="000000"/>
            </w:tcBorders>
            <w:vAlign w:val="center"/>
            <w:hideMark/>
          </w:tcPr>
          <w:p w14:paraId="5E0206C2"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018F0E62" w14:textId="77777777" w:rsidTr="008B2519">
        <w:trPr>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14:paraId="7DAD8113" w14:textId="77777777" w:rsidR="008E301C" w:rsidRPr="008E301C" w:rsidRDefault="008E301C" w:rsidP="008E301C">
            <w:pPr>
              <w:widowControl/>
              <w:adjustRightInd/>
              <w:rPr>
                <w:rFonts w:ascii="Times" w:hAnsi="Times" w:cs="Times"/>
                <w:sz w:val="20"/>
                <w:szCs w:val="20"/>
              </w:rPr>
            </w:pPr>
            <w:r w:rsidRPr="008E301C">
              <w:rPr>
                <w:rFonts w:ascii="Times" w:hAnsi="Times" w:cs="Times"/>
                <w:b/>
                <w:bCs/>
                <w:sz w:val="20"/>
                <w:szCs w:val="20"/>
              </w:rPr>
              <w:t>  Vplyvy na služby pre občana z toho</w:t>
            </w:r>
            <w:r w:rsidRPr="008E301C">
              <w:rPr>
                <w:rFonts w:ascii="Times" w:hAnsi="Times" w:cs="Times"/>
                <w:sz w:val="20"/>
                <w:szCs w:val="20"/>
              </w:rPr>
              <w:br/>
              <w:t>    vplyvy služieb verejnej správy na občana</w:t>
            </w:r>
            <w:r w:rsidRPr="008E301C">
              <w:rPr>
                <w:rFonts w:ascii="Times" w:hAnsi="Times" w:cs="Times"/>
                <w:sz w:val="20"/>
                <w:szCs w:val="20"/>
              </w:rPr>
              <w:br/>
              <w:t>    vplyvy na procesy služieb vo verejnej</w:t>
            </w:r>
            <w:r w:rsidRPr="008E301C">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43D9F55"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br/>
              <w:t xml:space="preserve">   </w:t>
            </w:r>
            <w:r w:rsidRPr="008E301C">
              <w:rPr>
                <w:rFonts w:ascii="Wingdings 2" w:hAnsi="Wingdings 2" w:cs="Times"/>
                <w:sz w:val="20"/>
                <w:szCs w:val="20"/>
              </w:rPr>
              <w:t></w:t>
            </w:r>
            <w:r w:rsidRPr="008E301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1622DF"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b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2B44982F"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b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03B82737" w14:textId="77777777" w:rsidTr="008B2519">
        <w:trPr>
          <w:trHeight w:val="150"/>
          <w:jc w:val="center"/>
        </w:trPr>
        <w:tc>
          <w:tcPr>
            <w:tcW w:w="0" w:type="auto"/>
            <w:vMerge/>
            <w:tcBorders>
              <w:top w:val="outset" w:sz="6" w:space="0" w:color="000000"/>
              <w:bottom w:val="outset" w:sz="6" w:space="0" w:color="000000"/>
              <w:right w:val="outset" w:sz="6" w:space="0" w:color="000000"/>
            </w:tcBorders>
            <w:vAlign w:val="center"/>
            <w:hideMark/>
          </w:tcPr>
          <w:p w14:paraId="682767C4" w14:textId="77777777" w:rsidR="008E301C" w:rsidRPr="008E301C" w:rsidRDefault="008E301C" w:rsidP="008E301C">
            <w:pPr>
              <w:widowControl/>
              <w:adjustRightInd/>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AC4C3D0"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Wingdings 2" w:hAnsi="Wingdings 2" w:cs="Times"/>
                <w:sz w:val="20"/>
                <w:szCs w:val="20"/>
              </w:rPr>
              <w:t></w:t>
            </w:r>
            <w:r w:rsidRPr="008E301C">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98E04B"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14:paraId="78E1A65D" w14:textId="77777777" w:rsidR="008E301C" w:rsidRPr="008E301C" w:rsidRDefault="008E301C" w:rsidP="008E301C">
            <w:pPr>
              <w:widowControl/>
              <w:adjustRightInd/>
              <w:rPr>
                <w:rFonts w:ascii="Times" w:hAnsi="Times" w:cs="Times"/>
                <w:sz w:val="20"/>
                <w:szCs w:val="20"/>
              </w:rPr>
            </w:pPr>
            <w:r w:rsidRPr="008E301C">
              <w:rPr>
                <w:rFonts w:ascii="Times" w:hAnsi="Times" w:cs="Times"/>
                <w:sz w:val="20"/>
                <w:szCs w:val="20"/>
              </w:rPr>
              <w:t xml:space="preserve">  </w:t>
            </w:r>
            <w:r w:rsidRPr="008E301C">
              <w:rPr>
                <w:rFonts w:ascii="Wingdings 2" w:hAnsi="Wingdings 2" w:cs="Times"/>
                <w:sz w:val="20"/>
                <w:szCs w:val="20"/>
              </w:rPr>
              <w:t></w:t>
            </w:r>
            <w:r w:rsidRPr="008E301C">
              <w:rPr>
                <w:rFonts w:ascii="Times" w:hAnsi="Times" w:cs="Times"/>
                <w:sz w:val="20"/>
                <w:szCs w:val="20"/>
              </w:rPr>
              <w:t xml:space="preserve">   Negatívne</w:t>
            </w:r>
          </w:p>
        </w:tc>
      </w:tr>
      <w:tr w:rsidR="008E301C" w:rsidRPr="008E301C" w14:paraId="089A880B" w14:textId="77777777" w:rsidTr="008B2519">
        <w:trPr>
          <w:trHeight w:val="150"/>
          <w:jc w:val="center"/>
        </w:trPr>
        <w:tc>
          <w:tcPr>
            <w:tcW w:w="0" w:type="auto"/>
            <w:tcBorders>
              <w:top w:val="outset" w:sz="6" w:space="0" w:color="000000"/>
              <w:bottom w:val="outset" w:sz="6" w:space="0" w:color="000000"/>
              <w:right w:val="outset" w:sz="6" w:space="0" w:color="000000"/>
            </w:tcBorders>
            <w:shd w:val="clear" w:color="auto" w:fill="E7E6E6" w:themeFill="background2"/>
            <w:vAlign w:val="center"/>
          </w:tcPr>
          <w:p w14:paraId="4AC50BF9" w14:textId="77777777" w:rsidR="008E301C" w:rsidRPr="008E301C" w:rsidRDefault="008E301C" w:rsidP="008E301C">
            <w:pPr>
              <w:widowControl/>
              <w:adjustRightInd/>
              <w:rPr>
                <w:rFonts w:ascii="Times" w:hAnsi="Times" w:cs="Times"/>
                <w:b/>
                <w:sz w:val="20"/>
                <w:szCs w:val="20"/>
              </w:rPr>
            </w:pPr>
            <w:r w:rsidRPr="008E301C">
              <w:rPr>
                <w:rFonts w:ascii="Times" w:hAnsi="Times" w:cs="Times"/>
                <w:b/>
                <w:sz w:val="20"/>
                <w:szCs w:val="20"/>
              </w:rPr>
              <w:t xml:space="preserve">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tcPr>
          <w:p w14:paraId="046922A2" w14:textId="77777777" w:rsidR="008E301C" w:rsidRPr="008E301C" w:rsidRDefault="008E301C" w:rsidP="008E301C">
            <w:pPr>
              <w:widowControl/>
              <w:adjustRightInd/>
              <w:ind w:left="-85"/>
              <w:rPr>
                <w:rFonts w:ascii="Times" w:hAnsi="Times" w:cs="Times"/>
                <w:sz w:val="20"/>
                <w:szCs w:val="20"/>
              </w:rPr>
            </w:pPr>
            <w:r w:rsidRPr="008E301C">
              <w:rPr>
                <w:rFonts w:ascii="Wingdings 2" w:hAnsi="Wingdings 2" w:cs="Times"/>
                <w:sz w:val="20"/>
                <w:szCs w:val="20"/>
              </w:rPr>
              <w:t></w:t>
            </w:r>
            <w:r w:rsidRPr="008E301C">
              <w:rPr>
                <w:rFonts w:ascii="Wingdings 2" w:hAnsi="Wingdings 2" w:cs="Times"/>
                <w:sz w:val="20"/>
                <w:szCs w:val="20"/>
              </w:rPr>
              <w:t></w:t>
            </w:r>
            <w:r w:rsidRPr="008E301C">
              <w:rPr>
                <w:rFonts w:ascii="Wingdings 2" w:hAnsi="Wingdings 2" w:cs="Times"/>
                <w:sz w:val="20"/>
                <w:szCs w:val="20"/>
              </w:rPr>
              <w:t></w:t>
            </w:r>
            <w:r w:rsidRPr="008E301C">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506245CA" w14:textId="77777777" w:rsidR="008E301C" w:rsidRPr="008E301C" w:rsidRDefault="008E301C" w:rsidP="008E301C">
            <w:pPr>
              <w:widowControl/>
              <w:adjustRightInd/>
              <w:ind w:left="-62"/>
              <w:rPr>
                <w:rFonts w:ascii="Times" w:hAnsi="Times" w:cs="Times"/>
                <w:sz w:val="20"/>
                <w:szCs w:val="20"/>
              </w:rPr>
            </w:pPr>
            <w:r w:rsidRPr="008E301C">
              <w:rPr>
                <w:rFonts w:ascii="Wingdings 2" w:hAnsi="Wingdings 2" w:cs="Times"/>
                <w:sz w:val="20"/>
                <w:szCs w:val="20"/>
              </w:rPr>
              <w:t></w:t>
            </w:r>
            <w:r w:rsidRPr="008E301C">
              <w:rPr>
                <w:rFonts w:ascii="Wingdings 2" w:hAnsi="Wingdings 2" w:cs="Times"/>
                <w:sz w:val="20"/>
                <w:szCs w:val="20"/>
              </w:rPr>
              <w:t></w:t>
            </w:r>
            <w:r w:rsidRPr="008E301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tcPr>
          <w:p w14:paraId="651C4546" w14:textId="77777777" w:rsidR="008E301C" w:rsidRPr="008E301C" w:rsidRDefault="008E301C" w:rsidP="008E301C">
            <w:pPr>
              <w:widowControl/>
              <w:adjustRightInd/>
              <w:rPr>
                <w:rFonts w:ascii="Times" w:hAnsi="Times" w:cs="Times"/>
                <w:sz w:val="20"/>
                <w:szCs w:val="20"/>
              </w:rPr>
            </w:pPr>
            <w:r w:rsidRPr="008E301C">
              <w:rPr>
                <w:rFonts w:ascii="Wingdings 2" w:hAnsi="Wingdings 2" w:cs="Times"/>
                <w:sz w:val="20"/>
                <w:szCs w:val="20"/>
              </w:rPr>
              <w:t></w:t>
            </w:r>
            <w:r w:rsidRPr="008E301C">
              <w:rPr>
                <w:rFonts w:ascii="Wingdings 2" w:hAnsi="Wingdings 2" w:cs="Times"/>
                <w:sz w:val="20"/>
                <w:szCs w:val="20"/>
              </w:rPr>
              <w:t></w:t>
            </w:r>
            <w:r w:rsidRPr="008E301C">
              <w:rPr>
                <w:rFonts w:ascii="Times" w:hAnsi="Times" w:cs="Times"/>
                <w:sz w:val="20"/>
                <w:szCs w:val="20"/>
              </w:rPr>
              <w:t xml:space="preserve">  Negatívne</w:t>
            </w:r>
          </w:p>
        </w:tc>
      </w:tr>
    </w:tbl>
    <w:p w14:paraId="2B61B9E8" w14:textId="77777777" w:rsidR="008E301C" w:rsidRPr="008E301C" w:rsidRDefault="008E301C" w:rsidP="008E301C">
      <w:pPr>
        <w:widowControl/>
        <w:adjustRightInd/>
        <w:rPr>
          <w:bCs/>
          <w:sz w:val="20"/>
          <w:szCs w:val="20"/>
        </w:rPr>
      </w:pPr>
    </w:p>
    <w:tbl>
      <w:tblPr>
        <w:tblW w:w="5043"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132"/>
      </w:tblGrid>
      <w:tr w:rsidR="008E301C" w:rsidRPr="008E301C" w14:paraId="45EB02EC" w14:textId="77777777" w:rsidTr="008B2519">
        <w:trPr>
          <w:trHeight w:val="569"/>
          <w:jc w:val="center"/>
        </w:trPr>
        <w:tc>
          <w:tcPr>
            <w:tcW w:w="5000" w:type="pct"/>
            <w:tcBorders>
              <w:top w:val="outset" w:sz="6" w:space="0" w:color="000000"/>
              <w:bottom w:val="outset" w:sz="6" w:space="0" w:color="000000"/>
            </w:tcBorders>
            <w:shd w:val="clear" w:color="auto" w:fill="E6E6E6"/>
            <w:hideMark/>
          </w:tcPr>
          <w:p w14:paraId="5F25BDB0"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10.  Poznámky</w:t>
            </w:r>
          </w:p>
        </w:tc>
      </w:tr>
      <w:tr w:rsidR="008E301C" w:rsidRPr="008E301C" w14:paraId="0625F938" w14:textId="77777777" w:rsidTr="008B2519">
        <w:trPr>
          <w:trHeight w:val="710"/>
          <w:jc w:val="center"/>
        </w:trPr>
        <w:tc>
          <w:tcPr>
            <w:tcW w:w="5000" w:type="pct"/>
            <w:tcBorders>
              <w:top w:val="outset" w:sz="6" w:space="0" w:color="000000"/>
              <w:bottom w:val="outset" w:sz="6" w:space="0" w:color="000000"/>
            </w:tcBorders>
          </w:tcPr>
          <w:p w14:paraId="63DBE67B" w14:textId="77777777" w:rsidR="008E301C" w:rsidRPr="008E301C" w:rsidRDefault="008E301C" w:rsidP="008E301C">
            <w:pPr>
              <w:widowControl/>
              <w:autoSpaceDE w:val="0"/>
              <w:autoSpaceDN w:val="0"/>
              <w:jc w:val="both"/>
              <w:rPr>
                <w:rFonts w:eastAsiaTheme="minorHAnsi"/>
                <w:bCs/>
                <w:color w:val="000000"/>
                <w:sz w:val="20"/>
                <w:szCs w:val="20"/>
                <w:lang w:eastAsia="en-US"/>
              </w:rPr>
            </w:pPr>
          </w:p>
        </w:tc>
      </w:tr>
      <w:tr w:rsidR="008E301C" w:rsidRPr="008E301C" w14:paraId="363E6D76" w14:textId="77777777" w:rsidTr="008B2519">
        <w:trPr>
          <w:trHeight w:val="569"/>
          <w:jc w:val="center"/>
        </w:trPr>
        <w:tc>
          <w:tcPr>
            <w:tcW w:w="5000" w:type="pct"/>
            <w:tcBorders>
              <w:top w:val="outset" w:sz="6" w:space="0" w:color="000000"/>
              <w:bottom w:val="outset" w:sz="6" w:space="0" w:color="000000"/>
            </w:tcBorders>
            <w:shd w:val="clear" w:color="auto" w:fill="E6E6E6"/>
            <w:hideMark/>
          </w:tcPr>
          <w:p w14:paraId="79D68878"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11.  Kontakt na spracovateľa</w:t>
            </w:r>
          </w:p>
        </w:tc>
      </w:tr>
      <w:tr w:rsidR="008E301C" w:rsidRPr="008E301C" w14:paraId="760CC46C" w14:textId="77777777" w:rsidTr="008B2519">
        <w:trPr>
          <w:trHeight w:val="1552"/>
          <w:jc w:val="center"/>
        </w:trPr>
        <w:tc>
          <w:tcPr>
            <w:tcW w:w="5000" w:type="pct"/>
            <w:tcBorders>
              <w:top w:val="outset" w:sz="6" w:space="0" w:color="000000"/>
              <w:bottom w:val="outset" w:sz="6" w:space="0" w:color="000000"/>
            </w:tcBorders>
            <w:hideMark/>
          </w:tcPr>
          <w:p w14:paraId="13FA2A1A" w14:textId="77777777" w:rsidR="008E301C" w:rsidRPr="008E301C" w:rsidRDefault="008E301C" w:rsidP="008E301C">
            <w:pPr>
              <w:widowControl/>
              <w:adjustRightInd/>
              <w:rPr>
                <w:rFonts w:eastAsiaTheme="minorEastAsia"/>
                <w:noProof/>
                <w:sz w:val="20"/>
                <w:szCs w:val="20"/>
              </w:rPr>
            </w:pPr>
            <w:r w:rsidRPr="008E301C">
              <w:rPr>
                <w:rFonts w:eastAsiaTheme="minorEastAsia"/>
                <w:noProof/>
                <w:sz w:val="20"/>
                <w:szCs w:val="20"/>
              </w:rPr>
              <w:t>Mgr. Milan Šimkovič</w:t>
            </w:r>
          </w:p>
          <w:p w14:paraId="7F2DDFF0" w14:textId="77777777" w:rsidR="008E301C" w:rsidRPr="008E301C" w:rsidRDefault="008E301C" w:rsidP="008E301C">
            <w:pPr>
              <w:widowControl/>
              <w:adjustRightInd/>
              <w:rPr>
                <w:rFonts w:eastAsiaTheme="minorEastAsia"/>
                <w:noProof/>
                <w:sz w:val="20"/>
                <w:szCs w:val="20"/>
              </w:rPr>
            </w:pPr>
            <w:r w:rsidRPr="008E301C">
              <w:rPr>
                <w:rFonts w:eastAsiaTheme="minorEastAsia"/>
                <w:noProof/>
                <w:sz w:val="20"/>
                <w:szCs w:val="20"/>
              </w:rPr>
              <w:t xml:space="preserve">Sekcia legislatívy </w:t>
            </w:r>
          </w:p>
          <w:p w14:paraId="1DF4F8BE" w14:textId="77777777" w:rsidR="008E301C" w:rsidRPr="008E301C" w:rsidRDefault="008E301C" w:rsidP="008E301C">
            <w:pPr>
              <w:widowControl/>
              <w:adjustRightInd/>
              <w:rPr>
                <w:rFonts w:eastAsiaTheme="minorEastAsia"/>
                <w:noProof/>
                <w:sz w:val="20"/>
                <w:szCs w:val="20"/>
              </w:rPr>
            </w:pPr>
            <w:r w:rsidRPr="008E301C">
              <w:rPr>
                <w:rFonts w:eastAsiaTheme="minorEastAsia"/>
                <w:noProof/>
                <w:sz w:val="20"/>
                <w:szCs w:val="20"/>
              </w:rPr>
              <w:t>Odbor legislatívy občianskeho a obchodného práva</w:t>
            </w:r>
          </w:p>
          <w:p w14:paraId="59F762EB" w14:textId="77777777" w:rsidR="008E301C" w:rsidRPr="008E301C" w:rsidRDefault="008E301C" w:rsidP="008E301C">
            <w:pPr>
              <w:widowControl/>
              <w:adjustRightInd/>
              <w:rPr>
                <w:rFonts w:eastAsiaTheme="minorEastAsia"/>
                <w:noProof/>
                <w:sz w:val="20"/>
                <w:szCs w:val="20"/>
              </w:rPr>
            </w:pPr>
            <w:r w:rsidRPr="008E301C">
              <w:rPr>
                <w:rFonts w:eastAsiaTheme="minorEastAsia"/>
                <w:noProof/>
                <w:sz w:val="20"/>
                <w:szCs w:val="20"/>
              </w:rPr>
              <w:t>Ministerstvo spravodlivosti Slovenskej republiky</w:t>
            </w:r>
          </w:p>
          <w:p w14:paraId="029ABFAB" w14:textId="77777777" w:rsidR="008E301C" w:rsidRPr="008E301C" w:rsidRDefault="008E301C" w:rsidP="008E301C">
            <w:pPr>
              <w:widowControl/>
              <w:adjustRightInd/>
              <w:rPr>
                <w:rFonts w:eastAsiaTheme="minorEastAsia"/>
                <w:noProof/>
                <w:sz w:val="20"/>
                <w:szCs w:val="20"/>
              </w:rPr>
            </w:pPr>
            <w:r w:rsidRPr="008E301C">
              <w:rPr>
                <w:rFonts w:eastAsiaTheme="minorEastAsia"/>
                <w:noProof/>
                <w:sz w:val="20"/>
                <w:szCs w:val="20"/>
              </w:rPr>
              <w:t>Tel.: 02/ 888 91 228</w:t>
            </w:r>
          </w:p>
          <w:p w14:paraId="05B7C4FD" w14:textId="77777777" w:rsidR="008E301C" w:rsidRPr="008E301C" w:rsidRDefault="008E301C" w:rsidP="008E301C">
            <w:pPr>
              <w:widowControl/>
              <w:adjustRightInd/>
              <w:spacing w:line="276" w:lineRule="auto"/>
            </w:pPr>
            <w:r w:rsidRPr="008E301C">
              <w:rPr>
                <w:rFonts w:eastAsiaTheme="minorEastAsia"/>
                <w:noProof/>
                <w:sz w:val="20"/>
                <w:szCs w:val="20"/>
              </w:rPr>
              <w:t xml:space="preserve">Mail: </w:t>
            </w:r>
            <w:hyperlink r:id="rId8" w:history="1">
              <w:r w:rsidRPr="008E301C">
                <w:rPr>
                  <w:color w:val="0000FF"/>
                  <w:sz w:val="20"/>
                  <w:szCs w:val="20"/>
                  <w:u w:val="single"/>
                </w:rPr>
                <w:t>milan.simkovic@justice.sk</w:t>
              </w:r>
            </w:hyperlink>
          </w:p>
        </w:tc>
      </w:tr>
      <w:tr w:rsidR="008E301C" w:rsidRPr="008E301C" w14:paraId="223497F5" w14:textId="77777777" w:rsidTr="008B2519">
        <w:trPr>
          <w:trHeight w:val="595"/>
          <w:jc w:val="center"/>
        </w:trPr>
        <w:tc>
          <w:tcPr>
            <w:tcW w:w="5000" w:type="pct"/>
            <w:tcBorders>
              <w:top w:val="outset" w:sz="6" w:space="0" w:color="000000"/>
              <w:bottom w:val="outset" w:sz="6" w:space="0" w:color="000000"/>
            </w:tcBorders>
            <w:shd w:val="clear" w:color="auto" w:fill="E6E6E6"/>
            <w:hideMark/>
          </w:tcPr>
          <w:p w14:paraId="62D86200"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12.  Zdroje</w:t>
            </w:r>
          </w:p>
        </w:tc>
      </w:tr>
      <w:tr w:rsidR="008E301C" w:rsidRPr="008E301C" w14:paraId="2B859AFC" w14:textId="77777777" w:rsidTr="008B2519">
        <w:trPr>
          <w:trHeight w:val="689"/>
          <w:jc w:val="center"/>
        </w:trPr>
        <w:tc>
          <w:tcPr>
            <w:tcW w:w="5000" w:type="pct"/>
            <w:tcBorders>
              <w:top w:val="outset" w:sz="6" w:space="0" w:color="000000"/>
              <w:bottom w:val="outset" w:sz="6" w:space="0" w:color="000000"/>
            </w:tcBorders>
            <w:hideMark/>
          </w:tcPr>
          <w:p w14:paraId="56B65271" w14:textId="77777777" w:rsidR="008E301C" w:rsidRPr="008E301C" w:rsidRDefault="008E301C" w:rsidP="008E301C">
            <w:pPr>
              <w:widowControl/>
              <w:adjustRightInd/>
              <w:rPr>
                <w:rFonts w:ascii="Times" w:hAnsi="Times" w:cs="Times"/>
                <w:bCs/>
                <w:sz w:val="20"/>
                <w:szCs w:val="20"/>
              </w:rPr>
            </w:pPr>
            <w:r w:rsidRPr="008E301C">
              <w:rPr>
                <w:rFonts w:ascii="Times" w:hAnsi="Times" w:cs="Times"/>
                <w:bCs/>
                <w:sz w:val="20"/>
                <w:szCs w:val="20"/>
              </w:rPr>
              <w:t>Vlastná činnosť Ministerstva spravodlivosti Slovenskej republiky.</w:t>
            </w:r>
          </w:p>
        </w:tc>
      </w:tr>
      <w:tr w:rsidR="008E301C" w:rsidRPr="008E301C" w14:paraId="30F7E215" w14:textId="77777777" w:rsidTr="008B2519">
        <w:trPr>
          <w:trHeight w:val="569"/>
          <w:jc w:val="center"/>
        </w:trPr>
        <w:tc>
          <w:tcPr>
            <w:tcW w:w="5000" w:type="pct"/>
            <w:tcBorders>
              <w:top w:val="outset" w:sz="6" w:space="0" w:color="000000"/>
              <w:bottom w:val="outset" w:sz="6" w:space="0" w:color="000000"/>
            </w:tcBorders>
            <w:shd w:val="clear" w:color="auto" w:fill="E6E6E6"/>
            <w:hideMark/>
          </w:tcPr>
          <w:p w14:paraId="3F977888" w14:textId="77777777" w:rsidR="008E301C" w:rsidRPr="008E301C" w:rsidRDefault="008E301C" w:rsidP="008E301C">
            <w:pPr>
              <w:widowControl/>
              <w:adjustRightInd/>
              <w:rPr>
                <w:rFonts w:ascii="Times" w:hAnsi="Times" w:cs="Times"/>
                <w:b/>
                <w:bCs/>
                <w:sz w:val="20"/>
                <w:szCs w:val="20"/>
              </w:rPr>
            </w:pPr>
            <w:r w:rsidRPr="008E301C">
              <w:rPr>
                <w:rFonts w:ascii="Times" w:hAnsi="Times" w:cs="Times"/>
                <w:b/>
                <w:bCs/>
                <w:sz w:val="20"/>
                <w:szCs w:val="20"/>
              </w:rPr>
              <w:t>  13.  Stanovisko Komisie pre posudzovanie vybraných vplyvov z PPK</w:t>
            </w:r>
          </w:p>
        </w:tc>
      </w:tr>
      <w:tr w:rsidR="008E301C" w:rsidRPr="008E301C" w14:paraId="29A00A56" w14:textId="77777777" w:rsidTr="008B2519">
        <w:trPr>
          <w:trHeight w:val="896"/>
          <w:jc w:val="center"/>
        </w:trPr>
        <w:tc>
          <w:tcPr>
            <w:tcW w:w="5000" w:type="pct"/>
            <w:tcBorders>
              <w:top w:val="outset" w:sz="6" w:space="0" w:color="000000"/>
              <w:bottom w:val="outset" w:sz="6" w:space="0" w:color="000000"/>
            </w:tcBorders>
            <w:hideMark/>
          </w:tcPr>
          <w:p w14:paraId="30A90FF4" w14:textId="77777777" w:rsidR="008E301C" w:rsidRPr="008E301C" w:rsidRDefault="008E301C" w:rsidP="008E301C">
            <w:pPr>
              <w:widowControl/>
              <w:adjustRightInd/>
              <w:jc w:val="both"/>
              <w:rPr>
                <w:bCs/>
                <w:sz w:val="20"/>
                <w:szCs w:val="20"/>
              </w:rPr>
            </w:pPr>
            <w:r w:rsidRPr="008E301C">
              <w:rPr>
                <w:sz w:val="20"/>
                <w:szCs w:val="20"/>
              </w:rPr>
              <w:lastRenderedPageBreak/>
              <w:t xml:space="preserve">II. </w:t>
            </w:r>
            <w:r w:rsidRPr="008E301C">
              <w:rPr>
                <w:b/>
                <w:sz w:val="20"/>
                <w:szCs w:val="20"/>
              </w:rPr>
              <w:t>Stála pracovná komisia na posudzovanie vybraných vplyvov</w:t>
            </w:r>
            <w:r w:rsidRPr="008E301C">
              <w:rPr>
                <w:bCs/>
                <w:sz w:val="20"/>
                <w:szCs w:val="20"/>
              </w:rPr>
              <w:t xml:space="preserve"> uplatňuje k materiálu nasledovné </w:t>
            </w:r>
            <w:r w:rsidRPr="008E301C">
              <w:rPr>
                <w:b/>
                <w:bCs/>
                <w:sz w:val="20"/>
                <w:szCs w:val="20"/>
              </w:rPr>
              <w:t>pripomienky a odporúčania</w:t>
            </w:r>
            <w:r w:rsidRPr="008E301C">
              <w:rPr>
                <w:bCs/>
                <w:sz w:val="20"/>
                <w:szCs w:val="20"/>
              </w:rPr>
              <w:t>:</w:t>
            </w:r>
          </w:p>
          <w:p w14:paraId="60D5D2B0" w14:textId="77777777" w:rsidR="008E301C" w:rsidRPr="008E301C" w:rsidRDefault="008E301C" w:rsidP="008E301C">
            <w:pPr>
              <w:widowControl/>
              <w:tabs>
                <w:tab w:val="center" w:pos="6379"/>
              </w:tabs>
              <w:adjustRightInd/>
              <w:ind w:right="-2"/>
              <w:jc w:val="both"/>
              <w:rPr>
                <w:bCs/>
                <w:sz w:val="20"/>
                <w:szCs w:val="20"/>
              </w:rPr>
            </w:pPr>
          </w:p>
          <w:p w14:paraId="06009BFB" w14:textId="77777777" w:rsidR="008E301C" w:rsidRPr="008E301C" w:rsidRDefault="008E301C" w:rsidP="008E301C">
            <w:pPr>
              <w:widowControl/>
              <w:tabs>
                <w:tab w:val="center" w:pos="6379"/>
              </w:tabs>
              <w:adjustRightInd/>
              <w:ind w:right="-2"/>
              <w:jc w:val="both"/>
              <w:rPr>
                <w:b/>
                <w:bCs/>
                <w:sz w:val="20"/>
                <w:szCs w:val="20"/>
              </w:rPr>
            </w:pPr>
            <w:r w:rsidRPr="008E301C">
              <w:rPr>
                <w:b/>
                <w:bCs/>
                <w:sz w:val="20"/>
                <w:szCs w:val="20"/>
              </w:rPr>
              <w:t>K doložke vybraných vplyvov</w:t>
            </w:r>
          </w:p>
          <w:p w14:paraId="606CB131" w14:textId="77777777" w:rsidR="008E301C" w:rsidRPr="008E301C" w:rsidRDefault="008E301C" w:rsidP="008E301C">
            <w:pPr>
              <w:widowControl/>
              <w:tabs>
                <w:tab w:val="center" w:pos="6379"/>
              </w:tabs>
              <w:adjustRightInd/>
              <w:ind w:right="-2"/>
              <w:jc w:val="both"/>
              <w:rPr>
                <w:bCs/>
                <w:sz w:val="20"/>
                <w:szCs w:val="20"/>
              </w:rPr>
            </w:pPr>
            <w:r w:rsidRPr="008E301C">
              <w:rPr>
                <w:bCs/>
                <w:sz w:val="20"/>
                <w:szCs w:val="20"/>
              </w:rPr>
              <w:t>V doložke vybraných vplyvov Komisia odporúča predkladateľovi doplniť časť 5. Alternatívne riešenia v zmysle Jednotnej metodiky na posudzovanie vybraných vplyvov. V tejto časti je minimálne potrebné uviesť nulový variant, teda analýzu súčasného stavu, kde sa uvedú následky tohto stavu a zdôvodnenie, prečo je súčasné riešenie nedostatočné.</w:t>
            </w:r>
          </w:p>
          <w:p w14:paraId="44D689CE" w14:textId="77777777" w:rsidR="008E301C" w:rsidRPr="008E301C" w:rsidRDefault="008E301C" w:rsidP="008E301C">
            <w:pPr>
              <w:widowControl/>
              <w:tabs>
                <w:tab w:val="center" w:pos="6379"/>
              </w:tabs>
              <w:adjustRightInd/>
              <w:ind w:right="-2"/>
              <w:jc w:val="both"/>
              <w:rPr>
                <w:bCs/>
                <w:sz w:val="20"/>
                <w:szCs w:val="20"/>
              </w:rPr>
            </w:pPr>
            <w:r w:rsidRPr="008E301C">
              <w:rPr>
                <w:bCs/>
                <w:sz w:val="20"/>
                <w:szCs w:val="20"/>
              </w:rPr>
              <w:t> </w:t>
            </w:r>
          </w:p>
          <w:p w14:paraId="757177FA" w14:textId="77777777" w:rsidR="008E301C" w:rsidRPr="008E301C" w:rsidRDefault="008E301C" w:rsidP="008E301C">
            <w:pPr>
              <w:widowControl/>
              <w:adjustRightInd/>
              <w:spacing w:line="240" w:lineRule="atLeast"/>
              <w:jc w:val="both"/>
              <w:rPr>
                <w:sz w:val="20"/>
                <w:szCs w:val="20"/>
              </w:rPr>
            </w:pPr>
            <w:r w:rsidRPr="008E301C">
              <w:rPr>
                <w:sz w:val="20"/>
                <w:szCs w:val="20"/>
              </w:rPr>
              <w:t xml:space="preserve">III. Stála pracovná komisia na posudzovanie vybraných vplyvov vyjadruje </w:t>
            </w:r>
          </w:p>
          <w:p w14:paraId="1D14B15A" w14:textId="77777777" w:rsidR="008E301C" w:rsidRPr="008E301C" w:rsidRDefault="008E301C" w:rsidP="008E301C">
            <w:pPr>
              <w:widowControl/>
              <w:adjustRightInd/>
              <w:spacing w:line="200" w:lineRule="atLeast"/>
              <w:rPr>
                <w:sz w:val="20"/>
                <w:szCs w:val="20"/>
              </w:rPr>
            </w:pPr>
          </w:p>
          <w:p w14:paraId="3DE4832A" w14:textId="77777777" w:rsidR="008E301C" w:rsidRPr="008E301C" w:rsidRDefault="008E301C" w:rsidP="008E301C">
            <w:pPr>
              <w:widowControl/>
              <w:adjustRightInd/>
              <w:spacing w:line="240" w:lineRule="atLeast"/>
              <w:jc w:val="center"/>
              <w:rPr>
                <w:sz w:val="20"/>
                <w:szCs w:val="20"/>
              </w:rPr>
            </w:pPr>
            <w:r w:rsidRPr="008E301C">
              <w:rPr>
                <w:b/>
                <w:bCs/>
                <w:sz w:val="20"/>
                <w:szCs w:val="20"/>
              </w:rPr>
              <w:t>súhlasné stanovisko s návrhom na dopracovanie</w:t>
            </w:r>
          </w:p>
          <w:p w14:paraId="0288C850" w14:textId="77777777" w:rsidR="008E301C" w:rsidRPr="008E301C" w:rsidRDefault="008E301C" w:rsidP="008E301C">
            <w:pPr>
              <w:widowControl/>
              <w:adjustRightInd/>
              <w:spacing w:line="200" w:lineRule="atLeast"/>
              <w:rPr>
                <w:sz w:val="20"/>
                <w:szCs w:val="20"/>
              </w:rPr>
            </w:pPr>
            <w:r w:rsidRPr="008E301C">
              <w:rPr>
                <w:sz w:val="20"/>
                <w:szCs w:val="20"/>
              </w:rPr>
              <w:t> </w:t>
            </w:r>
          </w:p>
          <w:p w14:paraId="547967AC" w14:textId="77777777" w:rsidR="008E301C" w:rsidRPr="008E301C" w:rsidRDefault="008E301C" w:rsidP="008E301C">
            <w:pPr>
              <w:widowControl/>
              <w:adjustRightInd/>
              <w:spacing w:line="240" w:lineRule="atLeast"/>
              <w:jc w:val="both"/>
              <w:rPr>
                <w:sz w:val="20"/>
                <w:szCs w:val="20"/>
              </w:rPr>
            </w:pPr>
            <w:r w:rsidRPr="008E301C">
              <w:rPr>
                <w:sz w:val="20"/>
                <w:szCs w:val="20"/>
              </w:rPr>
              <w:t>s materiálom predloženým na predbežné pripomienkové konanie s odporúčaním na jeho dopracovanie podľa pripomienok v bode II.</w:t>
            </w:r>
          </w:p>
          <w:p w14:paraId="508B1DAF" w14:textId="77777777" w:rsidR="008E301C" w:rsidRPr="008E301C" w:rsidRDefault="008E301C" w:rsidP="008E301C">
            <w:pPr>
              <w:widowControl/>
              <w:adjustRightInd/>
              <w:spacing w:line="240" w:lineRule="atLeast"/>
              <w:jc w:val="both"/>
              <w:rPr>
                <w:sz w:val="20"/>
                <w:szCs w:val="20"/>
              </w:rPr>
            </w:pPr>
          </w:p>
          <w:p w14:paraId="03FE9825" w14:textId="77777777" w:rsidR="008E301C" w:rsidRPr="008E301C" w:rsidRDefault="008E301C" w:rsidP="008E301C">
            <w:pPr>
              <w:widowControl/>
              <w:autoSpaceDE w:val="0"/>
              <w:autoSpaceDN w:val="0"/>
              <w:jc w:val="both"/>
              <w:rPr>
                <w:rFonts w:eastAsiaTheme="minorHAnsi"/>
                <w:b/>
                <w:color w:val="000000"/>
                <w:sz w:val="20"/>
                <w:szCs w:val="20"/>
                <w:lang w:eastAsia="en-US"/>
              </w:rPr>
            </w:pPr>
            <w:r w:rsidRPr="008E301C">
              <w:rPr>
                <w:rFonts w:eastAsiaTheme="minorHAnsi"/>
                <w:b/>
                <w:color w:val="000000"/>
                <w:sz w:val="20"/>
                <w:szCs w:val="20"/>
                <w:lang w:eastAsia="en-US"/>
              </w:rPr>
              <w:t>Vyjadrenie predkladateľa:</w:t>
            </w:r>
          </w:p>
          <w:p w14:paraId="591F878D" w14:textId="77777777" w:rsidR="008E301C" w:rsidRPr="008E301C" w:rsidRDefault="008E301C" w:rsidP="008E301C">
            <w:pPr>
              <w:widowControl/>
              <w:autoSpaceDE w:val="0"/>
              <w:autoSpaceDN w:val="0"/>
              <w:jc w:val="both"/>
              <w:rPr>
                <w:rFonts w:eastAsiaTheme="minorHAnsi"/>
                <w:color w:val="000000"/>
                <w:sz w:val="20"/>
                <w:szCs w:val="20"/>
                <w:lang w:eastAsia="en-US"/>
              </w:rPr>
            </w:pPr>
            <w:r w:rsidRPr="008E301C">
              <w:rPr>
                <w:rFonts w:eastAsiaTheme="minorHAnsi"/>
                <w:color w:val="000000"/>
                <w:sz w:val="20"/>
                <w:szCs w:val="20"/>
                <w:lang w:eastAsia="en-US"/>
              </w:rPr>
              <w:t>V časti 5. doložky vplyvov bol doplnený nulový variant.</w:t>
            </w:r>
          </w:p>
        </w:tc>
      </w:tr>
    </w:tbl>
    <w:p w14:paraId="0A8DA33C" w14:textId="78CDDD5F" w:rsidR="00AC6AB3" w:rsidRDefault="00AC6AB3" w:rsidP="00B54AF7">
      <w:pPr>
        <w:pStyle w:val="Normlnywebov"/>
        <w:ind w:right="-286"/>
        <w:jc w:val="both"/>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552B58" w:rsidRPr="00CD4982" w14:paraId="4FE9259E" w14:textId="77777777" w:rsidTr="00C213DA">
        <w:trPr>
          <w:trHeight w:val="538"/>
          <w:jc w:val="center"/>
        </w:trPr>
        <w:tc>
          <w:tcPr>
            <w:tcW w:w="5000" w:type="pct"/>
            <w:tcBorders>
              <w:bottom w:val="single" w:sz="4" w:space="0" w:color="auto"/>
            </w:tcBorders>
            <w:shd w:val="clear" w:color="auto" w:fill="D9D9D9"/>
          </w:tcPr>
          <w:p w14:paraId="44D603A4" w14:textId="77777777" w:rsidR="00552B58" w:rsidRPr="00CD4982" w:rsidRDefault="00552B58" w:rsidP="008B2519">
            <w:pPr>
              <w:ind w:left="-284" w:firstLine="284"/>
              <w:jc w:val="center"/>
              <w:rPr>
                <w:rFonts w:eastAsia="Calibri"/>
                <w:b/>
              </w:rPr>
            </w:pPr>
            <w:r>
              <w:rPr>
                <w:rFonts w:eastAsia="Calibri"/>
                <w:b/>
                <w:sz w:val="28"/>
              </w:rPr>
              <w:t>Analýza s</w:t>
            </w:r>
            <w:r w:rsidRPr="00CD4982">
              <w:rPr>
                <w:rFonts w:eastAsia="Calibri"/>
                <w:b/>
                <w:sz w:val="28"/>
              </w:rPr>
              <w:t>ociáln</w:t>
            </w:r>
            <w:r>
              <w:rPr>
                <w:rFonts w:eastAsia="Calibri"/>
                <w:b/>
                <w:sz w:val="28"/>
              </w:rPr>
              <w:t>ych</w:t>
            </w:r>
            <w:r w:rsidRPr="00CD4982">
              <w:rPr>
                <w:rFonts w:eastAsia="Calibri"/>
                <w:b/>
                <w:sz w:val="28"/>
              </w:rPr>
              <w:t xml:space="preserve"> vplyv</w:t>
            </w:r>
            <w:r>
              <w:rPr>
                <w:rFonts w:eastAsia="Calibri"/>
                <w:b/>
                <w:sz w:val="28"/>
              </w:rPr>
              <w:t>ov</w:t>
            </w:r>
          </w:p>
          <w:p w14:paraId="61568996" w14:textId="77777777" w:rsidR="00552B58" w:rsidRPr="00CD4982" w:rsidRDefault="00552B58" w:rsidP="008B2519">
            <w:pPr>
              <w:jc w:val="center"/>
              <w:rPr>
                <w:rFonts w:eastAsia="Calibri"/>
                <w:b/>
              </w:rPr>
            </w:pPr>
            <w:r w:rsidRPr="00CD4982">
              <w:rPr>
                <w:rFonts w:eastAsia="Calibri"/>
                <w:b/>
              </w:rPr>
              <w:t>Vplyvy na hospodárenie domácností, prístup k zdrojom, právam, tovarom a službám, sociálnu inklúziu, rovnosť príležitostí a rodovú rovnosť a vplyvy na zamestnanosť</w:t>
            </w:r>
          </w:p>
        </w:tc>
      </w:tr>
      <w:tr w:rsidR="00552B58" w:rsidRPr="00CD4982" w14:paraId="601407AE" w14:textId="77777777" w:rsidTr="00C213DA">
        <w:trPr>
          <w:trHeight w:val="556"/>
          <w:jc w:val="center"/>
        </w:trPr>
        <w:tc>
          <w:tcPr>
            <w:tcW w:w="5000" w:type="pct"/>
            <w:tcBorders>
              <w:bottom w:val="nil"/>
            </w:tcBorders>
            <w:shd w:val="clear" w:color="auto" w:fill="D9D9D9"/>
          </w:tcPr>
          <w:p w14:paraId="3E550E57" w14:textId="77777777" w:rsidR="00552B58" w:rsidRPr="0040544D" w:rsidRDefault="00552B58" w:rsidP="008B2519">
            <w:pPr>
              <w:rPr>
                <w:rFonts w:eastAsia="Calibri"/>
                <w:b/>
              </w:rPr>
            </w:pPr>
            <w:r w:rsidRPr="00CD4982">
              <w:rPr>
                <w:rFonts w:eastAsia="Calibri"/>
                <w:b/>
              </w:rPr>
              <w:t>4.1 Identifikujte, popíšte a kvantifikujte vplyv na hospodárenie domácností a špecifikujte ovplyvnené skupiny domácností, ktoré budú pozitívne/negatívne ovplyvnené.</w:t>
            </w:r>
          </w:p>
        </w:tc>
      </w:tr>
      <w:tr w:rsidR="00552B58" w:rsidRPr="00CD4982" w14:paraId="5A4C24D1" w14:textId="77777777" w:rsidTr="00C213DA">
        <w:trPr>
          <w:trHeight w:val="695"/>
          <w:jc w:val="center"/>
        </w:trPr>
        <w:tc>
          <w:tcPr>
            <w:tcW w:w="5000" w:type="pct"/>
            <w:tcBorders>
              <w:top w:val="single" w:sz="4" w:space="0" w:color="auto"/>
              <w:left w:val="single" w:sz="4" w:space="0" w:color="auto"/>
              <w:bottom w:val="nil"/>
              <w:right w:val="single" w:sz="4" w:space="0" w:color="auto"/>
            </w:tcBorders>
            <w:shd w:val="clear" w:color="auto" w:fill="F2F2F2" w:themeFill="background1" w:themeFillShade="F2"/>
          </w:tcPr>
          <w:p w14:paraId="5511485C" w14:textId="77777777" w:rsidR="00552B58" w:rsidRPr="00552B58" w:rsidRDefault="00552B58" w:rsidP="00552B58">
            <w:pPr>
              <w:widowControl/>
              <w:shd w:val="clear" w:color="auto" w:fill="F2F2F2"/>
              <w:adjustRightInd/>
              <w:rPr>
                <w:rFonts w:eastAsia="Calibri"/>
                <w:i/>
                <w:sz w:val="20"/>
                <w:szCs w:val="20"/>
              </w:rPr>
            </w:pPr>
            <w:r w:rsidRPr="00552B58">
              <w:rPr>
                <w:rFonts w:eastAsia="Calibri"/>
                <w:i/>
                <w:sz w:val="20"/>
                <w:szCs w:val="20"/>
              </w:rPr>
              <w:t xml:space="preserve">Vedie návrh k zvýšeniu alebo zníženiu príjmov alebo výdavkov domácností? </w:t>
            </w:r>
          </w:p>
          <w:p w14:paraId="1311C21F" w14:textId="77777777" w:rsidR="00552B58" w:rsidRPr="00552B58" w:rsidRDefault="00552B58" w:rsidP="00552B58">
            <w:pPr>
              <w:widowControl/>
              <w:shd w:val="clear" w:color="auto" w:fill="F2F2F2"/>
              <w:adjustRightInd/>
              <w:rPr>
                <w:rFonts w:eastAsia="Calibri"/>
                <w:i/>
                <w:sz w:val="20"/>
                <w:szCs w:val="20"/>
              </w:rPr>
            </w:pPr>
            <w:r w:rsidRPr="00552B58">
              <w:rPr>
                <w:rFonts w:eastAsia="Calibri"/>
                <w:i/>
                <w:sz w:val="20"/>
                <w:szCs w:val="20"/>
              </w:rPr>
              <w:t xml:space="preserve">Ktoré skupiny domácností/obyvateľstva sú takto ovplyvnené a akým spôsobom? </w:t>
            </w:r>
          </w:p>
          <w:p w14:paraId="2B50EACB" w14:textId="5771B492" w:rsidR="00552B58" w:rsidRPr="00552B58" w:rsidRDefault="00552B58" w:rsidP="00552B58">
            <w:pPr>
              <w:widowControl/>
              <w:shd w:val="clear" w:color="auto" w:fill="F2F2F2"/>
              <w:adjustRightInd/>
              <w:rPr>
                <w:rFonts w:eastAsia="Calibri"/>
                <w:b/>
              </w:rPr>
            </w:pPr>
            <w:r>
              <w:rPr>
                <w:noProof/>
              </w:rPr>
              <mc:AlternateContent>
                <mc:Choice Requires="wps">
                  <w:drawing>
                    <wp:anchor distT="0" distB="0" distL="114300" distR="114300" simplePos="0" relativeHeight="251659264" behindDoc="0" locked="0" layoutInCell="1" allowOverlap="1" wp14:anchorId="2047E543" wp14:editId="4267F626">
                      <wp:simplePos x="0" y="0"/>
                      <wp:positionH relativeFrom="column">
                        <wp:posOffset>-71755</wp:posOffset>
                      </wp:positionH>
                      <wp:positionV relativeFrom="paragraph">
                        <wp:posOffset>155575</wp:posOffset>
                      </wp:positionV>
                      <wp:extent cx="5949950" cy="9525"/>
                      <wp:effectExtent l="0" t="0" r="31750" b="28575"/>
                      <wp:wrapNone/>
                      <wp:docPr id="1" name="Rovná spojnica 1"/>
                      <wp:cNvGraphicFramePr/>
                      <a:graphic xmlns:a="http://schemas.openxmlformats.org/drawingml/2006/main">
                        <a:graphicData uri="http://schemas.microsoft.com/office/word/2010/wordprocessingShape">
                          <wps:wsp>
                            <wps:cNvCnPr/>
                            <wps:spPr>
                              <a:xfrm>
                                <a:off x="0" y="0"/>
                                <a:ext cx="5949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F6AFC"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2.25pt" to="462.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" strokecolor="black [3213]" strokeweight=".5pt">
                      <v:stroke joinstyle="miter"/>
                    </v:line>
                  </w:pict>
                </mc:Fallback>
              </mc:AlternateContent>
            </w:r>
            <w:r w:rsidRPr="00552B58">
              <w:rPr>
                <w:rFonts w:eastAsia="Calibri"/>
                <w:i/>
                <w:sz w:val="20"/>
                <w:szCs w:val="20"/>
              </w:rPr>
              <w:t>Sú medzi potenciálne ovplyvnenými skupinami skupiny v riziku chudoby alebo sociálneho vylúčenia?</w:t>
            </w:r>
          </w:p>
        </w:tc>
      </w:tr>
    </w:tbl>
    <w:tbl>
      <w:tblPr>
        <w:tblpPr w:leftFromText="141" w:rightFromText="141" w:vertAnchor="text" w:horzAnchor="margin" w:tblpX="-147" w:tblpY="178"/>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33"/>
        <w:gridCol w:w="4519"/>
      </w:tblGrid>
      <w:tr w:rsidR="007F5E86" w:rsidRPr="00CD4982" w14:paraId="1D052F2F" w14:textId="77777777" w:rsidTr="00B54AF7">
        <w:trPr>
          <w:trHeight w:val="759"/>
        </w:trPr>
        <w:tc>
          <w:tcPr>
            <w:tcW w:w="2584" w:type="pct"/>
            <w:tcBorders>
              <w:top w:val="nil"/>
              <w:bottom w:val="dotted" w:sz="4" w:space="0" w:color="auto"/>
            </w:tcBorders>
            <w:shd w:val="clear" w:color="auto" w:fill="auto"/>
          </w:tcPr>
          <w:p w14:paraId="3979D950" w14:textId="77777777" w:rsidR="007F5E86" w:rsidRPr="00CD4982" w:rsidRDefault="007F5E86" w:rsidP="00B54AF7">
            <w:pPr>
              <w:rPr>
                <w:rFonts w:eastAsia="Calibri"/>
                <w:i/>
                <w:sz w:val="20"/>
                <w:szCs w:val="20"/>
              </w:rPr>
            </w:pPr>
            <w:r>
              <w:rPr>
                <w:rFonts w:eastAsia="Calibri"/>
                <w:i/>
                <w:sz w:val="20"/>
                <w:szCs w:val="20"/>
              </w:rPr>
              <w:t xml:space="preserve">Popíšte </w:t>
            </w:r>
            <w:r w:rsidRPr="00E538C0">
              <w:rPr>
                <w:rFonts w:eastAsia="Calibri"/>
                <w:b/>
                <w:i/>
                <w:sz w:val="20"/>
                <w:szCs w:val="20"/>
              </w:rPr>
              <w:t>pozitívny</w:t>
            </w:r>
            <w:r>
              <w:rPr>
                <w:rFonts w:eastAsia="Calibri"/>
                <w:i/>
                <w:sz w:val="20"/>
                <w:szCs w:val="20"/>
              </w:rPr>
              <w:t xml:space="preserve"> vplyv na hospodárenie domácností s uvedením, či ide o zvýšenie príjmov alebo zníženie výdavkov:</w:t>
            </w:r>
          </w:p>
        </w:tc>
        <w:tc>
          <w:tcPr>
            <w:tcW w:w="2416" w:type="pct"/>
            <w:tcBorders>
              <w:top w:val="nil"/>
              <w:bottom w:val="dotted" w:sz="4" w:space="0" w:color="auto"/>
            </w:tcBorders>
            <w:shd w:val="clear" w:color="auto" w:fill="auto"/>
          </w:tcPr>
          <w:p w14:paraId="12929906" w14:textId="77777777" w:rsidR="007F5E86" w:rsidRPr="00DD51AB" w:rsidRDefault="007F5E86" w:rsidP="005467A4">
            <w:pPr>
              <w:jc w:val="both"/>
              <w:rPr>
                <w:rFonts w:eastAsia="Calibri"/>
                <w:i/>
                <w:sz w:val="20"/>
                <w:szCs w:val="20"/>
              </w:rPr>
            </w:pPr>
            <w:r w:rsidRPr="00DD51AB">
              <w:rPr>
                <w:rFonts w:eastAsia="Calibri"/>
                <w:i/>
                <w:sz w:val="20"/>
                <w:szCs w:val="20"/>
              </w:rPr>
              <w:t>Pozitívny vplyv spočíva v zlepšení prístupu k </w:t>
            </w:r>
            <w:r>
              <w:rPr>
                <w:rFonts w:eastAsia="Calibri"/>
                <w:i/>
                <w:sz w:val="20"/>
                <w:szCs w:val="20"/>
              </w:rPr>
              <w:t>spravodlivosti pre spotrebiteľov</w:t>
            </w:r>
            <w:r w:rsidRPr="00DD51AB">
              <w:rPr>
                <w:rFonts w:eastAsia="Calibri"/>
                <w:i/>
                <w:sz w:val="20"/>
                <w:szCs w:val="20"/>
              </w:rPr>
              <w:t>.</w:t>
            </w:r>
          </w:p>
        </w:tc>
      </w:tr>
      <w:tr w:rsidR="007F5E86" w:rsidRPr="00CD4982" w14:paraId="5F48964D" w14:textId="77777777" w:rsidTr="00B54AF7">
        <w:trPr>
          <w:trHeight w:val="624"/>
        </w:trPr>
        <w:tc>
          <w:tcPr>
            <w:tcW w:w="2584" w:type="pct"/>
            <w:tcBorders>
              <w:top w:val="dotted" w:sz="4" w:space="0" w:color="auto"/>
            </w:tcBorders>
            <w:shd w:val="clear" w:color="auto" w:fill="auto"/>
          </w:tcPr>
          <w:p w14:paraId="6AEFD3CC" w14:textId="77777777" w:rsidR="007F5E86" w:rsidRPr="00CD4982" w:rsidRDefault="007F5E86" w:rsidP="00B54AF7">
            <w:pPr>
              <w:rPr>
                <w:rFonts w:eastAsia="Calibri"/>
                <w:i/>
                <w:sz w:val="20"/>
                <w:szCs w:val="20"/>
              </w:rPr>
            </w:pPr>
            <w:r>
              <w:rPr>
                <w:rFonts w:eastAsia="Calibri"/>
                <w:i/>
                <w:sz w:val="20"/>
                <w:szCs w:val="20"/>
              </w:rPr>
              <w:t xml:space="preserve">Špecifikujte </w:t>
            </w:r>
            <w:r w:rsidRPr="00E538C0">
              <w:rPr>
                <w:rFonts w:eastAsia="Calibri"/>
                <w:b/>
                <w:i/>
                <w:sz w:val="20"/>
                <w:szCs w:val="20"/>
              </w:rPr>
              <w:t>pozitívne</w:t>
            </w:r>
            <w:r>
              <w:rPr>
                <w:rFonts w:eastAsia="Calibri"/>
                <w:i/>
                <w:sz w:val="20"/>
                <w:szCs w:val="20"/>
              </w:rPr>
              <w:t xml:space="preserve"> ovplyvnené skupiny:</w:t>
            </w:r>
          </w:p>
        </w:tc>
        <w:tc>
          <w:tcPr>
            <w:tcW w:w="2416" w:type="pct"/>
            <w:tcBorders>
              <w:top w:val="dotted" w:sz="4" w:space="0" w:color="auto"/>
            </w:tcBorders>
            <w:shd w:val="clear" w:color="auto" w:fill="auto"/>
          </w:tcPr>
          <w:p w14:paraId="0D9D1C05" w14:textId="5C5ED49E" w:rsidR="007F5E86" w:rsidRPr="00DD51AB" w:rsidRDefault="007F5E86" w:rsidP="00B54AF7">
            <w:pPr>
              <w:rPr>
                <w:rFonts w:eastAsia="Calibri"/>
                <w:i/>
                <w:sz w:val="20"/>
                <w:szCs w:val="20"/>
              </w:rPr>
            </w:pPr>
            <w:r>
              <w:rPr>
                <w:rFonts w:eastAsia="Calibri"/>
                <w:i/>
                <w:sz w:val="20"/>
                <w:szCs w:val="20"/>
              </w:rPr>
              <w:t>Spotrebitelia</w:t>
            </w:r>
            <w:r w:rsidR="005467A4">
              <w:rPr>
                <w:rFonts w:eastAsia="Calibri"/>
                <w:i/>
                <w:sz w:val="20"/>
                <w:szCs w:val="20"/>
              </w:rPr>
              <w:t>.</w:t>
            </w:r>
          </w:p>
        </w:tc>
      </w:tr>
      <w:tr w:rsidR="007F5E86" w:rsidRPr="00CD4982" w14:paraId="321657CF" w14:textId="77777777" w:rsidTr="00B54AF7">
        <w:trPr>
          <w:trHeight w:val="759"/>
        </w:trPr>
        <w:tc>
          <w:tcPr>
            <w:tcW w:w="2584" w:type="pct"/>
            <w:tcBorders>
              <w:bottom w:val="dotted" w:sz="4" w:space="0" w:color="auto"/>
            </w:tcBorders>
            <w:shd w:val="clear" w:color="auto" w:fill="auto"/>
          </w:tcPr>
          <w:p w14:paraId="7EBAE16F" w14:textId="77777777" w:rsidR="007F5E86" w:rsidRPr="00E538C0" w:rsidRDefault="007F5E86" w:rsidP="00B54AF7">
            <w:pPr>
              <w:rPr>
                <w:rFonts w:eastAsia="Calibri"/>
                <w:i/>
                <w:sz w:val="20"/>
                <w:szCs w:val="20"/>
              </w:rPr>
            </w:pPr>
            <w:r>
              <w:rPr>
                <w:rFonts w:eastAsia="Calibri"/>
                <w:i/>
                <w:sz w:val="20"/>
                <w:szCs w:val="20"/>
              </w:rPr>
              <w:t xml:space="preserve">Popíšte </w:t>
            </w:r>
            <w:r>
              <w:rPr>
                <w:rFonts w:eastAsia="Calibri"/>
                <w:b/>
                <w:i/>
                <w:sz w:val="20"/>
                <w:szCs w:val="20"/>
              </w:rPr>
              <w:t xml:space="preserve">negatívny </w:t>
            </w:r>
            <w:r>
              <w:rPr>
                <w:rFonts w:eastAsia="Calibri"/>
                <w:i/>
                <w:sz w:val="20"/>
                <w:szCs w:val="20"/>
              </w:rPr>
              <w:t>vplyv na hospodárenie domácností s uvedením, či ide o zníženie príjmov alebo zvýšenie výdavkov:</w:t>
            </w:r>
          </w:p>
        </w:tc>
        <w:tc>
          <w:tcPr>
            <w:tcW w:w="2416" w:type="pct"/>
            <w:tcBorders>
              <w:bottom w:val="dotted" w:sz="4" w:space="0" w:color="auto"/>
            </w:tcBorders>
            <w:shd w:val="clear" w:color="auto" w:fill="auto"/>
          </w:tcPr>
          <w:p w14:paraId="62675AE1" w14:textId="20B9E32D" w:rsidR="007F5E86" w:rsidRPr="00DD51AB" w:rsidRDefault="007F5EFD" w:rsidP="005467A4">
            <w:pPr>
              <w:jc w:val="both"/>
              <w:rPr>
                <w:rFonts w:eastAsia="Calibri"/>
                <w:i/>
                <w:sz w:val="20"/>
                <w:szCs w:val="20"/>
              </w:rPr>
            </w:pPr>
            <w:r>
              <w:rPr>
                <w:rFonts w:eastAsia="Calibri"/>
                <w:i/>
                <w:sz w:val="20"/>
                <w:szCs w:val="20"/>
              </w:rPr>
              <w:t>Vládny n</w:t>
            </w:r>
            <w:r w:rsidR="007F5E86" w:rsidRPr="00DD51AB">
              <w:rPr>
                <w:rFonts w:eastAsia="Calibri"/>
                <w:i/>
                <w:sz w:val="20"/>
                <w:szCs w:val="20"/>
              </w:rPr>
              <w:t>ávrh zákona nemá negatívny vplyv na hospodárenie domácností.</w:t>
            </w:r>
          </w:p>
        </w:tc>
      </w:tr>
      <w:tr w:rsidR="007F5E86" w:rsidRPr="00CD4982" w14:paraId="52E0C43D" w14:textId="77777777" w:rsidTr="00B54AF7">
        <w:trPr>
          <w:trHeight w:val="624"/>
        </w:trPr>
        <w:tc>
          <w:tcPr>
            <w:tcW w:w="2584" w:type="pct"/>
            <w:tcBorders>
              <w:top w:val="dotted" w:sz="4" w:space="0" w:color="auto"/>
              <w:bottom w:val="single" w:sz="4" w:space="0" w:color="auto"/>
            </w:tcBorders>
            <w:shd w:val="clear" w:color="auto" w:fill="auto"/>
          </w:tcPr>
          <w:p w14:paraId="1E337386" w14:textId="77777777" w:rsidR="007F5E86" w:rsidRPr="00CD4982" w:rsidRDefault="007F5E86" w:rsidP="00B54AF7">
            <w:pPr>
              <w:rPr>
                <w:rFonts w:eastAsia="Calibri"/>
                <w:i/>
                <w:sz w:val="20"/>
                <w:szCs w:val="20"/>
              </w:rPr>
            </w:pPr>
            <w:r>
              <w:rPr>
                <w:rFonts w:eastAsia="Calibri"/>
                <w:i/>
                <w:sz w:val="20"/>
                <w:szCs w:val="20"/>
              </w:rPr>
              <w:t xml:space="preserve">Špecifikujte </w:t>
            </w:r>
            <w:r w:rsidRPr="00F2597D">
              <w:rPr>
                <w:rFonts w:eastAsia="Calibri"/>
                <w:b/>
                <w:i/>
                <w:sz w:val="20"/>
                <w:szCs w:val="20"/>
              </w:rPr>
              <w:t>negatívne</w:t>
            </w:r>
            <w:r>
              <w:rPr>
                <w:rFonts w:eastAsia="Calibri"/>
                <w:i/>
                <w:sz w:val="20"/>
                <w:szCs w:val="20"/>
              </w:rPr>
              <w:t xml:space="preserve"> ovplyvnené skupiny:</w:t>
            </w:r>
          </w:p>
        </w:tc>
        <w:tc>
          <w:tcPr>
            <w:tcW w:w="2416" w:type="pct"/>
            <w:tcBorders>
              <w:top w:val="dotted" w:sz="4" w:space="0" w:color="auto"/>
              <w:bottom w:val="single" w:sz="4" w:space="0" w:color="auto"/>
            </w:tcBorders>
            <w:shd w:val="clear" w:color="auto" w:fill="auto"/>
          </w:tcPr>
          <w:p w14:paraId="36E38E8F" w14:textId="77777777" w:rsidR="007F5E86" w:rsidRPr="0040544D" w:rsidRDefault="007F5E86" w:rsidP="00B54AF7">
            <w:pPr>
              <w:rPr>
                <w:rFonts w:eastAsia="Calibri"/>
                <w:sz w:val="20"/>
                <w:szCs w:val="20"/>
              </w:rPr>
            </w:pPr>
          </w:p>
        </w:tc>
      </w:tr>
      <w:tr w:rsidR="007F5E86" w:rsidRPr="00CD4982" w14:paraId="02AE8B68" w14:textId="77777777" w:rsidTr="00B54AF7">
        <w:trPr>
          <w:trHeight w:val="680"/>
        </w:trPr>
        <w:tc>
          <w:tcPr>
            <w:tcW w:w="2584" w:type="pct"/>
            <w:tcBorders>
              <w:bottom w:val="nil"/>
            </w:tcBorders>
            <w:shd w:val="clear" w:color="auto" w:fill="auto"/>
          </w:tcPr>
          <w:p w14:paraId="13D52C28" w14:textId="77777777" w:rsidR="007F5E86" w:rsidRPr="00CD4982" w:rsidRDefault="007F5E86" w:rsidP="00B54AF7">
            <w:pPr>
              <w:rPr>
                <w:rFonts w:eastAsia="Calibri"/>
                <w:i/>
                <w:sz w:val="20"/>
                <w:szCs w:val="20"/>
              </w:rPr>
            </w:pPr>
            <w:r>
              <w:rPr>
                <w:rFonts w:eastAsia="Calibri"/>
                <w:i/>
                <w:sz w:val="20"/>
                <w:szCs w:val="20"/>
              </w:rPr>
              <w:t xml:space="preserve">Špecifikujte ovplyvnené skupiny </w:t>
            </w:r>
            <w:r w:rsidRPr="00E538C0">
              <w:rPr>
                <w:rFonts w:eastAsia="Calibri"/>
                <w:b/>
                <w:i/>
                <w:sz w:val="20"/>
                <w:szCs w:val="20"/>
              </w:rPr>
              <w:t>v riziku chudoby alebo sociálneho vylúčenia</w:t>
            </w:r>
            <w:r>
              <w:rPr>
                <w:rFonts w:eastAsia="Calibri"/>
                <w:i/>
                <w:sz w:val="20"/>
                <w:szCs w:val="20"/>
              </w:rPr>
              <w:t xml:space="preserve"> a popíšte vplyv:</w:t>
            </w:r>
          </w:p>
        </w:tc>
        <w:tc>
          <w:tcPr>
            <w:tcW w:w="2416" w:type="pct"/>
            <w:tcBorders>
              <w:bottom w:val="nil"/>
            </w:tcBorders>
            <w:shd w:val="clear" w:color="auto" w:fill="auto"/>
          </w:tcPr>
          <w:p w14:paraId="740BC5C2" w14:textId="77777777" w:rsidR="007F5E86" w:rsidRPr="0040544D" w:rsidRDefault="007F5E86" w:rsidP="00B54AF7">
            <w:pPr>
              <w:rPr>
                <w:rFonts w:eastAsia="Calibri"/>
                <w:sz w:val="20"/>
                <w:szCs w:val="20"/>
              </w:rPr>
            </w:pPr>
          </w:p>
        </w:tc>
      </w:tr>
    </w:tbl>
    <w:p w14:paraId="7B778383" w14:textId="77777777" w:rsidR="00552B58" w:rsidRDefault="00552B58" w:rsidP="00552B58">
      <w:pPr>
        <w:rPr>
          <w:rFonts w:eastAsia="Calibri"/>
          <w:i/>
          <w:sz w:val="20"/>
          <w:szCs w:val="20"/>
        </w:rPr>
        <w:sectPr w:rsidR="00552B58" w:rsidSect="005F409B">
          <w:headerReference w:type="default" r:id="rId9"/>
          <w:footerReference w:type="default" r:id="rId10"/>
          <w:footnotePr>
            <w:numFmt w:val="chicago"/>
          </w:footnotePr>
          <w:pgSz w:w="11906" w:h="16838"/>
          <w:pgMar w:top="1134" w:right="1418" w:bottom="851" w:left="1418" w:header="680" w:footer="680" w:gutter="0"/>
          <w:cols w:space="708"/>
          <w:titlePg/>
          <w:docGrid w:linePitch="360"/>
        </w:sectPr>
      </w:pPr>
    </w:p>
    <w:p w14:paraId="155FF1EE" w14:textId="77777777" w:rsidR="00552B58" w:rsidRDefault="00552B58" w:rsidP="00552B58">
      <w:pPr>
        <w:rPr>
          <w:rFonts w:eastAsia="Calibri"/>
          <w:i/>
          <w:sz w:val="20"/>
          <w:szCs w:val="20"/>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7EFD85D6" w14:textId="77777777" w:rsidR="00552B58" w:rsidRDefault="00552B58" w:rsidP="00552B58">
      <w:pPr>
        <w:jc w:val="both"/>
        <w:rPr>
          <w:rFonts w:eastAsia="Calibri"/>
          <w:i/>
          <w:sz w:val="20"/>
          <w:szCs w:val="20"/>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552B58" w:rsidRPr="00CD4982" w14:paraId="6D4F4FAC" w14:textId="77777777" w:rsidTr="008B2519">
        <w:trPr>
          <w:trHeight w:val="680"/>
          <w:jc w:val="center"/>
        </w:trPr>
        <w:tc>
          <w:tcPr>
            <w:tcW w:w="5000" w:type="pct"/>
            <w:shd w:val="clear" w:color="auto" w:fill="F2F2F2" w:themeFill="background1" w:themeFillShade="F2"/>
          </w:tcPr>
          <w:p w14:paraId="5F0451C9" w14:textId="77777777" w:rsidR="00552B58" w:rsidRDefault="00552B58" w:rsidP="008B2519">
            <w:pPr>
              <w:jc w:val="both"/>
              <w:rPr>
                <w:rFonts w:eastAsia="Calibri"/>
                <w:i/>
                <w:sz w:val="20"/>
                <w:szCs w:val="20"/>
              </w:rPr>
            </w:pPr>
            <w:r w:rsidRPr="00CD4982">
              <w:rPr>
                <w:rFonts w:eastAsia="Calibri"/>
                <w:i/>
                <w:sz w:val="20"/>
                <w:szCs w:val="20"/>
              </w:rPr>
              <w:t>Kvantifikujte rast alebo pokles príjmov/výdavkov za jednotlivé ovplyvnené skupiny domácností / skupiny jednotlivcov a počet obyvateľstva/domácností ovplyvnených predkladaným materiálom.</w:t>
            </w:r>
          </w:p>
          <w:p w14:paraId="43C26D5A" w14:textId="77777777" w:rsidR="00552B58" w:rsidRPr="00CD4982" w:rsidRDefault="00552B58" w:rsidP="008B2519">
            <w:pPr>
              <w:jc w:val="both"/>
              <w:rPr>
                <w:rFonts w:eastAsia="Calibri"/>
                <w:i/>
                <w:sz w:val="20"/>
                <w:szCs w:val="20"/>
              </w:rPr>
            </w:pPr>
            <w:r>
              <w:rPr>
                <w:rFonts w:eastAsia="Calibri"/>
                <w:i/>
                <w:sz w:val="20"/>
                <w:szCs w:val="20"/>
              </w:rPr>
              <w:t>V prípade vyššieho počtu ovplyvnených skupín doplňte do tabuľky ďalšie riadky.</w:t>
            </w:r>
          </w:p>
          <w:p w14:paraId="14E9EDAA" w14:textId="77777777" w:rsidR="00552B58" w:rsidRPr="0040544D" w:rsidRDefault="00552B58" w:rsidP="008B2519">
            <w:pPr>
              <w:tabs>
                <w:tab w:val="left" w:pos="3505"/>
              </w:tabs>
              <w:rPr>
                <w:rFonts w:eastAsia="Calibri"/>
                <w:sz w:val="20"/>
                <w:szCs w:val="20"/>
              </w:rPr>
            </w:pPr>
            <w:r w:rsidRPr="00CD4982">
              <w:rPr>
                <w:rFonts w:eastAsia="Calibri"/>
                <w:i/>
                <w:sz w:val="20"/>
                <w:szCs w:val="20"/>
              </w:rPr>
              <w:t>V prípade, ak neuvádzate kvantifikáciu, uveďte dôvod.</w:t>
            </w:r>
          </w:p>
        </w:tc>
      </w:tr>
    </w:tbl>
    <w:p w14:paraId="16B06D2D" w14:textId="77777777" w:rsidR="00552B58" w:rsidRDefault="00552B58" w:rsidP="00552B58">
      <w:pPr>
        <w:jc w:val="both"/>
        <w:rPr>
          <w:rFonts w:eastAsia="Calibri"/>
          <w:b/>
          <w:i/>
          <w:sz w:val="20"/>
          <w:szCs w:val="20"/>
        </w:rPr>
        <w:sectPr w:rsidR="00552B58" w:rsidSect="00F70A8A">
          <w:footnotePr>
            <w:numFmt w:val="chicago"/>
          </w:footnotePr>
          <w:type w:val="continuous"/>
          <w:pgSz w:w="11906" w:h="16838"/>
          <w:pgMar w:top="1134" w:right="1418" w:bottom="851"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552B58" w:rsidRPr="00CD4982" w14:paraId="3A9BF452" w14:textId="77777777" w:rsidTr="008B2519">
        <w:trPr>
          <w:trHeight w:val="286"/>
          <w:jc w:val="center"/>
        </w:trPr>
        <w:tc>
          <w:tcPr>
            <w:tcW w:w="5000" w:type="pct"/>
            <w:gridSpan w:val="2"/>
            <w:tcBorders>
              <w:top w:val="nil"/>
            </w:tcBorders>
            <w:shd w:val="clear" w:color="auto" w:fill="auto"/>
          </w:tcPr>
          <w:p w14:paraId="09591C36" w14:textId="77777777" w:rsidR="00552B58" w:rsidRPr="00CD4982" w:rsidRDefault="00552B58" w:rsidP="008B2519">
            <w:pPr>
              <w:jc w:val="both"/>
              <w:rPr>
                <w:rFonts w:eastAsia="Calibri"/>
                <w:i/>
                <w:sz w:val="20"/>
                <w:szCs w:val="20"/>
              </w:rPr>
            </w:pPr>
            <w:r w:rsidRPr="00DA4453">
              <w:rPr>
                <w:rFonts w:eastAsia="Calibri"/>
                <w:b/>
                <w:i/>
                <w:sz w:val="20"/>
                <w:szCs w:val="20"/>
              </w:rPr>
              <w:t>Ovplyvnená skupina č. 1:</w:t>
            </w:r>
          </w:p>
        </w:tc>
      </w:tr>
      <w:tr w:rsidR="00552B58" w:rsidRPr="00CD4982" w14:paraId="23043792" w14:textId="77777777" w:rsidTr="008B2519">
        <w:trPr>
          <w:trHeight w:val="503"/>
          <w:jc w:val="center"/>
        </w:trPr>
        <w:tc>
          <w:tcPr>
            <w:tcW w:w="2500" w:type="pct"/>
            <w:tcBorders>
              <w:bottom w:val="single" w:sz="4" w:space="0" w:color="BFBFBF" w:themeColor="background1" w:themeShade="BF"/>
            </w:tcBorders>
            <w:shd w:val="clear" w:color="auto" w:fill="auto"/>
          </w:tcPr>
          <w:p w14:paraId="0BF8CA2E" w14:textId="77777777" w:rsidR="00552B58" w:rsidRPr="00CD4982" w:rsidRDefault="00552B58" w:rsidP="008B2519">
            <w:pPr>
              <w:rPr>
                <w:rFonts w:eastAsia="Calibri"/>
                <w:i/>
                <w:sz w:val="20"/>
                <w:szCs w:val="20"/>
              </w:rPr>
            </w:pPr>
            <w:r w:rsidRPr="00CD4982">
              <w:rPr>
                <w:rFonts w:eastAsia="Calibri"/>
                <w:i/>
                <w:sz w:val="20"/>
                <w:szCs w:val="20"/>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14:paraId="6270F8C3" w14:textId="77777777" w:rsidR="00552B58" w:rsidRPr="00CA6BAF" w:rsidRDefault="00552B58" w:rsidP="008B2519">
            <w:pPr>
              <w:jc w:val="both"/>
              <w:rPr>
                <w:rFonts w:eastAsia="Calibri"/>
                <w:sz w:val="20"/>
                <w:szCs w:val="20"/>
              </w:rPr>
            </w:pPr>
          </w:p>
        </w:tc>
      </w:tr>
      <w:tr w:rsidR="00552B58" w:rsidRPr="00CD4982" w14:paraId="5349E3F3" w14:textId="77777777" w:rsidTr="008B2519">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14:paraId="73D490A3" w14:textId="77777777" w:rsidR="00552B58" w:rsidRPr="00CD4982" w:rsidRDefault="00552B58" w:rsidP="008B2519">
            <w:pPr>
              <w:rPr>
                <w:rFonts w:ascii="Calibri" w:eastAsia="Calibri" w:hAnsi="Calibri"/>
                <w:i/>
                <w:sz w:val="20"/>
                <w:szCs w:val="20"/>
              </w:rPr>
            </w:pPr>
            <w:r w:rsidRPr="00CD4982">
              <w:rPr>
                <w:rFonts w:eastAsia="Calibri"/>
                <w:i/>
                <w:sz w:val="20"/>
                <w:szCs w:val="20"/>
              </w:rPr>
              <w:lastRenderedPageBreak/>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14:paraId="3CBDAAB0" w14:textId="77777777" w:rsidR="00552B58" w:rsidRPr="00CA6BAF" w:rsidRDefault="00552B58" w:rsidP="008B2519">
            <w:pPr>
              <w:jc w:val="both"/>
              <w:rPr>
                <w:rFonts w:eastAsia="Calibri"/>
                <w:sz w:val="20"/>
                <w:szCs w:val="20"/>
              </w:rPr>
            </w:pPr>
          </w:p>
        </w:tc>
      </w:tr>
      <w:tr w:rsidR="00552B58" w:rsidRPr="00CD4982" w14:paraId="038BFE03" w14:textId="77777777" w:rsidTr="008B2519">
        <w:trPr>
          <w:trHeight w:val="363"/>
          <w:jc w:val="center"/>
        </w:trPr>
        <w:tc>
          <w:tcPr>
            <w:tcW w:w="2500" w:type="pct"/>
            <w:tcBorders>
              <w:top w:val="single" w:sz="4" w:space="0" w:color="BFBFBF" w:themeColor="background1" w:themeShade="BF"/>
              <w:bottom w:val="single" w:sz="4" w:space="0" w:color="auto"/>
            </w:tcBorders>
            <w:shd w:val="clear" w:color="auto" w:fill="auto"/>
          </w:tcPr>
          <w:p w14:paraId="54BABC17" w14:textId="77777777" w:rsidR="00552B58" w:rsidRPr="00CD4982" w:rsidRDefault="00552B58" w:rsidP="008B2519">
            <w:pPr>
              <w:rPr>
                <w:rFonts w:ascii="Calibri" w:eastAsia="Calibri" w:hAnsi="Calibri"/>
                <w:i/>
                <w:sz w:val="20"/>
                <w:szCs w:val="20"/>
              </w:rPr>
            </w:pPr>
            <w:r w:rsidRPr="00CD4982">
              <w:rPr>
                <w:rFonts w:eastAsia="Calibri"/>
                <w:i/>
                <w:sz w:val="20"/>
                <w:szCs w:val="20"/>
              </w:rPr>
              <w:t>Veľkosť skupiny (počet obyvateľov):</w:t>
            </w:r>
          </w:p>
        </w:tc>
        <w:tc>
          <w:tcPr>
            <w:tcW w:w="2500" w:type="pct"/>
            <w:tcBorders>
              <w:top w:val="single" w:sz="4" w:space="0" w:color="BFBFBF" w:themeColor="background1" w:themeShade="BF"/>
              <w:bottom w:val="single" w:sz="4" w:space="0" w:color="auto"/>
            </w:tcBorders>
            <w:shd w:val="clear" w:color="auto" w:fill="auto"/>
          </w:tcPr>
          <w:p w14:paraId="1ACE9DE4" w14:textId="77777777" w:rsidR="00552B58" w:rsidRPr="00CA6BAF" w:rsidRDefault="00552B58" w:rsidP="008B2519">
            <w:pPr>
              <w:jc w:val="both"/>
              <w:rPr>
                <w:rFonts w:eastAsia="Calibri"/>
                <w:sz w:val="20"/>
                <w:szCs w:val="20"/>
              </w:rPr>
            </w:pPr>
          </w:p>
        </w:tc>
      </w:tr>
      <w:tr w:rsidR="00552B58" w:rsidRPr="00CD4982" w14:paraId="06FB13FE" w14:textId="77777777" w:rsidTr="008B2519">
        <w:trPr>
          <w:trHeight w:val="265"/>
          <w:jc w:val="center"/>
        </w:trPr>
        <w:tc>
          <w:tcPr>
            <w:tcW w:w="5000" w:type="pct"/>
            <w:gridSpan w:val="2"/>
            <w:tcBorders>
              <w:top w:val="single" w:sz="4" w:space="0" w:color="auto"/>
            </w:tcBorders>
            <w:shd w:val="clear" w:color="auto" w:fill="auto"/>
          </w:tcPr>
          <w:p w14:paraId="2C9C65D3" w14:textId="77777777" w:rsidR="00552B58" w:rsidRPr="00CD4982" w:rsidRDefault="00552B58" w:rsidP="008B2519">
            <w:pPr>
              <w:jc w:val="both"/>
              <w:rPr>
                <w:rFonts w:eastAsia="Calibri"/>
                <w:i/>
                <w:sz w:val="20"/>
                <w:szCs w:val="20"/>
              </w:rPr>
            </w:pPr>
            <w:r w:rsidRPr="00DA4453">
              <w:rPr>
                <w:rFonts w:eastAsia="Calibri"/>
                <w:b/>
                <w:i/>
                <w:sz w:val="20"/>
                <w:szCs w:val="20"/>
              </w:rPr>
              <w:t>Ovplyvnená skupina č. 2:</w:t>
            </w:r>
          </w:p>
        </w:tc>
      </w:tr>
      <w:tr w:rsidR="00552B58" w:rsidRPr="00CD4982" w14:paraId="19CB90DF" w14:textId="77777777" w:rsidTr="008B2519">
        <w:trPr>
          <w:trHeight w:val="587"/>
          <w:jc w:val="center"/>
        </w:trPr>
        <w:tc>
          <w:tcPr>
            <w:tcW w:w="2500" w:type="pct"/>
            <w:tcBorders>
              <w:bottom w:val="single" w:sz="4" w:space="0" w:color="BFBFBF" w:themeColor="background1" w:themeShade="BF"/>
            </w:tcBorders>
            <w:shd w:val="clear" w:color="auto" w:fill="auto"/>
          </w:tcPr>
          <w:p w14:paraId="693A9D8F" w14:textId="77777777" w:rsidR="00552B58" w:rsidRPr="00CD4982" w:rsidRDefault="00552B58" w:rsidP="008B2519">
            <w:pPr>
              <w:rPr>
                <w:rFonts w:eastAsia="Calibri"/>
                <w:i/>
                <w:sz w:val="20"/>
                <w:szCs w:val="20"/>
              </w:rPr>
            </w:pPr>
            <w:r w:rsidRPr="00CD4982">
              <w:rPr>
                <w:rFonts w:eastAsia="Calibri"/>
                <w:i/>
                <w:sz w:val="20"/>
                <w:szCs w:val="20"/>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14:paraId="08BB7030" w14:textId="77777777" w:rsidR="00552B58" w:rsidRPr="00CA6BAF" w:rsidRDefault="00552B58" w:rsidP="008B2519">
            <w:pPr>
              <w:jc w:val="both"/>
              <w:rPr>
                <w:rFonts w:eastAsia="Calibri"/>
                <w:sz w:val="20"/>
                <w:szCs w:val="20"/>
              </w:rPr>
            </w:pPr>
          </w:p>
        </w:tc>
      </w:tr>
      <w:tr w:rsidR="00552B58" w:rsidRPr="00CD4982" w14:paraId="66430938" w14:textId="77777777" w:rsidTr="008B2519">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14:paraId="31816DAA" w14:textId="77777777" w:rsidR="00552B58" w:rsidRPr="00CD4982" w:rsidRDefault="00552B58" w:rsidP="008B2519">
            <w:pPr>
              <w:rPr>
                <w:rFonts w:ascii="Calibri" w:eastAsia="Calibri" w:hAnsi="Calibri"/>
                <w:i/>
                <w:sz w:val="20"/>
                <w:szCs w:val="20"/>
              </w:rPr>
            </w:pPr>
            <w:r w:rsidRPr="00CD4982">
              <w:rPr>
                <w:rFonts w:eastAsia="Calibri"/>
                <w:i/>
                <w:sz w:val="20"/>
                <w:szCs w:val="20"/>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14:paraId="4D58E481" w14:textId="77777777" w:rsidR="00552B58" w:rsidRPr="00CA6BAF" w:rsidRDefault="00552B58" w:rsidP="008B2519">
            <w:pPr>
              <w:jc w:val="both"/>
              <w:rPr>
                <w:rFonts w:eastAsia="Calibri"/>
                <w:sz w:val="20"/>
                <w:szCs w:val="20"/>
              </w:rPr>
            </w:pPr>
          </w:p>
        </w:tc>
      </w:tr>
      <w:tr w:rsidR="00552B58" w:rsidRPr="00CD4982" w14:paraId="78E42AC1" w14:textId="77777777" w:rsidTr="008B2519">
        <w:trPr>
          <w:trHeight w:val="363"/>
          <w:jc w:val="center"/>
        </w:trPr>
        <w:tc>
          <w:tcPr>
            <w:tcW w:w="2500" w:type="pct"/>
            <w:tcBorders>
              <w:top w:val="single" w:sz="4" w:space="0" w:color="BFBFBF" w:themeColor="background1" w:themeShade="BF"/>
            </w:tcBorders>
            <w:shd w:val="clear" w:color="auto" w:fill="auto"/>
          </w:tcPr>
          <w:p w14:paraId="34C599D0" w14:textId="77777777" w:rsidR="00552B58" w:rsidRPr="00CD4982" w:rsidRDefault="00552B58" w:rsidP="008B2519">
            <w:pPr>
              <w:rPr>
                <w:rFonts w:ascii="Calibri" w:eastAsia="Calibri" w:hAnsi="Calibri"/>
                <w:i/>
                <w:sz w:val="20"/>
                <w:szCs w:val="20"/>
              </w:rPr>
            </w:pPr>
            <w:r w:rsidRPr="00CD4982">
              <w:rPr>
                <w:rFonts w:eastAsia="Calibri"/>
                <w:i/>
                <w:sz w:val="20"/>
                <w:szCs w:val="20"/>
              </w:rPr>
              <w:t>Veľkosť skupiny (počet obyvateľov):</w:t>
            </w:r>
          </w:p>
        </w:tc>
        <w:tc>
          <w:tcPr>
            <w:tcW w:w="2500" w:type="pct"/>
            <w:tcBorders>
              <w:top w:val="single" w:sz="4" w:space="0" w:color="BFBFBF" w:themeColor="background1" w:themeShade="BF"/>
            </w:tcBorders>
            <w:shd w:val="clear" w:color="auto" w:fill="auto"/>
          </w:tcPr>
          <w:p w14:paraId="1BAA8CB1" w14:textId="77777777" w:rsidR="00552B58" w:rsidRPr="00CA6BAF" w:rsidRDefault="00552B58" w:rsidP="008B2519">
            <w:pPr>
              <w:jc w:val="both"/>
              <w:rPr>
                <w:rFonts w:eastAsia="Calibri"/>
                <w:sz w:val="20"/>
                <w:szCs w:val="20"/>
              </w:rPr>
            </w:pPr>
          </w:p>
        </w:tc>
      </w:tr>
      <w:tr w:rsidR="00552B58" w:rsidRPr="00CD4982" w14:paraId="46279901" w14:textId="77777777" w:rsidTr="008B2519">
        <w:trPr>
          <w:trHeight w:val="670"/>
          <w:jc w:val="center"/>
        </w:trPr>
        <w:tc>
          <w:tcPr>
            <w:tcW w:w="2500" w:type="pct"/>
            <w:shd w:val="clear" w:color="auto" w:fill="auto"/>
          </w:tcPr>
          <w:p w14:paraId="644920C0" w14:textId="77777777" w:rsidR="00552B58" w:rsidRPr="00CD4982" w:rsidRDefault="00552B58" w:rsidP="008B2519">
            <w:pPr>
              <w:rPr>
                <w:rFonts w:ascii="Calibri" w:eastAsia="Calibri" w:hAnsi="Calibri"/>
                <w:i/>
                <w:sz w:val="20"/>
                <w:szCs w:val="20"/>
              </w:rPr>
            </w:pPr>
            <w:r w:rsidRPr="00CD4982">
              <w:rPr>
                <w:rFonts w:eastAsia="Calibri"/>
                <w:i/>
                <w:sz w:val="20"/>
                <w:szCs w:val="20"/>
              </w:rPr>
              <w:t>Dôvod chýbajúcej kvantifikácie:</w:t>
            </w:r>
          </w:p>
        </w:tc>
        <w:tc>
          <w:tcPr>
            <w:tcW w:w="2500" w:type="pct"/>
            <w:shd w:val="clear" w:color="auto" w:fill="auto"/>
          </w:tcPr>
          <w:p w14:paraId="647A62A7" w14:textId="77777777" w:rsidR="00552B58" w:rsidRPr="00CA6BAF" w:rsidRDefault="00552B58" w:rsidP="008B2519">
            <w:pPr>
              <w:jc w:val="both"/>
              <w:rPr>
                <w:rFonts w:eastAsia="Calibri"/>
                <w:sz w:val="20"/>
                <w:szCs w:val="20"/>
              </w:rPr>
            </w:pPr>
          </w:p>
        </w:tc>
      </w:tr>
      <w:tr w:rsidR="00552B58" w:rsidRPr="00CD4982" w14:paraId="5C21B2AA" w14:textId="77777777" w:rsidTr="008B2519">
        <w:trPr>
          <w:trHeight w:val="670"/>
          <w:jc w:val="center"/>
        </w:trPr>
        <w:tc>
          <w:tcPr>
            <w:tcW w:w="2500" w:type="pct"/>
            <w:shd w:val="clear" w:color="auto" w:fill="auto"/>
          </w:tcPr>
          <w:p w14:paraId="78258A42" w14:textId="77777777" w:rsidR="00552B58" w:rsidRPr="00CD4982" w:rsidRDefault="00552B58" w:rsidP="008B2519">
            <w:pPr>
              <w:jc w:val="both"/>
              <w:rPr>
                <w:rFonts w:eastAsia="Calibri"/>
                <w:i/>
              </w:rPr>
            </w:pPr>
            <w:r w:rsidRPr="00CD4982">
              <w:rPr>
                <w:rFonts w:eastAsia="Calibri"/>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14:paraId="53361071" w14:textId="77777777" w:rsidR="00552B58" w:rsidRPr="00CA6BAF" w:rsidRDefault="00552B58" w:rsidP="008B2519">
            <w:pPr>
              <w:jc w:val="both"/>
              <w:rPr>
                <w:rFonts w:eastAsia="Calibri"/>
                <w:sz w:val="20"/>
                <w:szCs w:val="20"/>
              </w:rPr>
            </w:pPr>
          </w:p>
        </w:tc>
      </w:tr>
    </w:tbl>
    <w:tbl>
      <w:tblPr>
        <w:tblpPr w:leftFromText="141" w:rightFromText="141" w:vertAnchor="text" w:horzAnchor="margin" w:tblpX="-147" w:tblpY="173"/>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F550B0" w:rsidRPr="00CD4982" w14:paraId="511D2FB0" w14:textId="77777777" w:rsidTr="00F550B0">
        <w:trPr>
          <w:trHeight w:val="339"/>
        </w:trPr>
        <w:tc>
          <w:tcPr>
            <w:tcW w:w="5000" w:type="pct"/>
            <w:tcBorders>
              <w:bottom w:val="single" w:sz="4" w:space="0" w:color="auto"/>
            </w:tcBorders>
            <w:shd w:val="clear" w:color="auto" w:fill="D9D9D9"/>
          </w:tcPr>
          <w:p w14:paraId="01F28D23" w14:textId="77777777" w:rsidR="00F550B0" w:rsidRPr="00CD4982" w:rsidRDefault="00F550B0" w:rsidP="00F550B0">
            <w:pPr>
              <w:ind w:hanging="112"/>
              <w:rPr>
                <w:rFonts w:eastAsia="Calibri"/>
                <w:b/>
              </w:rPr>
            </w:pPr>
            <w:r w:rsidRPr="00CD4982">
              <w:rPr>
                <w:rFonts w:eastAsia="Calibri"/>
                <w:b/>
              </w:rPr>
              <w:t>4.2 Identifikujte, popíšte a kvantifikujte vplyvy na prístup k zdrojom, právam, tovarom a službám u jednotlivých ovplyvnených skupín obyvateľstva a vplyv na sociálnu inklúziu.</w:t>
            </w:r>
          </w:p>
        </w:tc>
      </w:tr>
      <w:tr w:rsidR="00F550B0" w:rsidRPr="00CD4982" w14:paraId="6435A005" w14:textId="77777777" w:rsidTr="00F550B0">
        <w:trPr>
          <w:trHeight w:val="290"/>
        </w:trPr>
        <w:tc>
          <w:tcPr>
            <w:tcW w:w="5000" w:type="pct"/>
            <w:tcBorders>
              <w:bottom w:val="single" w:sz="4" w:space="0" w:color="auto"/>
            </w:tcBorders>
            <w:shd w:val="clear" w:color="auto" w:fill="F2F2F2"/>
          </w:tcPr>
          <w:p w14:paraId="67BB40B7" w14:textId="77777777" w:rsidR="00F550B0" w:rsidRPr="00CD4982" w:rsidRDefault="00F550B0" w:rsidP="00F550B0">
            <w:pPr>
              <w:jc w:val="both"/>
              <w:rPr>
                <w:rFonts w:eastAsia="Calibri"/>
                <w:i/>
                <w:sz w:val="20"/>
              </w:rPr>
            </w:pPr>
            <w:r w:rsidRPr="00CD4982">
              <w:rPr>
                <w:rFonts w:eastAsia="Calibri"/>
                <w:i/>
                <w:sz w:val="20"/>
              </w:rPr>
              <w:t xml:space="preserve">Má návrh vplyv na prístup k zdrojom, právam, tovarom a službám? </w:t>
            </w:r>
          </w:p>
          <w:p w14:paraId="15AE8BCB" w14:textId="77777777" w:rsidR="00F550B0" w:rsidRPr="00CD4982" w:rsidRDefault="00F550B0" w:rsidP="00F550B0">
            <w:pPr>
              <w:jc w:val="both"/>
              <w:rPr>
                <w:rFonts w:ascii="Calibri" w:eastAsia="Calibri" w:hAnsi="Calibri"/>
                <w:i/>
              </w:rPr>
            </w:pPr>
            <w:r w:rsidRPr="00CD4982">
              <w:rPr>
                <w:rFonts w:eastAsia="Calibri"/>
                <w:i/>
                <w:sz w:val="20"/>
              </w:rPr>
              <w:t>Špecifikujete ovplyvnené skupiny obyvateľstva a charakter zmeny v prístupnosti s ohľadom na dostupnosť finančnú, geografickú, kvalitu, organizovanie a pod. Uveďte veľkosť jednotlivých ovplyvnených skupín.</w:t>
            </w:r>
          </w:p>
        </w:tc>
      </w:tr>
    </w:tbl>
    <w:tbl>
      <w:tblPr>
        <w:tblpPr w:leftFromText="141" w:rightFromText="141" w:vertAnchor="text" w:horzAnchor="margin" w:tblpX="-147" w:tblpY="2003"/>
        <w:tblW w:w="5172" w:type="pct"/>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F550B0" w:rsidRPr="00CD4982" w14:paraId="5119CE17" w14:textId="77777777" w:rsidTr="00F550B0">
        <w:trPr>
          <w:trHeight w:val="557"/>
        </w:trPr>
        <w:tc>
          <w:tcPr>
            <w:tcW w:w="1993" w:type="pct"/>
            <w:shd w:val="clear" w:color="auto" w:fill="auto"/>
          </w:tcPr>
          <w:p w14:paraId="4C816ADD" w14:textId="77777777" w:rsidR="00F550B0" w:rsidRPr="00CD4982" w:rsidRDefault="00F550B0" w:rsidP="00F550B0">
            <w:pPr>
              <w:jc w:val="both"/>
              <w:rPr>
                <w:rFonts w:eastAsia="Calibri"/>
                <w:i/>
                <w:sz w:val="18"/>
                <w:szCs w:val="18"/>
              </w:rPr>
            </w:pPr>
            <w:r w:rsidRPr="00CD4982">
              <w:rPr>
                <w:rFonts w:eastAsia="Calibri"/>
                <w:i/>
                <w:sz w:val="18"/>
                <w:szCs w:val="18"/>
              </w:rPr>
              <w:t>Rozumie sa najmä na prístup k:</w:t>
            </w:r>
          </w:p>
          <w:p w14:paraId="1BED8896"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 xml:space="preserve">sociálnej ochrane, sociálno-právnej ochrane, sociálnym službám (vrátane služieb starostlivosti o deti, starších ľudí a ľudí so zdravotným postihnutím), </w:t>
            </w:r>
          </w:p>
          <w:p w14:paraId="029DB657"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kvalitnej práci, ochrane zdravia, dôstojnosti a bezpečnosti pri práci pre zamestnancov a existujúcim zamestnaneckým právam,</w:t>
            </w:r>
          </w:p>
          <w:p w14:paraId="7768E4E5"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 xml:space="preserve">pomoci pri úhrade výdavkov súvisiacich so zdravotným postihnutím, </w:t>
            </w:r>
          </w:p>
          <w:p w14:paraId="0E22155D"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zamestnaniu, na trh práce (napr. uľahčenie zosúladenia rodinných a pracovných povinností, služby zamestnanosti), k školeniam, odbornému vzdelávaniu a príprave na trh práce,</w:t>
            </w:r>
          </w:p>
          <w:p w14:paraId="4C9A580B"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 xml:space="preserve">zdravotnej starostlivosti vrátane cenovo dostupných pomôcok pre občanov so zdravotným postihnutím, </w:t>
            </w:r>
          </w:p>
          <w:p w14:paraId="58306DDE"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k formálnemu i neformálnemu vzdelávaniu a celo</w:t>
            </w:r>
            <w:r w:rsidRPr="00CD4982">
              <w:rPr>
                <w:rFonts w:eastAsia="Calibri"/>
                <w:i/>
                <w:sz w:val="18"/>
                <w:szCs w:val="18"/>
              </w:rPr>
              <w:softHyphen/>
              <w:t xml:space="preserve">životnému vzdelávaniu, </w:t>
            </w:r>
          </w:p>
          <w:p w14:paraId="54F3CF9D"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bývaniu a súvisiacim základným komunálnym službám,</w:t>
            </w:r>
          </w:p>
          <w:p w14:paraId="28709E71"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doprave,</w:t>
            </w:r>
          </w:p>
          <w:p w14:paraId="037B17D1"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ďalším službám najmä službám všeobecného záujmu a tovarom,</w:t>
            </w:r>
          </w:p>
          <w:p w14:paraId="244D5A56"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spravodlivosti, právnej ochrane, právnym službám,</w:t>
            </w:r>
          </w:p>
          <w:p w14:paraId="468F4B91" w14:textId="77777777" w:rsidR="00F550B0" w:rsidRPr="00CD4982" w:rsidRDefault="00F550B0" w:rsidP="00F550B0">
            <w:pPr>
              <w:widowControl/>
              <w:numPr>
                <w:ilvl w:val="0"/>
                <w:numId w:val="2"/>
              </w:numPr>
              <w:adjustRightInd/>
              <w:jc w:val="both"/>
              <w:rPr>
                <w:rFonts w:eastAsia="Calibri"/>
                <w:i/>
                <w:sz w:val="18"/>
                <w:szCs w:val="18"/>
              </w:rPr>
            </w:pPr>
            <w:r w:rsidRPr="00CD4982">
              <w:rPr>
                <w:rFonts w:eastAsia="Calibri"/>
                <w:i/>
                <w:sz w:val="18"/>
                <w:szCs w:val="18"/>
              </w:rPr>
              <w:t>informáciám</w:t>
            </w:r>
          </w:p>
          <w:p w14:paraId="0252C79B" w14:textId="77777777" w:rsidR="00F550B0" w:rsidRPr="00CD4982" w:rsidRDefault="00F550B0" w:rsidP="00F550B0">
            <w:pPr>
              <w:widowControl/>
              <w:numPr>
                <w:ilvl w:val="0"/>
                <w:numId w:val="2"/>
              </w:numPr>
              <w:adjustRightInd/>
              <w:jc w:val="both"/>
              <w:rPr>
                <w:rFonts w:ascii="Calibri" w:eastAsia="Calibri" w:hAnsi="Calibri"/>
                <w:i/>
                <w:sz w:val="20"/>
                <w:szCs w:val="20"/>
              </w:rPr>
            </w:pPr>
            <w:r w:rsidRPr="00CD4982">
              <w:rPr>
                <w:rFonts w:eastAsia="Calibri"/>
                <w:i/>
                <w:sz w:val="18"/>
                <w:szCs w:val="18"/>
              </w:rPr>
              <w:t>k iným právam (napr. politickým).</w:t>
            </w:r>
          </w:p>
        </w:tc>
        <w:tc>
          <w:tcPr>
            <w:tcW w:w="3007" w:type="pct"/>
            <w:shd w:val="clear" w:color="auto" w:fill="auto"/>
          </w:tcPr>
          <w:p w14:paraId="3CC03530" w14:textId="3BD15F70" w:rsidR="00F550B0" w:rsidRPr="00B870C3" w:rsidRDefault="00CD755B" w:rsidP="005467A4">
            <w:pPr>
              <w:jc w:val="both"/>
              <w:rPr>
                <w:rFonts w:eastAsia="Calibri"/>
                <w:i/>
                <w:sz w:val="20"/>
                <w:szCs w:val="20"/>
              </w:rPr>
            </w:pPr>
            <w:r>
              <w:rPr>
                <w:rFonts w:eastAsia="Calibri"/>
                <w:i/>
                <w:sz w:val="20"/>
                <w:szCs w:val="20"/>
              </w:rPr>
              <w:t>Vládny n</w:t>
            </w:r>
            <w:r w:rsidR="00F550B0" w:rsidRPr="00B870C3">
              <w:rPr>
                <w:rFonts w:eastAsia="Calibri"/>
                <w:i/>
                <w:sz w:val="20"/>
                <w:szCs w:val="20"/>
              </w:rPr>
              <w:t>ávrh zákona má pozitívny vplyv na prístup k spravodlivosti, právnej ochrane, právnym službám.</w:t>
            </w:r>
            <w:r w:rsidR="00F550B0">
              <w:rPr>
                <w:rFonts w:eastAsia="Calibri"/>
                <w:i/>
                <w:sz w:val="20"/>
                <w:szCs w:val="20"/>
              </w:rPr>
              <w:t xml:space="preserve"> Pozitívny vplyv spočíva v účinnej procesnej obrane žalovaného, ktorý je spotrebiteľom v </w:t>
            </w:r>
            <w:proofErr w:type="spellStart"/>
            <w:r w:rsidR="00F550B0">
              <w:rPr>
                <w:rFonts w:eastAsia="Calibri"/>
                <w:i/>
                <w:sz w:val="20"/>
                <w:szCs w:val="20"/>
              </w:rPr>
              <w:t>upomínacom</w:t>
            </w:r>
            <w:proofErr w:type="spellEnd"/>
            <w:r w:rsidR="00F550B0">
              <w:rPr>
                <w:rFonts w:eastAsia="Calibri"/>
                <w:i/>
                <w:sz w:val="20"/>
                <w:szCs w:val="20"/>
              </w:rPr>
              <w:t xml:space="preserve"> konaní a konaní</w:t>
            </w:r>
            <w:r w:rsidR="00F550B0" w:rsidRPr="008B72B9">
              <w:rPr>
                <w:rFonts w:eastAsia="Calibri"/>
                <w:i/>
                <w:sz w:val="20"/>
                <w:szCs w:val="20"/>
              </w:rPr>
              <w:t xml:space="preserve"> o platobnom rozkaze v zákone č. 160/2015 Z. z. Civilný sporový poriadok v znení neskorších predpisov</w:t>
            </w:r>
            <w:r w:rsidR="00F550B0">
              <w:rPr>
                <w:rFonts w:eastAsia="Calibri"/>
                <w:i/>
                <w:sz w:val="20"/>
                <w:szCs w:val="20"/>
              </w:rPr>
              <w:t>.</w:t>
            </w:r>
          </w:p>
          <w:p w14:paraId="34C54EE7" w14:textId="77777777" w:rsidR="00F550B0" w:rsidRDefault="00F550B0" w:rsidP="00F550B0">
            <w:pPr>
              <w:rPr>
                <w:rFonts w:eastAsia="Calibri"/>
                <w:sz w:val="20"/>
                <w:szCs w:val="20"/>
              </w:rPr>
            </w:pPr>
          </w:p>
          <w:p w14:paraId="1070C3F2" w14:textId="77777777" w:rsidR="00F550B0" w:rsidRPr="0040544D" w:rsidRDefault="00F550B0" w:rsidP="00F550B0">
            <w:pPr>
              <w:rPr>
                <w:rFonts w:eastAsia="Calibri"/>
                <w:sz w:val="20"/>
                <w:szCs w:val="20"/>
              </w:rPr>
            </w:pPr>
          </w:p>
        </w:tc>
      </w:tr>
    </w:tbl>
    <w:tbl>
      <w:tblPr>
        <w:tblpPr w:leftFromText="141" w:rightFromText="141" w:vertAnchor="text" w:horzAnchor="margin" w:tblpX="-157" w:tblpY="8337"/>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52"/>
      </w:tblGrid>
      <w:tr w:rsidR="00F550B0" w:rsidRPr="00CD4982" w14:paraId="4E658D59" w14:textId="77777777" w:rsidTr="007514E1">
        <w:tc>
          <w:tcPr>
            <w:tcW w:w="5000" w:type="pct"/>
            <w:tcBorders>
              <w:bottom w:val="single" w:sz="4" w:space="0" w:color="auto"/>
            </w:tcBorders>
            <w:shd w:val="clear" w:color="auto" w:fill="F2F2F2"/>
          </w:tcPr>
          <w:p w14:paraId="00FBBECD" w14:textId="77777777" w:rsidR="00F550B0" w:rsidRPr="00CD4982" w:rsidRDefault="00F550B0" w:rsidP="007514E1">
            <w:pPr>
              <w:jc w:val="both"/>
              <w:rPr>
                <w:rFonts w:eastAsia="Calibri"/>
                <w:i/>
                <w:sz w:val="20"/>
                <w:szCs w:val="20"/>
              </w:rPr>
            </w:pPr>
            <w:r w:rsidRPr="00CD4982">
              <w:rPr>
                <w:rFonts w:eastAsia="Calibri"/>
                <w:i/>
                <w:sz w:val="20"/>
                <w:szCs w:val="20"/>
              </w:rPr>
              <w:t xml:space="preserve">Má návrh významný vplyv na niektorú zo zraniteľných skupín obyvateľstva alebo skupín v riziku chudoby alebo sociálneho vylúčenia? </w:t>
            </w:r>
          </w:p>
          <w:p w14:paraId="54D36F66" w14:textId="77777777" w:rsidR="00F550B0" w:rsidRPr="00CD4982" w:rsidRDefault="00F550B0" w:rsidP="007514E1">
            <w:pPr>
              <w:jc w:val="both"/>
              <w:rPr>
                <w:rFonts w:ascii="Calibri" w:eastAsia="Calibri" w:hAnsi="Calibri"/>
                <w:i/>
              </w:rPr>
            </w:pPr>
            <w:r w:rsidRPr="00CD4982">
              <w:rPr>
                <w:rFonts w:eastAsia="Calibri"/>
                <w:i/>
                <w:sz w:val="20"/>
                <w:szCs w:val="20"/>
              </w:rPr>
              <w:t xml:space="preserve">Špecifikujte ovplyvnené skupiny v riziku chudoby a sociálneho vylúčenia a popíšte vplyv na </w:t>
            </w:r>
            <w:proofErr w:type="spellStart"/>
            <w:r w:rsidRPr="00CD4982">
              <w:rPr>
                <w:rFonts w:eastAsia="Calibri"/>
                <w:i/>
                <w:sz w:val="20"/>
                <w:szCs w:val="20"/>
              </w:rPr>
              <w:t>ne</w:t>
            </w:r>
            <w:proofErr w:type="spellEnd"/>
            <w:r w:rsidRPr="00CD4982">
              <w:rPr>
                <w:rFonts w:eastAsia="Calibri"/>
                <w:i/>
                <w:sz w:val="20"/>
                <w:szCs w:val="20"/>
              </w:rPr>
              <w:t>. Je tento vplyv väčší ako vplyv na iné skupiny či subjekty? Uveďte veľkosť jednotlivých ovplyvnených skupín.</w:t>
            </w:r>
          </w:p>
        </w:tc>
      </w:tr>
    </w:tbl>
    <w:tbl>
      <w:tblPr>
        <w:tblW w:w="5161"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45"/>
        <w:gridCol w:w="5607"/>
      </w:tblGrid>
      <w:tr w:rsidR="00686B9A" w:rsidRPr="00686B9A" w14:paraId="163762D4" w14:textId="77777777" w:rsidTr="007514E1">
        <w:trPr>
          <w:trHeight w:val="677"/>
          <w:jc w:val="center"/>
        </w:trPr>
        <w:tc>
          <w:tcPr>
            <w:tcW w:w="2002" w:type="pct"/>
            <w:tcBorders>
              <w:top w:val="nil"/>
              <w:left w:val="single" w:sz="4" w:space="0" w:color="auto"/>
              <w:bottom w:val="single" w:sz="4" w:space="0" w:color="auto"/>
              <w:right w:val="single" w:sz="4" w:space="0" w:color="auto"/>
            </w:tcBorders>
            <w:hideMark/>
          </w:tcPr>
          <w:p w14:paraId="3F8A6626" w14:textId="77777777" w:rsidR="00686B9A" w:rsidRPr="00686B9A" w:rsidRDefault="00686B9A" w:rsidP="00686B9A">
            <w:pPr>
              <w:widowControl/>
              <w:adjustRightInd/>
              <w:spacing w:line="256" w:lineRule="auto"/>
              <w:jc w:val="both"/>
              <w:rPr>
                <w:rFonts w:eastAsia="Calibri"/>
                <w:i/>
                <w:sz w:val="18"/>
                <w:szCs w:val="18"/>
                <w:lang w:eastAsia="en-US"/>
              </w:rPr>
            </w:pPr>
            <w:r w:rsidRPr="00686B9A">
              <w:rPr>
                <w:rFonts w:eastAsia="Calibri"/>
                <w:i/>
                <w:sz w:val="18"/>
                <w:szCs w:val="18"/>
                <w:lang w:eastAsia="en-US"/>
              </w:rPr>
              <w:lastRenderedPageBreak/>
              <w:t>Zraniteľné skupiny alebo skupiny v riziku chudoby alebo sociálneho vylúčenia sú napr.:</w:t>
            </w:r>
          </w:p>
          <w:p w14:paraId="3B7D9DFD"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domácnosti s nízkym príjmom (napr. žijúce iba zo sociálnych príjmov, alebo z príjmov pod hranicou rizika chudoby, alebo s príjmom pod životným minimom, alebo patriace medzi 25% domácností s najnižším príjmom),</w:t>
            </w:r>
          </w:p>
          <w:p w14:paraId="5D22D91C"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nezamestnaní, najmä dlhodobo nezamestnaní, mladí nezamestnaní a nezamestnaní nad 50 rokov,</w:t>
            </w:r>
          </w:p>
          <w:p w14:paraId="1CEFFE16"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deti (0 – 17),</w:t>
            </w:r>
          </w:p>
          <w:p w14:paraId="3DF34F95"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mladí ľudia (18 – 25 rokov),</w:t>
            </w:r>
          </w:p>
          <w:p w14:paraId="3A40ECCF"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starší ľudia, napr. ľudia vo veku nad 65 rokov alebo dôchodcovia,</w:t>
            </w:r>
          </w:p>
          <w:p w14:paraId="67C98754"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ľudia so zdravotným postihnutím,</w:t>
            </w:r>
          </w:p>
          <w:p w14:paraId="3959A251"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 xml:space="preserve">marginalizované rómske komunity </w:t>
            </w:r>
          </w:p>
          <w:p w14:paraId="3EB4E07B"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domácnosti s 3 a viac deťmi,</w:t>
            </w:r>
          </w:p>
          <w:p w14:paraId="3C14AD78"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jednorodičovské domácnosti s deťmi (neúplné rodiny, ktoré tvoria najmä osamelé matky s deťmi),</w:t>
            </w:r>
          </w:p>
          <w:p w14:paraId="004FA5D2" w14:textId="77777777" w:rsidR="00686B9A" w:rsidRPr="00686B9A" w:rsidRDefault="00686B9A" w:rsidP="00686B9A">
            <w:pPr>
              <w:widowControl/>
              <w:numPr>
                <w:ilvl w:val="0"/>
                <w:numId w:val="3"/>
              </w:numPr>
              <w:adjustRightInd/>
              <w:spacing w:line="256" w:lineRule="auto"/>
              <w:jc w:val="both"/>
              <w:rPr>
                <w:rFonts w:eastAsia="Calibri"/>
                <w:i/>
                <w:sz w:val="18"/>
                <w:szCs w:val="18"/>
                <w:lang w:eastAsia="en-US"/>
              </w:rPr>
            </w:pPr>
            <w:r w:rsidRPr="00686B9A">
              <w:rPr>
                <w:rFonts w:eastAsia="Calibri"/>
                <w:i/>
                <w:sz w:val="18"/>
                <w:szCs w:val="18"/>
                <w:lang w:eastAsia="en-US"/>
              </w:rPr>
              <w:t>príslušníci tretích krajín, azylanti, žiadatelia o azyl,</w:t>
            </w:r>
          </w:p>
          <w:p w14:paraId="0A9918DF" w14:textId="77777777" w:rsidR="00686B9A" w:rsidRPr="00686B9A" w:rsidRDefault="00686B9A" w:rsidP="00686B9A">
            <w:pPr>
              <w:widowControl/>
              <w:numPr>
                <w:ilvl w:val="0"/>
                <w:numId w:val="3"/>
              </w:numPr>
              <w:adjustRightInd/>
              <w:spacing w:line="256" w:lineRule="auto"/>
              <w:jc w:val="both"/>
              <w:rPr>
                <w:rFonts w:ascii="Calibri" w:eastAsia="Calibri" w:hAnsi="Calibri"/>
                <w:i/>
                <w:sz w:val="18"/>
                <w:szCs w:val="18"/>
                <w:lang w:eastAsia="en-US"/>
              </w:rPr>
            </w:pPr>
            <w:r w:rsidRPr="00686B9A">
              <w:rPr>
                <w:rFonts w:eastAsia="Calibri"/>
                <w:i/>
                <w:sz w:val="18"/>
                <w:szCs w:val="18"/>
                <w:lang w:eastAsia="en-US"/>
              </w:rPr>
              <w:t>iné zraniteľné skupiny, ako sú napr. bezdomovci, ľudia opúšťajúci detské domovy alebo iné inštitucionálne zariadenia</w:t>
            </w:r>
          </w:p>
        </w:tc>
        <w:tc>
          <w:tcPr>
            <w:tcW w:w="2998" w:type="pct"/>
            <w:tcBorders>
              <w:top w:val="nil"/>
              <w:left w:val="single" w:sz="4" w:space="0" w:color="auto"/>
              <w:bottom w:val="single" w:sz="4" w:space="0" w:color="auto"/>
              <w:right w:val="single" w:sz="4" w:space="0" w:color="auto"/>
            </w:tcBorders>
            <w:hideMark/>
          </w:tcPr>
          <w:p w14:paraId="2E5BE39A" w14:textId="0360B46F" w:rsidR="00686B9A" w:rsidRPr="00686B9A" w:rsidRDefault="00CD755B" w:rsidP="00686B9A">
            <w:pPr>
              <w:widowControl/>
              <w:adjustRightInd/>
              <w:spacing w:line="256" w:lineRule="auto"/>
              <w:jc w:val="both"/>
              <w:rPr>
                <w:rFonts w:eastAsia="Calibri"/>
                <w:sz w:val="20"/>
                <w:lang w:eastAsia="en-US"/>
              </w:rPr>
            </w:pPr>
            <w:r>
              <w:rPr>
                <w:rFonts w:eastAsia="Calibri"/>
                <w:i/>
                <w:sz w:val="20"/>
              </w:rPr>
              <w:t>Vládny n</w:t>
            </w:r>
            <w:r w:rsidR="00686B9A" w:rsidRPr="0085108C">
              <w:rPr>
                <w:rFonts w:eastAsia="Calibri"/>
                <w:i/>
                <w:sz w:val="20"/>
              </w:rPr>
              <w:t xml:space="preserve">ávrh zákona má pozitívny vplyv </w:t>
            </w:r>
            <w:r w:rsidR="00686B9A">
              <w:rPr>
                <w:rFonts w:eastAsia="Calibri"/>
                <w:i/>
                <w:sz w:val="20"/>
              </w:rPr>
              <w:t>na spotrebiteľov, ktorí</w:t>
            </w:r>
            <w:r w:rsidR="00686B9A" w:rsidRPr="0085108C">
              <w:rPr>
                <w:rFonts w:eastAsia="Calibri"/>
                <w:i/>
                <w:sz w:val="20"/>
              </w:rPr>
              <w:t xml:space="preserve"> sú účastníkmi </w:t>
            </w:r>
            <w:proofErr w:type="spellStart"/>
            <w:r w:rsidR="00686B9A" w:rsidRPr="0085108C">
              <w:rPr>
                <w:rFonts w:eastAsia="Calibri"/>
                <w:i/>
                <w:sz w:val="20"/>
              </w:rPr>
              <w:t>upomínacieho</w:t>
            </w:r>
            <w:proofErr w:type="spellEnd"/>
            <w:r w:rsidR="00686B9A" w:rsidRPr="0085108C">
              <w:rPr>
                <w:rFonts w:eastAsia="Calibri"/>
                <w:i/>
                <w:sz w:val="20"/>
              </w:rPr>
              <w:t xml:space="preserve"> konania a konania o platobnom rozkaze v zákone č. 160/2015 Z. z. Civilný sporový poriadok v znení neskorších predpisov</w:t>
            </w:r>
            <w:r w:rsidR="00686B9A">
              <w:rPr>
                <w:rFonts w:eastAsia="Calibri"/>
                <w:i/>
                <w:sz w:val="20"/>
              </w:rPr>
              <w:t>.</w:t>
            </w:r>
          </w:p>
        </w:tc>
      </w:tr>
    </w:tbl>
    <w:tbl>
      <w:tblPr>
        <w:tblpPr w:leftFromText="141" w:rightFromText="141" w:vertAnchor="text" w:horzAnchor="margin" w:tblpX="-147" w:tblpY="289"/>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52"/>
      </w:tblGrid>
      <w:tr w:rsidR="00686B9A" w:rsidRPr="00CD4982" w14:paraId="03340B9B" w14:textId="77777777" w:rsidTr="00686B9A">
        <w:tc>
          <w:tcPr>
            <w:tcW w:w="5000" w:type="pct"/>
            <w:shd w:val="clear" w:color="auto" w:fill="D9D9D9"/>
          </w:tcPr>
          <w:p w14:paraId="295960B7" w14:textId="77777777" w:rsidR="00686B9A" w:rsidRPr="00CD4982" w:rsidRDefault="00686B9A" w:rsidP="00686B9A">
            <w:pPr>
              <w:rPr>
                <w:rFonts w:eastAsia="Calibri"/>
                <w:b/>
              </w:rPr>
            </w:pPr>
            <w:r w:rsidRPr="00CD4982">
              <w:rPr>
                <w:rFonts w:eastAsia="Calibri"/>
                <w:b/>
              </w:rPr>
              <w:t>4.3 Identifikujte a popíšte vplyv na rovnosť príležitostí.</w:t>
            </w:r>
          </w:p>
          <w:p w14:paraId="64E01289" w14:textId="77777777" w:rsidR="00686B9A" w:rsidRPr="00CD4982" w:rsidRDefault="00686B9A" w:rsidP="00686B9A">
            <w:pPr>
              <w:ind w:left="340"/>
              <w:jc w:val="both"/>
              <w:rPr>
                <w:rFonts w:ascii="Calibri" w:eastAsia="Calibri" w:hAnsi="Calibri"/>
              </w:rPr>
            </w:pPr>
            <w:r w:rsidRPr="00CD4982">
              <w:rPr>
                <w:rFonts w:eastAsia="Calibri"/>
                <w:b/>
              </w:rPr>
              <w:t>Identifikujte, popíšte a kvantifikujte vplyv na rodovú rovnosť.</w:t>
            </w:r>
          </w:p>
        </w:tc>
      </w:tr>
      <w:tr w:rsidR="00686B9A" w:rsidRPr="00CD4982" w14:paraId="736155AC" w14:textId="77777777" w:rsidTr="00686B9A">
        <w:tc>
          <w:tcPr>
            <w:tcW w:w="5000" w:type="pct"/>
            <w:tcBorders>
              <w:bottom w:val="single" w:sz="4" w:space="0" w:color="auto"/>
            </w:tcBorders>
            <w:shd w:val="clear" w:color="auto" w:fill="F2F2F2"/>
          </w:tcPr>
          <w:p w14:paraId="7EADFA1E" w14:textId="77777777" w:rsidR="00686B9A" w:rsidRPr="00CD4982" w:rsidRDefault="00686B9A" w:rsidP="00686B9A">
            <w:pPr>
              <w:jc w:val="both"/>
              <w:rPr>
                <w:rFonts w:eastAsia="Calibri"/>
                <w:i/>
              </w:rPr>
            </w:pPr>
            <w:r w:rsidRPr="00CD4982">
              <w:rPr>
                <w:rFonts w:eastAsia="Calibri"/>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tbl>
      <w:tblPr>
        <w:tblpPr w:leftFromText="141" w:rightFromText="141" w:vertAnchor="text" w:horzAnchor="margin" w:tblpX="-147" w:tblpY="2028"/>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52"/>
      </w:tblGrid>
      <w:tr w:rsidR="00686B9A" w:rsidRPr="0040544D" w14:paraId="24E54F92" w14:textId="77777777" w:rsidTr="00686B9A">
        <w:trPr>
          <w:trHeight w:val="928"/>
        </w:trPr>
        <w:tc>
          <w:tcPr>
            <w:tcW w:w="5000" w:type="pct"/>
            <w:tcBorders>
              <w:top w:val="nil"/>
              <w:bottom w:val="nil"/>
            </w:tcBorders>
            <w:shd w:val="clear" w:color="auto" w:fill="auto"/>
          </w:tcPr>
          <w:p w14:paraId="333AAC51" w14:textId="77777777" w:rsidR="00686B9A" w:rsidRPr="0040544D" w:rsidRDefault="00686B9A" w:rsidP="00686B9A">
            <w:pPr>
              <w:rPr>
                <w:rFonts w:eastAsia="Calibri"/>
                <w:sz w:val="20"/>
              </w:rPr>
            </w:pPr>
          </w:p>
          <w:p w14:paraId="6CF1815B" w14:textId="77777777" w:rsidR="00686B9A" w:rsidRPr="002C2FDC" w:rsidRDefault="00686B9A" w:rsidP="00686B9A">
            <w:pPr>
              <w:rPr>
                <w:rFonts w:eastAsia="Calibri"/>
                <w:i/>
                <w:sz w:val="20"/>
              </w:rPr>
            </w:pPr>
            <w:r w:rsidRPr="002C2FDC">
              <w:rPr>
                <w:rFonts w:eastAsia="Calibri"/>
                <w:i/>
                <w:sz w:val="20"/>
              </w:rPr>
              <w:t xml:space="preserve">Návrh zákona nemá vplyv na rovnosť príležitostí. </w:t>
            </w:r>
          </w:p>
          <w:p w14:paraId="7964A39A" w14:textId="7584D721" w:rsidR="00686B9A" w:rsidRPr="0040544D" w:rsidRDefault="00686B9A" w:rsidP="00686B9A">
            <w:pPr>
              <w:rPr>
                <w:rFonts w:eastAsia="Calibri"/>
                <w:i/>
                <w:sz w:val="20"/>
              </w:rPr>
            </w:pPr>
          </w:p>
        </w:tc>
      </w:tr>
    </w:tbl>
    <w:tbl>
      <w:tblPr>
        <w:tblpPr w:leftFromText="141" w:rightFromText="141" w:vertAnchor="text" w:horzAnchor="margin" w:tblpX="-147" w:tblpY="3456"/>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52"/>
      </w:tblGrid>
      <w:tr w:rsidR="00686B9A" w:rsidRPr="00CD4982" w14:paraId="38230214" w14:textId="77777777" w:rsidTr="00AC6AB3">
        <w:trPr>
          <w:trHeight w:val="345"/>
        </w:trPr>
        <w:tc>
          <w:tcPr>
            <w:tcW w:w="5000" w:type="pct"/>
            <w:tcBorders>
              <w:bottom w:val="single" w:sz="4" w:space="0" w:color="auto"/>
            </w:tcBorders>
            <w:shd w:val="clear" w:color="auto" w:fill="F2F2F2"/>
            <w:vAlign w:val="center"/>
          </w:tcPr>
          <w:p w14:paraId="6040FC7C" w14:textId="77777777" w:rsidR="00686B9A" w:rsidRPr="00CD4982" w:rsidRDefault="00686B9A" w:rsidP="00AC6AB3">
            <w:pPr>
              <w:rPr>
                <w:rFonts w:eastAsia="Calibri"/>
                <w:i/>
                <w:sz w:val="20"/>
                <w:szCs w:val="20"/>
              </w:rPr>
            </w:pPr>
            <w:r w:rsidRPr="00CD4982">
              <w:rPr>
                <w:rFonts w:eastAsia="Calibri"/>
                <w:i/>
                <w:sz w:val="20"/>
                <w:szCs w:val="20"/>
              </w:rPr>
              <w:t>Môže mať návrh odlišný vplyv na ženy a mužov? Podporuje návrh rovnosť medzi ženami a mužmi alebo naopak bude viesť k zväčšovaniu rodových nerovností? Popíšte vplyvy.</w:t>
            </w:r>
          </w:p>
        </w:tc>
      </w:tr>
    </w:tbl>
    <w:tbl>
      <w:tblPr>
        <w:tblpPr w:leftFromText="141" w:rightFromText="141" w:vertAnchor="text" w:horzAnchor="margin" w:tblpX="-147" w:tblpY="4320"/>
        <w:tblW w:w="5161" w:type="pct"/>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83"/>
        <w:gridCol w:w="5469"/>
      </w:tblGrid>
      <w:tr w:rsidR="00AC6AB3" w:rsidRPr="00CD4982" w14:paraId="26B8505D" w14:textId="77777777" w:rsidTr="00AC6AB3">
        <w:trPr>
          <w:trHeight w:val="1235"/>
        </w:trPr>
        <w:tc>
          <w:tcPr>
            <w:tcW w:w="2076" w:type="pct"/>
            <w:shd w:val="clear" w:color="auto" w:fill="auto"/>
          </w:tcPr>
          <w:p w14:paraId="4849CC30" w14:textId="77777777" w:rsidR="00AC6AB3" w:rsidRPr="00CD4982" w:rsidRDefault="00AC6AB3" w:rsidP="00AC6AB3">
            <w:pPr>
              <w:jc w:val="both"/>
              <w:rPr>
                <w:rFonts w:eastAsia="Calibri"/>
                <w:i/>
                <w:sz w:val="18"/>
                <w:szCs w:val="18"/>
              </w:rPr>
            </w:pPr>
            <w:r w:rsidRPr="00CD4982">
              <w:rPr>
                <w:rFonts w:eastAsia="Calibri"/>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14:paraId="522B27BA" w14:textId="77777777" w:rsidR="00AC6AB3" w:rsidRPr="00CD4982" w:rsidRDefault="00AC6AB3" w:rsidP="00AC6AB3">
            <w:pPr>
              <w:widowControl/>
              <w:numPr>
                <w:ilvl w:val="0"/>
                <w:numId w:val="3"/>
              </w:numPr>
              <w:adjustRightInd/>
              <w:jc w:val="both"/>
              <w:rPr>
                <w:rFonts w:eastAsia="Calibri"/>
                <w:i/>
                <w:sz w:val="18"/>
                <w:szCs w:val="18"/>
              </w:rPr>
            </w:pPr>
            <w:r w:rsidRPr="00CD4982">
              <w:rPr>
                <w:rFonts w:eastAsia="Calibri"/>
                <w:i/>
                <w:sz w:val="18"/>
                <w:szCs w:val="18"/>
              </w:rPr>
              <w:t xml:space="preserve">podpora vyrovnávania ekonomickej nezávislosti, </w:t>
            </w:r>
          </w:p>
          <w:p w14:paraId="5C9FDFB0" w14:textId="77777777" w:rsidR="00AC6AB3" w:rsidRPr="00CD4982" w:rsidRDefault="00AC6AB3" w:rsidP="00AC6AB3">
            <w:pPr>
              <w:widowControl/>
              <w:numPr>
                <w:ilvl w:val="0"/>
                <w:numId w:val="3"/>
              </w:numPr>
              <w:adjustRightInd/>
              <w:jc w:val="both"/>
              <w:rPr>
                <w:rFonts w:eastAsia="Calibri"/>
                <w:i/>
                <w:sz w:val="18"/>
                <w:szCs w:val="18"/>
              </w:rPr>
            </w:pPr>
            <w:r w:rsidRPr="00CD4982">
              <w:rPr>
                <w:rFonts w:eastAsia="Calibri"/>
                <w:i/>
                <w:sz w:val="18"/>
                <w:szCs w:val="18"/>
              </w:rPr>
              <w:t xml:space="preserve">zosúladenie pracovného, súkromného a rodinného života, </w:t>
            </w:r>
          </w:p>
          <w:p w14:paraId="7C5549F6" w14:textId="77777777" w:rsidR="00AC6AB3" w:rsidRPr="00CD4982" w:rsidRDefault="00AC6AB3" w:rsidP="00AC6AB3">
            <w:pPr>
              <w:widowControl/>
              <w:numPr>
                <w:ilvl w:val="0"/>
                <w:numId w:val="3"/>
              </w:numPr>
              <w:adjustRightInd/>
              <w:jc w:val="both"/>
              <w:rPr>
                <w:rFonts w:eastAsia="Calibri"/>
                <w:i/>
                <w:sz w:val="18"/>
                <w:szCs w:val="18"/>
              </w:rPr>
            </w:pPr>
            <w:r w:rsidRPr="00CD4982">
              <w:rPr>
                <w:rFonts w:eastAsia="Calibri"/>
                <w:i/>
                <w:sz w:val="18"/>
                <w:szCs w:val="18"/>
              </w:rPr>
              <w:t xml:space="preserve">podpora rovnej participácie na rozhodovaní, </w:t>
            </w:r>
          </w:p>
          <w:p w14:paraId="6F035933" w14:textId="77777777" w:rsidR="00AC6AB3" w:rsidRPr="00CD4982" w:rsidRDefault="00AC6AB3" w:rsidP="00AC6AB3">
            <w:pPr>
              <w:widowControl/>
              <w:numPr>
                <w:ilvl w:val="0"/>
                <w:numId w:val="3"/>
              </w:numPr>
              <w:adjustRightInd/>
              <w:jc w:val="both"/>
              <w:rPr>
                <w:rFonts w:eastAsia="Calibri"/>
                <w:i/>
                <w:sz w:val="18"/>
                <w:szCs w:val="18"/>
              </w:rPr>
            </w:pPr>
            <w:r w:rsidRPr="00CD4982">
              <w:rPr>
                <w:rFonts w:eastAsia="Calibri"/>
                <w:i/>
                <w:sz w:val="18"/>
                <w:szCs w:val="18"/>
              </w:rPr>
              <w:t xml:space="preserve">boj proti rodovo podmienenému násiliu a obchodovaniu s ľuďmi, </w:t>
            </w:r>
          </w:p>
          <w:p w14:paraId="6E81FD06" w14:textId="77777777" w:rsidR="00AC6AB3" w:rsidRPr="00CD4982" w:rsidRDefault="00AC6AB3" w:rsidP="00AC6AB3">
            <w:pPr>
              <w:widowControl/>
              <w:numPr>
                <w:ilvl w:val="0"/>
                <w:numId w:val="3"/>
              </w:numPr>
              <w:adjustRightInd/>
              <w:jc w:val="both"/>
              <w:rPr>
                <w:rFonts w:eastAsia="Calibri"/>
                <w:i/>
                <w:sz w:val="18"/>
                <w:szCs w:val="18"/>
              </w:rPr>
            </w:pPr>
            <w:r w:rsidRPr="00CD4982">
              <w:rPr>
                <w:rFonts w:eastAsia="Calibri"/>
                <w:i/>
                <w:sz w:val="18"/>
                <w:szCs w:val="18"/>
              </w:rPr>
              <w:t>eliminácia rodových stereotypov.</w:t>
            </w:r>
          </w:p>
        </w:tc>
        <w:tc>
          <w:tcPr>
            <w:tcW w:w="2924" w:type="pct"/>
            <w:shd w:val="clear" w:color="auto" w:fill="auto"/>
          </w:tcPr>
          <w:p w14:paraId="0BD4C6FE" w14:textId="5D30A556" w:rsidR="00AC6AB3" w:rsidRPr="00E21674" w:rsidRDefault="00CD755B" w:rsidP="005467A4">
            <w:pPr>
              <w:jc w:val="both"/>
              <w:rPr>
                <w:rFonts w:eastAsia="Calibri"/>
                <w:i/>
                <w:sz w:val="20"/>
              </w:rPr>
            </w:pPr>
            <w:r>
              <w:rPr>
                <w:rFonts w:eastAsia="Calibri"/>
                <w:i/>
                <w:sz w:val="20"/>
              </w:rPr>
              <w:t>Vládny n</w:t>
            </w:r>
            <w:r w:rsidR="00AC6AB3" w:rsidRPr="00E21674">
              <w:rPr>
                <w:rFonts w:eastAsia="Calibri"/>
                <w:i/>
                <w:sz w:val="20"/>
              </w:rPr>
              <w:t>ávrh zákona nemá odlišný vplyv na ženy a mužov a nepodporuje rovnosť medzi ženami a mužmi a ani nezväčšuje rodové nerovnosti.</w:t>
            </w:r>
          </w:p>
          <w:p w14:paraId="7CE2C2D4" w14:textId="77777777" w:rsidR="00AC6AB3" w:rsidRPr="00E21674" w:rsidRDefault="00AC6AB3" w:rsidP="00AC6AB3">
            <w:pPr>
              <w:rPr>
                <w:rFonts w:eastAsia="Calibri"/>
                <w:i/>
                <w:sz w:val="20"/>
              </w:rPr>
            </w:pPr>
          </w:p>
          <w:p w14:paraId="225946F0" w14:textId="77777777" w:rsidR="00AC6AB3" w:rsidRPr="00E21674" w:rsidRDefault="00AC6AB3" w:rsidP="00AC6AB3">
            <w:pPr>
              <w:rPr>
                <w:rFonts w:eastAsia="Calibri"/>
                <w:i/>
                <w:sz w:val="20"/>
              </w:rPr>
            </w:pPr>
          </w:p>
          <w:p w14:paraId="56032BD8" w14:textId="77777777" w:rsidR="00AC6AB3" w:rsidRPr="00E21674" w:rsidRDefault="00AC6AB3" w:rsidP="00AC6AB3">
            <w:pPr>
              <w:rPr>
                <w:rFonts w:eastAsia="Calibri"/>
                <w:i/>
                <w:sz w:val="20"/>
              </w:rPr>
            </w:pPr>
          </w:p>
          <w:p w14:paraId="52B5E252" w14:textId="77777777" w:rsidR="00AC6AB3" w:rsidRPr="00E21674" w:rsidRDefault="00AC6AB3" w:rsidP="00AC6AB3">
            <w:pPr>
              <w:rPr>
                <w:rFonts w:eastAsia="Calibri"/>
                <w:i/>
                <w:sz w:val="20"/>
              </w:rPr>
            </w:pPr>
          </w:p>
        </w:tc>
      </w:tr>
    </w:tbl>
    <w:tbl>
      <w:tblPr>
        <w:tblpPr w:leftFromText="141" w:rightFromText="141" w:vertAnchor="text" w:horzAnchor="margin" w:tblpXSpec="center" w:tblpY="-494"/>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52"/>
      </w:tblGrid>
      <w:tr w:rsidR="000246EC" w:rsidRPr="00CD4982" w14:paraId="64BC0218" w14:textId="77777777" w:rsidTr="000246EC">
        <w:tc>
          <w:tcPr>
            <w:tcW w:w="5000" w:type="pct"/>
            <w:shd w:val="clear" w:color="auto" w:fill="D9D9D9"/>
          </w:tcPr>
          <w:p w14:paraId="7179D904" w14:textId="77777777" w:rsidR="000246EC" w:rsidRPr="00994C53" w:rsidRDefault="000246EC" w:rsidP="000246EC">
            <w:pPr>
              <w:rPr>
                <w:rFonts w:eastAsia="Calibri"/>
                <w:b/>
              </w:rPr>
            </w:pPr>
            <w:r w:rsidRPr="00CD4982">
              <w:rPr>
                <w:rFonts w:eastAsia="Calibri"/>
                <w:b/>
              </w:rPr>
              <w:lastRenderedPageBreak/>
              <w:t xml:space="preserve">4.4 </w:t>
            </w:r>
            <w:r w:rsidRPr="00994C53">
              <w:rPr>
                <w:rFonts w:eastAsia="Calibri"/>
                <w:b/>
              </w:rPr>
              <w:t>Identifikujte, popíšte a kvantifikujte vplyvy na zamestnanosť a na trh práce.</w:t>
            </w:r>
          </w:p>
          <w:p w14:paraId="6A87545A" w14:textId="77777777" w:rsidR="000246EC" w:rsidRPr="00994C53" w:rsidRDefault="000246EC" w:rsidP="000246EC">
            <w:pPr>
              <w:jc w:val="both"/>
              <w:rPr>
                <w:rFonts w:eastAsia="Calibri"/>
                <w:i/>
              </w:rPr>
            </w:pPr>
            <w:r w:rsidRPr="00994C53">
              <w:rPr>
                <w:rFonts w:eastAsia="Calibri"/>
                <w:i/>
              </w:rPr>
              <w:t xml:space="preserve">V prípade kladnej odpovede pripojte </w:t>
            </w:r>
            <w:r w:rsidRPr="00994C53">
              <w:rPr>
                <w:rFonts w:eastAsia="Calibri"/>
                <w:b/>
                <w:i/>
              </w:rPr>
              <w:t>odôvodnenie</w:t>
            </w:r>
            <w:r w:rsidRPr="00994C53">
              <w:rPr>
                <w:rFonts w:eastAsia="Calibri"/>
                <w:i/>
              </w:rPr>
              <w:t xml:space="preserve"> v súlade s Metodickým postupom pre analýzu sociálnych vplyvov.</w:t>
            </w:r>
          </w:p>
        </w:tc>
      </w:tr>
    </w:tbl>
    <w:tbl>
      <w:tblPr>
        <w:tblpPr w:leftFromText="141" w:rightFromText="141" w:vertAnchor="text" w:horzAnchor="margin" w:tblpX="-147" w:tblpY="712"/>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83"/>
        <w:gridCol w:w="5469"/>
      </w:tblGrid>
      <w:tr w:rsidR="000246EC" w:rsidRPr="00994C53" w14:paraId="37045063" w14:textId="77777777" w:rsidTr="000246EC">
        <w:trPr>
          <w:trHeight w:val="287"/>
        </w:trPr>
        <w:tc>
          <w:tcPr>
            <w:tcW w:w="5000" w:type="pct"/>
            <w:gridSpan w:val="2"/>
            <w:tcBorders>
              <w:top w:val="nil"/>
              <w:bottom w:val="single" w:sz="4" w:space="0" w:color="auto"/>
            </w:tcBorders>
            <w:shd w:val="clear" w:color="auto" w:fill="F2F2F2"/>
          </w:tcPr>
          <w:p w14:paraId="71B7E620" w14:textId="77777777" w:rsidR="000246EC" w:rsidRPr="00994C53" w:rsidRDefault="000246EC" w:rsidP="000246EC">
            <w:pPr>
              <w:rPr>
                <w:rFonts w:eastAsia="Calibri"/>
                <w:i/>
                <w:sz w:val="20"/>
                <w:szCs w:val="20"/>
              </w:rPr>
            </w:pPr>
            <w:r w:rsidRPr="00994C53">
              <w:rPr>
                <w:rFonts w:eastAsia="Calibri"/>
                <w:i/>
                <w:sz w:val="20"/>
                <w:szCs w:val="20"/>
              </w:rPr>
              <w:t>Uľahčuje návrh vznik nových pracovných miest? Ak áno, ako? Ak je to možné, doplňte kvantifikáciu.</w:t>
            </w:r>
          </w:p>
        </w:tc>
      </w:tr>
      <w:tr w:rsidR="000246EC" w:rsidRPr="00994C53" w14:paraId="17E38D16" w14:textId="77777777" w:rsidTr="000246EC">
        <w:trPr>
          <w:trHeight w:val="567"/>
        </w:trPr>
        <w:tc>
          <w:tcPr>
            <w:tcW w:w="2076" w:type="pct"/>
            <w:tcBorders>
              <w:top w:val="nil"/>
              <w:bottom w:val="single" w:sz="4" w:space="0" w:color="auto"/>
            </w:tcBorders>
            <w:shd w:val="clear" w:color="auto" w:fill="FFFFFF"/>
          </w:tcPr>
          <w:p w14:paraId="3B8CBC0F" w14:textId="77777777" w:rsidR="000246EC" w:rsidRPr="00994C53" w:rsidRDefault="000246EC" w:rsidP="000246EC">
            <w:pPr>
              <w:rPr>
                <w:rFonts w:eastAsia="Calibri"/>
                <w:i/>
                <w:sz w:val="18"/>
                <w:szCs w:val="18"/>
              </w:rPr>
            </w:pPr>
            <w:r w:rsidRPr="00994C53">
              <w:rPr>
                <w:rFonts w:eastAsia="Calibri"/>
                <w:i/>
                <w:sz w:val="18"/>
                <w:szCs w:val="18"/>
              </w:rPr>
              <w:t xml:space="preserve">Identifikujte, v ktorých sektoroch a odvetviach ekonomiky, v ktorých regiónoch, pre aké skupiny zamestnancov, o aké typy zamestnania /pracovných úväzkov pôjde a pod. </w:t>
            </w:r>
          </w:p>
        </w:tc>
        <w:tc>
          <w:tcPr>
            <w:tcW w:w="2924" w:type="pct"/>
            <w:tcBorders>
              <w:top w:val="nil"/>
              <w:bottom w:val="single" w:sz="4" w:space="0" w:color="auto"/>
            </w:tcBorders>
            <w:shd w:val="clear" w:color="auto" w:fill="FFFFFF"/>
          </w:tcPr>
          <w:p w14:paraId="211759FA" w14:textId="7964D6A5" w:rsidR="000246EC" w:rsidRPr="007634A7" w:rsidRDefault="005804AA" w:rsidP="000246EC">
            <w:pPr>
              <w:tabs>
                <w:tab w:val="left" w:pos="923"/>
              </w:tabs>
              <w:rPr>
                <w:rFonts w:eastAsia="Calibri"/>
                <w:i/>
                <w:sz w:val="20"/>
                <w:szCs w:val="18"/>
              </w:rPr>
            </w:pPr>
            <w:r>
              <w:rPr>
                <w:rFonts w:eastAsia="Calibri"/>
                <w:i/>
                <w:sz w:val="20"/>
                <w:szCs w:val="18"/>
              </w:rPr>
              <w:t>Vládny n</w:t>
            </w:r>
            <w:r w:rsidR="000246EC" w:rsidRPr="007634A7">
              <w:rPr>
                <w:rFonts w:eastAsia="Calibri"/>
                <w:i/>
                <w:sz w:val="20"/>
                <w:szCs w:val="18"/>
              </w:rPr>
              <w:t>ávrh zákona neuľahčuje vznik nových pracovných miest.</w:t>
            </w:r>
          </w:p>
        </w:tc>
      </w:tr>
      <w:tr w:rsidR="000246EC" w:rsidRPr="00994C53" w14:paraId="44BEB76E" w14:textId="77777777" w:rsidTr="000246EC">
        <w:trPr>
          <w:trHeight w:val="270"/>
        </w:trPr>
        <w:tc>
          <w:tcPr>
            <w:tcW w:w="5000" w:type="pct"/>
            <w:gridSpan w:val="2"/>
            <w:tcBorders>
              <w:bottom w:val="single" w:sz="4" w:space="0" w:color="auto"/>
            </w:tcBorders>
            <w:shd w:val="clear" w:color="auto" w:fill="F2F2F2"/>
          </w:tcPr>
          <w:p w14:paraId="0FA8407D" w14:textId="77777777" w:rsidR="000246EC" w:rsidRPr="00994C53" w:rsidRDefault="000246EC" w:rsidP="000246EC">
            <w:pPr>
              <w:rPr>
                <w:rFonts w:eastAsia="Calibri"/>
                <w:i/>
                <w:sz w:val="20"/>
                <w:szCs w:val="20"/>
              </w:rPr>
            </w:pPr>
            <w:r w:rsidRPr="00994C53">
              <w:rPr>
                <w:rFonts w:eastAsia="Calibri"/>
                <w:i/>
                <w:sz w:val="20"/>
                <w:szCs w:val="20"/>
              </w:rPr>
              <w:t>Vedie návrh k zániku pracovných miest?</w:t>
            </w:r>
            <w:r w:rsidRPr="00994C53">
              <w:rPr>
                <w:rFonts w:eastAsia="Calibri"/>
                <w:sz w:val="20"/>
                <w:szCs w:val="20"/>
              </w:rPr>
              <w:t xml:space="preserve"> </w:t>
            </w:r>
            <w:r w:rsidRPr="00994C53">
              <w:rPr>
                <w:rFonts w:eastAsia="Calibri"/>
                <w:i/>
                <w:sz w:val="20"/>
                <w:szCs w:val="20"/>
              </w:rPr>
              <w:t>Ak áno, ako a akých? Ak je to možné, doplňte kvantifikáciu.</w:t>
            </w:r>
          </w:p>
        </w:tc>
      </w:tr>
      <w:tr w:rsidR="000246EC" w:rsidRPr="00994C53" w14:paraId="01DE5317" w14:textId="77777777" w:rsidTr="000246EC">
        <w:trPr>
          <w:trHeight w:val="454"/>
        </w:trPr>
        <w:tc>
          <w:tcPr>
            <w:tcW w:w="2076" w:type="pct"/>
            <w:tcBorders>
              <w:bottom w:val="single" w:sz="4" w:space="0" w:color="auto"/>
            </w:tcBorders>
            <w:shd w:val="clear" w:color="auto" w:fill="FFFFFF"/>
          </w:tcPr>
          <w:p w14:paraId="638FBD64" w14:textId="77777777" w:rsidR="000246EC" w:rsidRPr="00994C53" w:rsidRDefault="000246EC" w:rsidP="000246EC">
            <w:pPr>
              <w:rPr>
                <w:rFonts w:eastAsia="Calibri"/>
                <w:i/>
                <w:sz w:val="18"/>
                <w:szCs w:val="18"/>
              </w:rPr>
            </w:pPr>
            <w:r w:rsidRPr="00994C53">
              <w:rPr>
                <w:rFonts w:eastAsia="Calibri"/>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924" w:type="pct"/>
            <w:tcBorders>
              <w:bottom w:val="single" w:sz="4" w:space="0" w:color="auto"/>
            </w:tcBorders>
            <w:shd w:val="clear" w:color="auto" w:fill="FFFFFF"/>
          </w:tcPr>
          <w:p w14:paraId="1C619BA4" w14:textId="745F2115" w:rsidR="000246EC" w:rsidRPr="007634A7" w:rsidRDefault="005804AA" w:rsidP="005467A4">
            <w:pPr>
              <w:jc w:val="both"/>
              <w:rPr>
                <w:rFonts w:eastAsia="Calibri"/>
                <w:i/>
                <w:sz w:val="20"/>
                <w:szCs w:val="18"/>
              </w:rPr>
            </w:pPr>
            <w:r>
              <w:rPr>
                <w:rFonts w:eastAsia="Calibri"/>
                <w:i/>
                <w:sz w:val="20"/>
                <w:szCs w:val="18"/>
              </w:rPr>
              <w:t>Vládny n</w:t>
            </w:r>
            <w:r w:rsidR="000246EC" w:rsidRPr="007634A7">
              <w:rPr>
                <w:rFonts w:eastAsia="Calibri"/>
                <w:i/>
                <w:sz w:val="20"/>
                <w:szCs w:val="18"/>
              </w:rPr>
              <w:t>ávrh</w:t>
            </w:r>
            <w:r w:rsidR="000246EC">
              <w:rPr>
                <w:rFonts w:eastAsia="Calibri"/>
                <w:i/>
                <w:sz w:val="20"/>
                <w:szCs w:val="18"/>
              </w:rPr>
              <w:t xml:space="preserve"> zákona</w:t>
            </w:r>
            <w:r w:rsidR="000246EC" w:rsidRPr="007634A7">
              <w:rPr>
                <w:rFonts w:eastAsia="Calibri"/>
                <w:i/>
                <w:sz w:val="20"/>
                <w:szCs w:val="18"/>
              </w:rPr>
              <w:t xml:space="preserve"> nevedie k zániku pracovných miest.</w:t>
            </w:r>
          </w:p>
          <w:p w14:paraId="679CB526" w14:textId="77777777" w:rsidR="000246EC" w:rsidRPr="007634A7" w:rsidRDefault="000246EC" w:rsidP="005467A4">
            <w:pPr>
              <w:ind w:firstLine="708"/>
              <w:jc w:val="both"/>
              <w:rPr>
                <w:rFonts w:eastAsia="Calibri"/>
                <w:i/>
                <w:sz w:val="20"/>
                <w:szCs w:val="18"/>
              </w:rPr>
            </w:pPr>
          </w:p>
        </w:tc>
      </w:tr>
      <w:tr w:rsidR="000246EC" w:rsidRPr="00994C53" w14:paraId="5FB71E06" w14:textId="77777777" w:rsidTr="000246EC">
        <w:trPr>
          <w:trHeight w:val="248"/>
        </w:trPr>
        <w:tc>
          <w:tcPr>
            <w:tcW w:w="5000" w:type="pct"/>
            <w:gridSpan w:val="2"/>
            <w:tcBorders>
              <w:bottom w:val="single" w:sz="4" w:space="0" w:color="auto"/>
            </w:tcBorders>
            <w:shd w:val="clear" w:color="auto" w:fill="F2F2F2"/>
          </w:tcPr>
          <w:p w14:paraId="49265C7E" w14:textId="77777777" w:rsidR="000246EC" w:rsidRPr="00994C53" w:rsidRDefault="000246EC" w:rsidP="000246EC">
            <w:pPr>
              <w:rPr>
                <w:rFonts w:eastAsia="Calibri"/>
                <w:sz w:val="20"/>
                <w:szCs w:val="20"/>
              </w:rPr>
            </w:pPr>
            <w:r w:rsidRPr="00994C53">
              <w:rPr>
                <w:rFonts w:eastAsia="Calibri"/>
                <w:i/>
                <w:sz w:val="20"/>
                <w:szCs w:val="20"/>
              </w:rPr>
              <w:t>Ovplyvňuje návrh dopyt po práci?</w:t>
            </w:r>
            <w:r w:rsidRPr="00994C53">
              <w:rPr>
                <w:rFonts w:eastAsia="Calibri"/>
                <w:sz w:val="20"/>
                <w:szCs w:val="20"/>
              </w:rPr>
              <w:t xml:space="preserve"> </w:t>
            </w:r>
            <w:r w:rsidRPr="00994C53">
              <w:rPr>
                <w:rFonts w:eastAsia="Calibri"/>
                <w:i/>
                <w:sz w:val="20"/>
                <w:szCs w:val="20"/>
              </w:rPr>
              <w:t>Ak áno, ako?</w:t>
            </w:r>
          </w:p>
        </w:tc>
      </w:tr>
      <w:tr w:rsidR="000246EC" w:rsidRPr="00994C53" w14:paraId="66638C25" w14:textId="77777777" w:rsidTr="000246EC">
        <w:trPr>
          <w:trHeight w:val="209"/>
        </w:trPr>
        <w:tc>
          <w:tcPr>
            <w:tcW w:w="2076" w:type="pct"/>
            <w:tcBorders>
              <w:bottom w:val="single" w:sz="4" w:space="0" w:color="auto"/>
            </w:tcBorders>
            <w:shd w:val="clear" w:color="auto" w:fill="FFFFFF"/>
          </w:tcPr>
          <w:p w14:paraId="0F07AB44" w14:textId="77777777" w:rsidR="000246EC" w:rsidRPr="00994C53" w:rsidRDefault="000246EC" w:rsidP="000246EC">
            <w:pPr>
              <w:rPr>
                <w:rFonts w:eastAsia="Calibri"/>
                <w:i/>
                <w:sz w:val="18"/>
                <w:szCs w:val="18"/>
              </w:rPr>
            </w:pPr>
            <w:r w:rsidRPr="00994C53">
              <w:rPr>
                <w:rFonts w:eastAsia="Calibri"/>
                <w:i/>
                <w:sz w:val="18"/>
                <w:szCs w:val="18"/>
              </w:rPr>
              <w:t>Dopyt po práci závisí na jednej strane na produkcii tovarov a služieb v ekonomike a na druhej strane na cene práce.</w:t>
            </w:r>
          </w:p>
        </w:tc>
        <w:tc>
          <w:tcPr>
            <w:tcW w:w="2924" w:type="pct"/>
            <w:tcBorders>
              <w:bottom w:val="single" w:sz="4" w:space="0" w:color="auto"/>
            </w:tcBorders>
            <w:shd w:val="clear" w:color="auto" w:fill="FFFFFF"/>
          </w:tcPr>
          <w:p w14:paraId="34421670" w14:textId="34001F1C" w:rsidR="000246EC" w:rsidRPr="00132D76" w:rsidRDefault="005804AA" w:rsidP="000246EC">
            <w:pPr>
              <w:rPr>
                <w:rFonts w:eastAsia="Calibri"/>
                <w:i/>
                <w:sz w:val="20"/>
                <w:szCs w:val="18"/>
              </w:rPr>
            </w:pPr>
            <w:r>
              <w:rPr>
                <w:rFonts w:eastAsia="Calibri"/>
                <w:i/>
                <w:sz w:val="20"/>
                <w:szCs w:val="18"/>
              </w:rPr>
              <w:t>Vládny n</w:t>
            </w:r>
            <w:r w:rsidR="000246EC" w:rsidRPr="00132D76">
              <w:rPr>
                <w:rFonts w:eastAsia="Calibri"/>
                <w:i/>
                <w:sz w:val="20"/>
                <w:szCs w:val="18"/>
              </w:rPr>
              <w:t xml:space="preserve">ávrh </w:t>
            </w:r>
            <w:r w:rsidR="000246EC">
              <w:rPr>
                <w:rFonts w:eastAsia="Calibri"/>
                <w:i/>
                <w:sz w:val="20"/>
                <w:szCs w:val="18"/>
              </w:rPr>
              <w:t>zákona</w:t>
            </w:r>
            <w:r w:rsidR="000246EC" w:rsidRPr="00132D76">
              <w:rPr>
                <w:rFonts w:eastAsia="Calibri"/>
                <w:i/>
                <w:sz w:val="20"/>
                <w:szCs w:val="18"/>
              </w:rPr>
              <w:t xml:space="preserve"> neovplyvňuje dopyt po práci.</w:t>
            </w:r>
          </w:p>
        </w:tc>
      </w:tr>
      <w:tr w:rsidR="000246EC" w:rsidRPr="00994C53" w14:paraId="0479BF9D" w14:textId="77777777" w:rsidTr="000246EC">
        <w:trPr>
          <w:trHeight w:val="208"/>
        </w:trPr>
        <w:tc>
          <w:tcPr>
            <w:tcW w:w="5000" w:type="pct"/>
            <w:gridSpan w:val="2"/>
            <w:tcBorders>
              <w:bottom w:val="single" w:sz="4" w:space="0" w:color="auto"/>
            </w:tcBorders>
            <w:shd w:val="clear" w:color="auto" w:fill="F2F2F2"/>
          </w:tcPr>
          <w:p w14:paraId="14044FE5" w14:textId="77777777" w:rsidR="000246EC" w:rsidRPr="00994C53" w:rsidRDefault="000246EC" w:rsidP="000246EC">
            <w:pPr>
              <w:rPr>
                <w:rFonts w:eastAsia="Calibri"/>
                <w:sz w:val="20"/>
                <w:szCs w:val="20"/>
              </w:rPr>
            </w:pPr>
            <w:r w:rsidRPr="00994C53">
              <w:rPr>
                <w:rFonts w:eastAsia="Calibri"/>
                <w:i/>
                <w:sz w:val="20"/>
                <w:szCs w:val="20"/>
              </w:rPr>
              <w:t>Má návrh dosah na fungovanie trhu práce?</w:t>
            </w:r>
            <w:r w:rsidRPr="00994C53">
              <w:rPr>
                <w:rFonts w:eastAsia="Calibri"/>
                <w:sz w:val="20"/>
                <w:szCs w:val="20"/>
              </w:rPr>
              <w:t xml:space="preserve"> </w:t>
            </w:r>
            <w:r w:rsidRPr="00994C53">
              <w:rPr>
                <w:rFonts w:eastAsia="Calibri"/>
                <w:i/>
                <w:sz w:val="20"/>
                <w:szCs w:val="20"/>
              </w:rPr>
              <w:t>Ak áno, aký?</w:t>
            </w:r>
          </w:p>
        </w:tc>
      </w:tr>
      <w:tr w:rsidR="000246EC" w:rsidRPr="00994C53" w14:paraId="47959F6F" w14:textId="77777777" w:rsidTr="000246EC">
        <w:trPr>
          <w:trHeight w:val="794"/>
        </w:trPr>
        <w:tc>
          <w:tcPr>
            <w:tcW w:w="2076" w:type="pct"/>
            <w:tcBorders>
              <w:bottom w:val="single" w:sz="4" w:space="0" w:color="auto"/>
            </w:tcBorders>
            <w:shd w:val="clear" w:color="auto" w:fill="FFFFFF"/>
          </w:tcPr>
          <w:p w14:paraId="4DB89F15" w14:textId="77777777" w:rsidR="000246EC" w:rsidRPr="00994C53" w:rsidRDefault="000246EC" w:rsidP="000246EC">
            <w:pPr>
              <w:rPr>
                <w:rFonts w:eastAsia="Calibri"/>
                <w:i/>
                <w:sz w:val="18"/>
                <w:szCs w:val="18"/>
              </w:rPr>
            </w:pPr>
            <w:r w:rsidRPr="00994C53">
              <w:rPr>
                <w:rFonts w:eastAsia="Calibri"/>
                <w:i/>
                <w:sz w:val="18"/>
                <w:szCs w:val="18"/>
              </w:rPr>
              <w:t>Týka sa makroekonomických dosahov ako je napr. participácia na trhu práce, dlhodobá nezamestnanosť, regionálne rozdiely v mierach zamestnanosti.</w:t>
            </w:r>
            <w:r w:rsidRPr="00994C53">
              <w:rPr>
                <w:rFonts w:eastAsia="Calibri"/>
                <w:sz w:val="18"/>
                <w:szCs w:val="18"/>
              </w:rPr>
              <w:t xml:space="preserve"> </w:t>
            </w:r>
            <w:r w:rsidRPr="00994C53">
              <w:rPr>
                <w:rFonts w:eastAsia="Calibri"/>
                <w:i/>
                <w:sz w:val="18"/>
                <w:szCs w:val="18"/>
              </w:rPr>
              <w:t>Ponuka práce môže byť ovplyvnená rôznymi premennými napr. úrovňou miezd, inštitucionálnym nastavením (napr.  zosúladenie pracovného a súkromného života alebo uľahčovanie rôznych foriem mobility).</w:t>
            </w:r>
          </w:p>
        </w:tc>
        <w:tc>
          <w:tcPr>
            <w:tcW w:w="2924" w:type="pct"/>
            <w:tcBorders>
              <w:bottom w:val="single" w:sz="4" w:space="0" w:color="auto"/>
            </w:tcBorders>
            <w:shd w:val="clear" w:color="auto" w:fill="FFFFFF"/>
          </w:tcPr>
          <w:p w14:paraId="3EBBD98C" w14:textId="1C2D265B" w:rsidR="000246EC" w:rsidRPr="00132D76" w:rsidRDefault="005804AA" w:rsidP="005467A4">
            <w:pPr>
              <w:jc w:val="both"/>
              <w:rPr>
                <w:rFonts w:eastAsia="Calibri"/>
                <w:i/>
                <w:sz w:val="20"/>
                <w:szCs w:val="18"/>
              </w:rPr>
            </w:pPr>
            <w:r>
              <w:rPr>
                <w:rFonts w:eastAsia="Calibri"/>
                <w:i/>
                <w:sz w:val="20"/>
                <w:szCs w:val="18"/>
              </w:rPr>
              <w:t>Vládny n</w:t>
            </w:r>
            <w:r w:rsidR="000246EC" w:rsidRPr="00132D76">
              <w:rPr>
                <w:rFonts w:eastAsia="Calibri"/>
                <w:i/>
                <w:sz w:val="20"/>
                <w:szCs w:val="18"/>
              </w:rPr>
              <w:t xml:space="preserve">ávrh </w:t>
            </w:r>
            <w:r w:rsidR="000246EC">
              <w:rPr>
                <w:rFonts w:eastAsia="Calibri"/>
                <w:i/>
                <w:sz w:val="20"/>
                <w:szCs w:val="18"/>
              </w:rPr>
              <w:t>zákona</w:t>
            </w:r>
            <w:r w:rsidR="000246EC" w:rsidRPr="00132D76">
              <w:rPr>
                <w:rFonts w:eastAsia="Calibri"/>
                <w:i/>
                <w:sz w:val="20"/>
                <w:szCs w:val="18"/>
              </w:rPr>
              <w:t xml:space="preserve"> nemá dosah na fungovanie trhu práce.</w:t>
            </w:r>
          </w:p>
        </w:tc>
      </w:tr>
      <w:tr w:rsidR="000246EC" w:rsidRPr="00994C53" w14:paraId="207E4666" w14:textId="77777777" w:rsidTr="000246EC">
        <w:trPr>
          <w:trHeight w:val="324"/>
        </w:trPr>
        <w:tc>
          <w:tcPr>
            <w:tcW w:w="5000" w:type="pct"/>
            <w:gridSpan w:val="2"/>
            <w:tcBorders>
              <w:bottom w:val="single" w:sz="4" w:space="0" w:color="auto"/>
            </w:tcBorders>
            <w:shd w:val="clear" w:color="auto" w:fill="F2F2F2"/>
          </w:tcPr>
          <w:p w14:paraId="52123B6B" w14:textId="77777777" w:rsidR="000246EC" w:rsidRPr="00994C53" w:rsidRDefault="000246EC" w:rsidP="000246EC">
            <w:pPr>
              <w:rPr>
                <w:rFonts w:eastAsia="Calibri"/>
                <w:sz w:val="20"/>
                <w:szCs w:val="20"/>
              </w:rPr>
            </w:pPr>
            <w:r w:rsidRPr="00994C53">
              <w:rPr>
                <w:rFonts w:eastAsia="Calibri"/>
                <w:i/>
                <w:sz w:val="20"/>
                <w:szCs w:val="20"/>
              </w:rPr>
              <w:t>Má návrh špecifické negatívne dôsledky pre isté skupiny profesií, skupín zamestnancov či živnostníkov?</w:t>
            </w:r>
            <w:r w:rsidRPr="00994C53">
              <w:rPr>
                <w:rFonts w:eastAsia="Calibri"/>
                <w:sz w:val="20"/>
                <w:szCs w:val="20"/>
              </w:rPr>
              <w:t xml:space="preserve"> </w:t>
            </w:r>
            <w:r w:rsidRPr="00994C53">
              <w:rPr>
                <w:rFonts w:eastAsia="Calibri"/>
                <w:i/>
                <w:sz w:val="20"/>
                <w:szCs w:val="20"/>
              </w:rPr>
              <w:t>Ak áno, aké a pre ktoré skupiny?</w:t>
            </w:r>
          </w:p>
        </w:tc>
      </w:tr>
      <w:tr w:rsidR="000246EC" w:rsidRPr="00994C53" w14:paraId="1779B58A" w14:textId="77777777" w:rsidTr="000246EC">
        <w:trPr>
          <w:trHeight w:val="216"/>
        </w:trPr>
        <w:tc>
          <w:tcPr>
            <w:tcW w:w="2076" w:type="pct"/>
            <w:tcBorders>
              <w:bottom w:val="single" w:sz="4" w:space="0" w:color="auto"/>
            </w:tcBorders>
            <w:shd w:val="clear" w:color="auto" w:fill="FFFFFF"/>
          </w:tcPr>
          <w:p w14:paraId="275F7852" w14:textId="77777777" w:rsidR="000246EC" w:rsidRPr="00994C53" w:rsidRDefault="000246EC" w:rsidP="000246EC">
            <w:pPr>
              <w:rPr>
                <w:rFonts w:eastAsia="Calibri"/>
                <w:i/>
                <w:sz w:val="18"/>
                <w:szCs w:val="18"/>
              </w:rPr>
            </w:pPr>
            <w:r w:rsidRPr="00994C53">
              <w:rPr>
                <w:rFonts w:eastAsia="Calibri"/>
                <w:i/>
                <w:sz w:val="18"/>
                <w:szCs w:val="18"/>
              </w:rPr>
              <w:t>Návrh môže ohrozovať napr. pracovníkov istých profesií favorizovaním špecifických aktivít či technológií.</w:t>
            </w:r>
          </w:p>
        </w:tc>
        <w:tc>
          <w:tcPr>
            <w:tcW w:w="2924" w:type="pct"/>
            <w:tcBorders>
              <w:bottom w:val="single" w:sz="4" w:space="0" w:color="auto"/>
            </w:tcBorders>
            <w:shd w:val="clear" w:color="auto" w:fill="FFFFFF"/>
          </w:tcPr>
          <w:p w14:paraId="14979D49" w14:textId="3AFDC1C2" w:rsidR="000246EC" w:rsidRPr="00132D76" w:rsidRDefault="005804AA" w:rsidP="005467A4">
            <w:pPr>
              <w:jc w:val="both"/>
              <w:rPr>
                <w:rFonts w:eastAsia="Calibri"/>
                <w:i/>
                <w:sz w:val="20"/>
                <w:szCs w:val="18"/>
              </w:rPr>
            </w:pPr>
            <w:r>
              <w:rPr>
                <w:rFonts w:eastAsia="Calibri"/>
                <w:i/>
                <w:sz w:val="20"/>
                <w:szCs w:val="18"/>
              </w:rPr>
              <w:t>Vládny n</w:t>
            </w:r>
            <w:r w:rsidR="000246EC" w:rsidRPr="00132D76">
              <w:rPr>
                <w:rFonts w:eastAsia="Calibri"/>
                <w:i/>
                <w:sz w:val="20"/>
                <w:szCs w:val="18"/>
              </w:rPr>
              <w:t xml:space="preserve">ávrh </w:t>
            </w:r>
            <w:r w:rsidR="000246EC">
              <w:rPr>
                <w:rFonts w:eastAsia="Calibri"/>
                <w:i/>
                <w:sz w:val="20"/>
                <w:szCs w:val="18"/>
              </w:rPr>
              <w:t>zákona</w:t>
            </w:r>
            <w:r w:rsidR="000246EC" w:rsidRPr="00132D76">
              <w:rPr>
                <w:rFonts w:eastAsia="Calibri"/>
                <w:i/>
                <w:sz w:val="20"/>
                <w:szCs w:val="18"/>
              </w:rPr>
              <w:t xml:space="preserve"> nemá negatívne dôsledky pre isté skupiny profesií, skupiny zamestnancov či živnostníkov.</w:t>
            </w:r>
          </w:p>
        </w:tc>
      </w:tr>
      <w:tr w:rsidR="000246EC" w:rsidRPr="00994C53" w14:paraId="41B1CBA0" w14:textId="77777777" w:rsidTr="000246EC">
        <w:trPr>
          <w:trHeight w:val="219"/>
        </w:trPr>
        <w:tc>
          <w:tcPr>
            <w:tcW w:w="5000" w:type="pct"/>
            <w:gridSpan w:val="2"/>
            <w:tcBorders>
              <w:bottom w:val="single" w:sz="4" w:space="0" w:color="auto"/>
            </w:tcBorders>
            <w:shd w:val="clear" w:color="auto" w:fill="F2F2F2"/>
          </w:tcPr>
          <w:p w14:paraId="33363591" w14:textId="77777777" w:rsidR="000246EC" w:rsidRPr="00994C53" w:rsidRDefault="000246EC" w:rsidP="000246EC">
            <w:pPr>
              <w:rPr>
                <w:rFonts w:eastAsia="Calibri"/>
                <w:sz w:val="20"/>
                <w:szCs w:val="20"/>
              </w:rPr>
            </w:pPr>
            <w:r w:rsidRPr="00994C53">
              <w:rPr>
                <w:rFonts w:eastAsia="Calibri"/>
                <w:i/>
                <w:sz w:val="20"/>
                <w:szCs w:val="20"/>
              </w:rPr>
              <w:t>Ovplyvňuje návrh špecifické vekové skupiny zamestnancov? Ak áno, aké? Akým spôsobom?</w:t>
            </w:r>
          </w:p>
        </w:tc>
      </w:tr>
      <w:tr w:rsidR="000246EC" w:rsidRPr="00994C53" w14:paraId="05E82C6B" w14:textId="77777777" w:rsidTr="000246EC">
        <w:trPr>
          <w:trHeight w:val="497"/>
        </w:trPr>
        <w:tc>
          <w:tcPr>
            <w:tcW w:w="2076" w:type="pct"/>
            <w:tcBorders>
              <w:bottom w:val="single" w:sz="4" w:space="0" w:color="auto"/>
            </w:tcBorders>
            <w:shd w:val="clear" w:color="auto" w:fill="FFFFFF"/>
          </w:tcPr>
          <w:p w14:paraId="5CDD8BB2" w14:textId="77777777" w:rsidR="000246EC" w:rsidRPr="00994C53" w:rsidRDefault="000246EC" w:rsidP="000246EC">
            <w:pPr>
              <w:rPr>
                <w:rFonts w:eastAsia="Calibri"/>
                <w:i/>
                <w:sz w:val="18"/>
                <w:szCs w:val="18"/>
              </w:rPr>
            </w:pPr>
            <w:r w:rsidRPr="00994C53">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2924" w:type="pct"/>
            <w:tcBorders>
              <w:bottom w:val="single" w:sz="4" w:space="0" w:color="auto"/>
            </w:tcBorders>
            <w:shd w:val="clear" w:color="auto" w:fill="FFFFFF"/>
          </w:tcPr>
          <w:p w14:paraId="3A450BF3" w14:textId="745381EF" w:rsidR="000246EC" w:rsidRPr="00A30F1C" w:rsidRDefault="005804AA" w:rsidP="005467A4">
            <w:pPr>
              <w:jc w:val="both"/>
              <w:rPr>
                <w:rFonts w:eastAsia="Calibri"/>
                <w:sz w:val="20"/>
                <w:szCs w:val="18"/>
              </w:rPr>
            </w:pPr>
            <w:r>
              <w:rPr>
                <w:rFonts w:eastAsia="Calibri"/>
                <w:i/>
                <w:sz w:val="20"/>
                <w:szCs w:val="18"/>
              </w:rPr>
              <w:t>Vládny n</w:t>
            </w:r>
            <w:r w:rsidR="000246EC" w:rsidRPr="00C45E29">
              <w:rPr>
                <w:rFonts w:eastAsia="Calibri"/>
                <w:i/>
                <w:sz w:val="20"/>
                <w:szCs w:val="18"/>
              </w:rPr>
              <w:t xml:space="preserve">ávrh </w:t>
            </w:r>
            <w:r w:rsidR="000246EC">
              <w:rPr>
                <w:rFonts w:eastAsia="Calibri"/>
                <w:i/>
                <w:sz w:val="20"/>
                <w:szCs w:val="18"/>
              </w:rPr>
              <w:t>zákona</w:t>
            </w:r>
            <w:r w:rsidR="000246EC" w:rsidRPr="00C45E29">
              <w:rPr>
                <w:rFonts w:eastAsia="Calibri"/>
                <w:i/>
                <w:sz w:val="20"/>
                <w:szCs w:val="18"/>
              </w:rPr>
              <w:t xml:space="preserve"> neovplyvňuje špecifické vekové skupiny zamestnancov.</w:t>
            </w:r>
          </w:p>
        </w:tc>
      </w:tr>
    </w:tbl>
    <w:p w14:paraId="04BF1DCF" w14:textId="381DB4E5" w:rsidR="00552B58" w:rsidRDefault="00552B58" w:rsidP="00ED5B85">
      <w:pPr>
        <w:ind w:left="-142"/>
        <w:rPr>
          <w:rFonts w:eastAsia="Calibri"/>
          <w:b/>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p w14:paraId="3BBD694F" w14:textId="77777777" w:rsidR="00552B58" w:rsidRDefault="00552B58" w:rsidP="00552B58">
      <w:pPr>
        <w:jc w:val="both"/>
        <w:rPr>
          <w:rFonts w:eastAsia="Calibri"/>
          <w:i/>
          <w:sz w:val="18"/>
          <w:szCs w:val="18"/>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4E166A72" w14:textId="77777777" w:rsidR="00552B58" w:rsidRDefault="00552B58" w:rsidP="00552B58">
      <w:pPr>
        <w:jc w:val="both"/>
        <w:rPr>
          <w:rFonts w:eastAsia="Calibri"/>
          <w:i/>
          <w:sz w:val="20"/>
          <w:szCs w:val="20"/>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p w14:paraId="706958A7" w14:textId="77777777" w:rsidR="00552B58" w:rsidRDefault="00552B58" w:rsidP="00552B58">
      <w:pPr>
        <w:jc w:val="both"/>
        <w:rPr>
          <w:rFonts w:eastAsia="Calibri"/>
          <w:i/>
          <w:sz w:val="18"/>
          <w:szCs w:val="18"/>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5EEC30F0" w14:textId="3C0DF33D" w:rsidR="00552B58" w:rsidRDefault="00552B58" w:rsidP="00552B58">
      <w:pPr>
        <w:rPr>
          <w:rFonts w:eastAsia="Calibri"/>
          <w:b/>
        </w:rPr>
        <w:sectPr w:rsidR="00552B58" w:rsidSect="00F70A8A">
          <w:headerReference w:type="default" r:id="rId11"/>
          <w:footerReference w:type="default" r:id="rId12"/>
          <w:footnotePr>
            <w:numFmt w:val="chicago"/>
          </w:footnotePr>
          <w:type w:val="continuous"/>
          <w:pgSz w:w="11906" w:h="16838"/>
          <w:pgMar w:top="1134" w:right="1418" w:bottom="851" w:left="1418" w:header="510" w:footer="567" w:gutter="0"/>
          <w:cols w:space="708"/>
          <w:formProt w:val="0"/>
          <w:docGrid w:linePitch="360"/>
        </w:sectPr>
      </w:pPr>
    </w:p>
    <w:p w14:paraId="0ED6E679" w14:textId="77777777" w:rsidR="00552B58" w:rsidRDefault="00552B58" w:rsidP="00552B58">
      <w:pPr>
        <w:rPr>
          <w:rFonts w:eastAsia="Calibri"/>
          <w:sz w:val="20"/>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6EF1B4F0" w14:textId="77777777" w:rsidR="00552B58" w:rsidRDefault="00552B58" w:rsidP="00552B58">
      <w:pPr>
        <w:rPr>
          <w:rFonts w:eastAsia="Calibri"/>
          <w:i/>
          <w:sz w:val="20"/>
          <w:szCs w:val="20"/>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p w14:paraId="6ABB9104" w14:textId="77777777" w:rsidR="00552B58" w:rsidRDefault="00552B58" w:rsidP="00552B58">
      <w:pPr>
        <w:jc w:val="both"/>
        <w:rPr>
          <w:rFonts w:eastAsia="Calibri"/>
          <w:i/>
          <w:sz w:val="18"/>
          <w:szCs w:val="18"/>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004F0E9D" w14:textId="77777777" w:rsidR="00552B58" w:rsidRDefault="00552B58" w:rsidP="00552B58">
      <w:pPr>
        <w:rPr>
          <w:rFonts w:eastAsia="Calibri"/>
          <w:b/>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p w14:paraId="157B2048" w14:textId="77777777" w:rsidR="00552B58" w:rsidRDefault="00552B58" w:rsidP="00552B58">
      <w:pPr>
        <w:rPr>
          <w:rFonts w:eastAsia="Calibri"/>
          <w:i/>
          <w:sz w:val="20"/>
        </w:rPr>
        <w:sectPr w:rsidR="00552B58" w:rsidSect="00F70A8A">
          <w:footnotePr>
            <w:numFmt w:val="chicago"/>
          </w:footnotePr>
          <w:type w:val="continuous"/>
          <w:pgSz w:w="11906" w:h="16838"/>
          <w:pgMar w:top="1134" w:right="1418" w:bottom="851" w:left="1418" w:header="510" w:footer="567" w:gutter="0"/>
          <w:cols w:space="708"/>
          <w:docGrid w:linePitch="360"/>
        </w:sectPr>
      </w:pPr>
    </w:p>
    <w:p w14:paraId="7C047DB6" w14:textId="77777777" w:rsidR="00552B58" w:rsidRDefault="00552B58" w:rsidP="00552B58">
      <w:pPr>
        <w:outlineLvl w:val="0"/>
        <w:rPr>
          <w:b/>
          <w:sz w:val="28"/>
          <w:szCs w:val="28"/>
        </w:rPr>
        <w:sectPr w:rsidR="00552B58" w:rsidSect="00F70A8A">
          <w:footnotePr>
            <w:numFmt w:val="chicago"/>
          </w:footnotePr>
          <w:type w:val="continuous"/>
          <w:pgSz w:w="11906" w:h="16838"/>
          <w:pgMar w:top="1134" w:right="1418" w:bottom="851" w:left="1418" w:header="510" w:footer="567" w:gutter="0"/>
          <w:cols w:space="708"/>
          <w:formProt w:val="0"/>
          <w:docGrid w:linePitch="360"/>
        </w:sectPr>
      </w:pPr>
    </w:p>
    <w:p w14:paraId="2C58ADED" w14:textId="77777777" w:rsidR="000B16EF" w:rsidRPr="000741B0" w:rsidRDefault="000B16EF" w:rsidP="000B16EF">
      <w:pPr>
        <w:ind w:left="360"/>
        <w:jc w:val="center"/>
        <w:rPr>
          <w:color w:val="000000"/>
        </w:rPr>
      </w:pPr>
      <w:r w:rsidRPr="000741B0">
        <w:rPr>
          <w:b/>
          <w:bCs/>
          <w:color w:val="000000"/>
        </w:rPr>
        <w:lastRenderedPageBreak/>
        <w:t>DOLOŽKA ZLUČITEĽNOSTI</w:t>
      </w:r>
    </w:p>
    <w:p w14:paraId="6115318A" w14:textId="77777777" w:rsidR="000B16EF" w:rsidRPr="000741B0" w:rsidRDefault="000B16EF" w:rsidP="000B16EF">
      <w:pPr>
        <w:ind w:left="425"/>
        <w:jc w:val="center"/>
        <w:rPr>
          <w:b/>
          <w:bCs/>
          <w:color w:val="000000"/>
        </w:rPr>
      </w:pPr>
      <w:r w:rsidRPr="000741B0">
        <w:rPr>
          <w:b/>
          <w:bCs/>
          <w:color w:val="000000"/>
        </w:rPr>
        <w:t>návrhu zákona s právom Európskej únie</w:t>
      </w:r>
    </w:p>
    <w:p w14:paraId="051A702D" w14:textId="77777777" w:rsidR="000B16EF" w:rsidRPr="000741B0" w:rsidRDefault="000B16EF" w:rsidP="000B16EF">
      <w:pPr>
        <w:spacing w:before="120"/>
        <w:jc w:val="center"/>
        <w:rPr>
          <w:color w:val="000000"/>
          <w:sz w:val="18"/>
          <w:szCs w:val="18"/>
        </w:rPr>
      </w:pPr>
    </w:p>
    <w:p w14:paraId="624E172F" w14:textId="003F08FF" w:rsidR="000B16EF" w:rsidRDefault="000B16EF" w:rsidP="000B16EF">
      <w:pPr>
        <w:pStyle w:val="Odsekzoznamu"/>
        <w:widowControl/>
        <w:numPr>
          <w:ilvl w:val="0"/>
          <w:numId w:val="4"/>
        </w:numPr>
        <w:spacing w:before="120"/>
        <w:rPr>
          <w:b/>
          <w:color w:val="000000"/>
        </w:rPr>
      </w:pPr>
      <w:r w:rsidRPr="0074084B">
        <w:rPr>
          <w:b/>
          <w:color w:val="000000"/>
        </w:rPr>
        <w:t xml:space="preserve">Navrhovateľ zákona: </w:t>
      </w:r>
      <w:r w:rsidR="008048E3">
        <w:rPr>
          <w:color w:val="000000"/>
        </w:rPr>
        <w:t>Vláda</w:t>
      </w:r>
      <w:r w:rsidRPr="009B6773">
        <w:rPr>
          <w:color w:val="000000"/>
        </w:rPr>
        <w:t xml:space="preserve"> Slovenskej republiky</w:t>
      </w:r>
    </w:p>
    <w:p w14:paraId="68DC3FB0" w14:textId="77777777" w:rsidR="000B16EF" w:rsidRDefault="000B16EF" w:rsidP="000B16EF">
      <w:pPr>
        <w:pStyle w:val="Odsekzoznamu"/>
        <w:spacing w:before="120"/>
        <w:rPr>
          <w:b/>
          <w:color w:val="000000"/>
        </w:rPr>
      </w:pPr>
    </w:p>
    <w:p w14:paraId="64842611" w14:textId="432C61DC" w:rsidR="000B16EF" w:rsidRPr="00187124" w:rsidRDefault="000B16EF" w:rsidP="000B16EF">
      <w:pPr>
        <w:pStyle w:val="Odsekzoznamu"/>
        <w:widowControl/>
        <w:numPr>
          <w:ilvl w:val="0"/>
          <w:numId w:val="4"/>
        </w:numPr>
        <w:spacing w:before="120"/>
        <w:jc w:val="both"/>
        <w:rPr>
          <w:b/>
          <w:bCs/>
          <w:color w:val="000000"/>
        </w:rPr>
      </w:pPr>
      <w:r w:rsidRPr="00187124">
        <w:rPr>
          <w:b/>
          <w:color w:val="000000"/>
        </w:rPr>
        <w:t xml:space="preserve">Názov </w:t>
      </w:r>
      <w:r w:rsidR="00CA6F90">
        <w:rPr>
          <w:b/>
          <w:color w:val="000000"/>
        </w:rPr>
        <w:t xml:space="preserve">vládneho </w:t>
      </w:r>
      <w:r w:rsidRPr="00187124">
        <w:rPr>
          <w:b/>
          <w:color w:val="000000"/>
        </w:rPr>
        <w:t xml:space="preserve">návrhu zákona: </w:t>
      </w:r>
      <w:r w:rsidR="00CD755B">
        <w:rPr>
          <w:color w:val="000000"/>
        </w:rPr>
        <w:t>Zákon</w:t>
      </w:r>
      <w:r w:rsidRPr="00187124">
        <w:rPr>
          <w:color w:val="000000"/>
        </w:rPr>
        <w:t xml:space="preserve">, ktorým sa mení a dopĺňa zákon č. 307/2016 Z. z. o </w:t>
      </w:r>
      <w:proofErr w:type="spellStart"/>
      <w:r w:rsidRPr="00187124">
        <w:rPr>
          <w:color w:val="000000"/>
        </w:rPr>
        <w:t>upomínacom</w:t>
      </w:r>
      <w:proofErr w:type="spellEnd"/>
      <w:r w:rsidRPr="00187124">
        <w:rPr>
          <w:color w:val="000000"/>
        </w:rPr>
        <w:t xml:space="preserve"> konaní a o doplnení niektorých zákonov a ktorým sa menia a dopĺňajú niektoré zákony</w:t>
      </w:r>
    </w:p>
    <w:p w14:paraId="3CB53FEE" w14:textId="77777777" w:rsidR="000B16EF" w:rsidRPr="00187124" w:rsidRDefault="000B16EF" w:rsidP="000B16EF">
      <w:pPr>
        <w:pStyle w:val="Odsekzoznamu"/>
        <w:widowControl/>
        <w:spacing w:before="120"/>
        <w:ind w:left="0"/>
        <w:jc w:val="both"/>
        <w:rPr>
          <w:b/>
          <w:bCs/>
          <w:color w:val="000000"/>
        </w:rPr>
      </w:pPr>
    </w:p>
    <w:p w14:paraId="10625A91" w14:textId="7281331B" w:rsidR="000B16EF" w:rsidRPr="0074084B" w:rsidRDefault="000B16EF" w:rsidP="000B16EF">
      <w:pPr>
        <w:pStyle w:val="Odsekzoznamu"/>
        <w:widowControl/>
        <w:numPr>
          <w:ilvl w:val="0"/>
          <w:numId w:val="4"/>
        </w:numPr>
        <w:spacing w:before="120"/>
        <w:rPr>
          <w:b/>
          <w:color w:val="000000"/>
        </w:rPr>
      </w:pPr>
      <w:r w:rsidRPr="0074084B">
        <w:rPr>
          <w:b/>
          <w:bCs/>
          <w:color w:val="000000"/>
        </w:rPr>
        <w:t xml:space="preserve">Predmet </w:t>
      </w:r>
      <w:r w:rsidR="00CA6F90">
        <w:rPr>
          <w:b/>
          <w:bCs/>
          <w:color w:val="000000"/>
        </w:rPr>
        <w:t xml:space="preserve">vládneho </w:t>
      </w:r>
      <w:r w:rsidRPr="0074084B">
        <w:rPr>
          <w:b/>
          <w:bCs/>
          <w:color w:val="000000"/>
        </w:rPr>
        <w:t>návrhu zákona je upravený v práve Európskej únie</w:t>
      </w:r>
      <w:r w:rsidRPr="0074084B">
        <w:rPr>
          <w:color w:val="000000"/>
        </w:rPr>
        <w:t xml:space="preserve">: </w:t>
      </w:r>
    </w:p>
    <w:p w14:paraId="28391CA2" w14:textId="77777777" w:rsidR="000B16EF" w:rsidRPr="00496AD7" w:rsidRDefault="000B16EF" w:rsidP="000B16EF">
      <w:pPr>
        <w:pStyle w:val="Default"/>
        <w:numPr>
          <w:ilvl w:val="0"/>
          <w:numId w:val="6"/>
        </w:numPr>
        <w:jc w:val="both"/>
        <w:rPr>
          <w:b/>
        </w:rPr>
      </w:pPr>
      <w:r w:rsidRPr="00496AD7">
        <w:rPr>
          <w:b/>
        </w:rPr>
        <w:t xml:space="preserve">v primárnom práve </w:t>
      </w:r>
    </w:p>
    <w:p w14:paraId="320C2FEB" w14:textId="77777777" w:rsidR="000B16EF" w:rsidRDefault="000B16EF" w:rsidP="000B16EF">
      <w:pPr>
        <w:pStyle w:val="Default"/>
        <w:numPr>
          <w:ilvl w:val="0"/>
          <w:numId w:val="7"/>
        </w:numPr>
        <w:jc w:val="both"/>
      </w:pPr>
      <w:r>
        <w:t>čl. 114 a 169 Zmluvy o fungovaní Európskej únie</w:t>
      </w:r>
    </w:p>
    <w:p w14:paraId="189725A3" w14:textId="77777777" w:rsidR="000B16EF" w:rsidRPr="00496AD7" w:rsidRDefault="000B16EF" w:rsidP="000B16EF">
      <w:pPr>
        <w:pStyle w:val="Default"/>
        <w:numPr>
          <w:ilvl w:val="0"/>
          <w:numId w:val="6"/>
        </w:numPr>
        <w:jc w:val="both"/>
        <w:rPr>
          <w:b/>
        </w:rPr>
      </w:pPr>
      <w:r w:rsidRPr="00496AD7">
        <w:rPr>
          <w:b/>
        </w:rPr>
        <w:t xml:space="preserve">v sekundárnom práve </w:t>
      </w:r>
    </w:p>
    <w:p w14:paraId="798B9AD4" w14:textId="77777777" w:rsidR="000B16EF" w:rsidRDefault="000B16EF" w:rsidP="000B16EF">
      <w:pPr>
        <w:pStyle w:val="Default"/>
        <w:numPr>
          <w:ilvl w:val="0"/>
          <w:numId w:val="7"/>
        </w:numPr>
        <w:jc w:val="both"/>
      </w:pPr>
      <w:r>
        <w:t>Nariadenie Európskeho parlamentu a Rady (EÚ) 2017/2394 z 12. decembra 2017 o spolupráci medzi národnými orgánmi zodpovednými za presadzovanie právnych predpisov na ochranu spotrebiteľa a o zrušení nariadenia (ES) č. 2006/2004 (</w:t>
      </w:r>
      <w:r w:rsidRPr="00F42515">
        <w:t>Ú. v. EÚ L 345, 27.12.2017</w:t>
      </w:r>
      <w:r>
        <w:t>) v platnom znení</w:t>
      </w:r>
    </w:p>
    <w:p w14:paraId="7BBFB531" w14:textId="77777777" w:rsidR="000B16EF" w:rsidRDefault="000B16EF" w:rsidP="000B16EF">
      <w:pPr>
        <w:pStyle w:val="Default"/>
        <w:ind w:left="1560"/>
        <w:jc w:val="both"/>
      </w:pPr>
      <w:r>
        <w:t>Gestor: Ministerstvo hospodárstva SR</w:t>
      </w:r>
    </w:p>
    <w:p w14:paraId="04971483" w14:textId="77777777" w:rsidR="000B16EF" w:rsidRPr="00590EC6" w:rsidRDefault="000B16EF" w:rsidP="000B16EF">
      <w:pPr>
        <w:pStyle w:val="Default"/>
        <w:ind w:left="1560"/>
        <w:jc w:val="both"/>
      </w:pPr>
      <w:r w:rsidRPr="00590EC6">
        <w:t xml:space="preserve">Spolupracujúce rezorty: </w:t>
      </w:r>
      <w:r w:rsidRPr="00590EC6">
        <w:rPr>
          <w:bCs/>
        </w:rPr>
        <w:t>Ministerstvo dopravy a výstavby SR, Ministerstvo kultúry SR, Ministerstvo pôdohospodárstva a rozvoja vidieka SR, Ministerstvo financií SR, Ministerstvo zdravotníctva SR</w:t>
      </w:r>
      <w:r w:rsidRPr="00590EC6">
        <w:t xml:space="preserve"> </w:t>
      </w:r>
    </w:p>
    <w:p w14:paraId="32FA94DF" w14:textId="77777777" w:rsidR="000B16EF" w:rsidRDefault="000B16EF" w:rsidP="000B16EF">
      <w:pPr>
        <w:pStyle w:val="Default"/>
        <w:numPr>
          <w:ilvl w:val="0"/>
          <w:numId w:val="7"/>
        </w:numPr>
        <w:jc w:val="both"/>
      </w:pPr>
      <w:r w:rsidRPr="00432622">
        <w:t xml:space="preserve">Smernica Európskeho parlamentu a Rady 2005/29/ES z 11. mája 2005 </w:t>
      </w:r>
      <w:r>
        <w:t xml:space="preserve">                     </w:t>
      </w:r>
      <w:r w:rsidRPr="00432622">
        <w:t>o nekalých obchodných praktikách podnikateľov voči spotrebiteľom na vnútornom trhu</w:t>
      </w:r>
      <w:r>
        <w:t>, a</w:t>
      </w:r>
      <w:r w:rsidRPr="00432622">
        <w:t xml:space="preserve"> ktorou sa mení a dopĺňa smernica Rady 84/450/EHS, smernice Európskeho parlamentu a Rady 97/7/ES, 98/27/ES a 2002/65/ES a nariadenie Európskeho parlamentu a Rady (ES) č. 2006/2004 („smernica</w:t>
      </w:r>
      <w:r>
        <w:t xml:space="preserve">                   </w:t>
      </w:r>
      <w:r w:rsidRPr="00432622">
        <w:t xml:space="preserve"> o nekalých obchodných praktikách“) (Ú. v. EÚ L 149, 11.6.2005)</w:t>
      </w:r>
    </w:p>
    <w:p w14:paraId="522DFA17" w14:textId="77777777" w:rsidR="000B16EF" w:rsidRDefault="000B16EF" w:rsidP="000B16EF">
      <w:pPr>
        <w:pStyle w:val="Default"/>
        <w:ind w:left="1560"/>
        <w:jc w:val="both"/>
      </w:pPr>
      <w:r>
        <w:t xml:space="preserve">Gestor: </w:t>
      </w:r>
      <w:r w:rsidRPr="00262D13">
        <w:t>Ministerstvo hospodárstva SR</w:t>
      </w:r>
    </w:p>
    <w:p w14:paraId="48E01E58" w14:textId="77777777" w:rsidR="000B16EF" w:rsidRDefault="000B16EF" w:rsidP="000B16EF">
      <w:pPr>
        <w:pStyle w:val="Default"/>
        <w:numPr>
          <w:ilvl w:val="0"/>
          <w:numId w:val="7"/>
        </w:numPr>
        <w:jc w:val="both"/>
      </w:pPr>
      <w:r w:rsidRPr="00984512">
        <w:t xml:space="preserve">Smernica Európskeho parlamentu a Rady </w:t>
      </w:r>
      <w:r w:rsidRPr="00465EA5">
        <w:t>2009/22/ES</w:t>
      </w:r>
      <w:r w:rsidRPr="00984512">
        <w:t xml:space="preserve"> z 23. apríla 2009 </w:t>
      </w:r>
      <w:r>
        <w:t xml:space="preserve">                     </w:t>
      </w:r>
      <w:r w:rsidRPr="00984512">
        <w:t>o súdnych príkazoch na ochranu spotrebiteľských záujmov (kodifikované znenie) (Ú. v. EÚ L 110, 1. 5.</w:t>
      </w:r>
      <w:r>
        <w:t xml:space="preserve"> 2009) v platnom znení</w:t>
      </w:r>
    </w:p>
    <w:p w14:paraId="58F8F593" w14:textId="77777777" w:rsidR="000B16EF" w:rsidRDefault="000B16EF" w:rsidP="000B16EF">
      <w:pPr>
        <w:pStyle w:val="Default"/>
        <w:ind w:left="1560"/>
        <w:jc w:val="both"/>
      </w:pPr>
      <w:r>
        <w:t xml:space="preserve">Gestor: </w:t>
      </w:r>
      <w:r w:rsidRPr="00262D13">
        <w:t>Ministerstvo hospodárstva SR</w:t>
      </w:r>
    </w:p>
    <w:p w14:paraId="61F1FFE9" w14:textId="77777777" w:rsidR="000B16EF" w:rsidRDefault="000B16EF" w:rsidP="000B16EF">
      <w:pPr>
        <w:pStyle w:val="Default"/>
        <w:ind w:left="1560"/>
        <w:jc w:val="both"/>
      </w:pPr>
      <w:r>
        <w:t>Spolupracujúce rezorty: Ministerstvo spravodlivosti SR, Ministerstvo zdravotníctva SR, Ministerstva financií SR, Ministerstvo kultúry</w:t>
      </w:r>
      <w:r w:rsidRPr="00590EC6">
        <w:t xml:space="preserve"> SR</w:t>
      </w:r>
    </w:p>
    <w:p w14:paraId="1BF382FC" w14:textId="77777777" w:rsidR="000B16EF" w:rsidRDefault="000B16EF" w:rsidP="000B16EF">
      <w:pPr>
        <w:pStyle w:val="Default"/>
        <w:numPr>
          <w:ilvl w:val="0"/>
          <w:numId w:val="7"/>
        </w:numPr>
        <w:jc w:val="both"/>
      </w:pPr>
      <w:r w:rsidRPr="003470C7">
        <w:t xml:space="preserve">Smernica Európskeho parlamentu a Rady </w:t>
      </w:r>
      <w:r w:rsidRPr="00465EA5">
        <w:t>2011/83/EÚ</w:t>
      </w:r>
      <w:r w:rsidRPr="003470C7">
        <w:t xml:space="preserve"> z 25. októbra 2011</w:t>
      </w:r>
      <w:r>
        <w:t xml:space="preserve">                 </w:t>
      </w:r>
      <w:r w:rsidRPr="003470C7">
        <w:t xml:space="preserve"> o právach spotrebiteľov, ktorou sa mení a dopĺňa smernica Rady 93/13/EHS</w:t>
      </w:r>
      <w:r>
        <w:t xml:space="preserve">           </w:t>
      </w:r>
      <w:r w:rsidRPr="003470C7">
        <w:t xml:space="preserve"> a smernica Európskeho parlamentu a Rady 1999/44/ES a ktorou sa zrušuje smernica Rady 85/577/EHS a smernica Európskeho parlamentu a Rady 97/7/ES (Ú. v. EÚ L 304, 22.11.2011)</w:t>
      </w:r>
      <w:r>
        <w:t xml:space="preserve"> v platnom znení</w:t>
      </w:r>
    </w:p>
    <w:p w14:paraId="67F4C241" w14:textId="77777777" w:rsidR="000B16EF" w:rsidRDefault="000B16EF" w:rsidP="000B16EF">
      <w:pPr>
        <w:pStyle w:val="Default"/>
        <w:ind w:left="1560"/>
        <w:jc w:val="both"/>
      </w:pPr>
      <w:r>
        <w:t xml:space="preserve">Gestor: </w:t>
      </w:r>
      <w:r w:rsidRPr="00262D13">
        <w:t>Ministerstvo hospodárstva SR</w:t>
      </w:r>
    </w:p>
    <w:p w14:paraId="33CD271C" w14:textId="77777777" w:rsidR="000B16EF" w:rsidRDefault="000B16EF" w:rsidP="000B16EF">
      <w:pPr>
        <w:pStyle w:val="Default"/>
        <w:ind w:left="1560"/>
        <w:jc w:val="both"/>
      </w:pPr>
    </w:p>
    <w:p w14:paraId="60621B70" w14:textId="77777777" w:rsidR="000B16EF" w:rsidRPr="000D39C3" w:rsidRDefault="000B16EF" w:rsidP="000B16EF">
      <w:pPr>
        <w:pStyle w:val="Default"/>
        <w:numPr>
          <w:ilvl w:val="0"/>
          <w:numId w:val="6"/>
        </w:numPr>
        <w:jc w:val="both"/>
        <w:rPr>
          <w:b/>
        </w:rPr>
      </w:pPr>
      <w:r w:rsidRPr="00496AD7">
        <w:rPr>
          <w:b/>
        </w:rPr>
        <w:t>v judikatúre Súdneho dvora Európskej únie</w:t>
      </w:r>
    </w:p>
    <w:p w14:paraId="2EC36F5B" w14:textId="77777777" w:rsidR="000B16EF" w:rsidRDefault="000B16EF" w:rsidP="000B16EF">
      <w:pPr>
        <w:numPr>
          <w:ilvl w:val="0"/>
          <w:numId w:val="7"/>
        </w:numPr>
        <w:autoSpaceDE w:val="0"/>
        <w:autoSpaceDN w:val="0"/>
        <w:rPr>
          <w:color w:val="000000"/>
        </w:rPr>
      </w:pPr>
      <w:r w:rsidRPr="008A6390">
        <w:rPr>
          <w:color w:val="000000"/>
        </w:rPr>
        <w:t xml:space="preserve">rozhodnutie Súdneho dvora vo veci C-448/17, EOS KSI Slovensko </w:t>
      </w:r>
      <w:proofErr w:type="spellStart"/>
      <w:r w:rsidRPr="008A6390">
        <w:rPr>
          <w:color w:val="000000"/>
        </w:rPr>
        <w:t>s.r.o</w:t>
      </w:r>
      <w:proofErr w:type="spellEnd"/>
      <w:r w:rsidRPr="008A6390">
        <w:rPr>
          <w:color w:val="000000"/>
        </w:rPr>
        <w:t xml:space="preserve">. proti Jánovi Dankovi a Margite </w:t>
      </w:r>
      <w:proofErr w:type="spellStart"/>
      <w:r w:rsidRPr="008A6390">
        <w:rPr>
          <w:color w:val="000000"/>
        </w:rPr>
        <w:t>Dankovej</w:t>
      </w:r>
      <w:proofErr w:type="spellEnd"/>
      <w:r>
        <w:rPr>
          <w:color w:val="000000"/>
        </w:rPr>
        <w:t xml:space="preserve"> [2018</w:t>
      </w:r>
      <w:r w:rsidRPr="008A6390">
        <w:rPr>
          <w:color w:val="000000"/>
        </w:rPr>
        <w:t>]</w:t>
      </w:r>
    </w:p>
    <w:p w14:paraId="1A93BD78" w14:textId="77777777" w:rsidR="000B16EF" w:rsidRDefault="000B16EF" w:rsidP="000B16EF">
      <w:pPr>
        <w:ind w:left="1560"/>
        <w:rPr>
          <w:color w:val="000000"/>
        </w:rPr>
      </w:pPr>
    </w:p>
    <w:p w14:paraId="30D85C0B" w14:textId="77777777" w:rsidR="000B16EF" w:rsidRDefault="000B16EF" w:rsidP="000B16EF">
      <w:pPr>
        <w:ind w:left="1416" w:firstLine="144"/>
        <w:rPr>
          <w:color w:val="000000"/>
        </w:rPr>
      </w:pPr>
      <w:r w:rsidRPr="00E42ABF">
        <w:rPr>
          <w:color w:val="000000"/>
        </w:rPr>
        <w:t>Výrok rozhodnutia:</w:t>
      </w:r>
    </w:p>
    <w:p w14:paraId="774FD55B" w14:textId="77777777" w:rsidR="000B16EF" w:rsidRPr="008A6390" w:rsidRDefault="000B16EF" w:rsidP="000B16EF">
      <w:pPr>
        <w:ind w:left="1416"/>
        <w:jc w:val="both"/>
        <w:rPr>
          <w:color w:val="000000"/>
        </w:rPr>
      </w:pPr>
      <w:r w:rsidRPr="001141BE">
        <w:rPr>
          <w:color w:val="000000"/>
        </w:rPr>
        <w:t xml:space="preserve">Smernica 93/13 sa má vykladať v tom zmysle, že bráni vnútroštátnej právnej úprave, ako je právna úprava dotknutá vo veci samej, ktorá, napriek tomu, že v štádiu vydania platobného rozkazu proti spotrebiteľovi stanovuje preskúmanie nekalej povahy podmienok uvedených v zmluve uzatvorenej medzi podnikateľom a spotrebiteľom, na jednej strane priznáva právomoc vydať tento platobný rozkaz súdnemu úradníkovi, ktorý nemá postavenie sudcu, a na druhej </w:t>
      </w:r>
      <w:r w:rsidRPr="001141BE">
        <w:rPr>
          <w:color w:val="000000"/>
        </w:rPr>
        <w:lastRenderedPageBreak/>
        <w:t xml:space="preserve">strane stanovuje pätnásťdňovú lehotu na podanie odporu a vyžaduje, aby bol tento odpor vecne odôvodnený, za predpokladu, že takéto ex </w:t>
      </w:r>
      <w:proofErr w:type="spellStart"/>
      <w:r w:rsidRPr="001141BE">
        <w:rPr>
          <w:color w:val="000000"/>
        </w:rPr>
        <w:t>offo</w:t>
      </w:r>
      <w:proofErr w:type="spellEnd"/>
      <w:r w:rsidRPr="001141BE">
        <w:rPr>
          <w:color w:val="000000"/>
        </w:rPr>
        <w:t xml:space="preserve"> preskúmanie nie je stanovené v štádiu výkonu uvedeného platobného rozkazu, čo </w:t>
      </w:r>
      <w:r>
        <w:rPr>
          <w:color w:val="000000"/>
        </w:rPr>
        <w:t>musí preveriť vnútroštátny súd.</w:t>
      </w:r>
    </w:p>
    <w:p w14:paraId="4CB8E936" w14:textId="77777777" w:rsidR="000B16EF" w:rsidRPr="0074084B" w:rsidRDefault="000B16EF" w:rsidP="000B16EF">
      <w:pPr>
        <w:pStyle w:val="Odsekzoznamu"/>
        <w:widowControl/>
        <w:numPr>
          <w:ilvl w:val="0"/>
          <w:numId w:val="4"/>
        </w:numPr>
        <w:spacing w:before="120"/>
        <w:rPr>
          <w:b/>
          <w:bCs/>
          <w:color w:val="000000"/>
        </w:rPr>
      </w:pPr>
      <w:r w:rsidRPr="000741B0">
        <w:rPr>
          <w:b/>
          <w:bCs/>
          <w:color w:val="000000"/>
        </w:rPr>
        <w:t>Záväzky Slovenskej republiky vo vzťahu k Európskej únii</w:t>
      </w:r>
      <w:r w:rsidRPr="0074084B">
        <w:rPr>
          <w:b/>
          <w:bCs/>
          <w:color w:val="000000"/>
        </w:rPr>
        <w:t xml:space="preserve">: </w:t>
      </w:r>
    </w:p>
    <w:p w14:paraId="6CD79ED9" w14:textId="77777777" w:rsidR="000B16EF" w:rsidRDefault="000B16EF" w:rsidP="000B16EF">
      <w:pPr>
        <w:pStyle w:val="Odsekzoznamu"/>
        <w:widowControl/>
        <w:numPr>
          <w:ilvl w:val="0"/>
          <w:numId w:val="5"/>
        </w:numPr>
        <w:autoSpaceDE/>
        <w:autoSpaceDN/>
        <w:adjustRightInd/>
        <w:ind w:left="709"/>
        <w:jc w:val="both"/>
      </w:pPr>
      <w:r w:rsidRPr="00E85611">
        <w:t>uviesť lehotu na prebranie príslušného právneho aktu Európskej únie, príp. aj osobitnú lehotu účinnosti jeho ustanovení – bezpredmetné,</w:t>
      </w:r>
    </w:p>
    <w:p w14:paraId="26F5C9B1" w14:textId="77777777" w:rsidR="000B16EF" w:rsidRPr="00E85611" w:rsidRDefault="000B16EF" w:rsidP="000B16EF">
      <w:pPr>
        <w:pStyle w:val="Odsekzoznamu"/>
        <w:widowControl/>
        <w:autoSpaceDE/>
        <w:autoSpaceDN/>
        <w:adjustRightInd/>
        <w:ind w:left="709"/>
        <w:jc w:val="both"/>
      </w:pPr>
      <w:r w:rsidRPr="00E85611">
        <w:t xml:space="preserve"> </w:t>
      </w:r>
    </w:p>
    <w:p w14:paraId="3E4763A4" w14:textId="77777777" w:rsidR="000B16EF" w:rsidRDefault="000B16EF" w:rsidP="000B16EF">
      <w:pPr>
        <w:pStyle w:val="Odsekzoznamu"/>
        <w:widowControl/>
        <w:numPr>
          <w:ilvl w:val="0"/>
          <w:numId w:val="5"/>
        </w:numPr>
        <w:autoSpaceDE/>
        <w:autoSpaceDN/>
        <w:adjustRightInd/>
        <w:ind w:left="709"/>
        <w:jc w:val="both"/>
      </w:pPr>
      <w:r w:rsidRPr="00E85611">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E85611">
        <w:rPr>
          <w:bCs/>
        </w:rPr>
        <w:t>ariadenie Európskeho parlamentu a Rady (ES) č. 1049/2001 z 30. mája 2001 o prístupe verejnosti k dokumentom Európskeho parlamentu, Rady a</w:t>
      </w:r>
      <w:r>
        <w:rPr>
          <w:bCs/>
        </w:rPr>
        <w:t> </w:t>
      </w:r>
      <w:r w:rsidRPr="00E85611">
        <w:rPr>
          <w:bCs/>
        </w:rPr>
        <w:t>Komisie</w:t>
      </w:r>
      <w:r>
        <w:rPr>
          <w:bCs/>
        </w:rPr>
        <w:t xml:space="preserve"> - </w:t>
      </w:r>
      <w:r w:rsidRPr="00AD527B">
        <w:t>EUP(2020)9731</w:t>
      </w:r>
      <w:r>
        <w:t>,</w:t>
      </w:r>
      <w:r w:rsidRPr="00C11C96">
        <w:t xml:space="preserve"> </w:t>
      </w:r>
    </w:p>
    <w:p w14:paraId="53C66A56" w14:textId="77777777" w:rsidR="000B16EF" w:rsidRDefault="000B16EF" w:rsidP="000B16EF">
      <w:pPr>
        <w:pStyle w:val="Odsekzoznamu"/>
        <w:widowControl/>
        <w:autoSpaceDE/>
        <w:autoSpaceDN/>
        <w:adjustRightInd/>
        <w:ind w:left="0"/>
        <w:jc w:val="both"/>
      </w:pPr>
    </w:p>
    <w:p w14:paraId="7DEA4453" w14:textId="77777777" w:rsidR="000B16EF" w:rsidRPr="00060BB6" w:rsidRDefault="000B16EF" w:rsidP="000B16EF">
      <w:pPr>
        <w:pStyle w:val="Odsekzoznamu"/>
        <w:widowControl/>
        <w:autoSpaceDE/>
        <w:autoSpaceDN/>
        <w:adjustRightInd/>
        <w:ind w:left="709"/>
        <w:jc w:val="both"/>
      </w:pPr>
      <w:r w:rsidRPr="00E85611">
        <w:t xml:space="preserve">– </w:t>
      </w:r>
      <w:r w:rsidRPr="00060BB6">
        <w:t>Predmetná legislatívna aktivita sa realizuje v dôsledku skutočností uvedených v liste Generálneho riaditeľstva pre spravodlivosť a spotrebiteľov Európskej komisie EUP(2020)9731 zo dňa 16.10.2020 („EÚ Pilot“).</w:t>
      </w:r>
    </w:p>
    <w:p w14:paraId="1F4C1140" w14:textId="77777777" w:rsidR="000B16EF" w:rsidRPr="00E85611" w:rsidRDefault="000B16EF" w:rsidP="000B16EF">
      <w:pPr>
        <w:pStyle w:val="Odsekzoznamu"/>
        <w:widowControl/>
        <w:autoSpaceDE/>
        <w:autoSpaceDN/>
        <w:adjustRightInd/>
        <w:ind w:left="0"/>
        <w:jc w:val="both"/>
      </w:pPr>
    </w:p>
    <w:p w14:paraId="443E89B5" w14:textId="77777777" w:rsidR="000B16EF" w:rsidRDefault="000B16EF" w:rsidP="000B16EF">
      <w:pPr>
        <w:pStyle w:val="Odsekzoznamu"/>
        <w:widowControl/>
        <w:numPr>
          <w:ilvl w:val="0"/>
          <w:numId w:val="5"/>
        </w:numPr>
        <w:autoSpaceDE/>
        <w:autoSpaceDN/>
        <w:adjustRightInd/>
        <w:ind w:left="709" w:hanging="357"/>
        <w:jc w:val="both"/>
      </w:pPr>
      <w:r w:rsidRPr="00E85611">
        <w:t>uviesť informáciu o právnych predpisoch, v ktorých sú uvádzané právne akty Európskej únie už prebrané, spolu s uvedením rozsahu ich prebrania, príp. potreby prijatia ďalších úprav –</w:t>
      </w:r>
    </w:p>
    <w:p w14:paraId="2E35CD35" w14:textId="77777777" w:rsidR="000B16EF" w:rsidRDefault="000B16EF" w:rsidP="000B16EF">
      <w:pPr>
        <w:pStyle w:val="Odsekzoznamu"/>
        <w:widowControl/>
        <w:autoSpaceDE/>
        <w:autoSpaceDN/>
        <w:adjustRightInd/>
        <w:ind w:left="709"/>
        <w:jc w:val="both"/>
      </w:pPr>
    </w:p>
    <w:p w14:paraId="610E25AC" w14:textId="77777777" w:rsidR="000B16EF" w:rsidRDefault="000B16EF" w:rsidP="000B16EF">
      <w:pPr>
        <w:pStyle w:val="Odsekzoznamu"/>
        <w:widowControl/>
        <w:numPr>
          <w:ilvl w:val="0"/>
          <w:numId w:val="8"/>
        </w:numPr>
        <w:autoSpaceDE/>
        <w:autoSpaceDN/>
        <w:adjustRightInd/>
        <w:jc w:val="both"/>
      </w:pPr>
      <w:r w:rsidRPr="00756C10">
        <w:t>Zákon</w:t>
      </w:r>
      <w:r>
        <w:t xml:space="preserve"> č.</w:t>
      </w:r>
      <w:r w:rsidRPr="00756C10">
        <w:t xml:space="preserve"> 250/2007 Z. z. o ochrane spotrebiteľa a o zmene zákona Slovenskej národnej rady č. 372/1990 Zb. o priestupkoch v znení neskorších predpisov</w:t>
      </w:r>
    </w:p>
    <w:p w14:paraId="76C812E5" w14:textId="77777777" w:rsidR="000B16EF" w:rsidRDefault="000B16EF" w:rsidP="000B16EF">
      <w:pPr>
        <w:pStyle w:val="Odsekzoznamu"/>
        <w:widowControl/>
        <w:numPr>
          <w:ilvl w:val="0"/>
          <w:numId w:val="8"/>
        </w:numPr>
        <w:autoSpaceDE/>
        <w:autoSpaceDN/>
        <w:adjustRightInd/>
        <w:jc w:val="both"/>
      </w:pPr>
      <w:r w:rsidRPr="00756C10">
        <w:t>Zákon</w:t>
      </w:r>
      <w:r>
        <w:t xml:space="preserve"> č.</w:t>
      </w:r>
      <w:r w:rsidRPr="00756C10">
        <w:t xml:space="preserve"> 335/2014 Z. z.</w:t>
      </w:r>
      <w:r>
        <w:t xml:space="preserve"> </w:t>
      </w:r>
      <w:r w:rsidRPr="00756C10">
        <w:t>o spotrebiteľskom rozhodcovskom konaní a o zmene a doplnení niektorých zákonov</w:t>
      </w:r>
    </w:p>
    <w:p w14:paraId="7489CC1B" w14:textId="77777777" w:rsidR="000B16EF" w:rsidRDefault="000B16EF" w:rsidP="000B16EF">
      <w:pPr>
        <w:pStyle w:val="Odsekzoznamu"/>
        <w:widowControl/>
        <w:numPr>
          <w:ilvl w:val="0"/>
          <w:numId w:val="8"/>
        </w:numPr>
        <w:autoSpaceDE/>
        <w:autoSpaceDN/>
        <w:adjustRightInd/>
        <w:jc w:val="both"/>
      </w:pPr>
      <w:r>
        <w:t>Zákon č. 102/2014 Z. z. o ochrane spotrebiteľa pri predaji tovaru alebo poskytovaní služieb na základe zmluvy uzavretej na diaľku alebo zmluvy uzavretej mimo prevádzkových priestorov predávajúceho a o zmene a doplnení niektorých zákonov v znení neskorších predpisov</w:t>
      </w:r>
    </w:p>
    <w:p w14:paraId="65681DD2" w14:textId="77777777" w:rsidR="000B16EF" w:rsidRPr="00E85611" w:rsidRDefault="000B16EF" w:rsidP="000B16EF">
      <w:pPr>
        <w:pStyle w:val="Odsekzoznamu"/>
        <w:widowControl/>
        <w:numPr>
          <w:ilvl w:val="0"/>
          <w:numId w:val="8"/>
        </w:numPr>
        <w:autoSpaceDE/>
        <w:autoSpaceDN/>
        <w:adjustRightInd/>
        <w:jc w:val="both"/>
      </w:pPr>
      <w:r>
        <w:t>Zákon č. 40/1964 Zb. Občiansky zákonník v znení neskorších predpisov</w:t>
      </w:r>
    </w:p>
    <w:p w14:paraId="664CDE6C" w14:textId="77777777" w:rsidR="000B16EF" w:rsidRPr="000741B0" w:rsidRDefault="000B16EF" w:rsidP="000B16EF">
      <w:pPr>
        <w:spacing w:before="120"/>
        <w:jc w:val="both"/>
      </w:pPr>
    </w:p>
    <w:p w14:paraId="2DFDCCF9" w14:textId="77777777" w:rsidR="000B16EF" w:rsidRDefault="000B16EF" w:rsidP="000B16EF">
      <w:pPr>
        <w:pStyle w:val="Odsekzoznamu"/>
        <w:widowControl/>
        <w:numPr>
          <w:ilvl w:val="0"/>
          <w:numId w:val="4"/>
        </w:numPr>
        <w:rPr>
          <w:b/>
          <w:bCs/>
          <w:color w:val="000000"/>
        </w:rPr>
      </w:pPr>
      <w:r w:rsidRPr="000741B0">
        <w:rPr>
          <w:b/>
          <w:bCs/>
          <w:color w:val="000000"/>
        </w:rPr>
        <w:t>Návrh zákona je zlučiteľný s právom Európskej únie</w:t>
      </w:r>
      <w:r w:rsidRPr="0074084B">
        <w:rPr>
          <w:b/>
          <w:bCs/>
          <w:color w:val="000000"/>
        </w:rPr>
        <w:t xml:space="preserve">: </w:t>
      </w:r>
    </w:p>
    <w:p w14:paraId="7CAD29F8" w14:textId="77777777" w:rsidR="000B16EF" w:rsidRPr="00991625" w:rsidRDefault="000B16EF" w:rsidP="000B16EF">
      <w:pPr>
        <w:ind w:firstLine="708"/>
        <w:rPr>
          <w:b/>
          <w:bCs/>
          <w:color w:val="000000"/>
        </w:rPr>
      </w:pPr>
      <w:r>
        <w:rPr>
          <w:bCs/>
          <w:color w:val="000000"/>
        </w:rPr>
        <w:t>a) ú</w:t>
      </w:r>
      <w:r w:rsidRPr="00A64409">
        <w:rPr>
          <w:bCs/>
          <w:color w:val="000000"/>
        </w:rPr>
        <w:t>plne</w:t>
      </w:r>
    </w:p>
    <w:p w14:paraId="5357B444" w14:textId="37ED6125" w:rsidR="00552B58" w:rsidRDefault="00552B58" w:rsidP="00552B58">
      <w:pPr>
        <w:tabs>
          <w:tab w:val="left" w:pos="2668"/>
        </w:tabs>
      </w:pPr>
    </w:p>
    <w:p w14:paraId="28B4A31B" w14:textId="6517F1A1" w:rsidR="000B16EF" w:rsidRDefault="000B16EF" w:rsidP="00552B58">
      <w:pPr>
        <w:tabs>
          <w:tab w:val="left" w:pos="2668"/>
        </w:tabs>
      </w:pPr>
    </w:p>
    <w:p w14:paraId="629DA30D" w14:textId="4B78A127" w:rsidR="000B16EF" w:rsidRDefault="000B16EF" w:rsidP="00552B58">
      <w:pPr>
        <w:tabs>
          <w:tab w:val="left" w:pos="2668"/>
        </w:tabs>
      </w:pPr>
    </w:p>
    <w:p w14:paraId="6DCB3898" w14:textId="48F04474" w:rsidR="000B16EF" w:rsidRDefault="000B16EF" w:rsidP="00552B58">
      <w:pPr>
        <w:tabs>
          <w:tab w:val="left" w:pos="2668"/>
        </w:tabs>
      </w:pPr>
    </w:p>
    <w:p w14:paraId="447EFCB8" w14:textId="56B1EBDE" w:rsidR="006F6CD5" w:rsidRDefault="006F6CD5" w:rsidP="00552B58">
      <w:pPr>
        <w:tabs>
          <w:tab w:val="left" w:pos="2668"/>
        </w:tabs>
      </w:pPr>
    </w:p>
    <w:p w14:paraId="02B2995D" w14:textId="18B245FA" w:rsidR="006F6CD5" w:rsidRDefault="006F6CD5" w:rsidP="00552B58">
      <w:pPr>
        <w:tabs>
          <w:tab w:val="left" w:pos="2668"/>
        </w:tabs>
      </w:pPr>
    </w:p>
    <w:p w14:paraId="0A333C5A" w14:textId="6A9EF979" w:rsidR="006F6CD5" w:rsidRDefault="006F6CD5" w:rsidP="00552B58">
      <w:pPr>
        <w:tabs>
          <w:tab w:val="left" w:pos="2668"/>
        </w:tabs>
      </w:pPr>
    </w:p>
    <w:p w14:paraId="6FD57A4F" w14:textId="4ECF3986" w:rsidR="006F6CD5" w:rsidRDefault="006F6CD5" w:rsidP="00552B58">
      <w:pPr>
        <w:tabs>
          <w:tab w:val="left" w:pos="2668"/>
        </w:tabs>
      </w:pPr>
    </w:p>
    <w:p w14:paraId="7EDEA46A" w14:textId="73FC8F79" w:rsidR="006F6CD5" w:rsidRDefault="006F6CD5" w:rsidP="00552B58">
      <w:pPr>
        <w:tabs>
          <w:tab w:val="left" w:pos="2668"/>
        </w:tabs>
      </w:pPr>
    </w:p>
    <w:p w14:paraId="3B190D4B" w14:textId="318DDF9C" w:rsidR="006F6CD5" w:rsidRDefault="006F6CD5" w:rsidP="00552B58">
      <w:pPr>
        <w:tabs>
          <w:tab w:val="left" w:pos="2668"/>
        </w:tabs>
      </w:pPr>
    </w:p>
    <w:p w14:paraId="2AC82144" w14:textId="177D3F3B" w:rsidR="006F6CD5" w:rsidRDefault="006F6CD5" w:rsidP="00552B58">
      <w:pPr>
        <w:tabs>
          <w:tab w:val="left" w:pos="2668"/>
        </w:tabs>
      </w:pPr>
    </w:p>
    <w:p w14:paraId="3AEF83F0" w14:textId="46600B8A" w:rsidR="006F6CD5" w:rsidRDefault="006F6CD5" w:rsidP="00552B58">
      <w:pPr>
        <w:tabs>
          <w:tab w:val="left" w:pos="2668"/>
        </w:tabs>
      </w:pPr>
    </w:p>
    <w:p w14:paraId="6DA79595" w14:textId="77777777" w:rsidR="006F6CD5" w:rsidRDefault="006F6CD5" w:rsidP="00552B58">
      <w:pPr>
        <w:tabs>
          <w:tab w:val="left" w:pos="2668"/>
        </w:tabs>
      </w:pPr>
    </w:p>
    <w:p w14:paraId="5640F73B" w14:textId="1E75EA69" w:rsidR="000B16EF" w:rsidRDefault="000B16EF" w:rsidP="00552B58">
      <w:pPr>
        <w:tabs>
          <w:tab w:val="left" w:pos="2668"/>
        </w:tabs>
      </w:pPr>
    </w:p>
    <w:p w14:paraId="6DBB89A8" w14:textId="17C00F33" w:rsidR="000B16EF" w:rsidRDefault="004F4787" w:rsidP="000B16EF">
      <w:pPr>
        <w:jc w:val="both"/>
        <w:outlineLvl w:val="0"/>
        <w:rPr>
          <w:b/>
        </w:rPr>
      </w:pPr>
      <w:r>
        <w:rPr>
          <w:b/>
        </w:rPr>
        <w:lastRenderedPageBreak/>
        <w:t xml:space="preserve">B. </w:t>
      </w:r>
      <w:r w:rsidR="000B16EF">
        <w:rPr>
          <w:b/>
        </w:rPr>
        <w:t>Osobitná časť</w:t>
      </w:r>
    </w:p>
    <w:p w14:paraId="4E9CF169" w14:textId="77777777" w:rsidR="000B16EF" w:rsidRDefault="000B16EF" w:rsidP="000B16EF">
      <w:pPr>
        <w:jc w:val="both"/>
      </w:pPr>
    </w:p>
    <w:p w14:paraId="61C47D6E" w14:textId="77777777" w:rsidR="00F11C20" w:rsidRDefault="00F11C20" w:rsidP="000B16EF">
      <w:pPr>
        <w:widowControl/>
        <w:adjustRightInd/>
        <w:jc w:val="both"/>
        <w:rPr>
          <w:rFonts w:eastAsiaTheme="minorEastAsia"/>
          <w:u w:val="single"/>
        </w:rPr>
      </w:pPr>
    </w:p>
    <w:p w14:paraId="75E631F7" w14:textId="300F9B45" w:rsidR="000B16EF" w:rsidRPr="000B16EF" w:rsidRDefault="00F1563B" w:rsidP="000B16EF">
      <w:pPr>
        <w:widowControl/>
        <w:adjustRightInd/>
        <w:jc w:val="both"/>
        <w:rPr>
          <w:rFonts w:eastAsiaTheme="minorEastAsia"/>
          <w:u w:val="single"/>
        </w:rPr>
      </w:pPr>
      <w:r>
        <w:rPr>
          <w:rFonts w:eastAsiaTheme="minorEastAsia"/>
          <w:u w:val="single"/>
        </w:rPr>
        <w:t>Č</w:t>
      </w:r>
      <w:r w:rsidR="000B16EF" w:rsidRPr="000B16EF">
        <w:rPr>
          <w:rFonts w:eastAsiaTheme="minorEastAsia"/>
          <w:u w:val="single"/>
        </w:rPr>
        <w:t>l. I</w:t>
      </w:r>
    </w:p>
    <w:p w14:paraId="1B17D55B" w14:textId="71351DC5" w:rsidR="000B16EF" w:rsidRDefault="000B16EF" w:rsidP="000B16EF">
      <w:pPr>
        <w:contextualSpacing/>
        <w:jc w:val="both"/>
      </w:pPr>
    </w:p>
    <w:p w14:paraId="1DC40735" w14:textId="77777777" w:rsidR="00310D65" w:rsidRDefault="00310D65" w:rsidP="000B16EF">
      <w:pPr>
        <w:contextualSpacing/>
        <w:jc w:val="both"/>
      </w:pPr>
    </w:p>
    <w:p w14:paraId="7C60CB03" w14:textId="0A0FE51D" w:rsidR="000B16EF" w:rsidRPr="00F1563B" w:rsidRDefault="000B16EF" w:rsidP="000B16EF">
      <w:pPr>
        <w:jc w:val="both"/>
        <w:rPr>
          <w:rFonts w:eastAsiaTheme="minorEastAsia"/>
          <w:u w:val="single"/>
        </w:rPr>
      </w:pPr>
      <w:r w:rsidRPr="00F1563B">
        <w:rPr>
          <w:rFonts w:eastAsiaTheme="minorEastAsia"/>
          <w:u w:val="single"/>
        </w:rPr>
        <w:t>K bodu 1</w:t>
      </w:r>
      <w:r w:rsidR="00F1563B">
        <w:rPr>
          <w:rFonts w:eastAsiaTheme="minorEastAsia"/>
          <w:u w:val="single"/>
        </w:rPr>
        <w:t xml:space="preserve"> </w:t>
      </w:r>
      <w:r w:rsidR="00F1563B" w:rsidRPr="008C7A70">
        <w:rPr>
          <w:rFonts w:eastAsiaTheme="minorEastAsia"/>
          <w:u w:val="single"/>
        </w:rPr>
        <w:t xml:space="preserve">(§ </w:t>
      </w:r>
      <w:r w:rsidR="008C7A70" w:rsidRPr="008C7A70">
        <w:rPr>
          <w:rFonts w:eastAsiaTheme="minorEastAsia"/>
          <w:u w:val="single"/>
        </w:rPr>
        <w:t>12 ods. 3</w:t>
      </w:r>
      <w:r w:rsidR="00F1563B" w:rsidRPr="008C7A70">
        <w:rPr>
          <w:rFonts w:eastAsiaTheme="minorEastAsia"/>
          <w:u w:val="single"/>
        </w:rPr>
        <w:t>)</w:t>
      </w:r>
    </w:p>
    <w:p w14:paraId="5E60A1CE" w14:textId="77777777" w:rsidR="000B16EF" w:rsidRPr="00B71504" w:rsidRDefault="000B16EF" w:rsidP="000B16EF">
      <w:pPr>
        <w:jc w:val="both"/>
        <w:rPr>
          <w:b/>
          <w:bCs/>
        </w:rPr>
      </w:pPr>
    </w:p>
    <w:p w14:paraId="285932D2" w14:textId="6FF921DE" w:rsidR="000B16EF" w:rsidRPr="00F1563B" w:rsidRDefault="00F1563B" w:rsidP="000B16EF">
      <w:pPr>
        <w:jc w:val="both"/>
        <w:rPr>
          <w:rFonts w:eastAsiaTheme="minorEastAsia"/>
        </w:rPr>
      </w:pPr>
      <w:r>
        <w:rPr>
          <w:rFonts w:eastAsiaTheme="minorEastAsia"/>
        </w:rPr>
        <w:tab/>
      </w:r>
      <w:proofErr w:type="spellStart"/>
      <w:r w:rsidR="000B16EF" w:rsidRPr="00F1563B">
        <w:rPr>
          <w:rFonts w:eastAsiaTheme="minorEastAsia"/>
        </w:rPr>
        <w:t>Upomínacie</w:t>
      </w:r>
      <w:proofErr w:type="spellEnd"/>
      <w:r w:rsidR="000B16EF" w:rsidRPr="00F1563B">
        <w:rPr>
          <w:rFonts w:eastAsiaTheme="minorEastAsia"/>
        </w:rPr>
        <w:t xml:space="preserve"> konanie je zrýchleným konaním, predmetom ktorého by mali byť najmä nesporné nároky. Spornosť nároku vyjadruje žalovaný podaním odporu, ktorý podľa súčasnej právnej úpravy musí byť vecne odôvodnený. V prípade podania odporu bez vecného odôvodnenia v zákonom stanovenej lehote má platobný rozkaz účinky právoplatného rozsudku (je exekučným titulom). Pokiaľ odpor nie je vecne odôvodnený, súd v súvislosti s absenciou vecného odôvodnenia nevyzýva žalovaného na doplnenie, resp. opravu odporu. Požiadavka vecného odôvodnenia odporu môže spôsobovať pre spotrebiteľov ťažkosti (napríklad potreba v relatívne krátkom čase vyhľadať právnu pomoc). Novou právnou úpravou sa zavádza povinnosť súdu v prípade ak sa uplatňuje nárok vyplývajúci zo spotrebiteľskej zmluvy prihliadať na  postavenie žalovaného ako spotrebiteľa pri vecnom odôvodnení odporu a vecné odôvodnenie odporu podaného spotrebiteľom posudzovať miernejšie. Súd posudzuje vecné odôvodnenie odporu miernejšie vo vzťahu k odmietnutiu odporu.</w:t>
      </w:r>
    </w:p>
    <w:p w14:paraId="00FF582B" w14:textId="77777777" w:rsidR="000B16EF" w:rsidRDefault="000B16EF" w:rsidP="000B16EF">
      <w:pPr>
        <w:jc w:val="both"/>
        <w:rPr>
          <w:b/>
          <w:bCs/>
        </w:rPr>
      </w:pPr>
    </w:p>
    <w:p w14:paraId="648B6EDE" w14:textId="77777777" w:rsidR="00310D65" w:rsidRDefault="00310D65" w:rsidP="000B16EF">
      <w:pPr>
        <w:jc w:val="both"/>
        <w:rPr>
          <w:rFonts w:eastAsiaTheme="minorEastAsia"/>
          <w:u w:val="single"/>
        </w:rPr>
      </w:pPr>
    </w:p>
    <w:p w14:paraId="5EE60DBC" w14:textId="7E7B8ADE" w:rsidR="000B16EF" w:rsidRPr="00F1563B" w:rsidRDefault="006F0F57" w:rsidP="000B16EF">
      <w:pPr>
        <w:jc w:val="both"/>
        <w:rPr>
          <w:rFonts w:eastAsiaTheme="minorEastAsia"/>
          <w:u w:val="single"/>
        </w:rPr>
      </w:pPr>
      <w:r>
        <w:rPr>
          <w:rFonts w:eastAsiaTheme="minorEastAsia"/>
          <w:u w:val="single"/>
        </w:rPr>
        <w:t xml:space="preserve">K bodu 2 </w:t>
      </w:r>
      <w:r w:rsidR="008C7A70" w:rsidRPr="008C7A70">
        <w:rPr>
          <w:rFonts w:eastAsiaTheme="minorEastAsia"/>
          <w:u w:val="single"/>
        </w:rPr>
        <w:t>(§ 1</w:t>
      </w:r>
      <w:r w:rsidR="008C7A70">
        <w:rPr>
          <w:rFonts w:eastAsiaTheme="minorEastAsia"/>
          <w:u w:val="single"/>
        </w:rPr>
        <w:t>5 ods. 6</w:t>
      </w:r>
      <w:r w:rsidR="008C7A70" w:rsidRPr="008C7A70">
        <w:rPr>
          <w:rFonts w:eastAsiaTheme="minorEastAsia"/>
          <w:u w:val="single"/>
        </w:rPr>
        <w:t>)</w:t>
      </w:r>
    </w:p>
    <w:p w14:paraId="4793F121" w14:textId="77777777" w:rsidR="00F1563B" w:rsidRDefault="00F1563B" w:rsidP="000B16EF">
      <w:pPr>
        <w:jc w:val="both"/>
      </w:pPr>
    </w:p>
    <w:p w14:paraId="3AA9D444" w14:textId="31B3EA19" w:rsidR="000B16EF" w:rsidRDefault="00F1563B" w:rsidP="000B16EF">
      <w:pPr>
        <w:jc w:val="both"/>
      </w:pPr>
      <w:r>
        <w:tab/>
      </w:r>
      <w:r w:rsidR="000B16EF">
        <w:t xml:space="preserve">Vzhľadom na  právnu úpravu oprávnenia vyššieho súdneho úradníka </w:t>
      </w:r>
      <w:r w:rsidR="000B16EF" w:rsidRPr="009577E6">
        <w:t xml:space="preserve">vykonávať úkony súdu v civilnom procese </w:t>
      </w:r>
      <w:r w:rsidR="000B16EF">
        <w:t xml:space="preserve">obsiahnutú </w:t>
      </w:r>
      <w:r w:rsidR="000B16EF" w:rsidRPr="009577E6">
        <w:t xml:space="preserve">v zákone </w:t>
      </w:r>
      <w:r w:rsidR="000B16EF">
        <w:t>č.</w:t>
      </w:r>
      <w:r w:rsidR="000B16EF" w:rsidRPr="009577E6">
        <w:t xml:space="preserve"> 549/2003 Z. z o súdnych úradníkoch</w:t>
      </w:r>
      <w:r w:rsidR="000B16EF">
        <w:t xml:space="preserve"> </w:t>
      </w:r>
      <w:r w:rsidR="000B16EF" w:rsidRPr="00D3357E">
        <w:t>v znení neskorších predpisov</w:t>
      </w:r>
      <w:r w:rsidR="000B16EF">
        <w:t xml:space="preserve">, sa vypúšťa osobitná právna úprava pre </w:t>
      </w:r>
      <w:proofErr w:type="spellStart"/>
      <w:r w:rsidR="000B16EF">
        <w:t>upomínacie</w:t>
      </w:r>
      <w:proofErr w:type="spellEnd"/>
      <w:r w:rsidR="000B16EF">
        <w:t xml:space="preserve"> konanie. </w:t>
      </w:r>
    </w:p>
    <w:p w14:paraId="20411A62" w14:textId="77777777" w:rsidR="000B16EF" w:rsidRPr="009968BB" w:rsidRDefault="000B16EF" w:rsidP="000B16EF">
      <w:pPr>
        <w:jc w:val="both"/>
      </w:pPr>
    </w:p>
    <w:p w14:paraId="7C9DE7BB" w14:textId="1C3D7234" w:rsidR="000B16EF" w:rsidRDefault="000B16EF" w:rsidP="000B16EF">
      <w:pPr>
        <w:jc w:val="both"/>
        <w:rPr>
          <w:b/>
          <w:bCs/>
        </w:rPr>
      </w:pPr>
    </w:p>
    <w:p w14:paraId="7C53067C" w14:textId="77777777" w:rsidR="00310D65" w:rsidRDefault="00310D65" w:rsidP="000B16EF">
      <w:pPr>
        <w:jc w:val="both"/>
        <w:rPr>
          <w:b/>
          <w:bCs/>
        </w:rPr>
      </w:pPr>
    </w:p>
    <w:p w14:paraId="50CFF1BC" w14:textId="41CDE2E7" w:rsidR="000B16EF" w:rsidRPr="00F1563B" w:rsidRDefault="000B16EF" w:rsidP="000B16EF">
      <w:pPr>
        <w:jc w:val="both"/>
        <w:rPr>
          <w:rFonts w:eastAsiaTheme="minorEastAsia"/>
          <w:u w:val="single"/>
        </w:rPr>
      </w:pPr>
      <w:r w:rsidRPr="00F1563B">
        <w:rPr>
          <w:rFonts w:eastAsiaTheme="minorEastAsia"/>
          <w:u w:val="single"/>
        </w:rPr>
        <w:t>Čl. II</w:t>
      </w:r>
    </w:p>
    <w:p w14:paraId="54799C6D" w14:textId="77777777" w:rsidR="000B16EF" w:rsidRDefault="000B16EF" w:rsidP="000B16EF">
      <w:pPr>
        <w:jc w:val="both"/>
        <w:rPr>
          <w:b/>
          <w:bCs/>
        </w:rPr>
      </w:pPr>
    </w:p>
    <w:p w14:paraId="20C08C76" w14:textId="77777777" w:rsidR="00310D65" w:rsidRDefault="00310D65" w:rsidP="000B16EF">
      <w:pPr>
        <w:jc w:val="both"/>
        <w:rPr>
          <w:rFonts w:eastAsiaTheme="minorEastAsia"/>
          <w:u w:val="single"/>
        </w:rPr>
      </w:pPr>
    </w:p>
    <w:p w14:paraId="5872E759" w14:textId="37B47385" w:rsidR="000B16EF" w:rsidRPr="00F1563B" w:rsidRDefault="000B16EF" w:rsidP="000B16EF">
      <w:pPr>
        <w:jc w:val="both"/>
        <w:rPr>
          <w:rFonts w:eastAsiaTheme="minorEastAsia"/>
          <w:u w:val="single"/>
        </w:rPr>
      </w:pPr>
      <w:r w:rsidRPr="00F1563B">
        <w:rPr>
          <w:rFonts w:eastAsiaTheme="minorEastAsia"/>
          <w:u w:val="single"/>
        </w:rPr>
        <w:t>K bodu 1</w:t>
      </w:r>
      <w:r w:rsidR="006F0F57">
        <w:rPr>
          <w:rFonts w:eastAsiaTheme="minorEastAsia"/>
          <w:u w:val="single"/>
        </w:rPr>
        <w:t xml:space="preserve"> </w:t>
      </w:r>
      <w:r w:rsidR="008C7A70" w:rsidRPr="008C7A70">
        <w:rPr>
          <w:rFonts w:eastAsiaTheme="minorEastAsia"/>
          <w:u w:val="single"/>
        </w:rPr>
        <w:t xml:space="preserve">(§ </w:t>
      </w:r>
      <w:r w:rsidR="008C7A70">
        <w:rPr>
          <w:rFonts w:eastAsiaTheme="minorEastAsia"/>
          <w:u w:val="single"/>
        </w:rPr>
        <w:t>267 ods. 3</w:t>
      </w:r>
      <w:r w:rsidR="008C7A70" w:rsidRPr="008C7A70">
        <w:rPr>
          <w:rFonts w:eastAsiaTheme="minorEastAsia"/>
          <w:u w:val="single"/>
        </w:rPr>
        <w:t>)</w:t>
      </w:r>
    </w:p>
    <w:p w14:paraId="27BAEBF1" w14:textId="77777777" w:rsidR="00F1563B" w:rsidRDefault="00F1563B" w:rsidP="000B16EF">
      <w:pPr>
        <w:jc w:val="both"/>
      </w:pPr>
    </w:p>
    <w:p w14:paraId="4B2234CC" w14:textId="40706E1D" w:rsidR="000B16EF" w:rsidRDefault="00F1563B" w:rsidP="000B16EF">
      <w:pPr>
        <w:jc w:val="both"/>
        <w:rPr>
          <w:bCs/>
        </w:rPr>
      </w:pPr>
      <w:r>
        <w:tab/>
      </w:r>
      <w:r w:rsidR="000B16EF">
        <w:t>Konanie o platobnom rozkaze podľa Civilného sporového poriadku je zrýchleným konaním, predmetom ktorého by mali byť najmä nesporné nároky. Spornosť nároku vyjadruje žalovaný podaním odporu, ktorý podľa súčasnej právnej úpravy musí byť vecne odôvodnený. V prípade podania odporu bez vecného odôvodnenia v zákonom stanovenej lehote má platobný rozkaz účinky právoplatného rozsudku (je exekučným titulom).</w:t>
      </w:r>
      <w:r w:rsidR="000B16EF" w:rsidRPr="00411C62">
        <w:t xml:space="preserve"> </w:t>
      </w:r>
      <w:r w:rsidR="000B16EF" w:rsidRPr="00A5666F">
        <w:t xml:space="preserve">Pokiaľ odpor nie je vecne odôvodnený, súd v súvislosti s absenciou vecného odôvodnenia </w:t>
      </w:r>
      <w:r w:rsidR="000B16EF">
        <w:t>nevyzýva</w:t>
      </w:r>
      <w:r w:rsidR="000B16EF" w:rsidRPr="00A5666F">
        <w:t xml:space="preserve"> žalovaného na doplnenie, resp. opravu odporu</w:t>
      </w:r>
      <w:r w:rsidR="000B16EF">
        <w:t xml:space="preserve">. Požiadavka vecného odôvodnenia odporu môže spôsobovať pre spotrebiteľov ťažkosti (napríklad potreba v relatívne krátkom čase vyhľadať právnu pomoc). Novou právnou úpravou sa zavádza </w:t>
      </w:r>
      <w:r w:rsidR="000B16EF" w:rsidRPr="00723071">
        <w:t xml:space="preserve">povinnosťou súdu </w:t>
      </w:r>
      <w:r w:rsidR="000B16EF" w:rsidRPr="00DE6EE6">
        <w:t xml:space="preserve">v prípade nároku vyplývajúceho zo spotrebiteľskej zmluvy </w:t>
      </w:r>
      <w:r w:rsidR="000B16EF">
        <w:t xml:space="preserve">prihliadať na postavenie žalovaného ako </w:t>
      </w:r>
      <w:r w:rsidR="000B16EF" w:rsidRPr="00723071">
        <w:t>spotrebiteľa</w:t>
      </w:r>
      <w:r w:rsidR="000B16EF">
        <w:t xml:space="preserve"> pri vecnom odôvodnení odporu a  </w:t>
      </w:r>
      <w:r w:rsidR="000B16EF">
        <w:rPr>
          <w:bCs/>
        </w:rPr>
        <w:t>vecné odôvodnenie odporu podaného spotrebiteľom</w:t>
      </w:r>
      <w:r w:rsidR="000B16EF" w:rsidRPr="001323B7">
        <w:rPr>
          <w:bCs/>
        </w:rPr>
        <w:t xml:space="preserve"> </w:t>
      </w:r>
      <w:r w:rsidR="000B16EF">
        <w:rPr>
          <w:bCs/>
        </w:rPr>
        <w:t xml:space="preserve">posudzovať miernejšie. </w:t>
      </w:r>
      <w:r w:rsidR="000B16EF" w:rsidRPr="007A610C">
        <w:rPr>
          <w:bCs/>
        </w:rPr>
        <w:t xml:space="preserve">Súd posudzuje </w:t>
      </w:r>
      <w:r w:rsidR="000B16EF">
        <w:rPr>
          <w:bCs/>
        </w:rPr>
        <w:t>vecné odôvodnenie odporu</w:t>
      </w:r>
      <w:r w:rsidR="000B16EF" w:rsidRPr="007A610C">
        <w:rPr>
          <w:bCs/>
        </w:rPr>
        <w:t xml:space="preserve"> miernejšie vo vzťahu k odmietnutiu odporu.</w:t>
      </w:r>
    </w:p>
    <w:p w14:paraId="7A504C6C" w14:textId="77777777" w:rsidR="000B16EF" w:rsidRDefault="000B16EF" w:rsidP="000B16EF">
      <w:pPr>
        <w:jc w:val="both"/>
      </w:pPr>
    </w:p>
    <w:p w14:paraId="4655F4ED" w14:textId="77777777" w:rsidR="00310D65" w:rsidRDefault="00310D65" w:rsidP="000B16EF">
      <w:pPr>
        <w:jc w:val="both"/>
        <w:rPr>
          <w:rFonts w:eastAsiaTheme="minorEastAsia"/>
          <w:u w:val="single"/>
        </w:rPr>
      </w:pPr>
    </w:p>
    <w:p w14:paraId="7590D506" w14:textId="3754ABF7" w:rsidR="000B16EF" w:rsidRDefault="000B16EF" w:rsidP="000B16EF">
      <w:pPr>
        <w:jc w:val="both"/>
        <w:rPr>
          <w:rFonts w:eastAsiaTheme="minorEastAsia"/>
          <w:u w:val="single"/>
        </w:rPr>
      </w:pPr>
      <w:r w:rsidRPr="00F1563B">
        <w:rPr>
          <w:rFonts w:eastAsiaTheme="minorEastAsia"/>
          <w:u w:val="single"/>
        </w:rPr>
        <w:t>K bodu 2</w:t>
      </w:r>
      <w:r w:rsidR="008C7A70">
        <w:rPr>
          <w:rFonts w:eastAsiaTheme="minorEastAsia"/>
          <w:u w:val="single"/>
        </w:rPr>
        <w:t xml:space="preserve"> </w:t>
      </w:r>
      <w:r w:rsidR="008C7A70" w:rsidRPr="008C7A70">
        <w:rPr>
          <w:rFonts w:eastAsiaTheme="minorEastAsia"/>
          <w:u w:val="single"/>
        </w:rPr>
        <w:t xml:space="preserve">(§ </w:t>
      </w:r>
      <w:r w:rsidR="008C7A70">
        <w:rPr>
          <w:rFonts w:eastAsiaTheme="minorEastAsia"/>
          <w:u w:val="single"/>
        </w:rPr>
        <w:t>267 ods. 4</w:t>
      </w:r>
      <w:r w:rsidR="008C7A70" w:rsidRPr="008C7A70">
        <w:rPr>
          <w:rFonts w:eastAsiaTheme="minorEastAsia"/>
          <w:u w:val="single"/>
        </w:rPr>
        <w:t>)</w:t>
      </w:r>
    </w:p>
    <w:p w14:paraId="0CFA3E53" w14:textId="77777777" w:rsidR="00F1563B" w:rsidRPr="00F1563B" w:rsidRDefault="00F1563B" w:rsidP="000B16EF">
      <w:pPr>
        <w:jc w:val="both"/>
        <w:rPr>
          <w:rFonts w:eastAsiaTheme="minorEastAsia"/>
          <w:u w:val="single"/>
        </w:rPr>
      </w:pPr>
    </w:p>
    <w:p w14:paraId="504948E1" w14:textId="57DE7105" w:rsidR="000B16EF" w:rsidRPr="005765FB" w:rsidRDefault="00F1563B" w:rsidP="000B16EF">
      <w:pPr>
        <w:jc w:val="both"/>
        <w:rPr>
          <w:rFonts w:cs="Arial"/>
        </w:rPr>
      </w:pPr>
      <w:r>
        <w:rPr>
          <w:rFonts w:cs="Arial"/>
        </w:rPr>
        <w:tab/>
      </w:r>
      <w:r w:rsidR="000B16EF">
        <w:rPr>
          <w:rFonts w:cs="Arial"/>
        </w:rPr>
        <w:t xml:space="preserve">Navrhovanou zmenou ustanovenia sa </w:t>
      </w:r>
      <w:r w:rsidR="000B16EF" w:rsidRPr="0088237D">
        <w:rPr>
          <w:bCs/>
        </w:rPr>
        <w:t xml:space="preserve">zjednocuje právna úprava procesného postupu v </w:t>
      </w:r>
      <w:proofErr w:type="spellStart"/>
      <w:r w:rsidR="000B16EF" w:rsidRPr="0088237D">
        <w:rPr>
          <w:bCs/>
        </w:rPr>
        <w:t>upomínacom</w:t>
      </w:r>
      <w:proofErr w:type="spellEnd"/>
      <w:r w:rsidR="000B16EF" w:rsidRPr="0088237D">
        <w:rPr>
          <w:bCs/>
        </w:rPr>
        <w:t xml:space="preserve"> konaní podľa zákona č. 307/2016 Z. z. o </w:t>
      </w:r>
      <w:proofErr w:type="spellStart"/>
      <w:r w:rsidR="000B16EF" w:rsidRPr="0088237D">
        <w:rPr>
          <w:bCs/>
        </w:rPr>
        <w:t>upomínacom</w:t>
      </w:r>
      <w:proofErr w:type="spellEnd"/>
      <w:r w:rsidR="000B16EF" w:rsidRPr="0088237D">
        <w:rPr>
          <w:bCs/>
        </w:rPr>
        <w:t xml:space="preserve"> konaní a o doplnení niektorých zákonov a v konaní o platobnom rozkaze podľa Civilného sporového poriadku pri určení procesnoprávnej skutočnosti, ktorou nastáva zrušenie platobného rozkazu.</w:t>
      </w:r>
      <w:r w:rsidR="000B16EF">
        <w:rPr>
          <w:bCs/>
        </w:rPr>
        <w:t xml:space="preserve"> Platobný rozkaz sa zrušuje podaním odporu ex </w:t>
      </w:r>
      <w:proofErr w:type="spellStart"/>
      <w:r w:rsidR="000B16EF">
        <w:rPr>
          <w:bCs/>
        </w:rPr>
        <w:t>lege</w:t>
      </w:r>
      <w:proofErr w:type="spellEnd"/>
      <w:r w:rsidR="000B16EF">
        <w:rPr>
          <w:bCs/>
        </w:rPr>
        <w:t xml:space="preserve"> (to neplatí ak bol odpor odmietnutý), súd nevydáva osobitné uznesenie o zrušení platobného rozkazu.</w:t>
      </w:r>
    </w:p>
    <w:p w14:paraId="267DC9C4" w14:textId="77777777" w:rsidR="000B16EF" w:rsidRPr="005E7905" w:rsidRDefault="000B16EF" w:rsidP="000B16EF">
      <w:pPr>
        <w:jc w:val="both"/>
      </w:pPr>
    </w:p>
    <w:p w14:paraId="11183641" w14:textId="77777777" w:rsidR="00310D65" w:rsidRDefault="00310D65" w:rsidP="000B16EF">
      <w:pPr>
        <w:jc w:val="both"/>
        <w:rPr>
          <w:rFonts w:eastAsiaTheme="minorEastAsia"/>
          <w:u w:val="single"/>
        </w:rPr>
      </w:pPr>
    </w:p>
    <w:p w14:paraId="42B21881" w14:textId="2B059B01" w:rsidR="000B16EF" w:rsidRPr="00F1563B" w:rsidRDefault="000B16EF" w:rsidP="000B16EF">
      <w:pPr>
        <w:jc w:val="both"/>
        <w:rPr>
          <w:rFonts w:eastAsiaTheme="minorEastAsia"/>
          <w:u w:val="single"/>
        </w:rPr>
      </w:pPr>
      <w:r w:rsidRPr="00F1563B">
        <w:rPr>
          <w:rFonts w:eastAsiaTheme="minorEastAsia"/>
          <w:u w:val="single"/>
        </w:rPr>
        <w:t>K bodu 3</w:t>
      </w:r>
      <w:r w:rsidR="008C7A70">
        <w:rPr>
          <w:rFonts w:eastAsiaTheme="minorEastAsia"/>
          <w:u w:val="single"/>
        </w:rPr>
        <w:t xml:space="preserve"> </w:t>
      </w:r>
      <w:r w:rsidR="008C7A70" w:rsidRPr="008C7A70">
        <w:rPr>
          <w:rFonts w:eastAsiaTheme="minorEastAsia"/>
          <w:u w:val="single"/>
        </w:rPr>
        <w:t xml:space="preserve">(§ </w:t>
      </w:r>
      <w:r w:rsidR="008C7A70">
        <w:rPr>
          <w:rFonts w:eastAsiaTheme="minorEastAsia"/>
          <w:u w:val="single"/>
        </w:rPr>
        <w:t>267 ods. 5</w:t>
      </w:r>
      <w:r w:rsidR="008C7A70" w:rsidRPr="008C7A70">
        <w:rPr>
          <w:rFonts w:eastAsiaTheme="minorEastAsia"/>
          <w:u w:val="single"/>
        </w:rPr>
        <w:t>)</w:t>
      </w:r>
    </w:p>
    <w:p w14:paraId="12358DCA" w14:textId="77777777" w:rsidR="00F1563B" w:rsidRDefault="00F1563B" w:rsidP="000B16EF">
      <w:pPr>
        <w:jc w:val="both"/>
        <w:rPr>
          <w:b/>
        </w:rPr>
      </w:pPr>
    </w:p>
    <w:p w14:paraId="4562DE76" w14:textId="7699595E" w:rsidR="000B16EF" w:rsidRDefault="00F1563B" w:rsidP="000B16EF">
      <w:pPr>
        <w:jc w:val="both"/>
        <w:rPr>
          <w:bCs/>
        </w:rPr>
      </w:pPr>
      <w:r>
        <w:tab/>
      </w:r>
      <w:r w:rsidR="000B16EF">
        <w:t xml:space="preserve">V dôsledku zmeny právnej úpravy, ktorej účelom je zjednotenie procesného postupu </w:t>
      </w:r>
      <w:r w:rsidR="000B16EF" w:rsidRPr="0088237D">
        <w:rPr>
          <w:bCs/>
        </w:rPr>
        <w:t xml:space="preserve">v </w:t>
      </w:r>
      <w:proofErr w:type="spellStart"/>
      <w:r w:rsidR="000B16EF" w:rsidRPr="0088237D">
        <w:rPr>
          <w:bCs/>
        </w:rPr>
        <w:t>upomínacom</w:t>
      </w:r>
      <w:proofErr w:type="spellEnd"/>
      <w:r w:rsidR="000B16EF" w:rsidRPr="0088237D">
        <w:rPr>
          <w:bCs/>
        </w:rPr>
        <w:t xml:space="preserve"> konaní podľa zákona č. 307/2016 Z. z. o </w:t>
      </w:r>
      <w:proofErr w:type="spellStart"/>
      <w:r w:rsidR="000B16EF" w:rsidRPr="0088237D">
        <w:rPr>
          <w:bCs/>
        </w:rPr>
        <w:t>upomínacom</w:t>
      </w:r>
      <w:proofErr w:type="spellEnd"/>
      <w:r w:rsidR="000B16EF" w:rsidRPr="0088237D">
        <w:rPr>
          <w:bCs/>
        </w:rPr>
        <w:t xml:space="preserve"> konaní a o doplnení niektorých zákonov a v konaní o platobnom rozkaze podľa Civilného sporového poriadku</w:t>
      </w:r>
      <w:r w:rsidR="000B16EF">
        <w:rPr>
          <w:bCs/>
        </w:rPr>
        <w:t xml:space="preserve"> </w:t>
      </w:r>
      <w:r w:rsidR="000B16EF" w:rsidRPr="00A41C3A">
        <w:rPr>
          <w:bCs/>
        </w:rPr>
        <w:t>je nevyhnutná zmena uvedeného ustanovenia týkajúca</w:t>
      </w:r>
      <w:r w:rsidR="000B16EF">
        <w:rPr>
          <w:bCs/>
        </w:rPr>
        <w:t xml:space="preserve"> sa vypustenia právnej úpravy</w:t>
      </w:r>
      <w:r w:rsidR="000B16EF" w:rsidRPr="00A41C3A">
        <w:rPr>
          <w:bCs/>
        </w:rPr>
        <w:t xml:space="preserve"> doručovania uznesenia o zrušení platobného rozkazu</w:t>
      </w:r>
      <w:r w:rsidR="000B16EF">
        <w:rPr>
          <w:bCs/>
        </w:rPr>
        <w:t>.</w:t>
      </w:r>
    </w:p>
    <w:p w14:paraId="7CFD2749" w14:textId="77777777" w:rsidR="000B16EF" w:rsidRDefault="000B16EF" w:rsidP="000B16EF">
      <w:pPr>
        <w:jc w:val="both"/>
        <w:rPr>
          <w:bCs/>
        </w:rPr>
      </w:pPr>
    </w:p>
    <w:p w14:paraId="7A724BE8" w14:textId="77777777" w:rsidR="00310D65" w:rsidRDefault="00310D65" w:rsidP="000B16EF">
      <w:pPr>
        <w:jc w:val="both"/>
        <w:rPr>
          <w:rFonts w:eastAsiaTheme="minorEastAsia"/>
          <w:u w:val="single"/>
        </w:rPr>
      </w:pPr>
    </w:p>
    <w:p w14:paraId="16D9143B" w14:textId="20265AB3" w:rsidR="000B16EF" w:rsidRPr="00F1563B" w:rsidRDefault="000B16EF" w:rsidP="000B16EF">
      <w:pPr>
        <w:jc w:val="both"/>
        <w:rPr>
          <w:rFonts w:eastAsiaTheme="minorEastAsia"/>
          <w:u w:val="single"/>
        </w:rPr>
      </w:pPr>
      <w:r w:rsidRPr="00F1563B">
        <w:rPr>
          <w:rFonts w:eastAsiaTheme="minorEastAsia"/>
          <w:u w:val="single"/>
        </w:rPr>
        <w:t>K bodu 4</w:t>
      </w:r>
      <w:r w:rsidR="002D1996">
        <w:rPr>
          <w:rFonts w:eastAsiaTheme="minorEastAsia"/>
          <w:u w:val="single"/>
        </w:rPr>
        <w:t xml:space="preserve"> (§ 471b</w:t>
      </w:r>
      <w:r w:rsidR="002D1996" w:rsidRPr="002D1996">
        <w:rPr>
          <w:rFonts w:eastAsiaTheme="minorEastAsia"/>
          <w:u w:val="single"/>
        </w:rPr>
        <w:t>)</w:t>
      </w:r>
    </w:p>
    <w:p w14:paraId="4B1BAF0C" w14:textId="77777777" w:rsidR="00F1563B" w:rsidRDefault="00F1563B" w:rsidP="000B16EF">
      <w:pPr>
        <w:jc w:val="both"/>
      </w:pPr>
    </w:p>
    <w:p w14:paraId="20E9E6E3" w14:textId="5A460029" w:rsidR="000B16EF" w:rsidRDefault="00F1563B" w:rsidP="000B16EF">
      <w:pPr>
        <w:jc w:val="both"/>
      </w:pPr>
      <w:r>
        <w:tab/>
      </w:r>
      <w:r w:rsidR="000B16EF">
        <w:t xml:space="preserve">Všetky konania o platobnom rozkaze začaté pred dňom účinnosti novej právnej úpravy </w:t>
      </w:r>
      <w:r w:rsidR="000B16EF">
        <w:rPr>
          <w:rFonts w:eastAsia="Calibri"/>
          <w:color w:val="000000"/>
        </w:rPr>
        <w:t>v ktorých</w:t>
      </w:r>
      <w:r w:rsidR="000B16EF" w:rsidRPr="00984927">
        <w:rPr>
          <w:rFonts w:eastAsia="Calibri"/>
          <w:color w:val="000000"/>
        </w:rPr>
        <w:t xml:space="preserve"> súd vydal uzneseni</w:t>
      </w:r>
      <w:r w:rsidR="000B16EF">
        <w:rPr>
          <w:rFonts w:eastAsia="Calibri"/>
          <w:color w:val="000000"/>
        </w:rPr>
        <w:t xml:space="preserve">e o zrušení platobného rozkazu sa dokončia podľa doterajšej právnej úpravy, účinnej do 30. júna 2021. </w:t>
      </w:r>
    </w:p>
    <w:p w14:paraId="484B68EF" w14:textId="77777777" w:rsidR="000B16EF" w:rsidRDefault="000B16EF" w:rsidP="000B16EF">
      <w:pPr>
        <w:jc w:val="both"/>
      </w:pPr>
    </w:p>
    <w:p w14:paraId="100563D5" w14:textId="7DC375FA" w:rsidR="000B16EF" w:rsidRDefault="000B16EF" w:rsidP="000B16EF">
      <w:pPr>
        <w:jc w:val="both"/>
      </w:pPr>
    </w:p>
    <w:p w14:paraId="4E91E4C4" w14:textId="77777777" w:rsidR="00310D65" w:rsidRDefault="00310D65" w:rsidP="000B16EF">
      <w:pPr>
        <w:jc w:val="both"/>
      </w:pPr>
    </w:p>
    <w:p w14:paraId="39D38F09" w14:textId="000BA0DE" w:rsidR="000B16EF" w:rsidRPr="00F1563B" w:rsidRDefault="000B16EF" w:rsidP="00F1563B">
      <w:pPr>
        <w:widowControl/>
        <w:adjustRightInd/>
        <w:jc w:val="both"/>
        <w:rPr>
          <w:rFonts w:eastAsiaTheme="minorEastAsia"/>
          <w:u w:val="single"/>
        </w:rPr>
      </w:pPr>
      <w:r w:rsidRPr="00F1563B">
        <w:rPr>
          <w:rFonts w:eastAsiaTheme="minorEastAsia"/>
          <w:u w:val="single"/>
        </w:rPr>
        <w:t>Čl. III</w:t>
      </w:r>
    </w:p>
    <w:p w14:paraId="04233001" w14:textId="77777777" w:rsidR="000B16EF" w:rsidRPr="00430C33" w:rsidRDefault="000B16EF" w:rsidP="000B16EF">
      <w:pPr>
        <w:jc w:val="both"/>
        <w:rPr>
          <w:b/>
          <w:u w:val="single"/>
        </w:rPr>
      </w:pPr>
    </w:p>
    <w:p w14:paraId="7B52F5F7" w14:textId="77777777" w:rsidR="00310D65" w:rsidRDefault="00310D65" w:rsidP="000B16EF">
      <w:pPr>
        <w:jc w:val="both"/>
        <w:rPr>
          <w:rFonts w:eastAsiaTheme="minorEastAsia"/>
          <w:u w:val="single"/>
        </w:rPr>
      </w:pPr>
    </w:p>
    <w:p w14:paraId="54F540C6" w14:textId="115169C2" w:rsidR="000B16EF" w:rsidRPr="00F1563B" w:rsidRDefault="000B16EF" w:rsidP="000B16EF">
      <w:pPr>
        <w:jc w:val="both"/>
        <w:rPr>
          <w:rFonts w:eastAsiaTheme="minorEastAsia"/>
          <w:u w:val="single"/>
        </w:rPr>
      </w:pPr>
      <w:r w:rsidRPr="00F1563B">
        <w:rPr>
          <w:rFonts w:eastAsiaTheme="minorEastAsia"/>
          <w:u w:val="single"/>
        </w:rPr>
        <w:t>K bodu 1</w:t>
      </w:r>
      <w:r w:rsidR="00D8450F">
        <w:rPr>
          <w:rFonts w:eastAsiaTheme="minorEastAsia"/>
          <w:u w:val="single"/>
        </w:rPr>
        <w:t xml:space="preserve"> </w:t>
      </w:r>
      <w:r w:rsidR="00D8450F" w:rsidRPr="00D8450F">
        <w:rPr>
          <w:rFonts w:eastAsiaTheme="minorEastAsia"/>
          <w:u w:val="single"/>
        </w:rPr>
        <w:t>[</w:t>
      </w:r>
      <w:r w:rsidR="002D1996">
        <w:rPr>
          <w:rFonts w:eastAsiaTheme="minorEastAsia"/>
          <w:u w:val="single"/>
        </w:rPr>
        <w:t>§</w:t>
      </w:r>
      <w:r w:rsidR="00485A45">
        <w:rPr>
          <w:rFonts w:eastAsiaTheme="minorEastAsia"/>
          <w:u w:val="single"/>
        </w:rPr>
        <w:t xml:space="preserve"> </w:t>
      </w:r>
      <w:r w:rsidR="002D1996">
        <w:rPr>
          <w:rFonts w:eastAsiaTheme="minorEastAsia"/>
          <w:u w:val="single"/>
        </w:rPr>
        <w:t>5 ods. 1 písm. a)</w:t>
      </w:r>
      <w:r w:rsidR="00D8450F">
        <w:rPr>
          <w:u w:val="single"/>
        </w:rPr>
        <w:t>]</w:t>
      </w:r>
    </w:p>
    <w:p w14:paraId="478CB599" w14:textId="77777777" w:rsidR="00F1563B" w:rsidRDefault="00F1563B" w:rsidP="000B16EF">
      <w:pPr>
        <w:jc w:val="both"/>
      </w:pPr>
    </w:p>
    <w:p w14:paraId="5FC2BE6D" w14:textId="1A5CEE82" w:rsidR="000B16EF" w:rsidRPr="00DE6EE6" w:rsidRDefault="00F1563B" w:rsidP="000B16EF">
      <w:pPr>
        <w:jc w:val="both"/>
        <w:rPr>
          <w:bCs/>
        </w:rPr>
      </w:pPr>
      <w:r>
        <w:tab/>
      </w:r>
      <w:r w:rsidR="000B16EF">
        <w:t xml:space="preserve">Právna úprava nadväzuje na zmenu </w:t>
      </w:r>
      <w:r w:rsidR="000B16EF" w:rsidRPr="0088237D">
        <w:rPr>
          <w:bCs/>
        </w:rPr>
        <w:t>v konaní o platobnom rozkaze podľa Civilného sporového poriadku</w:t>
      </w:r>
      <w:r w:rsidR="000B16EF">
        <w:t xml:space="preserve"> </w:t>
      </w:r>
      <w:r w:rsidR="000B16EF">
        <w:rPr>
          <w:bCs/>
        </w:rPr>
        <w:t xml:space="preserve">v dôsledku ktorej sa platobný rozkaz </w:t>
      </w:r>
      <w:r w:rsidR="000B16EF" w:rsidRPr="00DE6EE6">
        <w:rPr>
          <w:bCs/>
        </w:rPr>
        <w:t>zrušuje už podaním odporu</w:t>
      </w:r>
      <w:r w:rsidR="000B16EF">
        <w:rPr>
          <w:bCs/>
        </w:rPr>
        <w:t>, ak odpor nebol odmietnutý (vypustenie uznesenia o zrušení platobného rozkazu)</w:t>
      </w:r>
      <w:r w:rsidR="000B16EF" w:rsidRPr="00DE6EE6">
        <w:rPr>
          <w:bCs/>
        </w:rPr>
        <w:t>.</w:t>
      </w:r>
    </w:p>
    <w:p w14:paraId="4D1034E9" w14:textId="77777777" w:rsidR="000B16EF" w:rsidRDefault="000B16EF" w:rsidP="000B16EF">
      <w:pPr>
        <w:jc w:val="both"/>
      </w:pPr>
    </w:p>
    <w:p w14:paraId="5CBE47EE" w14:textId="77777777" w:rsidR="00310D65" w:rsidRDefault="00310D65" w:rsidP="000B16EF">
      <w:pPr>
        <w:jc w:val="both"/>
        <w:rPr>
          <w:rFonts w:eastAsiaTheme="minorEastAsia"/>
          <w:u w:val="single"/>
        </w:rPr>
      </w:pPr>
    </w:p>
    <w:p w14:paraId="01CABC45" w14:textId="1CFE242B" w:rsidR="000B16EF" w:rsidRPr="00F1563B" w:rsidRDefault="000B16EF" w:rsidP="000B16EF">
      <w:pPr>
        <w:jc w:val="both"/>
        <w:rPr>
          <w:rFonts w:eastAsiaTheme="minorEastAsia"/>
          <w:u w:val="single"/>
        </w:rPr>
      </w:pPr>
      <w:r w:rsidRPr="00F1563B">
        <w:rPr>
          <w:rFonts w:eastAsiaTheme="minorEastAsia"/>
          <w:u w:val="single"/>
        </w:rPr>
        <w:t>K bodu 2</w:t>
      </w:r>
      <w:r w:rsidR="002D1996">
        <w:rPr>
          <w:rFonts w:eastAsiaTheme="minorEastAsia"/>
          <w:u w:val="single"/>
        </w:rPr>
        <w:t xml:space="preserve"> </w:t>
      </w:r>
      <w:r w:rsidR="002D1996" w:rsidRPr="008C7A70">
        <w:rPr>
          <w:rFonts w:eastAsiaTheme="minorEastAsia"/>
          <w:u w:val="single"/>
        </w:rPr>
        <w:t xml:space="preserve">(§ </w:t>
      </w:r>
      <w:r w:rsidR="002D1996">
        <w:rPr>
          <w:rFonts w:eastAsiaTheme="minorEastAsia"/>
          <w:u w:val="single"/>
        </w:rPr>
        <w:t>5 ods. 3</w:t>
      </w:r>
      <w:r w:rsidR="002D1996" w:rsidRPr="008C7A70">
        <w:rPr>
          <w:rFonts w:eastAsiaTheme="minorEastAsia"/>
          <w:u w:val="single"/>
        </w:rPr>
        <w:t>)</w:t>
      </w:r>
    </w:p>
    <w:p w14:paraId="048EA7E9" w14:textId="77777777" w:rsidR="00F1563B" w:rsidRDefault="00F1563B" w:rsidP="000B16EF">
      <w:pPr>
        <w:jc w:val="both"/>
      </w:pPr>
    </w:p>
    <w:p w14:paraId="59A54C93" w14:textId="1BE63A2C" w:rsidR="000B16EF" w:rsidRDefault="00F1563B" w:rsidP="000B16EF">
      <w:pPr>
        <w:jc w:val="both"/>
        <w:rPr>
          <w:bCs/>
        </w:rPr>
      </w:pPr>
      <w:r>
        <w:tab/>
      </w:r>
      <w:r w:rsidR="000B16EF">
        <w:t>V</w:t>
      </w:r>
      <w:r w:rsidR="000B16EF">
        <w:rPr>
          <w:bCs/>
        </w:rPr>
        <w:t xml:space="preserve"> prípade </w:t>
      </w:r>
      <w:proofErr w:type="spellStart"/>
      <w:r w:rsidR="000B16EF" w:rsidRPr="00A50AFA">
        <w:rPr>
          <w:bCs/>
        </w:rPr>
        <w:t>upomínacieho</w:t>
      </w:r>
      <w:proofErr w:type="spellEnd"/>
      <w:r w:rsidR="000B16EF" w:rsidRPr="00A50AFA">
        <w:rPr>
          <w:bCs/>
        </w:rPr>
        <w:t xml:space="preserve"> konania</w:t>
      </w:r>
      <w:r w:rsidR="000B16EF">
        <w:rPr>
          <w:bCs/>
        </w:rPr>
        <w:t xml:space="preserve"> a </w:t>
      </w:r>
      <w:r w:rsidR="000B16EF" w:rsidRPr="00A50AFA">
        <w:rPr>
          <w:bCs/>
        </w:rPr>
        <w:t>konania o platobnom rozkaze</w:t>
      </w:r>
      <w:r w:rsidR="000B16EF">
        <w:rPr>
          <w:bCs/>
        </w:rPr>
        <w:t xml:space="preserve"> podľa  Civilného sporového poriadku ide o skrátené konania, v </w:t>
      </w:r>
      <w:r w:rsidR="000B16EF" w:rsidRPr="007A2504">
        <w:rPr>
          <w:bCs/>
        </w:rPr>
        <w:t xml:space="preserve">ktorých </w:t>
      </w:r>
      <w:r w:rsidR="000B16EF">
        <w:rPr>
          <w:bCs/>
        </w:rPr>
        <w:t xml:space="preserve">rozhodnutie vydáva predovšetkým vyšší súdny úradník. Navrhovanou právnou úpravou </w:t>
      </w:r>
      <w:r w:rsidR="000B16EF">
        <w:t>sa má zabezpečiť posúdenie a právny názor sudcu</w:t>
      </w:r>
      <w:r w:rsidR="000B16EF" w:rsidRPr="00C23B4F">
        <w:t xml:space="preserve"> </w:t>
      </w:r>
      <w:r w:rsidR="000B16EF">
        <w:t>v spotrebiteľských veciach</w:t>
      </w:r>
      <w:r w:rsidR="000B16EF" w:rsidRPr="00544D4C">
        <w:t>,</w:t>
      </w:r>
      <w:r w:rsidR="000B16EF" w:rsidRPr="004D12B5">
        <w:t xml:space="preserve"> </w:t>
      </w:r>
      <w:r w:rsidR="000B16EF" w:rsidRPr="00544D4C">
        <w:t xml:space="preserve">ktoré </w:t>
      </w:r>
      <w:r w:rsidR="000B16EF">
        <w:t xml:space="preserve">predpokladajú posúdenie spotrebiteľskej zmluvy alebo zmluvných dokumentov súvisiacich so spotrebiteľskou zmluvou, ktoré </w:t>
      </w:r>
      <w:r w:rsidR="000B16EF" w:rsidRPr="00544D4C">
        <w:t xml:space="preserve">ešte neboli posudzované v </w:t>
      </w:r>
      <w:r w:rsidR="000B16EF">
        <w:t>už právoplatne skončenom konaní</w:t>
      </w:r>
      <w:r w:rsidR="000B16EF" w:rsidRPr="0034573B">
        <w:rPr>
          <w:bCs/>
        </w:rPr>
        <w:t xml:space="preserve"> tak</w:t>
      </w:r>
      <w:r w:rsidR="000B16EF">
        <w:rPr>
          <w:bCs/>
        </w:rPr>
        <w:t>,</w:t>
      </w:r>
      <w:r w:rsidR="000B16EF" w:rsidRPr="0034573B">
        <w:rPr>
          <w:bCs/>
        </w:rPr>
        <w:t xml:space="preserve"> aby sa zabránilo súvislému uplatňovaniu</w:t>
      </w:r>
      <w:r w:rsidR="000B16EF" w:rsidRPr="0085076E">
        <w:rPr>
          <w:bCs/>
        </w:rPr>
        <w:t xml:space="preserve"> </w:t>
      </w:r>
      <w:r w:rsidR="000B16EF" w:rsidRPr="0034573B">
        <w:rPr>
          <w:bCs/>
        </w:rPr>
        <w:t>nepri</w:t>
      </w:r>
      <w:r w:rsidR="000B16EF">
        <w:rPr>
          <w:bCs/>
        </w:rPr>
        <w:t xml:space="preserve">jateľných zmluvných podmienok.  Vyšší súdny úradník je posúdením zo strany sudcu viazaný. Zároveň sa upravuje povinnosť sudcu určeného rozvrhom práce vykonávať kontrolu nad plnením týchto povinností zo strany vyššieho súdneho úradníka. </w:t>
      </w:r>
    </w:p>
    <w:p w14:paraId="3577955F" w14:textId="77777777" w:rsidR="000B16EF" w:rsidRDefault="000B16EF" w:rsidP="000B16EF">
      <w:pPr>
        <w:jc w:val="both"/>
        <w:rPr>
          <w:b/>
          <w:u w:val="single"/>
        </w:rPr>
      </w:pPr>
    </w:p>
    <w:p w14:paraId="47AA328E" w14:textId="0AC38A6B" w:rsidR="000B16EF" w:rsidRDefault="000B16EF" w:rsidP="000B16EF">
      <w:pPr>
        <w:jc w:val="both"/>
        <w:rPr>
          <w:b/>
          <w:u w:val="single"/>
        </w:rPr>
      </w:pPr>
    </w:p>
    <w:p w14:paraId="0AA1CF4A" w14:textId="77777777" w:rsidR="00310D65" w:rsidRDefault="00310D65" w:rsidP="000B16EF">
      <w:pPr>
        <w:jc w:val="both"/>
        <w:rPr>
          <w:b/>
          <w:u w:val="single"/>
        </w:rPr>
      </w:pPr>
    </w:p>
    <w:p w14:paraId="676251A4" w14:textId="5DCBB1AA" w:rsidR="000B16EF" w:rsidRDefault="000B16EF" w:rsidP="00F1563B">
      <w:pPr>
        <w:widowControl/>
        <w:adjustRightInd/>
        <w:jc w:val="both"/>
        <w:rPr>
          <w:rFonts w:eastAsiaTheme="minorEastAsia"/>
          <w:u w:val="single"/>
        </w:rPr>
      </w:pPr>
      <w:r w:rsidRPr="00F1563B">
        <w:rPr>
          <w:rFonts w:eastAsiaTheme="minorEastAsia"/>
          <w:u w:val="single"/>
        </w:rPr>
        <w:t>Čl. IV</w:t>
      </w:r>
    </w:p>
    <w:p w14:paraId="6A6BAF48" w14:textId="450EAB74" w:rsidR="00057C35" w:rsidRPr="00F1563B" w:rsidRDefault="00057C35" w:rsidP="00F1563B">
      <w:pPr>
        <w:widowControl/>
        <w:adjustRightInd/>
        <w:jc w:val="both"/>
        <w:rPr>
          <w:rFonts w:eastAsiaTheme="minorEastAsia"/>
          <w:u w:val="single"/>
        </w:rPr>
      </w:pPr>
      <w:r>
        <w:rPr>
          <w:i/>
          <w:iCs/>
          <w:color w:val="000000"/>
        </w:rPr>
        <w:lastRenderedPageBreak/>
        <w:t>(Účinnosť)</w:t>
      </w:r>
    </w:p>
    <w:p w14:paraId="41E2FB89" w14:textId="77777777" w:rsidR="000B16EF" w:rsidRDefault="000B16EF" w:rsidP="000B16EF">
      <w:pPr>
        <w:jc w:val="both"/>
      </w:pPr>
    </w:p>
    <w:p w14:paraId="3BD89362" w14:textId="77777777" w:rsidR="000B16EF" w:rsidRPr="003A1B47" w:rsidRDefault="000B16EF" w:rsidP="000B16EF">
      <w:pPr>
        <w:jc w:val="both"/>
      </w:pPr>
      <w:r>
        <w:t>Účinnosť návrhu zákona sa navrhuje od 1. júla 2021 a to s ohľadom na dĺžku legislatívneho procesu.</w:t>
      </w:r>
    </w:p>
    <w:p w14:paraId="2CAE7179" w14:textId="77777777" w:rsidR="000B16EF" w:rsidRPr="006B44D9" w:rsidRDefault="000B16EF" w:rsidP="00552B58">
      <w:pPr>
        <w:tabs>
          <w:tab w:val="left" w:pos="2668"/>
        </w:tabs>
      </w:pPr>
    </w:p>
    <w:p w14:paraId="7DC9EC00" w14:textId="242E582D" w:rsidR="006B1776" w:rsidRDefault="006B1776" w:rsidP="006B1776">
      <w:pPr>
        <w:jc w:val="both"/>
      </w:pPr>
    </w:p>
    <w:p w14:paraId="36DBAF35" w14:textId="3672D0EE" w:rsidR="00017B8A" w:rsidRPr="006B1776" w:rsidRDefault="00813A01" w:rsidP="006B1776">
      <w:pPr>
        <w:jc w:val="both"/>
      </w:pPr>
      <w:r>
        <w:t xml:space="preserve">V Bratislave, </w:t>
      </w:r>
      <w:r w:rsidR="00A70643" w:rsidRPr="00A70643">
        <w:t>24</w:t>
      </w:r>
      <w:r w:rsidR="0080678A" w:rsidRPr="00A70643">
        <w:t xml:space="preserve">. </w:t>
      </w:r>
      <w:r w:rsidR="00310D65">
        <w:t>februára</w:t>
      </w:r>
      <w:r w:rsidR="008E50DA" w:rsidRPr="00A70643">
        <w:t xml:space="preserve"> 2021</w:t>
      </w:r>
    </w:p>
    <w:p w14:paraId="37F6B6CF" w14:textId="77777777" w:rsidR="006B1776" w:rsidRDefault="006B1776" w:rsidP="00017B8A">
      <w:pPr>
        <w:jc w:val="center"/>
        <w:rPr>
          <w:b/>
          <w:lang w:eastAsia="en-US"/>
        </w:rPr>
      </w:pPr>
    </w:p>
    <w:p w14:paraId="3F7A1BAC" w14:textId="60722BA6" w:rsidR="006B1776" w:rsidRDefault="006B1776" w:rsidP="00017B8A">
      <w:pPr>
        <w:jc w:val="center"/>
        <w:rPr>
          <w:b/>
          <w:lang w:eastAsia="en-US"/>
        </w:rPr>
      </w:pPr>
    </w:p>
    <w:p w14:paraId="17017385" w14:textId="77777777" w:rsidR="007F6700" w:rsidRDefault="007F6700" w:rsidP="00017B8A">
      <w:pPr>
        <w:jc w:val="center"/>
        <w:rPr>
          <w:b/>
          <w:lang w:eastAsia="en-US"/>
        </w:rPr>
      </w:pPr>
    </w:p>
    <w:p w14:paraId="5778A043" w14:textId="77777777" w:rsidR="006B1776" w:rsidRDefault="006B1776" w:rsidP="00017B8A">
      <w:pPr>
        <w:jc w:val="center"/>
        <w:rPr>
          <w:b/>
          <w:lang w:eastAsia="en-US"/>
        </w:rPr>
      </w:pPr>
    </w:p>
    <w:p w14:paraId="5EBD8716" w14:textId="561F0459" w:rsidR="00310D65" w:rsidRPr="00310D65" w:rsidRDefault="006913C7" w:rsidP="00310D65">
      <w:pPr>
        <w:jc w:val="center"/>
        <w:rPr>
          <w:b/>
          <w:lang w:eastAsia="en-US"/>
        </w:rPr>
      </w:pPr>
      <w:r w:rsidRPr="006913C7">
        <w:rPr>
          <w:b/>
          <w:lang w:eastAsia="en-US"/>
        </w:rPr>
        <w:t>Igor Matovič v. r.</w:t>
      </w:r>
    </w:p>
    <w:p w14:paraId="4CC87107" w14:textId="77777777" w:rsidR="00E177D3" w:rsidRPr="00E177D3" w:rsidRDefault="00E177D3" w:rsidP="00E177D3">
      <w:pPr>
        <w:jc w:val="center"/>
        <w:rPr>
          <w:lang w:eastAsia="en-US"/>
        </w:rPr>
      </w:pPr>
      <w:r w:rsidRPr="00E177D3">
        <w:rPr>
          <w:lang w:eastAsia="en-US"/>
        </w:rPr>
        <w:t>predseda vlády</w:t>
      </w:r>
    </w:p>
    <w:p w14:paraId="40A4EB5D" w14:textId="77777777" w:rsidR="00E177D3" w:rsidRPr="00E177D3" w:rsidRDefault="00E177D3" w:rsidP="00E177D3">
      <w:pPr>
        <w:jc w:val="center"/>
        <w:rPr>
          <w:lang w:eastAsia="en-US"/>
        </w:rPr>
      </w:pPr>
      <w:r w:rsidRPr="00E177D3">
        <w:rPr>
          <w:lang w:eastAsia="en-US"/>
        </w:rPr>
        <w:t>Slovenskej republiky</w:t>
      </w:r>
    </w:p>
    <w:p w14:paraId="53515AAD" w14:textId="77777777" w:rsidR="00017B8A" w:rsidRPr="00017B8A" w:rsidRDefault="00017B8A" w:rsidP="00017B8A">
      <w:pPr>
        <w:jc w:val="center"/>
        <w:rPr>
          <w:b/>
          <w:lang w:eastAsia="en-US"/>
        </w:rPr>
      </w:pPr>
    </w:p>
    <w:p w14:paraId="365209C8" w14:textId="7C3B0941" w:rsidR="006B1776" w:rsidRDefault="006B1776" w:rsidP="00017B8A">
      <w:pPr>
        <w:jc w:val="center"/>
        <w:rPr>
          <w:b/>
          <w:lang w:eastAsia="en-US"/>
        </w:rPr>
      </w:pPr>
    </w:p>
    <w:p w14:paraId="09E4CC47" w14:textId="01AD4586" w:rsidR="006B1776" w:rsidRDefault="006B1776" w:rsidP="00017B8A">
      <w:pPr>
        <w:jc w:val="center"/>
        <w:rPr>
          <w:b/>
          <w:lang w:eastAsia="en-US"/>
        </w:rPr>
      </w:pPr>
    </w:p>
    <w:p w14:paraId="6F50DB53" w14:textId="77777777" w:rsidR="003773D4" w:rsidRDefault="003773D4" w:rsidP="00017B8A">
      <w:pPr>
        <w:jc w:val="center"/>
        <w:rPr>
          <w:b/>
          <w:lang w:eastAsia="en-US"/>
        </w:rPr>
      </w:pPr>
    </w:p>
    <w:p w14:paraId="1A4D265C" w14:textId="77777777" w:rsidR="006B1776" w:rsidRDefault="006B1776" w:rsidP="00017B8A">
      <w:pPr>
        <w:jc w:val="center"/>
        <w:rPr>
          <w:b/>
          <w:lang w:eastAsia="en-US"/>
        </w:rPr>
      </w:pPr>
    </w:p>
    <w:p w14:paraId="7869D79C" w14:textId="21040C20" w:rsidR="00310D65" w:rsidRDefault="006913C7" w:rsidP="006913C7">
      <w:pPr>
        <w:jc w:val="center"/>
        <w:rPr>
          <w:b/>
          <w:lang w:eastAsia="en-US"/>
        </w:rPr>
      </w:pPr>
      <w:r w:rsidRPr="006913C7">
        <w:rPr>
          <w:b/>
          <w:lang w:eastAsia="en-US"/>
        </w:rPr>
        <w:t>Mária Kolíková v. r.</w:t>
      </w:r>
    </w:p>
    <w:p w14:paraId="3351ED62" w14:textId="725683D6" w:rsidR="00E177D3" w:rsidRPr="00E03E4B" w:rsidRDefault="00E177D3" w:rsidP="006913C7">
      <w:pPr>
        <w:jc w:val="center"/>
        <w:rPr>
          <w:lang w:eastAsia="en-US"/>
        </w:rPr>
      </w:pPr>
      <w:r w:rsidRPr="00E03E4B">
        <w:rPr>
          <w:lang w:eastAsia="en-US"/>
        </w:rPr>
        <w:t>ministerka spravodlivosti</w:t>
      </w:r>
    </w:p>
    <w:p w14:paraId="7A9B59AF" w14:textId="274E51BE" w:rsidR="00E177D3" w:rsidRPr="00017B8A" w:rsidRDefault="00E177D3" w:rsidP="006913C7">
      <w:pPr>
        <w:jc w:val="center"/>
        <w:rPr>
          <w:lang w:eastAsia="en-US"/>
        </w:rPr>
      </w:pPr>
      <w:r w:rsidRPr="00E03E4B">
        <w:rPr>
          <w:lang w:eastAsia="en-US"/>
        </w:rPr>
        <w:t>Slovenskej republiky</w:t>
      </w:r>
      <w:bookmarkStart w:id="0" w:name="_GoBack"/>
      <w:bookmarkEnd w:id="0"/>
    </w:p>
    <w:sectPr w:rsidR="00E177D3" w:rsidRPr="00017B8A" w:rsidSect="00102094">
      <w:footerReference w:type="default" r:id="rId13"/>
      <w:pgSz w:w="11906" w:h="16838"/>
      <w:pgMar w:top="1418" w:right="1418" w:bottom="851"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C30DF" w14:textId="77777777" w:rsidR="00795F05" w:rsidRDefault="00795F05">
      <w:r>
        <w:separator/>
      </w:r>
    </w:p>
  </w:endnote>
  <w:endnote w:type="continuationSeparator" w:id="0">
    <w:p w14:paraId="66087A45" w14:textId="77777777" w:rsidR="00795F05" w:rsidRDefault="007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642706"/>
      <w:docPartObj>
        <w:docPartGallery w:val="Page Numbers (Bottom of Page)"/>
        <w:docPartUnique/>
      </w:docPartObj>
    </w:sdtPr>
    <w:sdtEndPr/>
    <w:sdtContent>
      <w:p w14:paraId="5C95CEE0" w14:textId="39418369" w:rsidR="00F07FB0" w:rsidRDefault="00F07FB0">
        <w:pPr>
          <w:pStyle w:val="Pta"/>
          <w:jc w:val="center"/>
        </w:pPr>
        <w:r>
          <w:fldChar w:fldCharType="begin"/>
        </w:r>
        <w:r>
          <w:instrText>PAGE   \* MERGEFORMAT</w:instrText>
        </w:r>
        <w:r>
          <w:fldChar w:fldCharType="separate"/>
        </w:r>
        <w:r w:rsidR="00E03E4B">
          <w:rPr>
            <w:noProof/>
          </w:rPr>
          <w:t>8</w:t>
        </w:r>
        <w:r>
          <w:fldChar w:fldCharType="end"/>
        </w:r>
      </w:p>
    </w:sdtContent>
  </w:sdt>
  <w:p w14:paraId="1864CF7A" w14:textId="4B584721" w:rsidR="00552B58" w:rsidRPr="001D6749" w:rsidRDefault="00552B58">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sdtContent>
      <w:p w14:paraId="5F5E1215" w14:textId="18E0CF96" w:rsidR="00552B58" w:rsidRPr="001D6749" w:rsidRDefault="00552B58">
        <w:pPr>
          <w:pStyle w:val="Pta"/>
          <w:jc w:val="right"/>
        </w:pPr>
        <w:r w:rsidRPr="001D6749">
          <w:fldChar w:fldCharType="begin"/>
        </w:r>
        <w:r w:rsidRPr="001D6749">
          <w:instrText>PAGE   \* MERGEFORMAT</w:instrText>
        </w:r>
        <w:r w:rsidRPr="001D6749">
          <w:fldChar w:fldCharType="separate"/>
        </w:r>
        <w:r w:rsidR="00AC6AB3">
          <w:rPr>
            <w:noProof/>
          </w:rPr>
          <w:t>9</w:t>
        </w:r>
        <w:r w:rsidRPr="001D674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743F" w14:textId="7E43A1C7" w:rsidR="00D212CF" w:rsidRDefault="00D212CF"/>
  <w:p w14:paraId="5B15F3B0" w14:textId="77777777" w:rsidR="00D212CF" w:rsidRDefault="00D212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DBDD9" w14:textId="77777777" w:rsidR="00795F05" w:rsidRDefault="00795F05">
      <w:r>
        <w:separator/>
      </w:r>
    </w:p>
  </w:footnote>
  <w:footnote w:type="continuationSeparator" w:id="0">
    <w:p w14:paraId="75DD6CAB" w14:textId="77777777" w:rsidR="00795F05" w:rsidRDefault="0079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6600" w14:textId="77777777" w:rsidR="00552B58" w:rsidRPr="00CD4982" w:rsidRDefault="00552B58" w:rsidP="00CD4982">
    <w:pPr>
      <w:tabs>
        <w:tab w:val="center" w:pos="4536"/>
        <w:tab w:val="right"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931E" w14:textId="6BEC11EA" w:rsidR="00552B58" w:rsidRPr="00CD4982" w:rsidRDefault="00552B58" w:rsidP="00CD4982">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4318"/>
    <w:multiLevelType w:val="hybridMultilevel"/>
    <w:tmpl w:val="51DCD44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ABE580C"/>
    <w:multiLevelType w:val="hybridMultilevel"/>
    <w:tmpl w:val="34CAA684"/>
    <w:lvl w:ilvl="0" w:tplc="F2845410">
      <w:start w:val="1"/>
      <w:numFmt w:val="lowerLetter"/>
      <w:lvlText w:val="%1)"/>
      <w:lvlJc w:val="left"/>
      <w:pPr>
        <w:ind w:left="10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A75F1"/>
    <w:multiLevelType w:val="hybridMultilevel"/>
    <w:tmpl w:val="1A00E02A"/>
    <w:lvl w:ilvl="0" w:tplc="19CC2036">
      <w:start w:val="1"/>
      <w:numFmt w:val="bullet"/>
      <w:lvlText w:val="-"/>
      <w:lvlJc w:val="left"/>
      <w:pPr>
        <w:ind w:left="1560" w:hanging="360"/>
      </w:pPr>
      <w:rPr>
        <w:rFonts w:ascii="Times New Roman" w:eastAsia="Calibri" w:hAnsi="Times New Roman" w:cs="Times New Roman"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4"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7620637"/>
    <w:multiLevelType w:val="hybridMultilevel"/>
    <w:tmpl w:val="7E4ED6D4"/>
    <w:lvl w:ilvl="0" w:tplc="1450B5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826C61"/>
    <w:multiLevelType w:val="hybridMultilevel"/>
    <w:tmpl w:val="9C8299A6"/>
    <w:lvl w:ilvl="0" w:tplc="33D4D3DE">
      <w:numFmt w:val="bullet"/>
      <w:lvlText w:val="–"/>
      <w:lvlJc w:val="left"/>
      <w:pPr>
        <w:ind w:left="1070" w:hanging="360"/>
      </w:pPr>
      <w:rPr>
        <w:rFonts w:ascii="Times New Roman" w:eastAsia="Times New Roman" w:hAnsi="Times New Roman" w:cs="Times New Roman" w:hint="default"/>
        <w:color w:val="auto"/>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5B"/>
    <w:rsid w:val="000038EB"/>
    <w:rsid w:val="000076ED"/>
    <w:rsid w:val="00011249"/>
    <w:rsid w:val="00011DFA"/>
    <w:rsid w:val="00017B8A"/>
    <w:rsid w:val="00017EF1"/>
    <w:rsid w:val="0002107A"/>
    <w:rsid w:val="000246EC"/>
    <w:rsid w:val="0002743C"/>
    <w:rsid w:val="00027575"/>
    <w:rsid w:val="00034F57"/>
    <w:rsid w:val="000370C2"/>
    <w:rsid w:val="00057C35"/>
    <w:rsid w:val="00062093"/>
    <w:rsid w:val="00067B93"/>
    <w:rsid w:val="00074E9E"/>
    <w:rsid w:val="00085677"/>
    <w:rsid w:val="00096307"/>
    <w:rsid w:val="000B16EF"/>
    <w:rsid w:val="000B61BE"/>
    <w:rsid w:val="000C4D58"/>
    <w:rsid w:val="00102094"/>
    <w:rsid w:val="0010248A"/>
    <w:rsid w:val="0010663D"/>
    <w:rsid w:val="00124F4D"/>
    <w:rsid w:val="00145A18"/>
    <w:rsid w:val="001534F7"/>
    <w:rsid w:val="001841DD"/>
    <w:rsid w:val="001A2E40"/>
    <w:rsid w:val="001B1112"/>
    <w:rsid w:val="001B1285"/>
    <w:rsid w:val="001B3D72"/>
    <w:rsid w:val="001C44F5"/>
    <w:rsid w:val="001C69FD"/>
    <w:rsid w:val="001E562F"/>
    <w:rsid w:val="001F11ED"/>
    <w:rsid w:val="001F557F"/>
    <w:rsid w:val="001F6789"/>
    <w:rsid w:val="00213898"/>
    <w:rsid w:val="00220430"/>
    <w:rsid w:val="002274AC"/>
    <w:rsid w:val="002306B2"/>
    <w:rsid w:val="00237585"/>
    <w:rsid w:val="002417D6"/>
    <w:rsid w:val="00241B8B"/>
    <w:rsid w:val="00242542"/>
    <w:rsid w:val="00257827"/>
    <w:rsid w:val="00270F09"/>
    <w:rsid w:val="00274439"/>
    <w:rsid w:val="00282F01"/>
    <w:rsid w:val="002A1095"/>
    <w:rsid w:val="002A7A7E"/>
    <w:rsid w:val="002B31A0"/>
    <w:rsid w:val="002D1996"/>
    <w:rsid w:val="002E46A0"/>
    <w:rsid w:val="002F6FC2"/>
    <w:rsid w:val="003054D5"/>
    <w:rsid w:val="003057B3"/>
    <w:rsid w:val="00305C62"/>
    <w:rsid w:val="00306ED6"/>
    <w:rsid w:val="00310D65"/>
    <w:rsid w:val="00326579"/>
    <w:rsid w:val="00345D57"/>
    <w:rsid w:val="003609E2"/>
    <w:rsid w:val="00375155"/>
    <w:rsid w:val="003773D4"/>
    <w:rsid w:val="003843CA"/>
    <w:rsid w:val="003C2A82"/>
    <w:rsid w:val="00405594"/>
    <w:rsid w:val="0041225A"/>
    <w:rsid w:val="00416F71"/>
    <w:rsid w:val="00420793"/>
    <w:rsid w:val="0042313C"/>
    <w:rsid w:val="004303DA"/>
    <w:rsid w:val="00451F08"/>
    <w:rsid w:val="00452D42"/>
    <w:rsid w:val="00463E90"/>
    <w:rsid w:val="0047788E"/>
    <w:rsid w:val="00485A45"/>
    <w:rsid w:val="00497D0C"/>
    <w:rsid w:val="004A45FE"/>
    <w:rsid w:val="004C6AF0"/>
    <w:rsid w:val="004C6D0C"/>
    <w:rsid w:val="004E6376"/>
    <w:rsid w:val="004F34CF"/>
    <w:rsid w:val="004F4787"/>
    <w:rsid w:val="004F4F97"/>
    <w:rsid w:val="00517B45"/>
    <w:rsid w:val="005239E0"/>
    <w:rsid w:val="00544D4C"/>
    <w:rsid w:val="005467A4"/>
    <w:rsid w:val="00551524"/>
    <w:rsid w:val="00552B58"/>
    <w:rsid w:val="005804AA"/>
    <w:rsid w:val="00580ACC"/>
    <w:rsid w:val="00581D60"/>
    <w:rsid w:val="00586350"/>
    <w:rsid w:val="005A51AF"/>
    <w:rsid w:val="005A539A"/>
    <w:rsid w:val="005C61F5"/>
    <w:rsid w:val="005E6E37"/>
    <w:rsid w:val="005F409B"/>
    <w:rsid w:val="005F40C4"/>
    <w:rsid w:val="00611348"/>
    <w:rsid w:val="00615623"/>
    <w:rsid w:val="00627DFF"/>
    <w:rsid w:val="00634D03"/>
    <w:rsid w:val="006405A4"/>
    <w:rsid w:val="00661A9D"/>
    <w:rsid w:val="00673F20"/>
    <w:rsid w:val="00675079"/>
    <w:rsid w:val="00681C47"/>
    <w:rsid w:val="00686B9A"/>
    <w:rsid w:val="006907A2"/>
    <w:rsid w:val="006913C7"/>
    <w:rsid w:val="00697A86"/>
    <w:rsid w:val="006B1776"/>
    <w:rsid w:val="006C19EB"/>
    <w:rsid w:val="006C42BE"/>
    <w:rsid w:val="006E0D1F"/>
    <w:rsid w:val="006E72A9"/>
    <w:rsid w:val="006F0F57"/>
    <w:rsid w:val="006F35E0"/>
    <w:rsid w:val="006F6CD5"/>
    <w:rsid w:val="00716D01"/>
    <w:rsid w:val="00723071"/>
    <w:rsid w:val="007230BE"/>
    <w:rsid w:val="00731C8E"/>
    <w:rsid w:val="00737138"/>
    <w:rsid w:val="007514E1"/>
    <w:rsid w:val="00755055"/>
    <w:rsid w:val="007620C4"/>
    <w:rsid w:val="00770955"/>
    <w:rsid w:val="00776639"/>
    <w:rsid w:val="00791797"/>
    <w:rsid w:val="0079393F"/>
    <w:rsid w:val="00795F05"/>
    <w:rsid w:val="00797911"/>
    <w:rsid w:val="00797E32"/>
    <w:rsid w:val="007B62B4"/>
    <w:rsid w:val="007C41F7"/>
    <w:rsid w:val="007C4E51"/>
    <w:rsid w:val="007D5839"/>
    <w:rsid w:val="007E402E"/>
    <w:rsid w:val="007F2A7E"/>
    <w:rsid w:val="007F5E86"/>
    <w:rsid w:val="007F5EFD"/>
    <w:rsid w:val="007F6700"/>
    <w:rsid w:val="008007B7"/>
    <w:rsid w:val="008048E3"/>
    <w:rsid w:val="0080678A"/>
    <w:rsid w:val="00810C8A"/>
    <w:rsid w:val="00813A01"/>
    <w:rsid w:val="00823503"/>
    <w:rsid w:val="008254BA"/>
    <w:rsid w:val="008264C1"/>
    <w:rsid w:val="008357A7"/>
    <w:rsid w:val="00847F44"/>
    <w:rsid w:val="00852DBA"/>
    <w:rsid w:val="00873568"/>
    <w:rsid w:val="00877FFB"/>
    <w:rsid w:val="0088092B"/>
    <w:rsid w:val="008840A8"/>
    <w:rsid w:val="00886051"/>
    <w:rsid w:val="00890046"/>
    <w:rsid w:val="008927A5"/>
    <w:rsid w:val="008A68BD"/>
    <w:rsid w:val="008B42F0"/>
    <w:rsid w:val="008C6337"/>
    <w:rsid w:val="008C7A70"/>
    <w:rsid w:val="008D11EB"/>
    <w:rsid w:val="008D339A"/>
    <w:rsid w:val="008D70A2"/>
    <w:rsid w:val="008E301C"/>
    <w:rsid w:val="008E50DA"/>
    <w:rsid w:val="008F4967"/>
    <w:rsid w:val="009012E7"/>
    <w:rsid w:val="00914432"/>
    <w:rsid w:val="009247FE"/>
    <w:rsid w:val="00927C3E"/>
    <w:rsid w:val="00945DB8"/>
    <w:rsid w:val="00947F6E"/>
    <w:rsid w:val="009507B1"/>
    <w:rsid w:val="00954324"/>
    <w:rsid w:val="009A2E6F"/>
    <w:rsid w:val="009A6A6B"/>
    <w:rsid w:val="009C047F"/>
    <w:rsid w:val="009C1BC0"/>
    <w:rsid w:val="009C3296"/>
    <w:rsid w:val="009C6794"/>
    <w:rsid w:val="00A00DB1"/>
    <w:rsid w:val="00A05DC6"/>
    <w:rsid w:val="00A11A24"/>
    <w:rsid w:val="00A34F71"/>
    <w:rsid w:val="00A5370A"/>
    <w:rsid w:val="00A5666F"/>
    <w:rsid w:val="00A70643"/>
    <w:rsid w:val="00A7347C"/>
    <w:rsid w:val="00A945FC"/>
    <w:rsid w:val="00AA15DD"/>
    <w:rsid w:val="00AA2D86"/>
    <w:rsid w:val="00AA6A92"/>
    <w:rsid w:val="00AC049F"/>
    <w:rsid w:val="00AC1E28"/>
    <w:rsid w:val="00AC4FE0"/>
    <w:rsid w:val="00AC5981"/>
    <w:rsid w:val="00AC6AB3"/>
    <w:rsid w:val="00AC70BA"/>
    <w:rsid w:val="00AF34DC"/>
    <w:rsid w:val="00B0057B"/>
    <w:rsid w:val="00B419DE"/>
    <w:rsid w:val="00B43F6F"/>
    <w:rsid w:val="00B44FB3"/>
    <w:rsid w:val="00B5116D"/>
    <w:rsid w:val="00B54AF7"/>
    <w:rsid w:val="00B6303E"/>
    <w:rsid w:val="00B66EF3"/>
    <w:rsid w:val="00B73E75"/>
    <w:rsid w:val="00B95449"/>
    <w:rsid w:val="00BB7375"/>
    <w:rsid w:val="00BB760C"/>
    <w:rsid w:val="00BC458E"/>
    <w:rsid w:val="00BC7EAA"/>
    <w:rsid w:val="00BD77FC"/>
    <w:rsid w:val="00C034E5"/>
    <w:rsid w:val="00C04121"/>
    <w:rsid w:val="00C118F5"/>
    <w:rsid w:val="00C20FF7"/>
    <w:rsid w:val="00C213DA"/>
    <w:rsid w:val="00C223BE"/>
    <w:rsid w:val="00C361E5"/>
    <w:rsid w:val="00C41E6E"/>
    <w:rsid w:val="00C536D7"/>
    <w:rsid w:val="00C54750"/>
    <w:rsid w:val="00C56CA4"/>
    <w:rsid w:val="00C723B9"/>
    <w:rsid w:val="00C746A4"/>
    <w:rsid w:val="00C7734D"/>
    <w:rsid w:val="00CA1225"/>
    <w:rsid w:val="00CA6F90"/>
    <w:rsid w:val="00CC5394"/>
    <w:rsid w:val="00CC70B5"/>
    <w:rsid w:val="00CD755B"/>
    <w:rsid w:val="00D212CF"/>
    <w:rsid w:val="00D44C5B"/>
    <w:rsid w:val="00D463DD"/>
    <w:rsid w:val="00D565E6"/>
    <w:rsid w:val="00D60352"/>
    <w:rsid w:val="00D8450F"/>
    <w:rsid w:val="00D84700"/>
    <w:rsid w:val="00D92593"/>
    <w:rsid w:val="00D937B2"/>
    <w:rsid w:val="00DA5245"/>
    <w:rsid w:val="00DA54A2"/>
    <w:rsid w:val="00DA56BF"/>
    <w:rsid w:val="00DA6067"/>
    <w:rsid w:val="00DB3D69"/>
    <w:rsid w:val="00DF2A12"/>
    <w:rsid w:val="00E03E4B"/>
    <w:rsid w:val="00E132CE"/>
    <w:rsid w:val="00E177D3"/>
    <w:rsid w:val="00E25BF0"/>
    <w:rsid w:val="00E5260A"/>
    <w:rsid w:val="00E70403"/>
    <w:rsid w:val="00E71508"/>
    <w:rsid w:val="00E9668E"/>
    <w:rsid w:val="00EA61A7"/>
    <w:rsid w:val="00ED565B"/>
    <w:rsid w:val="00ED5B85"/>
    <w:rsid w:val="00ED7497"/>
    <w:rsid w:val="00EE1069"/>
    <w:rsid w:val="00EE2030"/>
    <w:rsid w:val="00F01DEA"/>
    <w:rsid w:val="00F07CAF"/>
    <w:rsid w:val="00F07FB0"/>
    <w:rsid w:val="00F11C20"/>
    <w:rsid w:val="00F1563B"/>
    <w:rsid w:val="00F232C0"/>
    <w:rsid w:val="00F31D06"/>
    <w:rsid w:val="00F463A5"/>
    <w:rsid w:val="00F550B0"/>
    <w:rsid w:val="00F65A07"/>
    <w:rsid w:val="00F70A8A"/>
    <w:rsid w:val="00F72465"/>
    <w:rsid w:val="00F76137"/>
    <w:rsid w:val="00F8207E"/>
    <w:rsid w:val="00F907EE"/>
    <w:rsid w:val="00F93189"/>
    <w:rsid w:val="00F94675"/>
    <w:rsid w:val="00FA6CF0"/>
    <w:rsid w:val="00FE5C7A"/>
    <w:rsid w:val="00FF7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B376"/>
  <w15:docId w15:val="{CCD2FAD4-291D-48E7-BC4E-F6F3F5E3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C5B"/>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D44C5B"/>
    <w:pPr>
      <w:tabs>
        <w:tab w:val="center" w:pos="4536"/>
        <w:tab w:val="right" w:pos="9072"/>
      </w:tabs>
    </w:pPr>
  </w:style>
  <w:style w:type="character" w:customStyle="1" w:styleId="PtaChar">
    <w:name w:val="Päta Char"/>
    <w:basedOn w:val="Predvolenpsmoodseku"/>
    <w:link w:val="Pta"/>
    <w:uiPriority w:val="99"/>
    <w:rsid w:val="00D44C5B"/>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D44C5B"/>
    <w:pPr>
      <w:widowControl/>
      <w:adjustRightInd/>
      <w:spacing w:before="100" w:beforeAutospacing="1" w:after="100" w:afterAutospacing="1"/>
    </w:pPr>
  </w:style>
  <w:style w:type="paragraph" w:customStyle="1" w:styleId="Default">
    <w:name w:val="Default"/>
    <w:rsid w:val="00D44C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SS">
    <w:name w:val="AKSS"/>
    <w:basedOn w:val="Normlny"/>
    <w:qFormat/>
    <w:rsid w:val="008B42F0"/>
    <w:pPr>
      <w:widowControl/>
      <w:adjustRightInd/>
      <w:spacing w:line="240" w:lineRule="atLeast"/>
      <w:jc w:val="both"/>
    </w:pPr>
    <w:rPr>
      <w:rFonts w:ascii="Verdana" w:eastAsia="Calibri" w:hAnsi="Verdana"/>
      <w:sz w:val="20"/>
      <w:szCs w:val="20"/>
      <w:lang w:eastAsia="en-US"/>
    </w:rPr>
  </w:style>
  <w:style w:type="character" w:customStyle="1" w:styleId="awspan">
    <w:name w:val="awspan"/>
    <w:basedOn w:val="Predvolenpsmoodseku"/>
    <w:rsid w:val="002A1095"/>
  </w:style>
  <w:style w:type="paragraph" w:styleId="Odsekzoznamu">
    <w:name w:val="List Paragraph"/>
    <w:basedOn w:val="Normlny"/>
    <w:uiPriority w:val="34"/>
    <w:qFormat/>
    <w:rsid w:val="000B16EF"/>
    <w:pPr>
      <w:autoSpaceDE w:val="0"/>
      <w:autoSpaceDN w:val="0"/>
      <w:ind w:left="720"/>
      <w:contextualSpacing/>
    </w:pPr>
  </w:style>
  <w:style w:type="paragraph" w:styleId="Hlavika">
    <w:name w:val="header"/>
    <w:basedOn w:val="Normlny"/>
    <w:link w:val="HlavikaChar"/>
    <w:uiPriority w:val="99"/>
    <w:unhideWhenUsed/>
    <w:rsid w:val="000B16EF"/>
    <w:pPr>
      <w:tabs>
        <w:tab w:val="center" w:pos="4536"/>
        <w:tab w:val="right" w:pos="9072"/>
      </w:tabs>
    </w:pPr>
  </w:style>
  <w:style w:type="character" w:customStyle="1" w:styleId="HlavikaChar">
    <w:name w:val="Hlavička Char"/>
    <w:basedOn w:val="Predvolenpsmoodseku"/>
    <w:link w:val="Hlavika"/>
    <w:uiPriority w:val="99"/>
    <w:rsid w:val="000B16E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751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51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253">
      <w:bodyDiv w:val="1"/>
      <w:marLeft w:val="0"/>
      <w:marRight w:val="0"/>
      <w:marTop w:val="0"/>
      <w:marBottom w:val="0"/>
      <w:divBdr>
        <w:top w:val="none" w:sz="0" w:space="0" w:color="auto"/>
        <w:left w:val="none" w:sz="0" w:space="0" w:color="auto"/>
        <w:bottom w:val="none" w:sz="0" w:space="0" w:color="auto"/>
        <w:right w:val="none" w:sz="0" w:space="0" w:color="auto"/>
      </w:divBdr>
      <w:divsChild>
        <w:div w:id="444471021">
          <w:marLeft w:val="0"/>
          <w:marRight w:val="0"/>
          <w:marTop w:val="0"/>
          <w:marBottom w:val="0"/>
          <w:divBdr>
            <w:top w:val="none" w:sz="0" w:space="0" w:color="auto"/>
            <w:left w:val="none" w:sz="0" w:space="0" w:color="auto"/>
            <w:bottom w:val="none" w:sz="0" w:space="0" w:color="auto"/>
            <w:right w:val="none" w:sz="0" w:space="0" w:color="auto"/>
          </w:divBdr>
        </w:div>
        <w:div w:id="477962776">
          <w:marLeft w:val="0"/>
          <w:marRight w:val="0"/>
          <w:marTop w:val="0"/>
          <w:marBottom w:val="0"/>
          <w:divBdr>
            <w:top w:val="none" w:sz="0" w:space="0" w:color="auto"/>
            <w:left w:val="none" w:sz="0" w:space="0" w:color="auto"/>
            <w:bottom w:val="none" w:sz="0" w:space="0" w:color="auto"/>
            <w:right w:val="none" w:sz="0" w:space="0" w:color="auto"/>
          </w:divBdr>
        </w:div>
      </w:divsChild>
    </w:div>
    <w:div w:id="1448158658">
      <w:bodyDiv w:val="1"/>
      <w:marLeft w:val="0"/>
      <w:marRight w:val="0"/>
      <w:marTop w:val="0"/>
      <w:marBottom w:val="0"/>
      <w:divBdr>
        <w:top w:val="none" w:sz="0" w:space="0" w:color="auto"/>
        <w:left w:val="none" w:sz="0" w:space="0" w:color="auto"/>
        <w:bottom w:val="none" w:sz="0" w:space="0" w:color="auto"/>
        <w:right w:val="none" w:sz="0" w:space="0" w:color="auto"/>
      </w:divBdr>
      <w:divsChild>
        <w:div w:id="1811945551">
          <w:marLeft w:val="0"/>
          <w:marRight w:val="0"/>
          <w:marTop w:val="0"/>
          <w:marBottom w:val="0"/>
          <w:divBdr>
            <w:top w:val="none" w:sz="0" w:space="0" w:color="auto"/>
            <w:left w:val="none" w:sz="0" w:space="0" w:color="auto"/>
            <w:bottom w:val="none" w:sz="0" w:space="0" w:color="auto"/>
            <w:right w:val="none" w:sz="0" w:space="0" w:color="auto"/>
          </w:divBdr>
        </w:div>
        <w:div w:id="7074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simkovic@justice.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7B28B-E77F-4F46-985E-74112B11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4393</Words>
  <Characters>25042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HAMBALEKOVA Alena</dc:creator>
  <cp:lastModifiedBy>ŠIMKOVIČ Milan</cp:lastModifiedBy>
  <cp:revision>87</cp:revision>
  <cp:lastPrinted>2021-02-24T08:26:00Z</cp:lastPrinted>
  <dcterms:created xsi:type="dcterms:W3CDTF">2021-02-08T12:35:00Z</dcterms:created>
  <dcterms:modified xsi:type="dcterms:W3CDTF">2021-02-24T10:13:00Z</dcterms:modified>
</cp:coreProperties>
</file>