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5721B" w14:textId="77777777" w:rsidR="00D72BD6" w:rsidRPr="005136D4" w:rsidRDefault="00D72BD6" w:rsidP="00D36312">
      <w:pPr>
        <w:jc w:val="center"/>
        <w:rPr>
          <w:b/>
          <w:bCs/>
        </w:rPr>
      </w:pPr>
      <w:bookmarkStart w:id="0" w:name="_GoBack"/>
      <w:bookmarkEnd w:id="0"/>
      <w:r w:rsidRPr="005136D4">
        <w:rPr>
          <w:b/>
          <w:bCs/>
        </w:rPr>
        <w:t>Dôvodová správa</w:t>
      </w:r>
    </w:p>
    <w:p w14:paraId="469A5F1B" w14:textId="77777777" w:rsidR="00204E0D" w:rsidRPr="005136D4" w:rsidRDefault="00204E0D" w:rsidP="00D36312">
      <w:pPr>
        <w:jc w:val="both"/>
        <w:rPr>
          <w:b/>
          <w:bCs/>
        </w:rPr>
      </w:pPr>
    </w:p>
    <w:p w14:paraId="16D326AD" w14:textId="77777777" w:rsidR="000078CD" w:rsidRPr="005136D4" w:rsidRDefault="000D797E" w:rsidP="00D36312">
      <w:pPr>
        <w:pStyle w:val="Zkladntext2"/>
        <w:spacing w:after="0"/>
        <w:ind w:left="0"/>
        <w:rPr>
          <w:b/>
          <w:bCs/>
        </w:rPr>
      </w:pPr>
      <w:r>
        <w:rPr>
          <w:b/>
          <w:bCs/>
        </w:rPr>
        <w:t xml:space="preserve">B. </w:t>
      </w:r>
      <w:r w:rsidR="00D72BD6" w:rsidRPr="005136D4">
        <w:rPr>
          <w:b/>
          <w:bCs/>
        </w:rPr>
        <w:t>Osobitná časť</w:t>
      </w:r>
    </w:p>
    <w:p w14:paraId="2B3F57CA" w14:textId="77777777" w:rsidR="00204E0D" w:rsidRPr="005136D4" w:rsidRDefault="00204E0D" w:rsidP="00D36312">
      <w:pPr>
        <w:pStyle w:val="Zkladntext2"/>
        <w:spacing w:after="0"/>
        <w:ind w:left="0"/>
        <w:jc w:val="center"/>
        <w:rPr>
          <w:bCs/>
        </w:rPr>
      </w:pPr>
    </w:p>
    <w:p w14:paraId="5FF41294" w14:textId="77777777" w:rsidR="003369A1" w:rsidRPr="005136D4" w:rsidRDefault="000078CD" w:rsidP="00D36312">
      <w:pPr>
        <w:autoSpaceDE w:val="0"/>
        <w:autoSpaceDN w:val="0"/>
        <w:adjustRightInd w:val="0"/>
        <w:rPr>
          <w:b/>
          <w:bCs/>
          <w:color w:val="231F20"/>
        </w:rPr>
      </w:pPr>
      <w:r w:rsidRPr="005136D4">
        <w:rPr>
          <w:b/>
          <w:bCs/>
          <w:color w:val="231F20"/>
        </w:rPr>
        <w:t>K čl. I</w:t>
      </w:r>
    </w:p>
    <w:p w14:paraId="3179938E" w14:textId="77777777" w:rsidR="00F55CD2" w:rsidRDefault="002C3CEA" w:rsidP="00D36312">
      <w:pPr>
        <w:pStyle w:val="Zkladntext"/>
        <w:spacing w:after="0"/>
        <w:jc w:val="both"/>
        <w:rPr>
          <w:u w:val="single"/>
        </w:rPr>
      </w:pPr>
      <w:r w:rsidRPr="005136D4">
        <w:rPr>
          <w:u w:val="single"/>
        </w:rPr>
        <w:t>K bod</w:t>
      </w:r>
      <w:r w:rsidR="002949EB" w:rsidRPr="005136D4">
        <w:rPr>
          <w:u w:val="single"/>
        </w:rPr>
        <w:t>u</w:t>
      </w:r>
      <w:r w:rsidRPr="005136D4">
        <w:rPr>
          <w:u w:val="single"/>
        </w:rPr>
        <w:t xml:space="preserve"> 1</w:t>
      </w:r>
    </w:p>
    <w:p w14:paraId="656F8F5E" w14:textId="7D74A0CC" w:rsidR="001E725C" w:rsidRDefault="00D36312" w:rsidP="00D36312">
      <w:pPr>
        <w:pStyle w:val="Zkladntext"/>
        <w:spacing w:after="0"/>
        <w:jc w:val="both"/>
      </w:pPr>
      <w:r>
        <w:t>V návrhu zákona sa realizujú zmeny v súvislosti s implementáciou nariadenia Európskeho parlamentu a Rady (EÚ) 2018/1672 z 23. októbra 2018 o kontrolách peňažných prostriedkov v hotovosti, ktoré vstupujú do Únie alebo opúšťajú Úniu, a ktorým sa zrušuje nariadenie (ES) č. 1889/2005</w:t>
      </w:r>
      <w:r w:rsidR="002E251D">
        <w:t xml:space="preserve"> </w:t>
      </w:r>
      <w:r>
        <w:t xml:space="preserve">(ďalej len „nariadenie EP a Rady </w:t>
      </w:r>
      <w:r w:rsidR="00E32EE6">
        <w:t xml:space="preserve">(EÚ) </w:t>
      </w:r>
      <w:r>
        <w:t>2018/1672</w:t>
      </w:r>
      <w:r w:rsidR="002E251D">
        <w:t>“</w:t>
      </w:r>
      <w:r w:rsidR="00526BBC">
        <w:t>)</w:t>
      </w:r>
      <w:r>
        <w:t xml:space="preserve">, ktoré sa týkajú oprávnení colných orgánov pri kontrole plnenia povinností podľa nariadenia EP a Rady </w:t>
      </w:r>
      <w:r w:rsidR="00E32EE6">
        <w:t xml:space="preserve">(EÚ) </w:t>
      </w:r>
      <w:r>
        <w:t xml:space="preserve">2018/1672 pri preprave peňažných prostriedkov v hotovosti. </w:t>
      </w:r>
    </w:p>
    <w:p w14:paraId="2B3D14EC" w14:textId="77777777" w:rsidR="001E725C" w:rsidRDefault="001E725C" w:rsidP="00D36312">
      <w:pPr>
        <w:pStyle w:val="Zkladntext"/>
        <w:spacing w:after="0"/>
        <w:jc w:val="both"/>
      </w:pPr>
    </w:p>
    <w:p w14:paraId="214DC61F" w14:textId="491B4FAA" w:rsidR="001E725C" w:rsidRDefault="0012791F" w:rsidP="00D36312">
      <w:pPr>
        <w:pStyle w:val="Zkladntext"/>
        <w:spacing w:after="0"/>
        <w:jc w:val="both"/>
      </w:pPr>
      <w:r>
        <w:t>V súlade s úvodným ustanovením nariadenia EP a Rady (EÚ) 2018/1672</w:t>
      </w:r>
      <w:r w:rsidR="00085278">
        <w:t xml:space="preserve"> v</w:t>
      </w:r>
      <w:r>
        <w:t xml:space="preserve"> </w:t>
      </w:r>
      <w:r w:rsidRPr="0012791F">
        <w:t xml:space="preserve">prípade pohybov peňažných prostriedkov v hotovosti bez sprievodu, napríklad peňažných prostriedkov </w:t>
      </w:r>
      <w:r w:rsidR="00485CEA">
        <w:br/>
      </w:r>
      <w:r w:rsidRPr="0012791F">
        <w:t>v hotovosti, ktoré vstupujú do Únie alebo opúšťajú Úniu v poštových balíkoch, kuriérskych zásielkach, batožine bez sprievodu alebo ako náklad v kontajneroch, by mali mať príslušné orgány právomoc žiadať, aby odosielateľ alebo príjemca alebo ich zástupca splnili nahlasovaciu povinnosť, a to systematicky alebo od prípadu k prípadu v s</w:t>
      </w:r>
      <w:r>
        <w:t>úlade s vnútroštátnymi postupmi</w:t>
      </w:r>
      <w:r w:rsidR="001E725C">
        <w:t xml:space="preserve">. V návrhu zákona sa preto </w:t>
      </w:r>
      <w:r>
        <w:t>zakotvuje selektívny prístup podmieňujúci takýto postup colného úradu</w:t>
      </w:r>
      <w:r w:rsidR="001E725C">
        <w:t xml:space="preserve"> tým, že colný úrad disponuje </w:t>
      </w:r>
      <w:r w:rsidR="00085278">
        <w:t>informáciou o možnom súvise peňažných prostriedkov v hotovosti s trestnou činnosťou.</w:t>
      </w:r>
    </w:p>
    <w:p w14:paraId="4F62AB38" w14:textId="77777777" w:rsidR="001E725C" w:rsidRDefault="001E725C" w:rsidP="00D36312">
      <w:pPr>
        <w:pStyle w:val="Zkladntext"/>
        <w:spacing w:after="0"/>
        <w:jc w:val="both"/>
      </w:pPr>
    </w:p>
    <w:p w14:paraId="201E759F" w14:textId="3D660F83" w:rsidR="00D36312" w:rsidRDefault="00D36312" w:rsidP="00D36312">
      <w:pPr>
        <w:pStyle w:val="Zkladntext"/>
        <w:spacing w:after="0"/>
        <w:jc w:val="both"/>
      </w:pPr>
      <w:r>
        <w:t xml:space="preserve">Zároveň sa upravujú podrobnosti dočasného zadržania peňažných prostriedkov v hotovosti </w:t>
      </w:r>
      <w:r w:rsidR="00485CEA">
        <w:br/>
      </w:r>
      <w:r>
        <w:t xml:space="preserve">a určovania ich hodnoty. </w:t>
      </w:r>
    </w:p>
    <w:p w14:paraId="4B930FBB" w14:textId="77777777" w:rsidR="00D36312" w:rsidRDefault="00D36312" w:rsidP="00D36312">
      <w:pPr>
        <w:pStyle w:val="Zkladntext"/>
        <w:spacing w:after="0"/>
        <w:jc w:val="both"/>
      </w:pPr>
    </w:p>
    <w:p w14:paraId="63CF50E6" w14:textId="7912676B" w:rsidR="00F55CD2" w:rsidRPr="005136D4" w:rsidRDefault="00F55CD2" w:rsidP="00D36312">
      <w:pPr>
        <w:pStyle w:val="Zkladntext"/>
        <w:spacing w:after="0"/>
        <w:jc w:val="both"/>
        <w:rPr>
          <w:u w:val="single"/>
        </w:rPr>
      </w:pPr>
      <w:r>
        <w:rPr>
          <w:u w:val="single"/>
        </w:rPr>
        <w:t xml:space="preserve">K bodu 2 </w:t>
      </w:r>
    </w:p>
    <w:p w14:paraId="235F6AD6" w14:textId="37CBFB6F" w:rsidR="00695490" w:rsidRDefault="000A769F" w:rsidP="00D36312">
      <w:pPr>
        <w:pStyle w:val="Zkladntext"/>
        <w:spacing w:after="0"/>
        <w:jc w:val="both"/>
      </w:pPr>
      <w:r>
        <w:t xml:space="preserve">V nadväznosti na </w:t>
      </w:r>
      <w:r w:rsidR="00695490">
        <w:t xml:space="preserve">nariadenie EP a Rady (EÚ) </w:t>
      </w:r>
      <w:r w:rsidR="00695490" w:rsidRPr="00F80AD9">
        <w:t>2019/1020</w:t>
      </w:r>
      <w:r w:rsidR="00695490">
        <w:t xml:space="preserve"> </w:t>
      </w:r>
      <w:r w:rsidR="00695490" w:rsidRPr="00F80AD9">
        <w:t xml:space="preserve">z 20. júna 2019 o dohľade nad trhom a súlade výrobkov a o zmene smernice 2004/42/ES a nariadení (ES) č. 765/2008 a (EÚ) </w:t>
      </w:r>
      <w:r w:rsidR="00485CEA">
        <w:br/>
      </w:r>
      <w:r w:rsidR="00695490" w:rsidRPr="00F80AD9">
        <w:t>č. 305/2011</w:t>
      </w:r>
      <w:r w:rsidR="00695490">
        <w:t xml:space="preserve"> (ďalej len „nariadenie EP a Rady (EÚ) 2019/1020</w:t>
      </w:r>
      <w:r w:rsidR="002B3FD5">
        <w:t>“</w:t>
      </w:r>
      <w:r w:rsidR="00526BBC">
        <w:t xml:space="preserve">) sa </w:t>
      </w:r>
      <w:r w:rsidR="00695490">
        <w:t xml:space="preserve">ustanovuje, </w:t>
      </w:r>
      <w:r w:rsidR="00695490" w:rsidRPr="00E72EC8">
        <w:t xml:space="preserve">že </w:t>
      </w:r>
      <w:r w:rsidR="00791AED">
        <w:t xml:space="preserve">príslušným </w:t>
      </w:r>
      <w:r w:rsidR="00695490" w:rsidRPr="00E72EC8">
        <w:t>colný</w:t>
      </w:r>
      <w:r w:rsidR="00791AED">
        <w:t>m</w:t>
      </w:r>
      <w:r w:rsidR="00695490" w:rsidRPr="00E72EC8">
        <w:t xml:space="preserve"> orgán</w:t>
      </w:r>
      <w:r w:rsidR="00791AED">
        <w:t>om</w:t>
      </w:r>
      <w:r w:rsidR="00695490" w:rsidRPr="00E72EC8">
        <w:t xml:space="preserve"> </w:t>
      </w:r>
      <w:r w:rsidR="00D0730E">
        <w:t xml:space="preserve">na kontrolu a prípadné </w:t>
      </w:r>
      <w:r w:rsidR="00695490" w:rsidRPr="00E72EC8">
        <w:t>pozastav</w:t>
      </w:r>
      <w:r w:rsidR="00791AED">
        <w:t>enie</w:t>
      </w:r>
      <w:r w:rsidR="00695490" w:rsidRPr="00E72EC8">
        <w:t xml:space="preserve"> prepusteni</w:t>
      </w:r>
      <w:r w:rsidR="00791AED">
        <w:t>a</w:t>
      </w:r>
      <w:r w:rsidR="00695490" w:rsidRPr="00E72EC8">
        <w:t xml:space="preserve"> </w:t>
      </w:r>
      <w:r w:rsidR="00791AED">
        <w:t xml:space="preserve">dovážaného </w:t>
      </w:r>
      <w:r w:rsidR="00695490" w:rsidRPr="00E72EC8">
        <w:t xml:space="preserve">výrobku do </w:t>
      </w:r>
      <w:r w:rsidR="002E251D">
        <w:t>v</w:t>
      </w:r>
      <w:r w:rsidR="00695490" w:rsidRPr="00E72EC8">
        <w:t>oľn</w:t>
      </w:r>
      <w:r w:rsidR="002E251D">
        <w:t>ého</w:t>
      </w:r>
      <w:r w:rsidR="00695490" w:rsidRPr="00E72EC8">
        <w:t xml:space="preserve"> obeh</w:t>
      </w:r>
      <w:r w:rsidR="002E251D">
        <w:t>u</w:t>
      </w:r>
      <w:r w:rsidR="00791AED">
        <w:t xml:space="preserve"> je colný úrad</w:t>
      </w:r>
      <w:r w:rsidR="001255B8">
        <w:t>. Colný úrad prepustenie pozastaví</w:t>
      </w:r>
      <w:r w:rsidR="00695490">
        <w:t xml:space="preserve">, ak </w:t>
      </w:r>
      <w:r w:rsidR="001255B8">
        <w:t>zistí, že</w:t>
      </w:r>
      <w:r w:rsidR="006C3B92">
        <w:t xml:space="preserve"> </w:t>
      </w:r>
      <w:r w:rsidR="00695490">
        <w:t>nie sú splnené určené podmienky</w:t>
      </w:r>
      <w:r w:rsidR="001255B8">
        <w:t xml:space="preserve"> na uvedenie dovážaného výrobku na trh alebo existuje dôvod domnievať sa, že </w:t>
      </w:r>
      <w:r w:rsidR="001255B8" w:rsidRPr="001255B8">
        <w:t>výrobok nie je v súlade s právom Únie, ktoré sa naň vzťahuje</w:t>
      </w:r>
      <w:r w:rsidR="00695490">
        <w:t xml:space="preserve">. </w:t>
      </w:r>
    </w:p>
    <w:p w14:paraId="1E926112" w14:textId="77777777" w:rsidR="00695490" w:rsidRDefault="00695490" w:rsidP="00D36312">
      <w:pPr>
        <w:pStyle w:val="Zkladntext"/>
        <w:spacing w:after="0"/>
        <w:jc w:val="both"/>
      </w:pPr>
    </w:p>
    <w:p w14:paraId="4D55E4F0" w14:textId="64CF3BF3" w:rsidR="00FB3126" w:rsidRDefault="00695490" w:rsidP="00D36312">
      <w:pPr>
        <w:jc w:val="both"/>
      </w:pPr>
      <w:r>
        <w:t xml:space="preserve">Zároveň návrh zákona ustanovuje, </w:t>
      </w:r>
      <w:r w:rsidR="00FB3126">
        <w:t>že colný úrad dovážaný výrobok zničí, ak t</w:t>
      </w:r>
      <w:r w:rsidR="005C3FA7">
        <w:t>o</w:t>
      </w:r>
      <w:r w:rsidR="00FB3126">
        <w:t xml:space="preserve"> nariadi </w:t>
      </w:r>
      <w:r w:rsidRPr="00E72EC8">
        <w:t xml:space="preserve">orgán </w:t>
      </w:r>
      <w:r w:rsidR="004B6613">
        <w:t xml:space="preserve">dozoru, </w:t>
      </w:r>
      <w:r w:rsidRPr="00E72EC8">
        <w:t>dohľadu</w:t>
      </w:r>
      <w:r w:rsidR="004B6613">
        <w:t xml:space="preserve"> a kontroly. </w:t>
      </w:r>
      <w:r w:rsidR="00E73AE9">
        <w:t xml:space="preserve">Orgán </w:t>
      </w:r>
      <w:r w:rsidR="004B6613">
        <w:t xml:space="preserve">dozoru, </w:t>
      </w:r>
      <w:r w:rsidR="00E73AE9">
        <w:t>dohľadu</w:t>
      </w:r>
      <w:r w:rsidR="004B6613">
        <w:t xml:space="preserve"> a kontroly </w:t>
      </w:r>
      <w:r w:rsidR="00E73AE9">
        <w:t xml:space="preserve">tak v súlade s nariadením EP a Rady (EÚ) 2019/1020 urobí vtedy, keď to bude vzhľadom </w:t>
      </w:r>
      <w:r w:rsidR="006C3B92">
        <w:t>na existujúce riziko pre zdravie a</w:t>
      </w:r>
      <w:r w:rsidR="00E73AE9">
        <w:t> </w:t>
      </w:r>
      <w:r w:rsidR="006C3B92">
        <w:t>bezpečnos</w:t>
      </w:r>
      <w:r w:rsidR="00E73AE9">
        <w:t xml:space="preserve">ť </w:t>
      </w:r>
      <w:r w:rsidR="006C3B92">
        <w:t>potrebné a</w:t>
      </w:r>
      <w:r w:rsidR="00E73AE9">
        <w:t> </w:t>
      </w:r>
      <w:r w:rsidR="006C3B92">
        <w:t>primerané</w:t>
      </w:r>
      <w:r w:rsidR="008566AE">
        <w:t>.</w:t>
      </w:r>
    </w:p>
    <w:p w14:paraId="7720FFE5" w14:textId="77777777" w:rsidR="00FB3126" w:rsidRDefault="00FB3126" w:rsidP="00D36312">
      <w:pPr>
        <w:jc w:val="both"/>
      </w:pPr>
    </w:p>
    <w:p w14:paraId="7BAC75CB" w14:textId="7AB63B54" w:rsidR="00FF3163" w:rsidRPr="005136D4" w:rsidRDefault="00FF3163" w:rsidP="00CA6FBC">
      <w:pPr>
        <w:jc w:val="both"/>
        <w:rPr>
          <w:u w:val="single"/>
        </w:rPr>
      </w:pPr>
      <w:r w:rsidRPr="005136D4">
        <w:rPr>
          <w:u w:val="single"/>
        </w:rPr>
        <w:t xml:space="preserve">K bodu </w:t>
      </w:r>
      <w:r w:rsidR="00F55CD2">
        <w:rPr>
          <w:u w:val="single"/>
        </w:rPr>
        <w:t>3</w:t>
      </w:r>
    </w:p>
    <w:p w14:paraId="222FF977" w14:textId="29224731" w:rsidR="00F04198" w:rsidRDefault="00C64E87" w:rsidP="00D36312">
      <w:pPr>
        <w:pStyle w:val="Zkladntext"/>
        <w:spacing w:after="0"/>
        <w:jc w:val="both"/>
      </w:pPr>
      <w:r>
        <w:t>Legislatívno-technická úprava</w:t>
      </w:r>
      <w:r w:rsidR="00CD3695" w:rsidRPr="00CD3695">
        <w:t xml:space="preserve"> </w:t>
      </w:r>
      <w:r w:rsidR="00CD3695">
        <w:t>v nadväznosti na bod 1.</w:t>
      </w:r>
      <w:r>
        <w:t xml:space="preserve"> </w:t>
      </w:r>
    </w:p>
    <w:p w14:paraId="25820281" w14:textId="77777777" w:rsidR="00C64E87" w:rsidRDefault="00C64E87" w:rsidP="00D36312">
      <w:pPr>
        <w:pStyle w:val="Zkladntext"/>
        <w:spacing w:after="0"/>
        <w:jc w:val="both"/>
      </w:pPr>
    </w:p>
    <w:p w14:paraId="07A6D227" w14:textId="534BF333" w:rsidR="004D68AD" w:rsidRPr="005136D4" w:rsidRDefault="004D68AD" w:rsidP="00D36312">
      <w:pPr>
        <w:pStyle w:val="Zkladntext"/>
        <w:spacing w:after="0"/>
        <w:jc w:val="both"/>
        <w:rPr>
          <w:u w:val="single"/>
        </w:rPr>
      </w:pPr>
      <w:r>
        <w:rPr>
          <w:u w:val="single"/>
        </w:rPr>
        <w:t xml:space="preserve">K bodu </w:t>
      </w:r>
      <w:r w:rsidR="00204E0D">
        <w:rPr>
          <w:u w:val="single"/>
        </w:rPr>
        <w:t>4</w:t>
      </w:r>
      <w:r>
        <w:rPr>
          <w:u w:val="single"/>
        </w:rPr>
        <w:t xml:space="preserve"> </w:t>
      </w:r>
    </w:p>
    <w:p w14:paraId="25D8D9FE" w14:textId="2779A086" w:rsidR="004D68AD" w:rsidRDefault="00D36312" w:rsidP="00D36312">
      <w:pPr>
        <w:pStyle w:val="Zkladntext"/>
        <w:spacing w:after="0"/>
        <w:jc w:val="both"/>
      </w:pPr>
      <w:r>
        <w:t xml:space="preserve">Upravuje sa </w:t>
      </w:r>
      <w:r w:rsidR="00085278">
        <w:t xml:space="preserve">skutková podstata colného priestupku, resp. colného deliktu v súvislosti </w:t>
      </w:r>
      <w:r w:rsidR="00485CEA">
        <w:br/>
      </w:r>
      <w:r w:rsidR="00085278">
        <w:t xml:space="preserve">s </w:t>
      </w:r>
      <w:r w:rsidRPr="00D36312">
        <w:t>porušen</w:t>
      </w:r>
      <w:r w:rsidR="00085278">
        <w:t>ím</w:t>
      </w:r>
      <w:r w:rsidRPr="00D36312">
        <w:t xml:space="preserve"> povinnosti spojenej s prepravou peňažných prostriedkov v</w:t>
      </w:r>
      <w:r>
        <w:t> </w:t>
      </w:r>
      <w:r w:rsidRPr="00D36312">
        <w:t>hotovosti</w:t>
      </w:r>
      <w:r>
        <w:t xml:space="preserve"> v nadväznosti na </w:t>
      </w:r>
      <w:r w:rsidR="00526BBC">
        <w:t xml:space="preserve">navrhované </w:t>
      </w:r>
      <w:r>
        <w:t xml:space="preserve">zmeny v § 4 </w:t>
      </w:r>
      <w:r w:rsidR="00A24364">
        <w:t xml:space="preserve">Colného </w:t>
      </w:r>
      <w:r w:rsidR="00D80DFB">
        <w:t>zákona.</w:t>
      </w:r>
    </w:p>
    <w:p w14:paraId="0B2FA51E" w14:textId="77777777" w:rsidR="00D36312" w:rsidRDefault="00D36312" w:rsidP="00D36312">
      <w:pPr>
        <w:pStyle w:val="Zkladntext"/>
        <w:spacing w:after="0"/>
        <w:jc w:val="both"/>
      </w:pPr>
    </w:p>
    <w:p w14:paraId="4A62E759" w14:textId="77777777" w:rsidR="00767582" w:rsidRDefault="00767582" w:rsidP="00D36312">
      <w:pPr>
        <w:pStyle w:val="Zkladntext"/>
        <w:spacing w:after="0"/>
        <w:jc w:val="both"/>
        <w:rPr>
          <w:u w:val="single"/>
        </w:rPr>
      </w:pPr>
    </w:p>
    <w:p w14:paraId="4F5214A7" w14:textId="77777777" w:rsidR="00767582" w:rsidRDefault="00767582" w:rsidP="00D36312">
      <w:pPr>
        <w:pStyle w:val="Zkladntext"/>
        <w:spacing w:after="0"/>
        <w:jc w:val="both"/>
        <w:rPr>
          <w:u w:val="single"/>
        </w:rPr>
      </w:pPr>
    </w:p>
    <w:p w14:paraId="3DDE1A15" w14:textId="42EA7194" w:rsidR="004D68AD" w:rsidRPr="005136D4" w:rsidRDefault="004D68AD" w:rsidP="00D36312">
      <w:pPr>
        <w:pStyle w:val="Zkladntext"/>
        <w:spacing w:after="0"/>
        <w:jc w:val="both"/>
        <w:rPr>
          <w:u w:val="single"/>
        </w:rPr>
      </w:pPr>
      <w:r>
        <w:rPr>
          <w:u w:val="single"/>
        </w:rPr>
        <w:lastRenderedPageBreak/>
        <w:t xml:space="preserve">K bodu </w:t>
      </w:r>
      <w:r w:rsidR="00204E0D">
        <w:rPr>
          <w:u w:val="single"/>
        </w:rPr>
        <w:t>5</w:t>
      </w:r>
      <w:r>
        <w:rPr>
          <w:u w:val="single"/>
        </w:rPr>
        <w:t xml:space="preserve"> </w:t>
      </w:r>
    </w:p>
    <w:p w14:paraId="0C9B7B96" w14:textId="2A497A7C" w:rsidR="004D68AD" w:rsidRPr="00BF2C3A" w:rsidRDefault="00C64E87" w:rsidP="00D36312">
      <w:pPr>
        <w:pStyle w:val="Zkladntext"/>
        <w:spacing w:after="0"/>
        <w:jc w:val="both"/>
        <w:rPr>
          <w:color w:val="FF0000"/>
        </w:rPr>
      </w:pPr>
      <w:r>
        <w:t xml:space="preserve">Podľa </w:t>
      </w:r>
      <w:r w:rsidR="006C3B92">
        <w:t xml:space="preserve">§ 29 ods. 5 </w:t>
      </w:r>
      <w:r>
        <w:t xml:space="preserve">Správneho poriadku lehoty </w:t>
      </w:r>
      <w:r w:rsidR="002645BB">
        <w:t xml:space="preserve">podľa tohto zákona </w:t>
      </w:r>
      <w:r>
        <w:t xml:space="preserve">neplynú, </w:t>
      </w:r>
      <w:r w:rsidR="006C3B92">
        <w:t xml:space="preserve">pokiaľ </w:t>
      </w:r>
      <w:r>
        <w:t xml:space="preserve">je </w:t>
      </w:r>
      <w:r w:rsidRPr="00C64E87">
        <w:t>konanie prerušené</w:t>
      </w:r>
      <w:r>
        <w:t xml:space="preserve">. </w:t>
      </w:r>
      <w:r w:rsidR="003B014C">
        <w:t xml:space="preserve">Navrhuje sa, aby sa obdobným spôsobom </w:t>
      </w:r>
      <w:r w:rsidR="006C3B92">
        <w:t>upravil</w:t>
      </w:r>
      <w:r w:rsidR="005E1A79">
        <w:t>i účinky prerušenia konania</w:t>
      </w:r>
      <w:r w:rsidR="006C3B92">
        <w:t xml:space="preserve"> </w:t>
      </w:r>
      <w:r>
        <w:t>aj v</w:t>
      </w:r>
      <w:r w:rsidR="005E1A79">
        <w:t>o vzťahu k lehote ustanovenej v § 85 ods. 9</w:t>
      </w:r>
      <w:r>
        <w:t> Coln</w:t>
      </w:r>
      <w:r w:rsidR="005E1A79">
        <w:t>ého</w:t>
      </w:r>
      <w:r>
        <w:t xml:space="preserve"> zákon</w:t>
      </w:r>
      <w:r w:rsidR="005E1A79">
        <w:t>a</w:t>
      </w:r>
      <w:r w:rsidRPr="00E32EE6">
        <w:t>.</w:t>
      </w:r>
      <w:r w:rsidR="004D68AD">
        <w:t> </w:t>
      </w:r>
    </w:p>
    <w:p w14:paraId="43E0E8CF" w14:textId="77777777" w:rsidR="004D68AD" w:rsidRDefault="004D68AD" w:rsidP="00D36312">
      <w:pPr>
        <w:pStyle w:val="Zkladntext"/>
        <w:spacing w:after="0"/>
        <w:jc w:val="both"/>
      </w:pPr>
    </w:p>
    <w:p w14:paraId="0F77C682" w14:textId="77777777" w:rsidR="006E6153" w:rsidRPr="00C9048F" w:rsidRDefault="006E6153" w:rsidP="006E6153">
      <w:pPr>
        <w:pStyle w:val="Zkladntext"/>
        <w:spacing w:after="0"/>
        <w:jc w:val="both"/>
        <w:rPr>
          <w:u w:val="single"/>
        </w:rPr>
      </w:pPr>
      <w:r w:rsidRPr="00C9048F">
        <w:rPr>
          <w:u w:val="single"/>
        </w:rPr>
        <w:t>K bodu 6</w:t>
      </w:r>
    </w:p>
    <w:p w14:paraId="01071D9B" w14:textId="3CEE7E7C" w:rsidR="006E6153" w:rsidRPr="00C9048F" w:rsidRDefault="006E6153" w:rsidP="006E6153">
      <w:pPr>
        <w:pStyle w:val="Zkladntext"/>
        <w:spacing w:after="0"/>
        <w:jc w:val="both"/>
      </w:pPr>
      <w:r w:rsidRPr="00C9048F">
        <w:t xml:space="preserve">Ustanovuje sa, že ak colný úrad po dôkladnom posúdení považuje </w:t>
      </w:r>
      <w:r w:rsidR="004045FA">
        <w:t>za</w:t>
      </w:r>
      <w:r w:rsidRPr="00C9048F">
        <w:t xml:space="preserve"> nevyhnutné dočasné zadržanie peňažných prostriedkov v hotovosti predĺžiť, rozhodnutie o tomto predĺžení je vykonateľné dňom jeho vydania.</w:t>
      </w:r>
      <w:r w:rsidR="002D5108" w:rsidRPr="00C9048F">
        <w:t xml:space="preserve"> Uvedené sa navrhuje vzhľadom na nevyhnutnosť zabezpečiť bezprostredné nastúpenie právnych účinkov predmetného rozhodnutia. </w:t>
      </w:r>
    </w:p>
    <w:p w14:paraId="76E021A6" w14:textId="77777777" w:rsidR="006E6153" w:rsidRDefault="006E6153" w:rsidP="00E80B83">
      <w:pPr>
        <w:pStyle w:val="Zkladntext"/>
        <w:spacing w:after="0"/>
        <w:jc w:val="both"/>
        <w:rPr>
          <w:u w:val="single"/>
        </w:rPr>
      </w:pPr>
    </w:p>
    <w:p w14:paraId="68FBCB09" w14:textId="177A241B" w:rsidR="00E80B83" w:rsidRPr="006E6153" w:rsidRDefault="00E80B83" w:rsidP="00E80B83">
      <w:pPr>
        <w:pStyle w:val="Zkladntext"/>
        <w:spacing w:after="0"/>
        <w:jc w:val="both"/>
        <w:rPr>
          <w:u w:val="single"/>
        </w:rPr>
      </w:pPr>
      <w:r w:rsidRPr="003C2610">
        <w:rPr>
          <w:u w:val="single"/>
        </w:rPr>
        <w:t xml:space="preserve">K bodu </w:t>
      </w:r>
      <w:r w:rsidR="006E6153">
        <w:rPr>
          <w:u w:val="single"/>
        </w:rPr>
        <w:t>7</w:t>
      </w:r>
    </w:p>
    <w:p w14:paraId="1EA91268" w14:textId="2EBFF1F9" w:rsidR="00E80B83" w:rsidRPr="003C2610" w:rsidRDefault="00E80B83" w:rsidP="00E80B83">
      <w:pPr>
        <w:pStyle w:val="Zkladntext"/>
        <w:spacing w:after="0"/>
        <w:jc w:val="both"/>
      </w:pPr>
      <w:r w:rsidRPr="003C2610">
        <w:t xml:space="preserve">V súvislosti s inštitútom dočasného zadržania peňažných prostriedkov v hotovosti podľa osobitného predpisu (nariadenie EP a Rady (EÚ) 2018/1672) sa zakotvuje výnimka vo vzťahu k všeobecnému pravidlu ustanovenému v Správnom poriadku. Podľa § 55 ods. 1 Správneho poriadku, pokiaľ osobitný zákon neustanovuje inak, včas podané odvolanie má odkladný účinok. </w:t>
      </w:r>
      <w:r>
        <w:t>Avšak vz</w:t>
      </w:r>
      <w:r w:rsidRPr="003C2610">
        <w:t>hľadom na povahu predmetn</w:t>
      </w:r>
      <w:r w:rsidR="00837D6C">
        <w:t>ých</w:t>
      </w:r>
      <w:r w:rsidRPr="003C2610">
        <w:t xml:space="preserve"> rozhodnut</w:t>
      </w:r>
      <w:r w:rsidR="00837D6C">
        <w:t>í</w:t>
      </w:r>
      <w:r w:rsidRPr="003C2610">
        <w:t xml:space="preserve"> a potrebu </w:t>
      </w:r>
      <w:r w:rsidR="00837D6C">
        <w:t>ich</w:t>
      </w:r>
      <w:r w:rsidRPr="003C2610">
        <w:t xml:space="preserve"> okamžitých právnych účinkov</w:t>
      </w:r>
      <w:r w:rsidR="00957F48">
        <w:t xml:space="preserve"> </w:t>
      </w:r>
      <w:r w:rsidR="00957F48" w:rsidRPr="00957F48">
        <w:t xml:space="preserve">a skutočnosti, že čl. 45 Colného kódexu </w:t>
      </w:r>
      <w:r w:rsidR="002E251D">
        <w:t>Ú</w:t>
      </w:r>
      <w:r w:rsidR="00957F48" w:rsidRPr="00957F48">
        <w:t>nie sa na takéto rozhodnuti</w:t>
      </w:r>
      <w:r w:rsidR="00837D6C">
        <w:t>a</w:t>
      </w:r>
      <w:r w:rsidR="00957F48" w:rsidRPr="00957F48">
        <w:t xml:space="preserve"> nevzťahuje</w:t>
      </w:r>
      <w:r w:rsidR="00957F48">
        <w:t>,</w:t>
      </w:r>
      <w:r w:rsidRPr="003C2610">
        <w:t xml:space="preserve"> sa navrhuje, aby odvolanie proti tak</w:t>
      </w:r>
      <w:r w:rsidR="00837D6C">
        <w:t>ýmto</w:t>
      </w:r>
      <w:r w:rsidRPr="003C2610">
        <w:t xml:space="preserve"> rozhodnuti</w:t>
      </w:r>
      <w:r w:rsidR="00837D6C">
        <w:t>am</w:t>
      </w:r>
      <w:r w:rsidRPr="003C2610">
        <w:t xml:space="preserve"> nemalo odkladný účinok</w:t>
      </w:r>
    </w:p>
    <w:p w14:paraId="77921C29" w14:textId="77777777" w:rsidR="00E80B83" w:rsidRDefault="00E80B83" w:rsidP="00D36312">
      <w:pPr>
        <w:pStyle w:val="Zkladntext"/>
        <w:spacing w:after="0"/>
        <w:jc w:val="both"/>
      </w:pPr>
    </w:p>
    <w:p w14:paraId="26501356" w14:textId="77777777" w:rsidR="00BE055C" w:rsidRPr="00B0081E" w:rsidRDefault="00BE055C" w:rsidP="00D36312">
      <w:pPr>
        <w:autoSpaceDE w:val="0"/>
        <w:autoSpaceDN w:val="0"/>
        <w:adjustRightInd w:val="0"/>
        <w:jc w:val="both"/>
        <w:rPr>
          <w:b/>
          <w:bCs/>
          <w:color w:val="231F20"/>
        </w:rPr>
      </w:pPr>
      <w:r w:rsidRPr="00B0081E">
        <w:rPr>
          <w:b/>
          <w:bCs/>
          <w:color w:val="231F20"/>
        </w:rPr>
        <w:t>K čl. I</w:t>
      </w:r>
      <w:r>
        <w:rPr>
          <w:b/>
          <w:bCs/>
          <w:color w:val="231F20"/>
        </w:rPr>
        <w:t>I</w:t>
      </w:r>
    </w:p>
    <w:p w14:paraId="3178CDC8" w14:textId="713D0DE7" w:rsidR="0008097D" w:rsidRDefault="00BE055C" w:rsidP="00E16929">
      <w:pPr>
        <w:jc w:val="both"/>
        <w:rPr>
          <w:color w:val="231F20"/>
        </w:rPr>
      </w:pPr>
      <w:r w:rsidRPr="00B0081E">
        <w:rPr>
          <w:color w:val="231F20"/>
        </w:rPr>
        <w:t>Navrhuje sa</w:t>
      </w:r>
      <w:r w:rsidR="00F8771F">
        <w:rPr>
          <w:color w:val="231F20"/>
        </w:rPr>
        <w:t xml:space="preserve"> vypustenie </w:t>
      </w:r>
      <w:r w:rsidR="004D68AD">
        <w:rPr>
          <w:color w:val="231F20"/>
        </w:rPr>
        <w:t>písmen</w:t>
      </w:r>
      <w:r w:rsidR="00F8771F">
        <w:rPr>
          <w:color w:val="231F20"/>
        </w:rPr>
        <w:t>a</w:t>
      </w:r>
      <w:r w:rsidR="004D68AD">
        <w:rPr>
          <w:color w:val="231F20"/>
        </w:rPr>
        <w:t xml:space="preserve"> i) v § 20 ods. 3 zákona č. 250/2007 Z. z. o ochrane spotrebiteľa </w:t>
      </w:r>
      <w:r w:rsidR="004D68AD" w:rsidRPr="004D68AD">
        <w:rPr>
          <w:color w:val="231F20"/>
        </w:rPr>
        <w:t>a o zmene zákona Slovenskej národnej rady č. 372/1990 Zb. o priestupkoch v znení neskorších predpisov</w:t>
      </w:r>
      <w:r w:rsidR="004D68AD">
        <w:rPr>
          <w:color w:val="231F20"/>
        </w:rPr>
        <w:t xml:space="preserve"> (ďalej len „zákon č. 250/2007 Z. z.</w:t>
      </w:r>
      <w:r w:rsidR="002B3FD5">
        <w:rPr>
          <w:color w:val="231F20"/>
        </w:rPr>
        <w:t>“</w:t>
      </w:r>
      <w:r w:rsidR="004D68AD">
        <w:rPr>
          <w:color w:val="231F20"/>
        </w:rPr>
        <w:t xml:space="preserve">). Toto vypustenie sa navrhuje z toho dôvodu, </w:t>
      </w:r>
      <w:r w:rsidR="004D68AD" w:rsidRPr="004D68AD">
        <w:rPr>
          <w:color w:val="231F20"/>
        </w:rPr>
        <w:t xml:space="preserve">že nariadenie </w:t>
      </w:r>
      <w:r w:rsidR="004D68AD">
        <w:rPr>
          <w:color w:val="231F20"/>
        </w:rPr>
        <w:t>EP a Rady (EÚ) 2019/1020 v článk</w:t>
      </w:r>
      <w:r w:rsidR="002B3FD5">
        <w:rPr>
          <w:color w:val="231F20"/>
        </w:rPr>
        <w:t>och</w:t>
      </w:r>
      <w:r w:rsidR="004D68AD">
        <w:rPr>
          <w:color w:val="231F20"/>
        </w:rPr>
        <w:t xml:space="preserve"> </w:t>
      </w:r>
      <w:r w:rsidR="00D7299F">
        <w:rPr>
          <w:color w:val="231F20"/>
        </w:rPr>
        <w:t xml:space="preserve">26 až 28 </w:t>
      </w:r>
      <w:r w:rsidR="004D68AD" w:rsidRPr="004D68AD">
        <w:rPr>
          <w:color w:val="231F20"/>
        </w:rPr>
        <w:t xml:space="preserve">explicitne upravuje </w:t>
      </w:r>
      <w:r w:rsidR="00B13CA2">
        <w:rPr>
          <w:color w:val="231F20"/>
        </w:rPr>
        <w:t>dôvody na odloženie prepustenia výrobku do voľného obehu,</w:t>
      </w:r>
      <w:r w:rsidR="004D68AD" w:rsidRPr="004D68AD">
        <w:rPr>
          <w:color w:val="231F20"/>
        </w:rPr>
        <w:t xml:space="preserve"> postup</w:t>
      </w:r>
      <w:r w:rsidR="00D7299F">
        <w:rPr>
          <w:color w:val="231F20"/>
        </w:rPr>
        <w:t>y</w:t>
      </w:r>
      <w:r w:rsidR="004D68AD" w:rsidRPr="004D68AD">
        <w:rPr>
          <w:color w:val="231F20"/>
        </w:rPr>
        <w:t xml:space="preserve"> </w:t>
      </w:r>
      <w:r w:rsidR="00B13CA2">
        <w:rPr>
          <w:color w:val="231F20"/>
        </w:rPr>
        <w:t xml:space="preserve">a lehoty </w:t>
      </w:r>
      <w:r w:rsidR="004D68AD" w:rsidRPr="004D68AD">
        <w:rPr>
          <w:color w:val="231F20"/>
        </w:rPr>
        <w:t xml:space="preserve">pre </w:t>
      </w:r>
      <w:r w:rsidR="00D7299F">
        <w:rPr>
          <w:color w:val="231F20"/>
        </w:rPr>
        <w:t xml:space="preserve">orgány </w:t>
      </w:r>
      <w:r w:rsidR="004D68AD" w:rsidRPr="004D68AD">
        <w:rPr>
          <w:color w:val="231F20"/>
        </w:rPr>
        <w:t>dohľadu nad trhom</w:t>
      </w:r>
      <w:r w:rsidR="00526BBC">
        <w:rPr>
          <w:color w:val="231F20"/>
        </w:rPr>
        <w:t xml:space="preserve"> vo vzťahu k</w:t>
      </w:r>
      <w:r w:rsidR="00B13CA2">
        <w:rPr>
          <w:color w:val="231F20"/>
        </w:rPr>
        <w:t xml:space="preserve"> informovaniu </w:t>
      </w:r>
      <w:r w:rsidR="00526BBC">
        <w:rPr>
          <w:color w:val="231F20"/>
        </w:rPr>
        <w:t>colný</w:t>
      </w:r>
      <w:r w:rsidR="00B13CA2">
        <w:rPr>
          <w:color w:val="231F20"/>
        </w:rPr>
        <w:t>ch</w:t>
      </w:r>
      <w:r w:rsidR="00526BBC">
        <w:rPr>
          <w:color w:val="231F20"/>
        </w:rPr>
        <w:t xml:space="preserve"> orgáno</w:t>
      </w:r>
      <w:r w:rsidR="00B13CA2">
        <w:rPr>
          <w:color w:val="231F20"/>
        </w:rPr>
        <w:t>v o ukončení pozastavenia alebo ponechaní pozastavenia v účinnosti. A</w:t>
      </w:r>
      <w:r w:rsidR="00526BBC">
        <w:rPr>
          <w:color w:val="231F20"/>
        </w:rPr>
        <w:t xml:space="preserve">k sa </w:t>
      </w:r>
      <w:r w:rsidR="00B13CA2">
        <w:rPr>
          <w:color w:val="231F20"/>
        </w:rPr>
        <w:t xml:space="preserve">orgány dohľadu nad trhom </w:t>
      </w:r>
      <w:r w:rsidR="00526BBC">
        <w:rPr>
          <w:color w:val="231F20"/>
        </w:rPr>
        <w:t>domnievajú, že dovážané výrobky nie sú v súlade s právom Únie</w:t>
      </w:r>
      <w:r w:rsidR="00927C26">
        <w:rPr>
          <w:color w:val="231F20"/>
        </w:rPr>
        <w:t xml:space="preserve"> a</w:t>
      </w:r>
      <w:r w:rsidR="00526BBC">
        <w:rPr>
          <w:color w:val="231F20"/>
        </w:rPr>
        <w:t xml:space="preserve"> </w:t>
      </w:r>
      <w:r w:rsidR="00526BBC" w:rsidRPr="00526BBC">
        <w:rPr>
          <w:color w:val="231F20"/>
        </w:rPr>
        <w:t>predstavuj</w:t>
      </w:r>
      <w:r w:rsidR="00526BBC">
        <w:rPr>
          <w:color w:val="231F20"/>
        </w:rPr>
        <w:t>ú závažné riziko</w:t>
      </w:r>
      <w:r w:rsidR="00B13CA2">
        <w:rPr>
          <w:color w:val="231F20"/>
        </w:rPr>
        <w:t xml:space="preserve">, </w:t>
      </w:r>
      <w:r w:rsidR="00526BBC">
        <w:rPr>
          <w:color w:val="231F20"/>
        </w:rPr>
        <w:t>požiada</w:t>
      </w:r>
      <w:r w:rsidR="00B13CA2">
        <w:rPr>
          <w:color w:val="231F20"/>
        </w:rPr>
        <w:t>jú</w:t>
      </w:r>
      <w:r w:rsidR="00526BBC">
        <w:rPr>
          <w:color w:val="231F20"/>
        </w:rPr>
        <w:t xml:space="preserve"> colné orgány, aby prepustenie </w:t>
      </w:r>
      <w:r w:rsidR="00B13CA2">
        <w:rPr>
          <w:color w:val="231F20"/>
        </w:rPr>
        <w:t xml:space="preserve">výrobku </w:t>
      </w:r>
      <w:r w:rsidR="00526BBC">
        <w:rPr>
          <w:color w:val="231F20"/>
        </w:rPr>
        <w:t>do voľn</w:t>
      </w:r>
      <w:r w:rsidR="00F8771F">
        <w:rPr>
          <w:color w:val="231F20"/>
        </w:rPr>
        <w:t>ého</w:t>
      </w:r>
      <w:r w:rsidR="00526BBC">
        <w:rPr>
          <w:color w:val="231F20"/>
        </w:rPr>
        <w:t xml:space="preserve"> obeh</w:t>
      </w:r>
      <w:r w:rsidR="00F8771F">
        <w:rPr>
          <w:color w:val="231F20"/>
        </w:rPr>
        <w:t>u</w:t>
      </w:r>
      <w:r w:rsidR="00526BBC">
        <w:rPr>
          <w:color w:val="231F20"/>
        </w:rPr>
        <w:t xml:space="preserve"> </w:t>
      </w:r>
      <w:r w:rsidR="00B13CA2">
        <w:rPr>
          <w:color w:val="231F20"/>
        </w:rPr>
        <w:t>odmietli</w:t>
      </w:r>
      <w:r w:rsidR="00526BBC">
        <w:rPr>
          <w:color w:val="231F20"/>
        </w:rPr>
        <w:t xml:space="preserve">. </w:t>
      </w:r>
    </w:p>
    <w:p w14:paraId="6E9C4E92" w14:textId="77777777" w:rsidR="00E32EE6" w:rsidRDefault="00E32EE6" w:rsidP="00E16929">
      <w:pPr>
        <w:jc w:val="both"/>
        <w:rPr>
          <w:color w:val="231F20"/>
        </w:rPr>
      </w:pPr>
    </w:p>
    <w:p w14:paraId="76156977" w14:textId="00100E4C" w:rsidR="004D68AD" w:rsidRDefault="00A8068B" w:rsidP="00D36312">
      <w:pPr>
        <w:jc w:val="both"/>
        <w:rPr>
          <w:color w:val="231F20"/>
        </w:rPr>
      </w:pPr>
      <w:r>
        <w:rPr>
          <w:color w:val="231F20"/>
        </w:rPr>
        <w:t xml:space="preserve">Z uvedeného vyplýva, že </w:t>
      </w:r>
      <w:r w:rsidR="002645BB">
        <w:rPr>
          <w:color w:val="231F20"/>
        </w:rPr>
        <w:t>osobitná úprava v národnej legislatíve</w:t>
      </w:r>
      <w:r w:rsidR="00F80379">
        <w:rPr>
          <w:color w:val="231F20"/>
        </w:rPr>
        <w:t xml:space="preserve"> (</w:t>
      </w:r>
      <w:r w:rsidR="00873636" w:rsidRPr="00E32EE6">
        <w:rPr>
          <w:color w:val="231F20"/>
        </w:rPr>
        <w:t xml:space="preserve">§ 20 ods. 3 písm. i) zákona </w:t>
      </w:r>
      <w:r w:rsidR="00485CEA">
        <w:rPr>
          <w:color w:val="231F20"/>
        </w:rPr>
        <w:br/>
      </w:r>
      <w:r w:rsidR="00873636" w:rsidRPr="00E32EE6">
        <w:rPr>
          <w:color w:val="231F20"/>
        </w:rPr>
        <w:t>č. 250/2007 Z. z.</w:t>
      </w:r>
      <w:r w:rsidR="00873636">
        <w:rPr>
          <w:color w:val="231F20"/>
        </w:rPr>
        <w:t>)</w:t>
      </w:r>
      <w:r w:rsidR="002645BB">
        <w:rPr>
          <w:color w:val="231F20"/>
        </w:rPr>
        <w:t xml:space="preserve"> </w:t>
      </w:r>
      <w:r w:rsidR="00F80379">
        <w:rPr>
          <w:color w:val="231F20"/>
        </w:rPr>
        <w:t>je nadbytočná</w:t>
      </w:r>
      <w:r w:rsidR="00896172">
        <w:rPr>
          <w:color w:val="231F20"/>
        </w:rPr>
        <w:t xml:space="preserve">. </w:t>
      </w:r>
      <w:r w:rsidR="00E24CB8">
        <w:rPr>
          <w:color w:val="231F20"/>
        </w:rPr>
        <w:t xml:space="preserve">Naďalej sa </w:t>
      </w:r>
      <w:r>
        <w:rPr>
          <w:color w:val="231F20"/>
        </w:rPr>
        <w:t xml:space="preserve">však bude postupovať </w:t>
      </w:r>
      <w:r w:rsidR="00E24CB8">
        <w:rPr>
          <w:color w:val="231F20"/>
        </w:rPr>
        <w:t>analogicky ako doteraz</w:t>
      </w:r>
      <w:r w:rsidR="00085278">
        <w:rPr>
          <w:color w:val="231F20"/>
        </w:rPr>
        <w:t>, avšak</w:t>
      </w:r>
      <w:r w:rsidR="00F80379">
        <w:rPr>
          <w:color w:val="231F20"/>
        </w:rPr>
        <w:t xml:space="preserve"> p</w:t>
      </w:r>
      <w:r w:rsidR="00C02BBD" w:rsidRPr="00E32EE6">
        <w:rPr>
          <w:color w:val="231F20"/>
        </w:rPr>
        <w:t>ri vzájomnej komunikácii medzi orgánom dohľadu nad trhom a colným orgánom sa</w:t>
      </w:r>
      <w:r w:rsidR="004D68AD" w:rsidRPr="00E32EE6">
        <w:rPr>
          <w:color w:val="231F20"/>
        </w:rPr>
        <w:t xml:space="preserve"> budú</w:t>
      </w:r>
      <w:r w:rsidR="006F24C0" w:rsidRPr="00E32EE6">
        <w:rPr>
          <w:color w:val="231F20"/>
        </w:rPr>
        <w:t xml:space="preserve"> </w:t>
      </w:r>
      <w:r w:rsidR="002B3FD5">
        <w:rPr>
          <w:color w:val="231F20"/>
        </w:rPr>
        <w:t xml:space="preserve">priamo </w:t>
      </w:r>
      <w:r w:rsidR="006F24C0" w:rsidRPr="00E32EE6">
        <w:rPr>
          <w:color w:val="231F20"/>
        </w:rPr>
        <w:t xml:space="preserve">uplatňovať </w:t>
      </w:r>
      <w:r w:rsidR="00085278">
        <w:rPr>
          <w:color w:val="231F20"/>
        </w:rPr>
        <w:t xml:space="preserve">ustanovenia </w:t>
      </w:r>
      <w:r w:rsidR="004D68AD" w:rsidRPr="00E32EE6">
        <w:rPr>
          <w:color w:val="231F20"/>
        </w:rPr>
        <w:t>nariadeni</w:t>
      </w:r>
      <w:r w:rsidR="006F24C0" w:rsidRPr="00E32EE6">
        <w:rPr>
          <w:color w:val="231F20"/>
        </w:rPr>
        <w:t>a</w:t>
      </w:r>
      <w:r w:rsidR="004D68AD" w:rsidRPr="00E32EE6">
        <w:rPr>
          <w:color w:val="231F20"/>
        </w:rPr>
        <w:t xml:space="preserve"> EP a Rady (EÚ) 2019/1020</w:t>
      </w:r>
      <w:r w:rsidR="00F80379">
        <w:rPr>
          <w:color w:val="231F20"/>
        </w:rPr>
        <w:t>.</w:t>
      </w:r>
      <w:r w:rsidR="006F24C0" w:rsidRPr="00E32EE6">
        <w:rPr>
          <w:color w:val="231F20"/>
        </w:rPr>
        <w:t xml:space="preserve"> </w:t>
      </w:r>
    </w:p>
    <w:p w14:paraId="1F4E0BEF" w14:textId="77777777" w:rsidR="00E24CB8" w:rsidRDefault="00E24CB8" w:rsidP="00D36312">
      <w:pPr>
        <w:jc w:val="both"/>
        <w:rPr>
          <w:color w:val="231F20"/>
        </w:rPr>
      </w:pPr>
    </w:p>
    <w:p w14:paraId="63F8B4DE" w14:textId="77777777" w:rsidR="004D68AD" w:rsidRPr="00B0081E" w:rsidRDefault="004D68AD" w:rsidP="00D36312">
      <w:pPr>
        <w:autoSpaceDE w:val="0"/>
        <w:autoSpaceDN w:val="0"/>
        <w:adjustRightInd w:val="0"/>
        <w:jc w:val="both"/>
        <w:rPr>
          <w:b/>
          <w:bCs/>
          <w:color w:val="231F20"/>
        </w:rPr>
      </w:pPr>
      <w:r w:rsidRPr="00B0081E">
        <w:rPr>
          <w:b/>
          <w:bCs/>
          <w:color w:val="231F20"/>
        </w:rPr>
        <w:t>K čl. I</w:t>
      </w:r>
      <w:r>
        <w:rPr>
          <w:b/>
          <w:bCs/>
          <w:color w:val="231F20"/>
        </w:rPr>
        <w:t>II</w:t>
      </w:r>
    </w:p>
    <w:p w14:paraId="1E320341" w14:textId="2429978E" w:rsidR="00603C90" w:rsidRPr="00603C90" w:rsidRDefault="00603C90" w:rsidP="00D36312">
      <w:pPr>
        <w:autoSpaceDE w:val="0"/>
        <w:autoSpaceDN w:val="0"/>
        <w:adjustRightInd w:val="0"/>
        <w:jc w:val="both"/>
        <w:rPr>
          <w:color w:val="231F20"/>
          <w:u w:val="single"/>
        </w:rPr>
      </w:pPr>
      <w:r w:rsidRPr="00603C90">
        <w:rPr>
          <w:color w:val="231F20"/>
          <w:u w:val="single"/>
        </w:rPr>
        <w:t>K bodom 1 a 2</w:t>
      </w:r>
    </w:p>
    <w:p w14:paraId="05035C70" w14:textId="54796942" w:rsidR="00F80379" w:rsidRDefault="00632E9C" w:rsidP="00CA6FBC">
      <w:pPr>
        <w:autoSpaceDE w:val="0"/>
        <w:autoSpaceDN w:val="0"/>
        <w:adjustRightInd w:val="0"/>
        <w:jc w:val="both"/>
      </w:pPr>
      <w:r>
        <w:rPr>
          <w:color w:val="231F20"/>
        </w:rPr>
        <w:t>Novela zákona č. 35/2019 Z. z. o finančnej správe a o zmene</w:t>
      </w:r>
      <w:r w:rsidR="00F04198" w:rsidRPr="00F04198">
        <w:rPr>
          <w:color w:val="231F20"/>
        </w:rPr>
        <w:t xml:space="preserve"> a doplnení niektorých zákonov</w:t>
      </w:r>
      <w:r w:rsidR="00F04198">
        <w:rPr>
          <w:color w:val="231F20"/>
        </w:rPr>
        <w:t xml:space="preserve"> v znení neskorších predpisov </w:t>
      </w:r>
      <w:r w:rsidR="00D215CC">
        <w:rPr>
          <w:color w:val="231F20"/>
        </w:rPr>
        <w:t>(ďalej len „zákon o</w:t>
      </w:r>
      <w:r w:rsidR="00F061D7">
        <w:rPr>
          <w:color w:val="231F20"/>
        </w:rPr>
        <w:t> finančnej správe</w:t>
      </w:r>
      <w:r w:rsidR="00D215CC">
        <w:rPr>
          <w:color w:val="231F20"/>
        </w:rPr>
        <w:t xml:space="preserve">“) </w:t>
      </w:r>
      <w:r w:rsidR="00F04198">
        <w:rPr>
          <w:color w:val="231F20"/>
        </w:rPr>
        <w:t>sa navrhuje v nadväznosti na navrhované zmeny v § 4 Colného zákona.</w:t>
      </w:r>
      <w:r w:rsidR="00BF2C3A">
        <w:rPr>
          <w:color w:val="FF0000"/>
        </w:rPr>
        <w:t xml:space="preserve"> </w:t>
      </w:r>
      <w:r w:rsidR="00AE7C45">
        <w:t xml:space="preserve">Navrhovaná úprava </w:t>
      </w:r>
      <w:r w:rsidR="005800E8">
        <w:t xml:space="preserve">§ 40 ods. 1 </w:t>
      </w:r>
      <w:r w:rsidR="00D215CC">
        <w:t>zákona o</w:t>
      </w:r>
      <w:r w:rsidR="00F061D7">
        <w:t> finančnej správe</w:t>
      </w:r>
      <w:r w:rsidR="00D215CC">
        <w:t xml:space="preserve"> </w:t>
      </w:r>
      <w:r w:rsidR="00835FD8">
        <w:t xml:space="preserve">na jednej strane ustanovuje, že prehliadku osoby je ozbrojený príslušník finančnej správy oprávnený vykonať aj vtedy, ak ide o </w:t>
      </w:r>
      <w:r w:rsidR="00835FD8" w:rsidRPr="00835FD8">
        <w:t>kontrol</w:t>
      </w:r>
      <w:r w:rsidR="00835FD8">
        <w:t>u</w:t>
      </w:r>
      <w:r w:rsidR="00835FD8" w:rsidRPr="00835FD8">
        <w:t xml:space="preserve"> plnenia povinností podľa nariadenia EP a Rady (EÚ) 2018/1672 pri preprave peňažných prostriedkov v</w:t>
      </w:r>
      <w:r w:rsidR="00085278">
        <w:t> </w:t>
      </w:r>
      <w:r w:rsidR="00835FD8" w:rsidRPr="00835FD8">
        <w:t>hotovosti</w:t>
      </w:r>
      <w:r w:rsidR="00085278">
        <w:t>, resp. kontrolu na účely plnenia povinností podľa predmetného nariadenia.</w:t>
      </w:r>
      <w:r w:rsidR="00835FD8">
        <w:t xml:space="preserve"> Na druhej strane sa v</w:t>
      </w:r>
      <w:r w:rsidR="00F80379" w:rsidRPr="00E63A66">
        <w:t xml:space="preserve">ypustenie textu </w:t>
      </w:r>
      <w:r w:rsidR="005800E8">
        <w:t xml:space="preserve">v § 45 ods. 1 </w:t>
      </w:r>
      <w:r w:rsidR="00D215CC">
        <w:t>zákona o</w:t>
      </w:r>
      <w:r w:rsidR="00F061D7">
        <w:t xml:space="preserve"> finančnej správe </w:t>
      </w:r>
      <w:r w:rsidR="00F80379" w:rsidRPr="00E63A66">
        <w:t>navrhuje z dôvodu, že overovan</w:t>
      </w:r>
      <w:r w:rsidR="00F80379">
        <w:t>ie</w:t>
      </w:r>
      <w:r w:rsidR="00F80379" w:rsidRPr="00E63A66">
        <w:t>, či podozrivá osoba nemá u seba zbraň</w:t>
      </w:r>
      <w:r w:rsidR="00F80379">
        <w:t>,</w:t>
      </w:r>
      <w:r w:rsidR="00F80379" w:rsidRPr="00E63A66">
        <w:t xml:space="preserve"> sa nevykonáva v</w:t>
      </w:r>
      <w:r w:rsidR="00F80379">
        <w:t> </w:t>
      </w:r>
      <w:r w:rsidR="00F80379" w:rsidRPr="00E63A66">
        <w:t>rozsahu</w:t>
      </w:r>
      <w:r w:rsidR="00F80379">
        <w:t xml:space="preserve"> a spôsobom</w:t>
      </w:r>
      <w:r w:rsidR="00F80379" w:rsidRPr="00E63A66">
        <w:t>, ako</w:t>
      </w:r>
      <w:r w:rsidR="00F80379">
        <w:t xml:space="preserve"> </w:t>
      </w:r>
      <w:r w:rsidR="00F80379" w:rsidRPr="00E63A66">
        <w:t>je to ustanovené v § 40 ods. 1 zákona o</w:t>
      </w:r>
      <w:r w:rsidR="00F061D7">
        <w:t> finančnej správe</w:t>
      </w:r>
      <w:r w:rsidR="005800E8">
        <w:t xml:space="preserve">. Ak </w:t>
      </w:r>
      <w:r w:rsidR="00F80379" w:rsidRPr="00E63A66">
        <w:t>by takéto overovanie mala robiť osoba rovnakého pohlavia, výrazne by sa skomplikovalo vykonávanie služobného zákroku a znemožnila by sa jeho operatívnosť a efektívnosť.</w:t>
      </w:r>
    </w:p>
    <w:p w14:paraId="00749BDC" w14:textId="77777777" w:rsidR="00D215CC" w:rsidRDefault="00D215CC" w:rsidP="00CA6FBC">
      <w:pPr>
        <w:autoSpaceDE w:val="0"/>
        <w:autoSpaceDN w:val="0"/>
        <w:adjustRightInd w:val="0"/>
        <w:jc w:val="both"/>
      </w:pPr>
    </w:p>
    <w:p w14:paraId="579FDC4D" w14:textId="77777777" w:rsidR="002D654A" w:rsidRDefault="002D654A" w:rsidP="002D654A">
      <w:pPr>
        <w:jc w:val="both"/>
      </w:pPr>
      <w:r>
        <w:rPr>
          <w:u w:val="single"/>
        </w:rPr>
        <w:t>K bodu 3</w:t>
      </w:r>
    </w:p>
    <w:p w14:paraId="2AD34C71" w14:textId="54E9C547" w:rsidR="002D654A" w:rsidRDefault="002D654A" w:rsidP="002D654A">
      <w:pPr>
        <w:jc w:val="both"/>
      </w:pPr>
      <w:r>
        <w:t>Navrhovaným ustanovením sa precizuje legislatívny text tak, aby bolo explicitne riešené overovanie podmienok, ktoré musí občan podľa § 84 zákona o</w:t>
      </w:r>
      <w:r w:rsidR="00F061D7">
        <w:t xml:space="preserve"> finančnej správe </w:t>
      </w:r>
      <w:r>
        <w:t xml:space="preserve">spĺňať pri vzniku služobného pomeru, a to vo vzťahu k odborníkovi, ktorý má byť zaradený do dočasnej štátnej služby bez výberového konania, ako aj vo vzťahu k občanovi, ktorý má byť ministrom ustanovený do funkcie prezidenta </w:t>
      </w:r>
      <w:r w:rsidR="009F577B">
        <w:t xml:space="preserve">finančnej správy </w:t>
      </w:r>
      <w:r>
        <w:t>alebo viceprezidenta</w:t>
      </w:r>
      <w:r w:rsidR="009F577B">
        <w:t xml:space="preserve"> finančnej správy</w:t>
      </w:r>
      <w:r>
        <w:t xml:space="preserve">. </w:t>
      </w:r>
    </w:p>
    <w:p w14:paraId="0728560F" w14:textId="77777777" w:rsidR="002D654A" w:rsidRDefault="002D654A" w:rsidP="002D654A">
      <w:pPr>
        <w:ind w:firstLine="709"/>
        <w:jc w:val="both"/>
      </w:pPr>
    </w:p>
    <w:p w14:paraId="317A2A1C" w14:textId="77777777" w:rsidR="002D654A" w:rsidRDefault="002D654A" w:rsidP="002D654A">
      <w:pPr>
        <w:jc w:val="both"/>
        <w:rPr>
          <w:lang w:eastAsia="en-US"/>
        </w:rPr>
      </w:pPr>
      <w:r>
        <w:rPr>
          <w:u w:val="single"/>
        </w:rPr>
        <w:t>K bodu 4</w:t>
      </w:r>
    </w:p>
    <w:p w14:paraId="36AE318A" w14:textId="2DD40973" w:rsidR="002D654A" w:rsidRDefault="002D654A" w:rsidP="002D654A">
      <w:pPr>
        <w:pStyle w:val="Odsekzoznamu"/>
        <w:ind w:left="0"/>
        <w:jc w:val="both"/>
      </w:pPr>
      <w:r>
        <w:t>Podľa platného znenia zákona</w:t>
      </w:r>
      <w:r w:rsidR="00F061D7">
        <w:t xml:space="preserve"> o finančnej správe</w:t>
      </w:r>
      <w:r>
        <w:t xml:space="preserve"> sa prijímacie konanie nevzťahuje na ustanovenie prezidenta </w:t>
      </w:r>
      <w:r w:rsidR="009F577B">
        <w:t xml:space="preserve">finančnej správy </w:t>
      </w:r>
      <w:r>
        <w:t xml:space="preserve">a viceprezidenta </w:t>
      </w:r>
      <w:r w:rsidR="009F577B">
        <w:t>finančnej správy</w:t>
      </w:r>
      <w:r>
        <w:t>. Uvedené sa navrhuje doplniť o ustanovenie, podľa ktorého by sa prijímacie konanie vzťahovalo na odborníka, ktorý má byť zaradený do dočasnej štátnej služby podľa § 79 ods. 1 zákona o</w:t>
      </w:r>
      <w:r w:rsidR="00F061D7">
        <w:t> finančnej správe</w:t>
      </w:r>
      <w:r>
        <w:t xml:space="preserve"> iba v prípade, ak nadriadený písomne požiada služobný úrad o vyhlásenie výberového konania. Občan prijímaný do služobného pomeru bez vyhlásenia výberového konania musí pred prijatím preukázať splnenie podmienok podľa § 84 zákona o</w:t>
      </w:r>
      <w:r w:rsidR="00F061D7">
        <w:t xml:space="preserve"> finančnej správe </w:t>
      </w:r>
      <w:r>
        <w:t>a poskytnúť potrebnú súčinnosť na ich overenie.</w:t>
      </w:r>
    </w:p>
    <w:p w14:paraId="53AF4BE8" w14:textId="77777777" w:rsidR="002D654A" w:rsidRDefault="002D654A" w:rsidP="002D654A">
      <w:pPr>
        <w:pStyle w:val="Odsekzoznamu"/>
        <w:ind w:left="0"/>
        <w:jc w:val="both"/>
      </w:pPr>
    </w:p>
    <w:p w14:paraId="06FFD5C8" w14:textId="77777777" w:rsidR="002D654A" w:rsidRDefault="002D654A" w:rsidP="002D654A">
      <w:pPr>
        <w:jc w:val="both"/>
      </w:pPr>
      <w:r>
        <w:rPr>
          <w:u w:val="single"/>
        </w:rPr>
        <w:t>K bodu 5</w:t>
      </w:r>
    </w:p>
    <w:p w14:paraId="1FB90C9C" w14:textId="416134F3" w:rsidR="002D654A" w:rsidRDefault="002D654A" w:rsidP="002D654A">
      <w:pPr>
        <w:jc w:val="both"/>
      </w:pPr>
      <w:r>
        <w:t>Podľa aktuálneho znenia zákona č. 241/1993 Z. z. o štátnych sviatkoch, dňoch pracovného pokoja a pamätných dňoch je síce 28. október štátnym sviatkom, ale nie je dňom pracovného pokoja tak, ako ostatné štátne sviatky. Uvedené je potrebné explicitne premietnuť aj do úpravy zákona o</w:t>
      </w:r>
      <w:r w:rsidR="00F061D7">
        <w:t> finančnej správe</w:t>
      </w:r>
      <w:r>
        <w:t xml:space="preserve">, podľa ktorého by inak 28. október bol dňom služobného pokoja a viazal by sa naň príplatok za štátnu službu vo sviatok. </w:t>
      </w:r>
    </w:p>
    <w:p w14:paraId="192583EE" w14:textId="77777777" w:rsidR="002D654A" w:rsidRDefault="002D654A" w:rsidP="00D36312">
      <w:pPr>
        <w:autoSpaceDE w:val="0"/>
        <w:autoSpaceDN w:val="0"/>
        <w:adjustRightInd w:val="0"/>
        <w:jc w:val="both"/>
        <w:rPr>
          <w:b/>
          <w:bCs/>
          <w:color w:val="231F20"/>
        </w:rPr>
      </w:pPr>
    </w:p>
    <w:p w14:paraId="686DACE2" w14:textId="77777777" w:rsidR="00076307" w:rsidRPr="00B0081E" w:rsidRDefault="00C36DE8" w:rsidP="00D36312">
      <w:pPr>
        <w:autoSpaceDE w:val="0"/>
        <w:autoSpaceDN w:val="0"/>
        <w:adjustRightInd w:val="0"/>
        <w:jc w:val="both"/>
        <w:rPr>
          <w:b/>
          <w:bCs/>
          <w:color w:val="231F20"/>
        </w:rPr>
      </w:pPr>
      <w:r w:rsidRPr="00B0081E">
        <w:rPr>
          <w:b/>
          <w:bCs/>
          <w:color w:val="231F20"/>
        </w:rPr>
        <w:t>K čl. I</w:t>
      </w:r>
      <w:r w:rsidR="004D68AD">
        <w:rPr>
          <w:b/>
          <w:bCs/>
          <w:color w:val="231F20"/>
        </w:rPr>
        <w:t>V</w:t>
      </w:r>
    </w:p>
    <w:p w14:paraId="32D94B5B" w14:textId="69C51954" w:rsidR="004D68AD" w:rsidRDefault="000078CD" w:rsidP="00D36312">
      <w:pPr>
        <w:jc w:val="both"/>
        <w:rPr>
          <w:color w:val="231F20"/>
        </w:rPr>
      </w:pPr>
      <w:r w:rsidRPr="00B0081E">
        <w:rPr>
          <w:color w:val="231F20"/>
        </w:rPr>
        <w:t xml:space="preserve">Navrhuje sa, aby </w:t>
      </w:r>
      <w:r w:rsidR="00940597">
        <w:rPr>
          <w:color w:val="231F20"/>
        </w:rPr>
        <w:t>ustanovenia zákona týkajúce sa kontroly peňažných prostriedkov v hotovosti v súlade s nariadením EP a Rady (EÚ) 2018/1672</w:t>
      </w:r>
      <w:r w:rsidR="00940597">
        <w:t xml:space="preserve"> </w:t>
      </w:r>
      <w:r w:rsidRPr="00B0081E">
        <w:rPr>
          <w:color w:val="231F20"/>
        </w:rPr>
        <w:t>nadobud</w:t>
      </w:r>
      <w:r w:rsidR="00CD3695">
        <w:rPr>
          <w:color w:val="231F20"/>
        </w:rPr>
        <w:t>li</w:t>
      </w:r>
      <w:r w:rsidRPr="00B0081E">
        <w:rPr>
          <w:color w:val="231F20"/>
        </w:rPr>
        <w:t xml:space="preserve"> účinnosť </w:t>
      </w:r>
      <w:r w:rsidR="00C64E87">
        <w:rPr>
          <w:color w:val="231F20"/>
        </w:rPr>
        <w:t xml:space="preserve">3. júna </w:t>
      </w:r>
      <w:r w:rsidR="00AA0F4C" w:rsidRPr="00B0081E">
        <w:rPr>
          <w:color w:val="231F20"/>
        </w:rPr>
        <w:t>20</w:t>
      </w:r>
      <w:r w:rsidR="000A769F">
        <w:rPr>
          <w:color w:val="231F20"/>
        </w:rPr>
        <w:t>2</w:t>
      </w:r>
      <w:r w:rsidR="00AA0F4C" w:rsidRPr="00B0081E">
        <w:rPr>
          <w:color w:val="231F20"/>
        </w:rPr>
        <w:t>1</w:t>
      </w:r>
      <w:r w:rsidR="00EE750F">
        <w:rPr>
          <w:color w:val="231F20"/>
        </w:rPr>
        <w:t xml:space="preserve">. </w:t>
      </w:r>
      <w:r w:rsidR="00402E09">
        <w:rPr>
          <w:color w:val="231F20"/>
        </w:rPr>
        <w:t>V rovnaký deň</w:t>
      </w:r>
      <w:r w:rsidR="00C13D88">
        <w:rPr>
          <w:color w:val="231F20"/>
        </w:rPr>
        <w:t xml:space="preserve"> nadobudnú </w:t>
      </w:r>
      <w:r w:rsidR="00402E09">
        <w:rPr>
          <w:color w:val="231F20"/>
        </w:rPr>
        <w:t xml:space="preserve">účinnosť </w:t>
      </w:r>
      <w:r w:rsidR="00C13D88">
        <w:rPr>
          <w:color w:val="231F20"/>
        </w:rPr>
        <w:t xml:space="preserve">aj </w:t>
      </w:r>
      <w:r w:rsidR="00402E09">
        <w:rPr>
          <w:color w:val="231F20"/>
        </w:rPr>
        <w:t xml:space="preserve">všetky ostatné </w:t>
      </w:r>
      <w:r w:rsidR="00940597">
        <w:rPr>
          <w:color w:val="231F20"/>
        </w:rPr>
        <w:t>ustanovenia</w:t>
      </w:r>
      <w:r w:rsidR="00402E09">
        <w:rPr>
          <w:color w:val="231F20"/>
        </w:rPr>
        <w:t xml:space="preserve"> tohto zákona</w:t>
      </w:r>
      <w:r w:rsidR="00C13D88">
        <w:rPr>
          <w:color w:val="231F20"/>
        </w:rPr>
        <w:t xml:space="preserve">, </w:t>
      </w:r>
      <w:r w:rsidR="00402E09">
        <w:rPr>
          <w:color w:val="231F20"/>
        </w:rPr>
        <w:t>okrem u</w:t>
      </w:r>
      <w:r w:rsidR="00476D01">
        <w:rPr>
          <w:color w:val="231F20"/>
        </w:rPr>
        <w:t>stanoven</w:t>
      </w:r>
      <w:r w:rsidR="00402E09">
        <w:rPr>
          <w:color w:val="231F20"/>
        </w:rPr>
        <w:t>í</w:t>
      </w:r>
      <w:r w:rsidR="00476D01">
        <w:rPr>
          <w:color w:val="231F20"/>
        </w:rPr>
        <w:t xml:space="preserve"> týkajúc</w:t>
      </w:r>
      <w:r w:rsidR="00402E09">
        <w:rPr>
          <w:color w:val="231F20"/>
        </w:rPr>
        <w:t>ich</w:t>
      </w:r>
      <w:r w:rsidR="00476D01">
        <w:rPr>
          <w:color w:val="231F20"/>
        </w:rPr>
        <w:t xml:space="preserve"> sa úpravy vzťahov pri dovoze výrobkov, ktoré sa majú uviesť na trh, </w:t>
      </w:r>
      <w:r w:rsidR="00402E09">
        <w:rPr>
          <w:color w:val="231F20"/>
        </w:rPr>
        <w:t xml:space="preserve">ktoré </w:t>
      </w:r>
      <w:r w:rsidR="00476D01">
        <w:rPr>
          <w:color w:val="231F20"/>
        </w:rPr>
        <w:t>nadobudn</w:t>
      </w:r>
      <w:r w:rsidR="006E3C50">
        <w:rPr>
          <w:color w:val="231F20"/>
        </w:rPr>
        <w:t>ú</w:t>
      </w:r>
      <w:r w:rsidR="00476D01">
        <w:rPr>
          <w:color w:val="231F20"/>
        </w:rPr>
        <w:t xml:space="preserve"> v súlade s nariadením EP a Rady (EÚ) </w:t>
      </w:r>
      <w:r w:rsidR="00476D01">
        <w:t xml:space="preserve">2019/1020 </w:t>
      </w:r>
      <w:r w:rsidR="00476D01">
        <w:rPr>
          <w:color w:val="231F20"/>
        </w:rPr>
        <w:t xml:space="preserve">účinnosť </w:t>
      </w:r>
      <w:r w:rsidR="00D36312" w:rsidRPr="00D36312">
        <w:rPr>
          <w:color w:val="231F20"/>
        </w:rPr>
        <w:t>16. júla 2021</w:t>
      </w:r>
      <w:r w:rsidR="0040099A">
        <w:rPr>
          <w:color w:val="231F20"/>
        </w:rPr>
        <w:t>.</w:t>
      </w:r>
      <w:r w:rsidR="00940597" w:rsidRPr="00940597">
        <w:rPr>
          <w:color w:val="231F20"/>
        </w:rPr>
        <w:t xml:space="preserve"> </w:t>
      </w:r>
    </w:p>
    <w:p w14:paraId="368E92B9" w14:textId="77777777" w:rsidR="002A365E" w:rsidRDefault="002A365E" w:rsidP="00D36312">
      <w:pPr>
        <w:jc w:val="both"/>
        <w:rPr>
          <w:color w:val="231F20"/>
        </w:rPr>
      </w:pPr>
    </w:p>
    <w:p w14:paraId="169F9F39" w14:textId="5606B620" w:rsidR="002A365E" w:rsidRDefault="002A365E" w:rsidP="00D36312">
      <w:pPr>
        <w:jc w:val="both"/>
        <w:rPr>
          <w:color w:val="231F20"/>
        </w:rPr>
      </w:pPr>
      <w:r>
        <w:rPr>
          <w:color w:val="231F20"/>
        </w:rPr>
        <w:t>Bratislava  24. februára 2021</w:t>
      </w:r>
    </w:p>
    <w:p w14:paraId="04AC0349" w14:textId="77777777" w:rsidR="002A365E" w:rsidRDefault="002A365E" w:rsidP="00D36312">
      <w:pPr>
        <w:jc w:val="both"/>
      </w:pPr>
    </w:p>
    <w:p w14:paraId="0DB0F196" w14:textId="77777777" w:rsidR="002A365E" w:rsidRDefault="002A365E" w:rsidP="00D36312">
      <w:pPr>
        <w:jc w:val="both"/>
      </w:pPr>
    </w:p>
    <w:p w14:paraId="5830CB60" w14:textId="77777777" w:rsidR="002A365E" w:rsidRDefault="002A365E" w:rsidP="00D36312">
      <w:pPr>
        <w:jc w:val="both"/>
      </w:pPr>
    </w:p>
    <w:p w14:paraId="5A85C2B7" w14:textId="77777777" w:rsidR="002A365E" w:rsidRDefault="002A365E" w:rsidP="00D36312">
      <w:pPr>
        <w:jc w:val="both"/>
      </w:pPr>
    </w:p>
    <w:p w14:paraId="588BBF32" w14:textId="1CAC58AE" w:rsidR="002A365E" w:rsidRPr="002A365E" w:rsidRDefault="002A365E" w:rsidP="002A365E">
      <w:pPr>
        <w:jc w:val="center"/>
        <w:rPr>
          <w:b/>
        </w:rPr>
      </w:pPr>
      <w:r w:rsidRPr="002A365E">
        <w:rPr>
          <w:b/>
        </w:rPr>
        <w:t>Igor Matovič</w:t>
      </w:r>
      <w:r w:rsidR="0045725E">
        <w:rPr>
          <w:b/>
        </w:rPr>
        <w:t xml:space="preserve"> v. r.</w:t>
      </w:r>
    </w:p>
    <w:p w14:paraId="0432BD68" w14:textId="65447106" w:rsidR="002A365E" w:rsidRDefault="002A365E" w:rsidP="002A365E">
      <w:pPr>
        <w:jc w:val="center"/>
      </w:pPr>
      <w:r>
        <w:t>predseda vlády Slovenskej republiky</w:t>
      </w:r>
    </w:p>
    <w:p w14:paraId="13138810" w14:textId="77777777" w:rsidR="002A365E" w:rsidRDefault="002A365E" w:rsidP="002A365E">
      <w:pPr>
        <w:jc w:val="center"/>
      </w:pPr>
    </w:p>
    <w:p w14:paraId="6F5788EE" w14:textId="77777777" w:rsidR="002A365E" w:rsidRDefault="002A365E" w:rsidP="002A365E">
      <w:pPr>
        <w:jc w:val="center"/>
      </w:pPr>
    </w:p>
    <w:p w14:paraId="1B6A231B" w14:textId="77777777" w:rsidR="002A365E" w:rsidRDefault="002A365E" w:rsidP="002A365E">
      <w:pPr>
        <w:jc w:val="center"/>
      </w:pPr>
    </w:p>
    <w:p w14:paraId="0C2CF85E" w14:textId="77777777" w:rsidR="002A365E" w:rsidRDefault="002A365E" w:rsidP="002A365E">
      <w:pPr>
        <w:jc w:val="center"/>
      </w:pPr>
    </w:p>
    <w:p w14:paraId="384A86BA" w14:textId="1AD2C4D5" w:rsidR="002A365E" w:rsidRPr="002A365E" w:rsidRDefault="002A365E" w:rsidP="002A365E">
      <w:pPr>
        <w:jc w:val="center"/>
        <w:rPr>
          <w:b/>
        </w:rPr>
      </w:pPr>
      <w:r>
        <w:rPr>
          <w:b/>
        </w:rPr>
        <w:t>Eduard Heger</w:t>
      </w:r>
      <w:r w:rsidR="0045725E">
        <w:rPr>
          <w:b/>
        </w:rPr>
        <w:t xml:space="preserve"> v. r.</w:t>
      </w:r>
    </w:p>
    <w:p w14:paraId="1E1F71C0" w14:textId="07CE9656" w:rsidR="002A365E" w:rsidRPr="00E31655" w:rsidRDefault="002A365E" w:rsidP="002A365E">
      <w:pPr>
        <w:jc w:val="center"/>
      </w:pPr>
      <w:r>
        <w:t>podpredseda vlády a minister financií Slovenskej republiky</w:t>
      </w:r>
    </w:p>
    <w:p w14:paraId="3440E2D3" w14:textId="77777777" w:rsidR="002A365E" w:rsidRPr="00E31655" w:rsidRDefault="002A365E" w:rsidP="002A365E">
      <w:pPr>
        <w:jc w:val="center"/>
      </w:pPr>
    </w:p>
    <w:sectPr w:rsidR="002A365E" w:rsidRPr="00E31655" w:rsidSect="0030525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4FE8" w14:textId="77777777" w:rsidR="001538C1" w:rsidRDefault="001538C1">
      <w:r>
        <w:separator/>
      </w:r>
    </w:p>
  </w:endnote>
  <w:endnote w:type="continuationSeparator" w:id="0">
    <w:p w14:paraId="14F3B341" w14:textId="77777777" w:rsidR="001538C1" w:rsidRDefault="0015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2AD5D" w14:textId="77777777" w:rsidR="007B3321" w:rsidRDefault="007B3321" w:rsidP="00C15D21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6412F">
      <w:rPr>
        <w:rStyle w:val="slostrany"/>
        <w:noProof/>
      </w:rPr>
      <w:t>3</w:t>
    </w:r>
    <w:r>
      <w:rPr>
        <w:rStyle w:val="slostrany"/>
      </w:rPr>
      <w:fldChar w:fldCharType="end"/>
    </w:r>
  </w:p>
  <w:p w14:paraId="4AE1773E" w14:textId="77777777" w:rsidR="007B3321" w:rsidRDefault="007B332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A08F1" w14:textId="77777777" w:rsidR="001538C1" w:rsidRDefault="001538C1">
      <w:r>
        <w:separator/>
      </w:r>
    </w:p>
  </w:footnote>
  <w:footnote w:type="continuationSeparator" w:id="0">
    <w:p w14:paraId="4A797DF3" w14:textId="77777777" w:rsidR="001538C1" w:rsidRDefault="0015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3" w15:restartNumberingAfterBreak="0">
    <w:nsid w:val="2C543CBB"/>
    <w:multiLevelType w:val="hybridMultilevel"/>
    <w:tmpl w:val="C9A6912C"/>
    <w:lvl w:ilvl="0" w:tplc="AFE6B35E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 w15:restartNumberingAfterBreak="0">
    <w:nsid w:val="3AD005DD"/>
    <w:multiLevelType w:val="hybridMultilevel"/>
    <w:tmpl w:val="2A30D5A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64E6F8A"/>
    <w:multiLevelType w:val="multilevel"/>
    <w:tmpl w:val="BFC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3B2E6B"/>
    <w:multiLevelType w:val="hybridMultilevel"/>
    <w:tmpl w:val="8C485192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884F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F642B"/>
    <w:multiLevelType w:val="hybridMultilevel"/>
    <w:tmpl w:val="08F27E80"/>
    <w:lvl w:ilvl="0" w:tplc="D518A484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0" w15:restartNumberingAfterBreak="0">
    <w:nsid w:val="64137BC4"/>
    <w:multiLevelType w:val="hybridMultilevel"/>
    <w:tmpl w:val="F06871E6"/>
    <w:lvl w:ilvl="0" w:tplc="9E1042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A8F3BDB"/>
    <w:multiLevelType w:val="hybridMultilevel"/>
    <w:tmpl w:val="AD3C5E90"/>
    <w:lvl w:ilvl="0" w:tplc="93A21F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625AE5"/>
    <w:multiLevelType w:val="multilevel"/>
    <w:tmpl w:val="7FF8B1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3" w15:restartNumberingAfterBreak="0">
    <w:nsid w:val="6DE423BF"/>
    <w:multiLevelType w:val="hybridMultilevel"/>
    <w:tmpl w:val="D43A6D5E"/>
    <w:lvl w:ilvl="0" w:tplc="0E2895DC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0122467"/>
    <w:multiLevelType w:val="hybridMultilevel"/>
    <w:tmpl w:val="180AB54A"/>
    <w:lvl w:ilvl="0" w:tplc="305A4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674E5"/>
    <w:multiLevelType w:val="hybridMultilevel"/>
    <w:tmpl w:val="D1F2C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5"/>
  </w:num>
  <w:num w:numId="13">
    <w:abstractNumId w:val="11"/>
  </w:num>
  <w:num w:numId="14">
    <w:abstractNumId w:val="2"/>
  </w:num>
  <w:num w:numId="15">
    <w:abstractNumId w:val="12"/>
    <w:lvlOverride w:ilvl="0">
      <w:startOverride w:val="2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87"/>
    <w:rsid w:val="00002B23"/>
    <w:rsid w:val="000031B7"/>
    <w:rsid w:val="00003DAB"/>
    <w:rsid w:val="00004C3A"/>
    <w:rsid w:val="00006926"/>
    <w:rsid w:val="000078B6"/>
    <w:rsid w:val="000078CD"/>
    <w:rsid w:val="000105B1"/>
    <w:rsid w:val="00011A93"/>
    <w:rsid w:val="000123AC"/>
    <w:rsid w:val="00014524"/>
    <w:rsid w:val="00017648"/>
    <w:rsid w:val="00022D41"/>
    <w:rsid w:val="00023012"/>
    <w:rsid w:val="0002469B"/>
    <w:rsid w:val="00027836"/>
    <w:rsid w:val="00031B81"/>
    <w:rsid w:val="00031D79"/>
    <w:rsid w:val="00032483"/>
    <w:rsid w:val="00034694"/>
    <w:rsid w:val="00035D09"/>
    <w:rsid w:val="00036FD7"/>
    <w:rsid w:val="000422B1"/>
    <w:rsid w:val="000426AA"/>
    <w:rsid w:val="0004351C"/>
    <w:rsid w:val="00045077"/>
    <w:rsid w:val="00047591"/>
    <w:rsid w:val="000643E1"/>
    <w:rsid w:val="000657F9"/>
    <w:rsid w:val="0006719F"/>
    <w:rsid w:val="000720B8"/>
    <w:rsid w:val="000750FE"/>
    <w:rsid w:val="00075428"/>
    <w:rsid w:val="00076307"/>
    <w:rsid w:val="0008097D"/>
    <w:rsid w:val="00080E83"/>
    <w:rsid w:val="00084497"/>
    <w:rsid w:val="0008457F"/>
    <w:rsid w:val="00084EF6"/>
    <w:rsid w:val="00085278"/>
    <w:rsid w:val="0008723D"/>
    <w:rsid w:val="000907AF"/>
    <w:rsid w:val="00091F44"/>
    <w:rsid w:val="00093873"/>
    <w:rsid w:val="00094D25"/>
    <w:rsid w:val="000A47AA"/>
    <w:rsid w:val="000A586F"/>
    <w:rsid w:val="000A72FC"/>
    <w:rsid w:val="000A769F"/>
    <w:rsid w:val="000B08F7"/>
    <w:rsid w:val="000B10AD"/>
    <w:rsid w:val="000B5795"/>
    <w:rsid w:val="000B57BC"/>
    <w:rsid w:val="000C1AC9"/>
    <w:rsid w:val="000C6D0D"/>
    <w:rsid w:val="000D0641"/>
    <w:rsid w:val="000D225E"/>
    <w:rsid w:val="000D5519"/>
    <w:rsid w:val="000D6932"/>
    <w:rsid w:val="000D6F73"/>
    <w:rsid w:val="000D797E"/>
    <w:rsid w:val="000E37FD"/>
    <w:rsid w:val="000E57AB"/>
    <w:rsid w:val="000E7CFA"/>
    <w:rsid w:val="000F06FB"/>
    <w:rsid w:val="000F087D"/>
    <w:rsid w:val="000F0E8C"/>
    <w:rsid w:val="000F5B70"/>
    <w:rsid w:val="00102EC1"/>
    <w:rsid w:val="00106725"/>
    <w:rsid w:val="00106801"/>
    <w:rsid w:val="00106C88"/>
    <w:rsid w:val="00110018"/>
    <w:rsid w:val="00111C9F"/>
    <w:rsid w:val="00112939"/>
    <w:rsid w:val="00116EAF"/>
    <w:rsid w:val="001208E9"/>
    <w:rsid w:val="00123845"/>
    <w:rsid w:val="001255B8"/>
    <w:rsid w:val="00125D30"/>
    <w:rsid w:val="0012791F"/>
    <w:rsid w:val="001301E4"/>
    <w:rsid w:val="00130BE2"/>
    <w:rsid w:val="00136920"/>
    <w:rsid w:val="001371DB"/>
    <w:rsid w:val="00141D3F"/>
    <w:rsid w:val="001421BA"/>
    <w:rsid w:val="00144FE3"/>
    <w:rsid w:val="00145042"/>
    <w:rsid w:val="001457B0"/>
    <w:rsid w:val="00146746"/>
    <w:rsid w:val="00147A5C"/>
    <w:rsid w:val="0015017E"/>
    <w:rsid w:val="001538C1"/>
    <w:rsid w:val="00153C61"/>
    <w:rsid w:val="00154E81"/>
    <w:rsid w:val="00155BCA"/>
    <w:rsid w:val="00162AEF"/>
    <w:rsid w:val="00162DFC"/>
    <w:rsid w:val="00163380"/>
    <w:rsid w:val="00163820"/>
    <w:rsid w:val="00167900"/>
    <w:rsid w:val="00170D6C"/>
    <w:rsid w:val="00174AE6"/>
    <w:rsid w:val="001851DD"/>
    <w:rsid w:val="0018539A"/>
    <w:rsid w:val="001909B1"/>
    <w:rsid w:val="00192D06"/>
    <w:rsid w:val="001940B7"/>
    <w:rsid w:val="00195108"/>
    <w:rsid w:val="001A1CD4"/>
    <w:rsid w:val="001A353B"/>
    <w:rsid w:val="001A3F02"/>
    <w:rsid w:val="001B0562"/>
    <w:rsid w:val="001B29A3"/>
    <w:rsid w:val="001B7AF5"/>
    <w:rsid w:val="001C59A8"/>
    <w:rsid w:val="001D38C6"/>
    <w:rsid w:val="001E0B66"/>
    <w:rsid w:val="001E7135"/>
    <w:rsid w:val="001E725C"/>
    <w:rsid w:val="001F10A7"/>
    <w:rsid w:val="001F2688"/>
    <w:rsid w:val="001F38ED"/>
    <w:rsid w:val="001F5623"/>
    <w:rsid w:val="001F694A"/>
    <w:rsid w:val="00204E0D"/>
    <w:rsid w:val="00207723"/>
    <w:rsid w:val="00214DF0"/>
    <w:rsid w:val="002157F5"/>
    <w:rsid w:val="00216567"/>
    <w:rsid w:val="0021698C"/>
    <w:rsid w:val="00217C10"/>
    <w:rsid w:val="00220676"/>
    <w:rsid w:val="0022255D"/>
    <w:rsid w:val="00222F63"/>
    <w:rsid w:val="00224023"/>
    <w:rsid w:val="00225F6B"/>
    <w:rsid w:val="00226040"/>
    <w:rsid w:val="002329DB"/>
    <w:rsid w:val="0023335E"/>
    <w:rsid w:val="0023592B"/>
    <w:rsid w:val="00236B2B"/>
    <w:rsid w:val="00242C43"/>
    <w:rsid w:val="00247073"/>
    <w:rsid w:val="0025255D"/>
    <w:rsid w:val="00254032"/>
    <w:rsid w:val="00256EDA"/>
    <w:rsid w:val="00262F7E"/>
    <w:rsid w:val="0026363B"/>
    <w:rsid w:val="0026412F"/>
    <w:rsid w:val="002645BB"/>
    <w:rsid w:val="0026671A"/>
    <w:rsid w:val="00270251"/>
    <w:rsid w:val="00275D2E"/>
    <w:rsid w:val="002765E0"/>
    <w:rsid w:val="00276CF8"/>
    <w:rsid w:val="002802D7"/>
    <w:rsid w:val="002824A8"/>
    <w:rsid w:val="002824AA"/>
    <w:rsid w:val="00285D28"/>
    <w:rsid w:val="002903C8"/>
    <w:rsid w:val="00290EA1"/>
    <w:rsid w:val="0029181C"/>
    <w:rsid w:val="002949EB"/>
    <w:rsid w:val="002951DA"/>
    <w:rsid w:val="00295B18"/>
    <w:rsid w:val="0029600D"/>
    <w:rsid w:val="002A365E"/>
    <w:rsid w:val="002A7938"/>
    <w:rsid w:val="002A796E"/>
    <w:rsid w:val="002B23A8"/>
    <w:rsid w:val="002B379A"/>
    <w:rsid w:val="002B3FD5"/>
    <w:rsid w:val="002B648F"/>
    <w:rsid w:val="002C0D03"/>
    <w:rsid w:val="002C3CEA"/>
    <w:rsid w:val="002D0BE0"/>
    <w:rsid w:val="002D26CE"/>
    <w:rsid w:val="002D2880"/>
    <w:rsid w:val="002D5108"/>
    <w:rsid w:val="002D654A"/>
    <w:rsid w:val="002D7A8E"/>
    <w:rsid w:val="002E251D"/>
    <w:rsid w:val="002E52AA"/>
    <w:rsid w:val="002F3936"/>
    <w:rsid w:val="002F6AB3"/>
    <w:rsid w:val="00301CA3"/>
    <w:rsid w:val="00302EDB"/>
    <w:rsid w:val="0030525F"/>
    <w:rsid w:val="00316346"/>
    <w:rsid w:val="00320E47"/>
    <w:rsid w:val="00321B8D"/>
    <w:rsid w:val="00324013"/>
    <w:rsid w:val="00327F43"/>
    <w:rsid w:val="003323FC"/>
    <w:rsid w:val="00332A13"/>
    <w:rsid w:val="0033353C"/>
    <w:rsid w:val="003369A1"/>
    <w:rsid w:val="00337EA4"/>
    <w:rsid w:val="00341E5F"/>
    <w:rsid w:val="00342DBB"/>
    <w:rsid w:val="0034345C"/>
    <w:rsid w:val="00344B74"/>
    <w:rsid w:val="00346C2D"/>
    <w:rsid w:val="0034773C"/>
    <w:rsid w:val="00351B64"/>
    <w:rsid w:val="00351B76"/>
    <w:rsid w:val="00354EF2"/>
    <w:rsid w:val="003576ED"/>
    <w:rsid w:val="00361767"/>
    <w:rsid w:val="00363BEC"/>
    <w:rsid w:val="0036599B"/>
    <w:rsid w:val="00370B08"/>
    <w:rsid w:val="00371B1D"/>
    <w:rsid w:val="003723DF"/>
    <w:rsid w:val="0037295B"/>
    <w:rsid w:val="00375C3B"/>
    <w:rsid w:val="0038044C"/>
    <w:rsid w:val="00384729"/>
    <w:rsid w:val="00384C09"/>
    <w:rsid w:val="003855B9"/>
    <w:rsid w:val="00387D69"/>
    <w:rsid w:val="00393F23"/>
    <w:rsid w:val="00394995"/>
    <w:rsid w:val="0039677D"/>
    <w:rsid w:val="00397ECD"/>
    <w:rsid w:val="003A038D"/>
    <w:rsid w:val="003A0738"/>
    <w:rsid w:val="003A1619"/>
    <w:rsid w:val="003A2B63"/>
    <w:rsid w:val="003A7799"/>
    <w:rsid w:val="003B014C"/>
    <w:rsid w:val="003B1976"/>
    <w:rsid w:val="003B5945"/>
    <w:rsid w:val="003B7123"/>
    <w:rsid w:val="003C1052"/>
    <w:rsid w:val="003C4E4A"/>
    <w:rsid w:val="003C509A"/>
    <w:rsid w:val="003C6A17"/>
    <w:rsid w:val="003D26F2"/>
    <w:rsid w:val="003E139D"/>
    <w:rsid w:val="003E188D"/>
    <w:rsid w:val="003E3779"/>
    <w:rsid w:val="003E4EB8"/>
    <w:rsid w:val="003E7182"/>
    <w:rsid w:val="003E7C3C"/>
    <w:rsid w:val="003F4565"/>
    <w:rsid w:val="003F4759"/>
    <w:rsid w:val="0040099A"/>
    <w:rsid w:val="004014A7"/>
    <w:rsid w:val="00402E09"/>
    <w:rsid w:val="00403B16"/>
    <w:rsid w:val="004045FA"/>
    <w:rsid w:val="00410F95"/>
    <w:rsid w:val="00412618"/>
    <w:rsid w:val="0041311F"/>
    <w:rsid w:val="004137CF"/>
    <w:rsid w:val="0041425E"/>
    <w:rsid w:val="004148C8"/>
    <w:rsid w:val="00417FD1"/>
    <w:rsid w:val="00421DD4"/>
    <w:rsid w:val="0042272D"/>
    <w:rsid w:val="0042290E"/>
    <w:rsid w:val="00425763"/>
    <w:rsid w:val="004346DF"/>
    <w:rsid w:val="0043567E"/>
    <w:rsid w:val="00436CA5"/>
    <w:rsid w:val="00437256"/>
    <w:rsid w:val="0044268D"/>
    <w:rsid w:val="004429C3"/>
    <w:rsid w:val="00442B47"/>
    <w:rsid w:val="00443388"/>
    <w:rsid w:val="00446F60"/>
    <w:rsid w:val="00455DAB"/>
    <w:rsid w:val="0045725E"/>
    <w:rsid w:val="00457729"/>
    <w:rsid w:val="00462DB6"/>
    <w:rsid w:val="0046791E"/>
    <w:rsid w:val="00467D21"/>
    <w:rsid w:val="00472934"/>
    <w:rsid w:val="00476D01"/>
    <w:rsid w:val="00480D65"/>
    <w:rsid w:val="0048172C"/>
    <w:rsid w:val="004820E7"/>
    <w:rsid w:val="00482C41"/>
    <w:rsid w:val="00483C0C"/>
    <w:rsid w:val="00485CEA"/>
    <w:rsid w:val="00485F41"/>
    <w:rsid w:val="00494EFD"/>
    <w:rsid w:val="0049564C"/>
    <w:rsid w:val="004979E3"/>
    <w:rsid w:val="004A01E6"/>
    <w:rsid w:val="004A5191"/>
    <w:rsid w:val="004A6E3E"/>
    <w:rsid w:val="004B0C79"/>
    <w:rsid w:val="004B0F2B"/>
    <w:rsid w:val="004B6613"/>
    <w:rsid w:val="004C02F4"/>
    <w:rsid w:val="004C11BD"/>
    <w:rsid w:val="004C574F"/>
    <w:rsid w:val="004D1A5F"/>
    <w:rsid w:val="004D407A"/>
    <w:rsid w:val="004D68AD"/>
    <w:rsid w:val="004D782E"/>
    <w:rsid w:val="004E1B47"/>
    <w:rsid w:val="004E222A"/>
    <w:rsid w:val="004E3B3E"/>
    <w:rsid w:val="004F11B0"/>
    <w:rsid w:val="004F1295"/>
    <w:rsid w:val="004F19C6"/>
    <w:rsid w:val="004F4127"/>
    <w:rsid w:val="004F62F4"/>
    <w:rsid w:val="005024AA"/>
    <w:rsid w:val="00506539"/>
    <w:rsid w:val="00506B75"/>
    <w:rsid w:val="00510502"/>
    <w:rsid w:val="00510AB6"/>
    <w:rsid w:val="00510D44"/>
    <w:rsid w:val="005136D4"/>
    <w:rsid w:val="00513D20"/>
    <w:rsid w:val="00513E5E"/>
    <w:rsid w:val="00516267"/>
    <w:rsid w:val="00526BBC"/>
    <w:rsid w:val="005306AB"/>
    <w:rsid w:val="00535DFD"/>
    <w:rsid w:val="005409FA"/>
    <w:rsid w:val="005419BC"/>
    <w:rsid w:val="00542176"/>
    <w:rsid w:val="0054226D"/>
    <w:rsid w:val="00543E40"/>
    <w:rsid w:val="00545974"/>
    <w:rsid w:val="00546919"/>
    <w:rsid w:val="005516BB"/>
    <w:rsid w:val="005535D1"/>
    <w:rsid w:val="00553D22"/>
    <w:rsid w:val="005576CA"/>
    <w:rsid w:val="00564BEB"/>
    <w:rsid w:val="005650DB"/>
    <w:rsid w:val="00565C55"/>
    <w:rsid w:val="00570306"/>
    <w:rsid w:val="00572ACD"/>
    <w:rsid w:val="005800E8"/>
    <w:rsid w:val="00582F48"/>
    <w:rsid w:val="00583028"/>
    <w:rsid w:val="00584EDF"/>
    <w:rsid w:val="00587319"/>
    <w:rsid w:val="00587BAB"/>
    <w:rsid w:val="00587FB4"/>
    <w:rsid w:val="00592D19"/>
    <w:rsid w:val="005933C8"/>
    <w:rsid w:val="005A1F38"/>
    <w:rsid w:val="005A2F19"/>
    <w:rsid w:val="005A43A3"/>
    <w:rsid w:val="005A59A6"/>
    <w:rsid w:val="005A5E4B"/>
    <w:rsid w:val="005B00F2"/>
    <w:rsid w:val="005B0D8D"/>
    <w:rsid w:val="005B0F2B"/>
    <w:rsid w:val="005B121E"/>
    <w:rsid w:val="005C3FA7"/>
    <w:rsid w:val="005C435B"/>
    <w:rsid w:val="005C7DC8"/>
    <w:rsid w:val="005D7F72"/>
    <w:rsid w:val="005E04AE"/>
    <w:rsid w:val="005E0CC3"/>
    <w:rsid w:val="005E1A79"/>
    <w:rsid w:val="005E325B"/>
    <w:rsid w:val="005E553A"/>
    <w:rsid w:val="005E5DC1"/>
    <w:rsid w:val="005F2E72"/>
    <w:rsid w:val="005F31F0"/>
    <w:rsid w:val="005F670F"/>
    <w:rsid w:val="006005E2"/>
    <w:rsid w:val="006007D4"/>
    <w:rsid w:val="00600CBD"/>
    <w:rsid w:val="00601C70"/>
    <w:rsid w:val="00602EAE"/>
    <w:rsid w:val="00602EB0"/>
    <w:rsid w:val="00603C90"/>
    <w:rsid w:val="00605705"/>
    <w:rsid w:val="00610D06"/>
    <w:rsid w:val="00610DFA"/>
    <w:rsid w:val="00611F4C"/>
    <w:rsid w:val="0061530C"/>
    <w:rsid w:val="00615A25"/>
    <w:rsid w:val="00616ABB"/>
    <w:rsid w:val="00616C00"/>
    <w:rsid w:val="00622752"/>
    <w:rsid w:val="006233E7"/>
    <w:rsid w:val="00627A92"/>
    <w:rsid w:val="00632E9C"/>
    <w:rsid w:val="006368C3"/>
    <w:rsid w:val="00641518"/>
    <w:rsid w:val="00642574"/>
    <w:rsid w:val="00652A08"/>
    <w:rsid w:val="006550B3"/>
    <w:rsid w:val="006561E5"/>
    <w:rsid w:val="00656550"/>
    <w:rsid w:val="006624D8"/>
    <w:rsid w:val="00662B0A"/>
    <w:rsid w:val="00667A7F"/>
    <w:rsid w:val="00671D6A"/>
    <w:rsid w:val="00672AE7"/>
    <w:rsid w:val="00674BA7"/>
    <w:rsid w:val="006753A4"/>
    <w:rsid w:val="006763C3"/>
    <w:rsid w:val="00677A60"/>
    <w:rsid w:val="00680702"/>
    <w:rsid w:val="00680968"/>
    <w:rsid w:val="00682201"/>
    <w:rsid w:val="006827D6"/>
    <w:rsid w:val="0068647B"/>
    <w:rsid w:val="00691990"/>
    <w:rsid w:val="006930A0"/>
    <w:rsid w:val="00693E9A"/>
    <w:rsid w:val="006946D8"/>
    <w:rsid w:val="00695490"/>
    <w:rsid w:val="006964AD"/>
    <w:rsid w:val="00696AB0"/>
    <w:rsid w:val="00697DCE"/>
    <w:rsid w:val="006A1692"/>
    <w:rsid w:val="006A4521"/>
    <w:rsid w:val="006A6E1D"/>
    <w:rsid w:val="006A7189"/>
    <w:rsid w:val="006A7BD1"/>
    <w:rsid w:val="006B0152"/>
    <w:rsid w:val="006B2F8C"/>
    <w:rsid w:val="006B36BA"/>
    <w:rsid w:val="006C3324"/>
    <w:rsid w:val="006C3B92"/>
    <w:rsid w:val="006C58F6"/>
    <w:rsid w:val="006D1959"/>
    <w:rsid w:val="006D3846"/>
    <w:rsid w:val="006D48D2"/>
    <w:rsid w:val="006E0CFE"/>
    <w:rsid w:val="006E149F"/>
    <w:rsid w:val="006E2DF4"/>
    <w:rsid w:val="006E37F5"/>
    <w:rsid w:val="006E3C50"/>
    <w:rsid w:val="006E6153"/>
    <w:rsid w:val="006F1128"/>
    <w:rsid w:val="006F1E25"/>
    <w:rsid w:val="006F24C0"/>
    <w:rsid w:val="007011E0"/>
    <w:rsid w:val="00703B4D"/>
    <w:rsid w:val="00703E59"/>
    <w:rsid w:val="00703F7E"/>
    <w:rsid w:val="007078DA"/>
    <w:rsid w:val="007101AD"/>
    <w:rsid w:val="00714D52"/>
    <w:rsid w:val="00714F4B"/>
    <w:rsid w:val="007201AB"/>
    <w:rsid w:val="007220EF"/>
    <w:rsid w:val="00723142"/>
    <w:rsid w:val="00723A14"/>
    <w:rsid w:val="00724144"/>
    <w:rsid w:val="007262DC"/>
    <w:rsid w:val="0073052F"/>
    <w:rsid w:val="00731687"/>
    <w:rsid w:val="00731895"/>
    <w:rsid w:val="00733153"/>
    <w:rsid w:val="007364C7"/>
    <w:rsid w:val="0073667D"/>
    <w:rsid w:val="0074707B"/>
    <w:rsid w:val="00750B6C"/>
    <w:rsid w:val="0075352B"/>
    <w:rsid w:val="00755490"/>
    <w:rsid w:val="007563FA"/>
    <w:rsid w:val="00761A8E"/>
    <w:rsid w:val="0076228F"/>
    <w:rsid w:val="00767582"/>
    <w:rsid w:val="007725D6"/>
    <w:rsid w:val="00774F52"/>
    <w:rsid w:val="007750EB"/>
    <w:rsid w:val="007757AA"/>
    <w:rsid w:val="00776F84"/>
    <w:rsid w:val="00780082"/>
    <w:rsid w:val="00782FE4"/>
    <w:rsid w:val="00783617"/>
    <w:rsid w:val="0078431F"/>
    <w:rsid w:val="00787274"/>
    <w:rsid w:val="00791AED"/>
    <w:rsid w:val="00791EF2"/>
    <w:rsid w:val="00792DAB"/>
    <w:rsid w:val="00793757"/>
    <w:rsid w:val="007966BA"/>
    <w:rsid w:val="007A2256"/>
    <w:rsid w:val="007A2B80"/>
    <w:rsid w:val="007A7AB9"/>
    <w:rsid w:val="007B120A"/>
    <w:rsid w:val="007B3321"/>
    <w:rsid w:val="007B35EE"/>
    <w:rsid w:val="007B3CBA"/>
    <w:rsid w:val="007B7A92"/>
    <w:rsid w:val="007C1801"/>
    <w:rsid w:val="007C33EC"/>
    <w:rsid w:val="007C438A"/>
    <w:rsid w:val="007C6570"/>
    <w:rsid w:val="007C78DF"/>
    <w:rsid w:val="007D36B8"/>
    <w:rsid w:val="007D38B6"/>
    <w:rsid w:val="007D401D"/>
    <w:rsid w:val="007D4B6B"/>
    <w:rsid w:val="007D5434"/>
    <w:rsid w:val="007D54F6"/>
    <w:rsid w:val="007E26EF"/>
    <w:rsid w:val="007E3D02"/>
    <w:rsid w:val="007F1976"/>
    <w:rsid w:val="007F6075"/>
    <w:rsid w:val="0080102E"/>
    <w:rsid w:val="00802521"/>
    <w:rsid w:val="008056CD"/>
    <w:rsid w:val="008057F7"/>
    <w:rsid w:val="00805C01"/>
    <w:rsid w:val="0080725A"/>
    <w:rsid w:val="00810DF8"/>
    <w:rsid w:val="00811FEB"/>
    <w:rsid w:val="00812DD8"/>
    <w:rsid w:val="00820B1C"/>
    <w:rsid w:val="008235C4"/>
    <w:rsid w:val="00824493"/>
    <w:rsid w:val="008252CB"/>
    <w:rsid w:val="00825709"/>
    <w:rsid w:val="0083317A"/>
    <w:rsid w:val="00834AE3"/>
    <w:rsid w:val="008359E0"/>
    <w:rsid w:val="00835FD8"/>
    <w:rsid w:val="00837D6C"/>
    <w:rsid w:val="00841B4A"/>
    <w:rsid w:val="00842A2C"/>
    <w:rsid w:val="008439E1"/>
    <w:rsid w:val="0085075C"/>
    <w:rsid w:val="008518E5"/>
    <w:rsid w:val="00852E1D"/>
    <w:rsid w:val="00855464"/>
    <w:rsid w:val="008566AE"/>
    <w:rsid w:val="0086094C"/>
    <w:rsid w:val="00861457"/>
    <w:rsid w:val="008640ED"/>
    <w:rsid w:val="00865C47"/>
    <w:rsid w:val="008668AE"/>
    <w:rsid w:val="008723D0"/>
    <w:rsid w:val="00873636"/>
    <w:rsid w:val="0087458F"/>
    <w:rsid w:val="00882EB8"/>
    <w:rsid w:val="00882F6E"/>
    <w:rsid w:val="00884DC7"/>
    <w:rsid w:val="008852DE"/>
    <w:rsid w:val="0088784F"/>
    <w:rsid w:val="008925F2"/>
    <w:rsid w:val="0089268C"/>
    <w:rsid w:val="00893710"/>
    <w:rsid w:val="00893D2F"/>
    <w:rsid w:val="00896172"/>
    <w:rsid w:val="008974A0"/>
    <w:rsid w:val="008A2C62"/>
    <w:rsid w:val="008A35AD"/>
    <w:rsid w:val="008A5593"/>
    <w:rsid w:val="008A6B3E"/>
    <w:rsid w:val="008A6D2E"/>
    <w:rsid w:val="008B0047"/>
    <w:rsid w:val="008B2F74"/>
    <w:rsid w:val="008C39A9"/>
    <w:rsid w:val="008C492A"/>
    <w:rsid w:val="008C7B73"/>
    <w:rsid w:val="008C7FC6"/>
    <w:rsid w:val="008D476F"/>
    <w:rsid w:val="008D5FA4"/>
    <w:rsid w:val="008D61A2"/>
    <w:rsid w:val="008E443F"/>
    <w:rsid w:val="008E7273"/>
    <w:rsid w:val="008F1B73"/>
    <w:rsid w:val="008F384A"/>
    <w:rsid w:val="008F7B40"/>
    <w:rsid w:val="008F7B56"/>
    <w:rsid w:val="009003BE"/>
    <w:rsid w:val="00901BCE"/>
    <w:rsid w:val="0090389B"/>
    <w:rsid w:val="00905C2B"/>
    <w:rsid w:val="0090661E"/>
    <w:rsid w:val="00911589"/>
    <w:rsid w:val="009165FB"/>
    <w:rsid w:val="00923EA8"/>
    <w:rsid w:val="00927C26"/>
    <w:rsid w:val="009308DF"/>
    <w:rsid w:val="009315E1"/>
    <w:rsid w:val="0093435D"/>
    <w:rsid w:val="00935F89"/>
    <w:rsid w:val="00936D49"/>
    <w:rsid w:val="00940597"/>
    <w:rsid w:val="00941A37"/>
    <w:rsid w:val="00943399"/>
    <w:rsid w:val="00950267"/>
    <w:rsid w:val="0095359D"/>
    <w:rsid w:val="00953E78"/>
    <w:rsid w:val="009546F2"/>
    <w:rsid w:val="00957F48"/>
    <w:rsid w:val="00960207"/>
    <w:rsid w:val="0096087A"/>
    <w:rsid w:val="00961997"/>
    <w:rsid w:val="00964479"/>
    <w:rsid w:val="009670E1"/>
    <w:rsid w:val="009703FD"/>
    <w:rsid w:val="0097160E"/>
    <w:rsid w:val="00972182"/>
    <w:rsid w:val="00972262"/>
    <w:rsid w:val="00972CCA"/>
    <w:rsid w:val="00973525"/>
    <w:rsid w:val="00975D6D"/>
    <w:rsid w:val="0097738A"/>
    <w:rsid w:val="0097790E"/>
    <w:rsid w:val="00977AD8"/>
    <w:rsid w:val="00977E27"/>
    <w:rsid w:val="00982996"/>
    <w:rsid w:val="00983D4D"/>
    <w:rsid w:val="009841B0"/>
    <w:rsid w:val="00985518"/>
    <w:rsid w:val="009871F1"/>
    <w:rsid w:val="00990B53"/>
    <w:rsid w:val="00996A38"/>
    <w:rsid w:val="00997F40"/>
    <w:rsid w:val="009A386B"/>
    <w:rsid w:val="009A4EC3"/>
    <w:rsid w:val="009B102C"/>
    <w:rsid w:val="009B135E"/>
    <w:rsid w:val="009B20D6"/>
    <w:rsid w:val="009B213E"/>
    <w:rsid w:val="009B22E5"/>
    <w:rsid w:val="009B27A0"/>
    <w:rsid w:val="009B3991"/>
    <w:rsid w:val="009B3CCA"/>
    <w:rsid w:val="009B4555"/>
    <w:rsid w:val="009B4A31"/>
    <w:rsid w:val="009B520E"/>
    <w:rsid w:val="009B6A35"/>
    <w:rsid w:val="009C233F"/>
    <w:rsid w:val="009C4DE3"/>
    <w:rsid w:val="009C673D"/>
    <w:rsid w:val="009C6784"/>
    <w:rsid w:val="009C6817"/>
    <w:rsid w:val="009D134A"/>
    <w:rsid w:val="009D230E"/>
    <w:rsid w:val="009E32A5"/>
    <w:rsid w:val="009E5FE7"/>
    <w:rsid w:val="009E6A2F"/>
    <w:rsid w:val="009F11EA"/>
    <w:rsid w:val="009F1A3D"/>
    <w:rsid w:val="009F3622"/>
    <w:rsid w:val="009F577B"/>
    <w:rsid w:val="009F5FA6"/>
    <w:rsid w:val="00A003A3"/>
    <w:rsid w:val="00A0375E"/>
    <w:rsid w:val="00A06CA9"/>
    <w:rsid w:val="00A10830"/>
    <w:rsid w:val="00A138FB"/>
    <w:rsid w:val="00A13D7C"/>
    <w:rsid w:val="00A15F2D"/>
    <w:rsid w:val="00A16C02"/>
    <w:rsid w:val="00A1763E"/>
    <w:rsid w:val="00A24364"/>
    <w:rsid w:val="00A243A6"/>
    <w:rsid w:val="00A2741B"/>
    <w:rsid w:val="00A32B66"/>
    <w:rsid w:val="00A32F55"/>
    <w:rsid w:val="00A3381A"/>
    <w:rsid w:val="00A33A31"/>
    <w:rsid w:val="00A34809"/>
    <w:rsid w:val="00A40FDE"/>
    <w:rsid w:val="00A41788"/>
    <w:rsid w:val="00A41E9E"/>
    <w:rsid w:val="00A427C5"/>
    <w:rsid w:val="00A4694C"/>
    <w:rsid w:val="00A475E9"/>
    <w:rsid w:val="00A50446"/>
    <w:rsid w:val="00A51837"/>
    <w:rsid w:val="00A5214B"/>
    <w:rsid w:val="00A561BB"/>
    <w:rsid w:val="00A60E72"/>
    <w:rsid w:val="00A6189D"/>
    <w:rsid w:val="00A62C28"/>
    <w:rsid w:val="00A66FCC"/>
    <w:rsid w:val="00A674DF"/>
    <w:rsid w:val="00A73956"/>
    <w:rsid w:val="00A75483"/>
    <w:rsid w:val="00A75E62"/>
    <w:rsid w:val="00A8068B"/>
    <w:rsid w:val="00A81CE2"/>
    <w:rsid w:val="00A83D6E"/>
    <w:rsid w:val="00A84992"/>
    <w:rsid w:val="00A84C77"/>
    <w:rsid w:val="00A9514C"/>
    <w:rsid w:val="00A97524"/>
    <w:rsid w:val="00AA0F4C"/>
    <w:rsid w:val="00AA1C66"/>
    <w:rsid w:val="00AA262C"/>
    <w:rsid w:val="00AA4CE6"/>
    <w:rsid w:val="00AB115C"/>
    <w:rsid w:val="00AB3555"/>
    <w:rsid w:val="00AB5A46"/>
    <w:rsid w:val="00AB70E3"/>
    <w:rsid w:val="00AC038B"/>
    <w:rsid w:val="00AC0E0D"/>
    <w:rsid w:val="00AC3290"/>
    <w:rsid w:val="00AC42A4"/>
    <w:rsid w:val="00AD0129"/>
    <w:rsid w:val="00AD17FA"/>
    <w:rsid w:val="00AD1858"/>
    <w:rsid w:val="00AD256A"/>
    <w:rsid w:val="00AD40B7"/>
    <w:rsid w:val="00AE07E8"/>
    <w:rsid w:val="00AE3A43"/>
    <w:rsid w:val="00AE52A3"/>
    <w:rsid w:val="00AE5580"/>
    <w:rsid w:val="00AE5E87"/>
    <w:rsid w:val="00AE61BC"/>
    <w:rsid w:val="00AE6ACB"/>
    <w:rsid w:val="00AE76BB"/>
    <w:rsid w:val="00AE7C45"/>
    <w:rsid w:val="00AF3ADF"/>
    <w:rsid w:val="00AF4AE8"/>
    <w:rsid w:val="00AF6C04"/>
    <w:rsid w:val="00B0081E"/>
    <w:rsid w:val="00B02117"/>
    <w:rsid w:val="00B0446B"/>
    <w:rsid w:val="00B06808"/>
    <w:rsid w:val="00B06AD4"/>
    <w:rsid w:val="00B13BD4"/>
    <w:rsid w:val="00B13CA2"/>
    <w:rsid w:val="00B20697"/>
    <w:rsid w:val="00B212B7"/>
    <w:rsid w:val="00B21393"/>
    <w:rsid w:val="00B23DFD"/>
    <w:rsid w:val="00B3177F"/>
    <w:rsid w:val="00B321EC"/>
    <w:rsid w:val="00B327C9"/>
    <w:rsid w:val="00B333D4"/>
    <w:rsid w:val="00B3461E"/>
    <w:rsid w:val="00B34C21"/>
    <w:rsid w:val="00B378AC"/>
    <w:rsid w:val="00B44962"/>
    <w:rsid w:val="00B465C7"/>
    <w:rsid w:val="00B54539"/>
    <w:rsid w:val="00B56A90"/>
    <w:rsid w:val="00B60960"/>
    <w:rsid w:val="00B62C8D"/>
    <w:rsid w:val="00B63622"/>
    <w:rsid w:val="00B65D82"/>
    <w:rsid w:val="00B70F76"/>
    <w:rsid w:val="00B7447A"/>
    <w:rsid w:val="00B80346"/>
    <w:rsid w:val="00B8233B"/>
    <w:rsid w:val="00B8455C"/>
    <w:rsid w:val="00B94C21"/>
    <w:rsid w:val="00B96933"/>
    <w:rsid w:val="00B971C2"/>
    <w:rsid w:val="00BA01F1"/>
    <w:rsid w:val="00BA1BF8"/>
    <w:rsid w:val="00BA1C63"/>
    <w:rsid w:val="00BA1DBF"/>
    <w:rsid w:val="00BA42CA"/>
    <w:rsid w:val="00BA642C"/>
    <w:rsid w:val="00BA743C"/>
    <w:rsid w:val="00BB00EA"/>
    <w:rsid w:val="00BB451C"/>
    <w:rsid w:val="00BB49A8"/>
    <w:rsid w:val="00BC0467"/>
    <w:rsid w:val="00BC0679"/>
    <w:rsid w:val="00BC135B"/>
    <w:rsid w:val="00BC22E9"/>
    <w:rsid w:val="00BD0730"/>
    <w:rsid w:val="00BD08FF"/>
    <w:rsid w:val="00BD178F"/>
    <w:rsid w:val="00BD1BE1"/>
    <w:rsid w:val="00BD4FCE"/>
    <w:rsid w:val="00BE055C"/>
    <w:rsid w:val="00BE13DC"/>
    <w:rsid w:val="00BE36D5"/>
    <w:rsid w:val="00BE3D9B"/>
    <w:rsid w:val="00BF239C"/>
    <w:rsid w:val="00BF2679"/>
    <w:rsid w:val="00BF2A88"/>
    <w:rsid w:val="00BF2B2F"/>
    <w:rsid w:val="00BF2C3A"/>
    <w:rsid w:val="00BF49F5"/>
    <w:rsid w:val="00BF56AA"/>
    <w:rsid w:val="00C02BBD"/>
    <w:rsid w:val="00C030EE"/>
    <w:rsid w:val="00C03729"/>
    <w:rsid w:val="00C053F3"/>
    <w:rsid w:val="00C0641A"/>
    <w:rsid w:val="00C06AE5"/>
    <w:rsid w:val="00C0724D"/>
    <w:rsid w:val="00C0733B"/>
    <w:rsid w:val="00C13D88"/>
    <w:rsid w:val="00C15096"/>
    <w:rsid w:val="00C1578E"/>
    <w:rsid w:val="00C15D21"/>
    <w:rsid w:val="00C21E7A"/>
    <w:rsid w:val="00C23488"/>
    <w:rsid w:val="00C257D8"/>
    <w:rsid w:val="00C3060E"/>
    <w:rsid w:val="00C31CE9"/>
    <w:rsid w:val="00C31D28"/>
    <w:rsid w:val="00C320E1"/>
    <w:rsid w:val="00C32303"/>
    <w:rsid w:val="00C33E22"/>
    <w:rsid w:val="00C36DE8"/>
    <w:rsid w:val="00C4178B"/>
    <w:rsid w:val="00C44A3A"/>
    <w:rsid w:val="00C44B38"/>
    <w:rsid w:val="00C4625D"/>
    <w:rsid w:val="00C46931"/>
    <w:rsid w:val="00C46D1E"/>
    <w:rsid w:val="00C513A4"/>
    <w:rsid w:val="00C52DCA"/>
    <w:rsid w:val="00C53271"/>
    <w:rsid w:val="00C5676D"/>
    <w:rsid w:val="00C63451"/>
    <w:rsid w:val="00C64E87"/>
    <w:rsid w:val="00C66A54"/>
    <w:rsid w:val="00C66ADE"/>
    <w:rsid w:val="00C7158B"/>
    <w:rsid w:val="00C740F4"/>
    <w:rsid w:val="00C9048F"/>
    <w:rsid w:val="00C92912"/>
    <w:rsid w:val="00C92BE8"/>
    <w:rsid w:val="00C938C8"/>
    <w:rsid w:val="00C94459"/>
    <w:rsid w:val="00C95EF7"/>
    <w:rsid w:val="00C97CE4"/>
    <w:rsid w:val="00CA2AC9"/>
    <w:rsid w:val="00CA3B5E"/>
    <w:rsid w:val="00CA43EA"/>
    <w:rsid w:val="00CA4969"/>
    <w:rsid w:val="00CA5934"/>
    <w:rsid w:val="00CA6FBC"/>
    <w:rsid w:val="00CB2A85"/>
    <w:rsid w:val="00CB3AC1"/>
    <w:rsid w:val="00CB3D96"/>
    <w:rsid w:val="00CB6ED5"/>
    <w:rsid w:val="00CB7469"/>
    <w:rsid w:val="00CB7740"/>
    <w:rsid w:val="00CC1245"/>
    <w:rsid w:val="00CC6DFD"/>
    <w:rsid w:val="00CC7AA9"/>
    <w:rsid w:val="00CD3695"/>
    <w:rsid w:val="00CD4291"/>
    <w:rsid w:val="00CD4D7F"/>
    <w:rsid w:val="00CD6DF7"/>
    <w:rsid w:val="00CE044F"/>
    <w:rsid w:val="00CE0475"/>
    <w:rsid w:val="00CE1390"/>
    <w:rsid w:val="00CE1A22"/>
    <w:rsid w:val="00CE4034"/>
    <w:rsid w:val="00CE4F94"/>
    <w:rsid w:val="00CF29DF"/>
    <w:rsid w:val="00CF3ACC"/>
    <w:rsid w:val="00D011A6"/>
    <w:rsid w:val="00D026A1"/>
    <w:rsid w:val="00D03DA3"/>
    <w:rsid w:val="00D067EE"/>
    <w:rsid w:val="00D0730E"/>
    <w:rsid w:val="00D16334"/>
    <w:rsid w:val="00D20A15"/>
    <w:rsid w:val="00D21488"/>
    <w:rsid w:val="00D215CC"/>
    <w:rsid w:val="00D235A1"/>
    <w:rsid w:val="00D272E4"/>
    <w:rsid w:val="00D33CB9"/>
    <w:rsid w:val="00D36312"/>
    <w:rsid w:val="00D37123"/>
    <w:rsid w:val="00D432A4"/>
    <w:rsid w:val="00D516C4"/>
    <w:rsid w:val="00D5227A"/>
    <w:rsid w:val="00D527AE"/>
    <w:rsid w:val="00D52AF5"/>
    <w:rsid w:val="00D530D9"/>
    <w:rsid w:val="00D539C9"/>
    <w:rsid w:val="00D552FB"/>
    <w:rsid w:val="00D57ED2"/>
    <w:rsid w:val="00D60483"/>
    <w:rsid w:val="00D66EED"/>
    <w:rsid w:val="00D67E4E"/>
    <w:rsid w:val="00D7299F"/>
    <w:rsid w:val="00D72BD6"/>
    <w:rsid w:val="00D74402"/>
    <w:rsid w:val="00D74A36"/>
    <w:rsid w:val="00D75E52"/>
    <w:rsid w:val="00D77E59"/>
    <w:rsid w:val="00D80DFB"/>
    <w:rsid w:val="00D82DA9"/>
    <w:rsid w:val="00D86E4F"/>
    <w:rsid w:val="00D87FFC"/>
    <w:rsid w:val="00D906CB"/>
    <w:rsid w:val="00D95012"/>
    <w:rsid w:val="00DA37ED"/>
    <w:rsid w:val="00DA460A"/>
    <w:rsid w:val="00DA65E5"/>
    <w:rsid w:val="00DB046F"/>
    <w:rsid w:val="00DB0E16"/>
    <w:rsid w:val="00DB3BDD"/>
    <w:rsid w:val="00DB4780"/>
    <w:rsid w:val="00DB4ED1"/>
    <w:rsid w:val="00DB7283"/>
    <w:rsid w:val="00DC03EC"/>
    <w:rsid w:val="00DC06B9"/>
    <w:rsid w:val="00DC1C22"/>
    <w:rsid w:val="00DC2F28"/>
    <w:rsid w:val="00DC446A"/>
    <w:rsid w:val="00DC462D"/>
    <w:rsid w:val="00DC51E4"/>
    <w:rsid w:val="00DC5D89"/>
    <w:rsid w:val="00DC64C3"/>
    <w:rsid w:val="00DD3E78"/>
    <w:rsid w:val="00DD4D2B"/>
    <w:rsid w:val="00DD67F8"/>
    <w:rsid w:val="00DE10CF"/>
    <w:rsid w:val="00DE7BFE"/>
    <w:rsid w:val="00DE7D96"/>
    <w:rsid w:val="00DF49FC"/>
    <w:rsid w:val="00DF5981"/>
    <w:rsid w:val="00E014D7"/>
    <w:rsid w:val="00E032DA"/>
    <w:rsid w:val="00E0436E"/>
    <w:rsid w:val="00E103E6"/>
    <w:rsid w:val="00E12761"/>
    <w:rsid w:val="00E12C95"/>
    <w:rsid w:val="00E15D4B"/>
    <w:rsid w:val="00E1629D"/>
    <w:rsid w:val="00E16929"/>
    <w:rsid w:val="00E21F64"/>
    <w:rsid w:val="00E24CB8"/>
    <w:rsid w:val="00E301E0"/>
    <w:rsid w:val="00E31655"/>
    <w:rsid w:val="00E31D40"/>
    <w:rsid w:val="00E32EE6"/>
    <w:rsid w:val="00E3370E"/>
    <w:rsid w:val="00E358FE"/>
    <w:rsid w:val="00E40E9B"/>
    <w:rsid w:val="00E43752"/>
    <w:rsid w:val="00E446CB"/>
    <w:rsid w:val="00E45084"/>
    <w:rsid w:val="00E46E93"/>
    <w:rsid w:val="00E47D51"/>
    <w:rsid w:val="00E502F1"/>
    <w:rsid w:val="00E52E82"/>
    <w:rsid w:val="00E54549"/>
    <w:rsid w:val="00E55FDD"/>
    <w:rsid w:val="00E56BB7"/>
    <w:rsid w:val="00E56CD9"/>
    <w:rsid w:val="00E6488A"/>
    <w:rsid w:val="00E66003"/>
    <w:rsid w:val="00E73AE9"/>
    <w:rsid w:val="00E74CD3"/>
    <w:rsid w:val="00E75050"/>
    <w:rsid w:val="00E808F7"/>
    <w:rsid w:val="00E80B83"/>
    <w:rsid w:val="00E813EB"/>
    <w:rsid w:val="00E83737"/>
    <w:rsid w:val="00E86DDA"/>
    <w:rsid w:val="00E923DB"/>
    <w:rsid w:val="00E92791"/>
    <w:rsid w:val="00E93B98"/>
    <w:rsid w:val="00E95129"/>
    <w:rsid w:val="00EA547D"/>
    <w:rsid w:val="00EA5943"/>
    <w:rsid w:val="00EA6DF3"/>
    <w:rsid w:val="00EB2FF2"/>
    <w:rsid w:val="00EB3B67"/>
    <w:rsid w:val="00EB5DF1"/>
    <w:rsid w:val="00EB62BB"/>
    <w:rsid w:val="00EB64F7"/>
    <w:rsid w:val="00EC4043"/>
    <w:rsid w:val="00EC46C3"/>
    <w:rsid w:val="00EC49A4"/>
    <w:rsid w:val="00EC63CB"/>
    <w:rsid w:val="00EC79AC"/>
    <w:rsid w:val="00ED21A6"/>
    <w:rsid w:val="00ED37C7"/>
    <w:rsid w:val="00ED4435"/>
    <w:rsid w:val="00ED7A18"/>
    <w:rsid w:val="00EE20B0"/>
    <w:rsid w:val="00EE750F"/>
    <w:rsid w:val="00EF4BE4"/>
    <w:rsid w:val="00EF6187"/>
    <w:rsid w:val="00EF6CA2"/>
    <w:rsid w:val="00EF7613"/>
    <w:rsid w:val="00EF79EB"/>
    <w:rsid w:val="00F017CD"/>
    <w:rsid w:val="00F04198"/>
    <w:rsid w:val="00F061D7"/>
    <w:rsid w:val="00F063FF"/>
    <w:rsid w:val="00F06432"/>
    <w:rsid w:val="00F10E8A"/>
    <w:rsid w:val="00F14CAF"/>
    <w:rsid w:val="00F15BB3"/>
    <w:rsid w:val="00F176D5"/>
    <w:rsid w:val="00F203D4"/>
    <w:rsid w:val="00F221A6"/>
    <w:rsid w:val="00F23BF2"/>
    <w:rsid w:val="00F26D98"/>
    <w:rsid w:val="00F410CF"/>
    <w:rsid w:val="00F45241"/>
    <w:rsid w:val="00F54EF1"/>
    <w:rsid w:val="00F55CD2"/>
    <w:rsid w:val="00F56E8B"/>
    <w:rsid w:val="00F62045"/>
    <w:rsid w:val="00F6484E"/>
    <w:rsid w:val="00F64D05"/>
    <w:rsid w:val="00F71CAB"/>
    <w:rsid w:val="00F738F7"/>
    <w:rsid w:val="00F73A76"/>
    <w:rsid w:val="00F73CEA"/>
    <w:rsid w:val="00F7528D"/>
    <w:rsid w:val="00F75B02"/>
    <w:rsid w:val="00F75EA8"/>
    <w:rsid w:val="00F80379"/>
    <w:rsid w:val="00F82CAA"/>
    <w:rsid w:val="00F8764B"/>
    <w:rsid w:val="00F8771F"/>
    <w:rsid w:val="00F87D6B"/>
    <w:rsid w:val="00F91B0E"/>
    <w:rsid w:val="00F97A9F"/>
    <w:rsid w:val="00FA291B"/>
    <w:rsid w:val="00FA4BB1"/>
    <w:rsid w:val="00FA6902"/>
    <w:rsid w:val="00FB3126"/>
    <w:rsid w:val="00FB3F40"/>
    <w:rsid w:val="00FB41BF"/>
    <w:rsid w:val="00FB4904"/>
    <w:rsid w:val="00FB570E"/>
    <w:rsid w:val="00FB694B"/>
    <w:rsid w:val="00FC02B7"/>
    <w:rsid w:val="00FC14BA"/>
    <w:rsid w:val="00FC7087"/>
    <w:rsid w:val="00FD23F3"/>
    <w:rsid w:val="00FD3CAD"/>
    <w:rsid w:val="00FD54F7"/>
    <w:rsid w:val="00FE1089"/>
    <w:rsid w:val="00FE31C8"/>
    <w:rsid w:val="00FF1203"/>
    <w:rsid w:val="00FF3163"/>
    <w:rsid w:val="00FF5B7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158AD"/>
  <w14:defaultImageDpi w14:val="0"/>
  <w15:docId w15:val="{B83458F5-D384-4908-A014-57B6F6AF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98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D72BD6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72BD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D72BD6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72BD6"/>
    <w:pPr>
      <w:jc w:val="center"/>
    </w:pPr>
    <w:rPr>
      <w:b/>
      <w:bCs/>
      <w:lang w:eastAsia="cs-CZ"/>
    </w:rPr>
  </w:style>
  <w:style w:type="character" w:customStyle="1" w:styleId="NzovChar">
    <w:name w:val="Názov Char"/>
    <w:link w:val="Nzov"/>
    <w:uiPriority w:val="99"/>
    <w:locked/>
    <w:rsid w:val="00776F84"/>
    <w:rPr>
      <w:rFonts w:cs="Times New Roman"/>
      <w:b/>
      <w:bCs/>
      <w:sz w:val="24"/>
      <w:szCs w:val="24"/>
      <w:lang w:val="sk-SK" w:eastAsia="cs-CZ"/>
    </w:rPr>
  </w:style>
  <w:style w:type="character" w:styleId="Zvraznenie">
    <w:name w:val="Emphasis"/>
    <w:uiPriority w:val="20"/>
    <w:qFormat/>
    <w:rsid w:val="00D72BD6"/>
    <w:rPr>
      <w:rFonts w:cs="Times New Roman"/>
      <w:i/>
      <w:iCs/>
    </w:rPr>
  </w:style>
  <w:style w:type="paragraph" w:customStyle="1" w:styleId="TEXT">
    <w:name w:val="TEXT"/>
    <w:basedOn w:val="Normlny"/>
    <w:uiPriority w:val="99"/>
    <w:rsid w:val="00D72BD6"/>
    <w:pPr>
      <w:jc w:val="both"/>
    </w:pPr>
    <w:rPr>
      <w:color w:val="000000"/>
    </w:rPr>
  </w:style>
  <w:style w:type="paragraph" w:customStyle="1" w:styleId="nariadenia">
    <w:name w:val="nariadenia"/>
    <w:basedOn w:val="Normlny"/>
    <w:uiPriority w:val="99"/>
    <w:rsid w:val="00D72BD6"/>
    <w:pPr>
      <w:ind w:left="567" w:hanging="567"/>
      <w:jc w:val="both"/>
    </w:pPr>
    <w:rPr>
      <w:color w:val="000000"/>
    </w:rPr>
  </w:style>
  <w:style w:type="paragraph" w:customStyle="1" w:styleId="BODY">
    <w:name w:val="BODY"/>
    <w:basedOn w:val="Normlny"/>
    <w:uiPriority w:val="99"/>
    <w:rsid w:val="00D72BD6"/>
    <w:rPr>
      <w:b/>
      <w:bCs/>
      <w:color w:val="000000"/>
    </w:rPr>
  </w:style>
  <w:style w:type="paragraph" w:customStyle="1" w:styleId="CharChar1">
    <w:name w:val="Char Char1"/>
    <w:basedOn w:val="Normlny"/>
    <w:uiPriority w:val="99"/>
    <w:rsid w:val="00192D06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Char">
    <w:name w:val="1 Char"/>
    <w:basedOn w:val="Normlny"/>
    <w:uiPriority w:val="99"/>
    <w:rsid w:val="00BC0467"/>
    <w:rPr>
      <w:lang w:val="pl-PL" w:eastAsia="pl-PL"/>
    </w:rPr>
  </w:style>
  <w:style w:type="paragraph" w:styleId="Pta">
    <w:name w:val="footer"/>
    <w:basedOn w:val="Normlny"/>
    <w:link w:val="PtaChar"/>
    <w:uiPriority w:val="99"/>
    <w:rsid w:val="003052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sid w:val="0030525F"/>
    <w:rPr>
      <w:rFonts w:cs="Times New Roman"/>
    </w:rPr>
  </w:style>
  <w:style w:type="paragraph" w:customStyle="1" w:styleId="Zkladntext1">
    <w:name w:val="Základní text1"/>
    <w:uiPriority w:val="99"/>
    <w:rsid w:val="00C06AE5"/>
    <w:rPr>
      <w:color w:val="000000"/>
      <w:sz w:val="24"/>
      <w:szCs w:val="24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4148C8"/>
    <w:pPr>
      <w:ind w:left="708"/>
    </w:pPr>
  </w:style>
  <w:style w:type="paragraph" w:customStyle="1" w:styleId="Zkladntext0">
    <w:name w:val="Základní text"/>
    <w:aliases w:val="Základný text Char Char"/>
    <w:uiPriority w:val="99"/>
    <w:rsid w:val="003C509A"/>
    <w:rPr>
      <w:color w:val="000000"/>
      <w:sz w:val="24"/>
      <w:szCs w:val="24"/>
    </w:rPr>
  </w:style>
  <w:style w:type="paragraph" w:customStyle="1" w:styleId="CharChar11">
    <w:name w:val="Char Char11"/>
    <w:basedOn w:val="Normlny"/>
    <w:uiPriority w:val="99"/>
    <w:rsid w:val="003C509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B197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3B197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8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F38ED"/>
    <w:rPr>
      <w:rFonts w:ascii="Tahoma" w:hAnsi="Tahoma" w:cs="Tahoma"/>
      <w:sz w:val="16"/>
      <w:szCs w:val="16"/>
    </w:rPr>
  </w:style>
  <w:style w:type="paragraph" w:customStyle="1" w:styleId="Zkladntext3">
    <w:name w:val="Zkladn text"/>
    <w:rsid w:val="00EF79EB"/>
    <w:pPr>
      <w:widowControl w:val="0"/>
      <w:autoSpaceDE w:val="0"/>
      <w:autoSpaceDN w:val="0"/>
    </w:pPr>
    <w:rPr>
      <w:color w:val="000000"/>
    </w:rPr>
  </w:style>
  <w:style w:type="character" w:styleId="Hypertextovprepojenie">
    <w:name w:val="Hyperlink"/>
    <w:uiPriority w:val="99"/>
    <w:semiHidden/>
    <w:unhideWhenUsed/>
    <w:rsid w:val="008D61A2"/>
    <w:rPr>
      <w:rFonts w:cs="Times New Roman"/>
      <w:color w:val="0000FF"/>
      <w:u w:val="single"/>
    </w:rPr>
  </w:style>
  <w:style w:type="paragraph" w:customStyle="1" w:styleId="c02alineaalta">
    <w:name w:val="c02alineaalta"/>
    <w:basedOn w:val="Normlny"/>
    <w:rsid w:val="008D61A2"/>
    <w:pPr>
      <w:spacing w:after="240"/>
      <w:ind w:left="567"/>
      <w:jc w:val="both"/>
    </w:pPr>
  </w:style>
  <w:style w:type="paragraph" w:customStyle="1" w:styleId="c19centre">
    <w:name w:val="c19centre"/>
    <w:basedOn w:val="Normlny"/>
    <w:rsid w:val="008D61A2"/>
    <w:pPr>
      <w:spacing w:after="240"/>
      <w:ind w:left="567"/>
      <w:jc w:val="center"/>
    </w:pPr>
  </w:style>
  <w:style w:type="paragraph" w:customStyle="1" w:styleId="c71indicateur">
    <w:name w:val="c71indicateur"/>
    <w:basedOn w:val="Normlny"/>
    <w:rsid w:val="008D61A2"/>
    <w:pPr>
      <w:spacing w:before="600" w:after="560"/>
      <w:ind w:left="567"/>
      <w:jc w:val="center"/>
    </w:pPr>
  </w:style>
  <w:style w:type="paragraph" w:customStyle="1" w:styleId="Default">
    <w:name w:val="Default"/>
    <w:rsid w:val="00A06CA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PlaceholderText1">
    <w:name w:val="Placeholder Text1"/>
    <w:uiPriority w:val="99"/>
    <w:semiHidden/>
    <w:rsid w:val="00A06CA9"/>
    <w:rPr>
      <w:color w:val="808080"/>
    </w:rPr>
  </w:style>
  <w:style w:type="character" w:styleId="Odkaznakomentr">
    <w:name w:val="annotation reference"/>
    <w:uiPriority w:val="99"/>
    <w:semiHidden/>
    <w:unhideWhenUsed/>
    <w:rsid w:val="000A586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586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A586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586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A586F"/>
    <w:rPr>
      <w:rFonts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D21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0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B0AE-0176-4480-B6D5-145ABB21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mfsr</Company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Ing. Janka Mareková</dc:creator>
  <cp:keywords/>
  <dc:description/>
  <cp:lastModifiedBy>Marekova Janka</cp:lastModifiedBy>
  <cp:revision>23</cp:revision>
  <cp:lastPrinted>2020-12-08T14:27:00Z</cp:lastPrinted>
  <dcterms:created xsi:type="dcterms:W3CDTF">2021-01-27T08:39:00Z</dcterms:created>
  <dcterms:modified xsi:type="dcterms:W3CDTF">2021-02-24T08:31:00Z</dcterms:modified>
</cp:coreProperties>
</file>