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3E9F9" w14:textId="77777777"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7003CB52" w14:textId="77777777"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5C9C0F22" w14:textId="77777777"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9FD7F6A" w14:textId="77777777"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D0DED36" w14:textId="77777777"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D233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5A51F314" w14:textId="77777777" w:rsidR="00E963A3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4E72487" w14:textId="77777777" w:rsid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p w14:paraId="75CD3DEF" w14:textId="77777777" w:rsidR="00EE43F6" w:rsidRDefault="00EE43F6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tbl>
      <w:tblPr>
        <w:tblW w:w="500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5"/>
        <w:gridCol w:w="1334"/>
        <w:gridCol w:w="1335"/>
        <w:gridCol w:w="1334"/>
        <w:gridCol w:w="1335"/>
      </w:tblGrid>
      <w:tr w:rsidR="001D233A" w:rsidRPr="001D233A" w14:paraId="3CF9BED1" w14:textId="77777777" w:rsidTr="001D233A">
        <w:trPr>
          <w:trHeight w:val="1245"/>
        </w:trPr>
        <w:tc>
          <w:tcPr>
            <w:tcW w:w="21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AA3361D" w14:textId="3031B24D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bookmarkStart w:id="1" w:name="RANGE!A1"/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Vplyvy na rozpočet verejnej správy</w:t>
            </w:r>
            <w:bookmarkEnd w:id="1"/>
            <w:r w:rsidR="00751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*</w:t>
            </w:r>
          </w:p>
        </w:tc>
        <w:tc>
          <w:tcPr>
            <w:tcW w:w="289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F4B613C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Vplyv na rozpočet verejnej správy</w:t>
            </w:r>
          </w:p>
          <w:p w14:paraId="067B22FC" w14:textId="4BD897FB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2578EC4D" w14:textId="77777777" w:rsidTr="001D233A">
        <w:trPr>
          <w:trHeight w:val="330"/>
        </w:trPr>
        <w:tc>
          <w:tcPr>
            <w:tcW w:w="21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A2447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EE9528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DCDF73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74EFEE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255D4C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2024</w:t>
            </w:r>
          </w:p>
        </w:tc>
      </w:tr>
      <w:tr w:rsidR="001D233A" w:rsidRPr="001D233A" w14:paraId="5C572392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B0E0896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46C2853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453DD1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11 350 511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553BCE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11 820 199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E42B1F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12 340 189</w:t>
            </w:r>
          </w:p>
        </w:tc>
      </w:tr>
      <w:tr w:rsidR="001D233A" w:rsidRPr="001D233A" w14:paraId="6D36E40F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73AE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 tom: Sociálna poisťovňa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E934F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600E9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8 758 129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DC1D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9 116 425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2FF40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9 522 682</w:t>
            </w:r>
          </w:p>
        </w:tc>
      </w:tr>
      <w:tr w:rsidR="001D233A" w:rsidRPr="001D233A" w14:paraId="3571B322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7FAEC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 tom: zdravotné poisťovne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22A1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5A605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1 264 881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EFCB5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1 312 138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1A55E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1 360 388</w:t>
            </w:r>
          </w:p>
        </w:tc>
      </w:tr>
      <w:tr w:rsidR="001D233A" w:rsidRPr="001D233A" w14:paraId="2C95326D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1EABA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 tom: obce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6D770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38C73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929 251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FEA6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974 145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1187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1 019 983</w:t>
            </w:r>
          </w:p>
        </w:tc>
      </w:tr>
      <w:tr w:rsidR="001D233A" w:rsidRPr="001D233A" w14:paraId="5BB32C67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C5038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 tom: VÚC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E5F4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99555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398 250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2D1B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417 491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452A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437 136</w:t>
            </w:r>
          </w:p>
        </w:tc>
      </w:tr>
      <w:tr w:rsidR="001D233A" w:rsidRPr="001D233A" w14:paraId="1F070B11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B488F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B40F5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7DAE1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4EECF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A6BD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11FC101A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0525B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45C53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6D251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F322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331D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2376EA35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266C0" w14:textId="77777777" w:rsidR="001D233A" w:rsidRPr="001D233A" w:rsidRDefault="001D233A" w:rsidP="001D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C9B29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92B5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09255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A85AB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1DEFBAAE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3BB1D" w14:textId="77777777" w:rsidR="001D233A" w:rsidRPr="001D233A" w:rsidRDefault="001D233A" w:rsidP="001D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E026E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006F6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7CC6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97EBC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48ACED91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96A86" w14:textId="649AAF6C" w:rsidR="001D233A" w:rsidRPr="0075180D" w:rsidRDefault="001D233A" w:rsidP="00751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84AD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B910A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929 251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8075F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974 145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FA013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1 019 983</w:t>
            </w:r>
          </w:p>
        </w:tc>
      </w:tr>
      <w:tr w:rsidR="001D233A" w:rsidRPr="001D233A" w14:paraId="7C14B6BE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2A679" w14:textId="75386C70" w:rsidR="001D233A" w:rsidRPr="001D233A" w:rsidRDefault="001D233A" w:rsidP="00751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93EC9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A5BCA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398 250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04C1E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417 491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4FEE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437 136</w:t>
            </w:r>
          </w:p>
        </w:tc>
      </w:tr>
      <w:tr w:rsidR="001D233A" w:rsidRPr="001D233A" w14:paraId="2EB628B1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37F66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B46F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D720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10 023 009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D4925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10 428 563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BE3F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10 883 070</w:t>
            </w:r>
          </w:p>
        </w:tc>
      </w:tr>
      <w:tr w:rsidR="001D233A" w:rsidRPr="001D233A" w14:paraId="72979F83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D43E898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13EBDF9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3 640 000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F0AE07B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16 932 081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F52C586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17 694 016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5705C73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18 530 499</w:t>
            </w:r>
          </w:p>
        </w:tc>
      </w:tr>
      <w:tr w:rsidR="001D233A" w:rsidRPr="001D233A" w14:paraId="21C9EB7D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F489F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 tom: MPSVR SR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1C21E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2 700 000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0E83E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419 713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A6937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358 872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342E3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355 277</w:t>
            </w:r>
          </w:p>
        </w:tc>
      </w:tr>
      <w:tr w:rsidR="001D233A" w:rsidRPr="001D233A" w14:paraId="15918F47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BD8E6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 tom: Sociálna poisťovňa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CDC21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940 000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5990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16 512 368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CA6D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17 335 144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9655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18 175 223</w:t>
            </w:r>
          </w:p>
        </w:tc>
      </w:tr>
      <w:tr w:rsidR="001D233A" w:rsidRPr="001D233A" w14:paraId="5DBBD504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25403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DB9EE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293D6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E514E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22901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27E888F6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7E980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58E5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2 700 000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1A9D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419 713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CA273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358 872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0E25C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355 277</w:t>
            </w:r>
          </w:p>
        </w:tc>
      </w:tr>
      <w:tr w:rsidR="001D233A" w:rsidRPr="001D233A" w14:paraId="4C8F07FA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B1F49" w14:textId="77777777" w:rsidR="001D233A" w:rsidRPr="001D233A" w:rsidRDefault="001D233A" w:rsidP="001D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BE5CC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2 700 000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B9861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419 713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18FD6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358 872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7F355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355 277</w:t>
            </w:r>
          </w:p>
        </w:tc>
      </w:tr>
      <w:tr w:rsidR="001D233A" w:rsidRPr="001D233A" w14:paraId="7CA1E03A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1E4A7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DA48C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E6C73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3263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E96F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31216E89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3FA9B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1F356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0FAB6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F1B7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D8E1B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0E9DA06E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A579B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FCD5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5825B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6D1A7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5990F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494850E6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0567B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28135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37D8A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3BBDA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A4DD3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70E89AC4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458B3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BC05E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940 000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F9B0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16 512 368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A72CC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17 335 144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2B22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18 175 223</w:t>
            </w:r>
          </w:p>
        </w:tc>
      </w:tr>
      <w:tr w:rsidR="001D233A" w:rsidRPr="001D233A" w14:paraId="46FDAD77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68637EF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61C8081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7A7C9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C09F796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56BE35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14</w:t>
            </w:r>
          </w:p>
        </w:tc>
      </w:tr>
      <w:tr w:rsidR="001D233A" w:rsidRPr="001D233A" w14:paraId="477D6B80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489DF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9E91C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09A6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F78D1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AD43F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14</w:t>
            </w:r>
          </w:p>
        </w:tc>
      </w:tr>
      <w:tr w:rsidR="001D233A" w:rsidRPr="001D233A" w14:paraId="7D2F56A0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1D5A8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E64CC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DCCF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DC873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FA2A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5BA86802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B36D5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342D9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864E3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31B1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2941A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695EF226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B0844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 xml:space="preserve">- vplyv na ostatné subjekty verejnej </w:t>
            </w:r>
            <w:r w:rsidRPr="001D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lastRenderedPageBreak/>
              <w:t>správy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8F5F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1CA3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7A1FB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DF9A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6DF70555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7C9962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Vplyv na mzdové výdavky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9152EE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CB60A5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316 800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EB7C06A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316 800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A5D724E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316 800</w:t>
            </w:r>
          </w:p>
        </w:tc>
      </w:tr>
      <w:tr w:rsidR="001D233A" w:rsidRPr="001D233A" w14:paraId="66E72B61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47668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F363E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0C6C9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316 800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6D3D3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316 800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9387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316 800</w:t>
            </w:r>
          </w:p>
        </w:tc>
      </w:tr>
      <w:tr w:rsidR="001D233A" w:rsidRPr="001D233A" w14:paraId="18EB9423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80A65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39C96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ADC7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7AC80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16EFC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47D35E75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ECD58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87F8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09690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CE136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8B8B9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5E102278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B92C3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9F7AB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F10C6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3318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EF6D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67EEB372" w14:textId="77777777" w:rsidTr="001D233A">
        <w:trPr>
          <w:trHeight w:val="619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C074550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DFAE13C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C9F861A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EE85BF9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31D591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13FABC0A" w14:textId="77777777" w:rsidTr="001D233A">
        <w:trPr>
          <w:trHeight w:val="330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0730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 tom: fond zamestnanosti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B900F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25E3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4A0B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5A227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350B7773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C8781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 tom: Sociálna poisťovňa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7185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E599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0ADDC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A91E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5A33D9AC" w14:textId="77777777" w:rsidTr="001D233A">
        <w:trPr>
          <w:trHeight w:val="330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4348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 tom: zdravotné poisťovne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BE617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6DE63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E7A99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1F22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4F2B295F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801E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 tom: obce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9B03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9824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87B6C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3A199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1A833EC7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0398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 tom: VÚC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9AF25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0D88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EEAAA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D43EA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538F001A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18CF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 tom: MPSVR SR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07FBC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13486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8E1BC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88FB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08EE9B08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003D95C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EB67830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2D942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4990697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D9E9CB5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D233A" w:rsidRPr="001D233A" w14:paraId="4F36DE4F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4BE3C20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Rozpočtovo nekrytý vplyv (+) / úspora (-)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11576A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3 640 000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F750AFB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8 173 952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83308C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8 577 590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8E408EB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9 007 817</w:t>
            </w:r>
          </w:p>
        </w:tc>
      </w:tr>
      <w:tr w:rsidR="001D233A" w:rsidRPr="001D233A" w14:paraId="67E830F5" w14:textId="77777777" w:rsidTr="001D233A">
        <w:trPr>
          <w:trHeight w:val="330"/>
        </w:trPr>
        <w:tc>
          <w:tcPr>
            <w:tcW w:w="2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B6CB9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 tom: Sociálna poisťovňa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69785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940 000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FD0D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7 754 239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C7863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8 218 718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36075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8 652 541</w:t>
            </w:r>
          </w:p>
        </w:tc>
      </w:tr>
      <w:tr w:rsidR="001D233A" w:rsidRPr="001D233A" w14:paraId="1452DF02" w14:textId="77777777" w:rsidTr="001D233A">
        <w:trPr>
          <w:trHeight w:val="330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19A5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 tom: MPSVR SR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3A556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2 700 000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A9847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419 713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0B2F0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358 872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D5E2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355 277</w:t>
            </w:r>
          </w:p>
        </w:tc>
      </w:tr>
    </w:tbl>
    <w:p w14:paraId="2AFF53F1" w14:textId="77777777" w:rsidR="00B72B12" w:rsidRPr="00B72B12" w:rsidRDefault="00B72B12" w:rsidP="00B72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89A9806" w14:textId="123321AB" w:rsidR="001D233A" w:rsidRDefault="0056603C" w:rsidP="005660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sk-SK"/>
        </w:rPr>
        <w:t xml:space="preserve">* </w:t>
      </w:r>
      <w:r w:rsidRPr="003B37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Vplyvy na rozpočet verejnej správy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v rokoch 2021-2024 sú vyčíslené za predpokladu </w:t>
      </w:r>
      <w:r w:rsidR="00A87E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bežného, tzn.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nekrízového obdobia</w:t>
      </w:r>
      <w:r w:rsidR="00A87E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</w:p>
    <w:p w14:paraId="751A2A01" w14:textId="77777777" w:rsidR="001D233A" w:rsidRDefault="001D233A" w:rsidP="005660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6F63218C" w14:textId="1DC6F7B9" w:rsidR="0056603C" w:rsidRPr="003B371C" w:rsidRDefault="0056603C" w:rsidP="005660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V prípade väčšej krízy dôjde k zvýšeným nárokom na rozpočet Sociálnej poisťovne. </w:t>
      </w:r>
      <w:r w:rsidRPr="003B37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V prípade krízy v rovnakom rozsahu a trvaní ako bude súčasná kríza spôsobená šírením ochorenia COVID 19 je možné celkové výdavky potrebné na podporu ohrozených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pracovných miest zamestnancov </w:t>
      </w:r>
      <w:r w:rsidRPr="003B37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odhadnúť </w:t>
      </w:r>
      <w:r w:rsidRPr="002333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na 1,16 % HDP.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8B69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Údaj vychádza z dát o čerpaní Prvej pomoci do septembra 2020 a zo strednodobej predikcie NBS z decembra 2020. Výpočet zohľadňuje rozdiely v nastavení Prvej pomoci a navrhovanej schémy podpory v čase skrátenej práce (vrátane výšky náhrady mzdy a </w:t>
      </w:r>
      <w:proofErr w:type="spellStart"/>
      <w:r w:rsidRPr="008B69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zastropovania</w:t>
      </w:r>
      <w:proofErr w:type="spellEnd"/>
      <w:r w:rsidRPr="008B69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).</w:t>
      </w:r>
    </w:p>
    <w:p w14:paraId="73AA82A6" w14:textId="77777777" w:rsidR="0056603C" w:rsidRDefault="0056603C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A0BED85" w14:textId="77777777" w:rsidR="00462060" w:rsidRDefault="00462060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2095DB3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3C5C4C5B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6C8C854E" w14:textId="11B5A3BE" w:rsidR="003471B0" w:rsidRPr="00880B09" w:rsidRDefault="003471B0" w:rsidP="00871D7D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880B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 súvislosti s rozpočtovo nekrytým vplyv</w:t>
      </w:r>
      <w:r w:rsidR="004B4F0B" w:rsidRPr="00880B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om</w:t>
      </w:r>
      <w:r w:rsidRPr="00880B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rok 2021 MPSVR SR požiada o úpravu rozpočtu výdavkov kapitoly na rok 2021 na ťarchu výdavkov kapitoly VPS. </w:t>
      </w:r>
    </w:p>
    <w:p w14:paraId="7823165E" w14:textId="77777777" w:rsidR="004B4F0B" w:rsidRPr="00880B09" w:rsidRDefault="004B4F0B" w:rsidP="00871D7D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79F7F9B" w14:textId="52715416" w:rsidR="007D5748" w:rsidRDefault="005F7531" w:rsidP="00871D7D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871D7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Rozpočt</w:t>
      </w:r>
      <w:r w:rsidR="00871D7D" w:rsidRPr="00871D7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ovo nekrytý vplyv na roky 2022, </w:t>
      </w:r>
      <w:r w:rsidRPr="00871D7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2023</w:t>
      </w:r>
      <w:r w:rsidR="00871D7D" w:rsidRPr="00871D7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2024</w:t>
      </w:r>
      <w:r w:rsidRPr="00871D7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vrátane </w:t>
      </w:r>
      <w:r w:rsidR="004B4F0B" w:rsidRPr="00871D7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vplyvu na rozpočet </w:t>
      </w:r>
      <w:r w:rsidR="0056603C" w:rsidRPr="00871D7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Sociálnej poisťovne</w:t>
      </w:r>
      <w:r w:rsidR="004B4F0B" w:rsidRPr="00871D7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</w:t>
      </w:r>
      <w:r w:rsidRPr="00871D7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požiadavky na zvýšenie počtu zamestnancov a s tým súvisiacich osobných výdavkov bude riešený v rámci prípravy návrhu rozpočtu verejnej správy na roky 2022 až 2024.</w:t>
      </w:r>
      <w:r w:rsidRPr="005F75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</w:p>
    <w:p w14:paraId="75CB0F70" w14:textId="77777777" w:rsidR="00EE43F6" w:rsidRDefault="00EE43F6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8E063F5" w14:textId="77777777" w:rsidR="00462060" w:rsidRDefault="00462060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462060" w:rsidSect="002A703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6CEF5BB6" w14:textId="0046D830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2.2. Popis a charakteristika návrhu</w:t>
      </w:r>
    </w:p>
    <w:p w14:paraId="359E3F5E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F1C282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5FBFA208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3CE257D" w14:textId="77777777" w:rsidR="00846CCA" w:rsidRPr="003B3DC3" w:rsidRDefault="00846CCA" w:rsidP="00846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návrhu je </w:t>
      </w:r>
      <w:r w:rsidRPr="003B3D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samostatnou právnou úpravou ustanoviť stály adresný nástroj pasívnej politiky trhu práce umožňujúci právne nárokovú podporu, ktorá bude účelovo jednoznačne určená na vyplácanie náhrady mzdy zamestnanca alebo náhrady platu zamestnanca v čase, keď zamestnávateľ  nemôže prideľovať zamestnancom prácu v pôvodne dohodnutom rozsahu a dochádza tak k tzv. „skrátenej práci“. </w:t>
      </w:r>
    </w:p>
    <w:p w14:paraId="26810C18" w14:textId="77777777" w:rsidR="00846CCA" w:rsidRDefault="00846CCA" w:rsidP="00846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B9CCD6" w14:textId="77777777" w:rsidR="00846CCA" w:rsidRPr="003B3DC3" w:rsidRDefault="00846CCA" w:rsidP="00846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3D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účely identifikácie takejto situácie sa navrhuje ustanoviť, </w:t>
      </w:r>
      <w:r w:rsidRPr="00CA2A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aby podpora v čase skrátenej práce bola poskytovaná </w:t>
      </w:r>
      <w:r w:rsidRPr="003B3DC3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zamestnávateľovi, keď na účel podpory v čase skrátenej práce sa navrhuje považovať za</w:t>
      </w:r>
    </w:p>
    <w:p w14:paraId="55F3F898" w14:textId="77777777" w:rsidR="00846CCA" w:rsidRPr="003B3DC3" w:rsidRDefault="00846CCA" w:rsidP="00846CCA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3DC3">
        <w:rPr>
          <w:rFonts w:ascii="Times New Roman" w:eastAsia="Times New Roman" w:hAnsi="Times New Roman" w:cs="Times New Roman"/>
          <w:sz w:val="24"/>
          <w:szCs w:val="24"/>
          <w:lang w:eastAsia="sk-SK"/>
        </w:rPr>
        <w:t>čas skrátenej práce čas od začatia obmedzenia činnosti zamestnávateľa vplyvom vonkajšieho faktora do skončenia obmedzenia činnosti zamestnávateľa,</w:t>
      </w:r>
    </w:p>
    <w:p w14:paraId="0B94CAAB" w14:textId="77777777" w:rsidR="00846CCA" w:rsidRDefault="00846CCA" w:rsidP="00846CCA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B3DC3">
        <w:rPr>
          <w:rFonts w:ascii="Times New Roman" w:eastAsia="Times New Roman" w:hAnsi="Times New Roman" w:cs="Times New Roman"/>
          <w:sz w:val="24"/>
          <w:szCs w:val="24"/>
          <w:lang w:eastAsia="sk-SK"/>
        </w:rPr>
        <w:t>obmedzenie činnosti zamestnávateľa prekážku v práci na strane zamestnávateľa v takom rozsahu, že zamestnávateľ nemôže najmenej jednej tretine zamestnancov zamestnávateľa alebo časti zamestnávateľa prideľovať prácu v rozsahu najmenej 10 % ustanoveného týždenného pracovného času,</w:t>
      </w:r>
    </w:p>
    <w:p w14:paraId="019A4C1E" w14:textId="63962A46" w:rsidR="00871D7D" w:rsidRPr="00871D7D" w:rsidRDefault="00871D7D" w:rsidP="00871D7D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vonkajší faktor</w:t>
      </w:r>
      <w:r w:rsidRPr="00871D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71D7D">
        <w:rPr>
          <w:rFonts w:ascii="Times New Roman" w:eastAsia="Times New Roman" w:hAnsi="Times New Roman" w:cs="Times New Roman"/>
          <w:sz w:val="24"/>
          <w:szCs w:val="24"/>
          <w:lang w:eastAsia="sk-SK"/>
        </w:rPr>
        <w:t>faktor</w:t>
      </w:r>
      <w:proofErr w:type="spellEnd"/>
      <w:r w:rsidRPr="00871D7D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má dočasný charakter, zamestnávateľ ho nemohol ovplyvniť alebo mu nemohol predísť a ktorý má negatívny vplyv na prideľovanie práce zamestnancom zamestnávateľ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om, najmä mimoriadna situácia,</w:t>
      </w:r>
      <w:r w:rsidRPr="00871D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výnimočný stav alebo núdzový stav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71D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mimoriadna okolnosť alebo okolnosti vyššej moci; za vonkajší faktor sa nepovažuje čas vojny a vojnového stavu, sezónnosť vykonávanej činnosti, reštrukturalizácia, plánovaná odstávka alebo rekonštrukcia,</w:t>
      </w:r>
    </w:p>
    <w:p w14:paraId="1766CBAE" w14:textId="2B2854AB" w:rsidR="00871D7D" w:rsidRPr="00871D7D" w:rsidRDefault="00871D7D" w:rsidP="00871D7D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mimoriadnu okolnosť</w:t>
      </w:r>
      <w:r w:rsidRPr="00871D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871D7D">
        <w:rPr>
          <w:rFonts w:ascii="Times New Roman" w:eastAsia="Times New Roman" w:hAnsi="Times New Roman" w:cs="Times New Roman"/>
          <w:sz w:val="24"/>
          <w:szCs w:val="24"/>
          <w:lang w:eastAsia="sk-SK"/>
        </w:rPr>
        <w:t>okolnosť</w:t>
      </w:r>
      <w:proofErr w:type="spellEnd"/>
      <w:r w:rsidRPr="00871D7D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ktorú môže vyhlásiť vláda Slovenskej republiky na základe zverejnenia Štatistického úrad Slovenskej republiky, že hrubý domáci produkt za predchádzajúci štvrťrok vyjadrený v stálych cenách medziročne klesol, a na základe bezprostredne nasledujúcej prognózy Výboru pre makroekonomické prognózy, že príslušný ročný hrubý domáci produkt vyjadrený v stálych cenách klesne medziročne aspoň o tri percentuálne body,</w:t>
      </w:r>
    </w:p>
    <w:p w14:paraId="7A41EEA1" w14:textId="77777777" w:rsidR="00871D7D" w:rsidRPr="003B3DC3" w:rsidRDefault="00871D7D" w:rsidP="00871D7D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0E20F5" w14:textId="77777777" w:rsidR="00846CCA" w:rsidRDefault="00846CCA" w:rsidP="00846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3308C" w14:textId="77777777" w:rsidR="00846CCA" w:rsidRPr="003B3DC3" w:rsidRDefault="00846CCA" w:rsidP="00846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3B3DC3">
        <w:rPr>
          <w:rFonts w:ascii="Times New Roman" w:hAnsi="Times New Roman" w:cs="Times New Roman"/>
          <w:sz w:val="24"/>
          <w:szCs w:val="24"/>
        </w:rPr>
        <w:t>a účely poskytovania podpory v čase skrátenej práce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Pr="003B3DC3">
        <w:rPr>
          <w:rFonts w:ascii="Times New Roman" w:hAnsi="Times New Roman" w:cs="Times New Roman"/>
          <w:sz w:val="24"/>
          <w:szCs w:val="24"/>
        </w:rPr>
        <w:t xml:space="preserve"> za zamestnanca </w:t>
      </w:r>
      <w:r>
        <w:rPr>
          <w:rFonts w:ascii="Times New Roman" w:hAnsi="Times New Roman" w:cs="Times New Roman"/>
          <w:sz w:val="24"/>
          <w:szCs w:val="24"/>
        </w:rPr>
        <w:t>považuje</w:t>
      </w:r>
      <w:r w:rsidRPr="003B3DC3">
        <w:rPr>
          <w:rFonts w:ascii="Times New Roman" w:hAnsi="Times New Roman" w:cs="Times New Roman"/>
          <w:sz w:val="24"/>
          <w:szCs w:val="24"/>
        </w:rPr>
        <w:t xml:space="preserve"> fyzická osoba, ktorá je v pracovnom pomere alebo v štátnozamestnaneckom pomere a  fyzická osoba, ktorá je v právnom vzťahu na základe zmluvy o pr</w:t>
      </w:r>
      <w:r>
        <w:rPr>
          <w:rFonts w:ascii="Times New Roman" w:hAnsi="Times New Roman" w:cs="Times New Roman"/>
          <w:sz w:val="24"/>
          <w:szCs w:val="24"/>
        </w:rPr>
        <w:t>ofesionálnom vykonávaní  športu</w:t>
      </w:r>
      <w:r w:rsidRPr="003B3D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3A20A9" w14:textId="77777777" w:rsidR="00846CCA" w:rsidRPr="003B3DC3" w:rsidRDefault="00846CCA" w:rsidP="00846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03B6E8" w14:textId="77777777" w:rsidR="00846CCA" w:rsidRDefault="00846CCA" w:rsidP="00846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AC5">
        <w:rPr>
          <w:rFonts w:ascii="Times New Roman" w:hAnsi="Times New Roman" w:cs="Times New Roman"/>
          <w:sz w:val="24"/>
          <w:szCs w:val="24"/>
        </w:rPr>
        <w:t>Podporu v čase skrátenej práce sa navrhuje poskytovať pre zamestnanca, ktorému zamestnávateľ nemôže prideľovať prácu v rozsahu najmenej 10 % ustanoveného týždenného pracovného času, ktorého pracovný vzťah ku dňu podania žiadosti zamestnávateľa o podporu trval najmenej jeden mesiac, ktorému neplynie výpovedná doba, výpovedná lehota alebo výpovedná doba, ktorý má vyčerpanú dovolenku za predchádzajúci kalendárny rok a vyčerpaný kladný účet konta pracovného času a zamestnávateľ ho nemôže preradiť na inú prácu v rámci dohodnutého druhu práce a na ktorého sa mu na tie isté oprávnené náklady alebo na ten istý účel neposkytuje príspevok z iných zdrojov.</w:t>
      </w:r>
    </w:p>
    <w:p w14:paraId="388CC603" w14:textId="77777777" w:rsidR="00846CCA" w:rsidRDefault="00846CCA" w:rsidP="00846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531DE" w14:textId="77777777" w:rsidR="00846CCA" w:rsidRDefault="00846CCA" w:rsidP="00846CCA">
      <w:pPr>
        <w:jc w:val="both"/>
        <w:rPr>
          <w:rFonts w:ascii="Times New Roman" w:hAnsi="Times New Roman" w:cs="Times New Roman"/>
          <w:sz w:val="24"/>
          <w:szCs w:val="24"/>
        </w:rPr>
      </w:pPr>
      <w:r w:rsidRPr="00CA2AC5">
        <w:rPr>
          <w:rFonts w:ascii="Times New Roman" w:hAnsi="Times New Roman" w:cs="Times New Roman"/>
          <w:sz w:val="24"/>
          <w:szCs w:val="24"/>
        </w:rPr>
        <w:t>Navrhuje sa podporu v čase skrátenej práce poskytovať v úhrne najviac šesť mesiacov počas 24 po sebe nasledujúcich mesiacov</w:t>
      </w:r>
      <w:r>
        <w:rPr>
          <w:rFonts w:ascii="Times New Roman" w:hAnsi="Times New Roman" w:cs="Times New Roman"/>
          <w:sz w:val="24"/>
          <w:szCs w:val="24"/>
        </w:rPr>
        <w:t xml:space="preserve">, pričom </w:t>
      </w:r>
      <w:r w:rsidRPr="00DB528E">
        <w:rPr>
          <w:rFonts w:ascii="Times New Roman" w:hAnsi="Times New Roman" w:cs="Times New Roman"/>
          <w:sz w:val="24"/>
          <w:szCs w:val="24"/>
        </w:rPr>
        <w:t xml:space="preserve">vláda Slovenskej republiky </w:t>
      </w:r>
      <w:r>
        <w:rPr>
          <w:rFonts w:ascii="Times New Roman" w:hAnsi="Times New Roman" w:cs="Times New Roman"/>
          <w:sz w:val="24"/>
          <w:szCs w:val="24"/>
        </w:rPr>
        <w:t>môže</w:t>
      </w:r>
      <w:r w:rsidRPr="00292270">
        <w:rPr>
          <w:rFonts w:ascii="Times New Roman" w:hAnsi="Times New Roman" w:cs="Times New Roman"/>
          <w:sz w:val="24"/>
          <w:szCs w:val="24"/>
        </w:rPr>
        <w:t xml:space="preserve"> svojim nariadením ustanoviť dlhšie obdobie poskytovania podpory.</w:t>
      </w:r>
    </w:p>
    <w:p w14:paraId="75A6BDC7" w14:textId="77777777" w:rsidR="00846CCA" w:rsidRDefault="00846CCA" w:rsidP="00846C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Zároveň</w:t>
      </w:r>
      <w:r w:rsidRPr="00CA2AC5">
        <w:rPr>
          <w:rFonts w:ascii="Times New Roman" w:hAnsi="Times New Roman" w:cs="Times New Roman"/>
          <w:sz w:val="24"/>
          <w:szCs w:val="24"/>
        </w:rPr>
        <w:t xml:space="preserve"> sa navrhuje povinnosť zamestnávateľa, ktorému bola poskytnutá podpora,  zachovať pracovné miesto, na ktoré mu bola poskytnutá podpora, najmenej dva mesiace po skončení poberania podpory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CB7AF9" w14:textId="77777777" w:rsidR="00846CCA" w:rsidRDefault="00846CCA" w:rsidP="00846CC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n</w:t>
      </w:r>
      <w:r w:rsidRPr="00CD55ED">
        <w:rPr>
          <w:rFonts w:ascii="Times New Roman" w:hAnsi="Times New Roman" w:cs="Times New Roman"/>
          <w:sz w:val="24"/>
          <w:szCs w:val="24"/>
        </w:rPr>
        <w:t xml:space="preserve">ovele zákona o sociálnom poistení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CD55ED">
        <w:rPr>
          <w:rFonts w:ascii="Times New Roman" w:hAnsi="Times New Roman" w:cs="Times New Roman"/>
          <w:sz w:val="24"/>
          <w:szCs w:val="24"/>
        </w:rPr>
        <w:t xml:space="preserve">navrhuje, aby zamestnávateľ za ustanovený okruh zamestnancov platil poistné na financovanie podpory v čase skrátenej práce do základného fondu poistenia v nezamestnanosti. </w:t>
      </w:r>
      <w:r>
        <w:rPr>
          <w:rFonts w:ascii="Times New Roman" w:hAnsi="Times New Roman" w:cs="Times New Roman"/>
          <w:sz w:val="24"/>
          <w:szCs w:val="24"/>
        </w:rPr>
        <w:t>Sadzba</w:t>
      </w:r>
      <w:r w:rsidRPr="00B21E04">
        <w:rPr>
          <w:rFonts w:ascii="Times New Roman" w:hAnsi="Times New Roman" w:cs="Times New Roman"/>
          <w:sz w:val="24"/>
          <w:szCs w:val="24"/>
        </w:rPr>
        <w:t xml:space="preserve"> poistného </w:t>
      </w:r>
      <w:r w:rsidRPr="004935C2">
        <w:rPr>
          <w:rFonts w:ascii="Times New Roman" w:hAnsi="Times New Roman" w:cs="Times New Roman"/>
          <w:sz w:val="24"/>
          <w:szCs w:val="24"/>
        </w:rPr>
        <w:t>na financovanie podpory v čase skrátenej práce</w:t>
      </w:r>
      <w:r w:rsidRPr="00B21E04">
        <w:rPr>
          <w:rFonts w:ascii="Times New Roman" w:hAnsi="Times New Roman" w:cs="Times New Roman"/>
          <w:sz w:val="24"/>
          <w:szCs w:val="24"/>
        </w:rPr>
        <w:t xml:space="preserve"> pre zamestnávateľa </w:t>
      </w:r>
      <w:r>
        <w:rPr>
          <w:rFonts w:ascii="Times New Roman" w:hAnsi="Times New Roman" w:cs="Times New Roman"/>
          <w:sz w:val="24"/>
          <w:szCs w:val="24"/>
        </w:rPr>
        <w:t xml:space="preserve">sa navrhuje </w:t>
      </w:r>
      <w:r w:rsidRPr="00B21E04">
        <w:rPr>
          <w:rFonts w:ascii="Times New Roman" w:hAnsi="Times New Roman" w:cs="Times New Roman"/>
          <w:sz w:val="24"/>
          <w:szCs w:val="24"/>
        </w:rPr>
        <w:t xml:space="preserve">vo výške 0,5 %, o ktorú sa znižuje sadzba poistného na poistenie v nezamestnanosti. To znamená, že odvodové zaťaženie v sociálnom poistení zostáva pre zamestnávateľa zachované v prípade zamestnancov, za ktorých zamestnávateľ platí poistné na poistenie v nezamestnanosti. </w:t>
      </w:r>
      <w:r w:rsidRPr="00CD55E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55ED">
        <w:rPr>
          <w:rFonts w:ascii="Times New Roman" w:hAnsi="Times New Roman" w:cs="Times New Roman"/>
          <w:sz w:val="24"/>
          <w:szCs w:val="24"/>
        </w:rPr>
        <w:t>fondu</w:t>
      </w:r>
      <w:r>
        <w:rPr>
          <w:rFonts w:ascii="Times New Roman" w:hAnsi="Times New Roman" w:cs="Times New Roman"/>
          <w:sz w:val="24"/>
          <w:szCs w:val="24"/>
        </w:rPr>
        <w:t xml:space="preserve"> poistenia v nezamestnanosti</w:t>
      </w:r>
      <w:r w:rsidRPr="00CD55ED">
        <w:rPr>
          <w:rFonts w:ascii="Times New Roman" w:hAnsi="Times New Roman" w:cs="Times New Roman"/>
          <w:sz w:val="24"/>
          <w:szCs w:val="24"/>
        </w:rPr>
        <w:t xml:space="preserve"> bude Sociálna poisťovňa poskytovať na účet príslušného úradu práce, sociálnych vecí a rodiny alebo Ústredia práce, sociálnych vecí a  rodiny sumu,  o ktorú tento orgán požiada na úhradu podpory v čase skrátenej práce zamestnávateľom.</w:t>
      </w:r>
    </w:p>
    <w:p w14:paraId="513969B7" w14:textId="77777777" w:rsidR="00846CCA" w:rsidRPr="00B21E04" w:rsidRDefault="00846CCA" w:rsidP="00846CC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E04">
        <w:rPr>
          <w:rFonts w:ascii="Times New Roman" w:hAnsi="Times New Roman" w:cs="Times New Roman"/>
          <w:sz w:val="24"/>
          <w:szCs w:val="24"/>
        </w:rPr>
        <w:t xml:space="preserve">Náhrada mzdy alebo náhrada platu, ktorú bude poskytovať zamestnávateľ pri prekážkach v práci na jeho strane z dôvodu uplatnenia nároku na podporu v čase skrátenej práce </w:t>
      </w:r>
      <w:r>
        <w:rPr>
          <w:rFonts w:ascii="Times New Roman" w:hAnsi="Times New Roman" w:cs="Times New Roman"/>
          <w:sz w:val="24"/>
          <w:szCs w:val="24"/>
        </w:rPr>
        <w:t>bude vymeriavacím základom zamestnanca a zároveň aj zamestnávateľa</w:t>
      </w:r>
      <w:r w:rsidRPr="00B21E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Z tejto náhrady mzdy/platu bude zamestnanec platiť poistné na </w:t>
      </w:r>
      <w:r w:rsidRPr="00025BC2">
        <w:rPr>
          <w:rFonts w:ascii="Times New Roman" w:hAnsi="Times New Roman" w:cs="Times New Roman"/>
          <w:sz w:val="24"/>
          <w:szCs w:val="24"/>
        </w:rPr>
        <w:t xml:space="preserve">nemocenské poistenie, poistné na </w:t>
      </w:r>
      <w:r>
        <w:rPr>
          <w:rFonts w:ascii="Times New Roman" w:hAnsi="Times New Roman" w:cs="Times New Roman"/>
          <w:sz w:val="24"/>
          <w:szCs w:val="24"/>
        </w:rPr>
        <w:t>dôchodkové</w:t>
      </w:r>
      <w:r w:rsidRPr="00025BC2">
        <w:rPr>
          <w:rFonts w:ascii="Times New Roman" w:hAnsi="Times New Roman" w:cs="Times New Roman"/>
          <w:sz w:val="24"/>
          <w:szCs w:val="24"/>
        </w:rPr>
        <w:t xml:space="preserve"> poistenie a poistné na </w:t>
      </w:r>
      <w:r>
        <w:rPr>
          <w:rFonts w:ascii="Times New Roman" w:hAnsi="Times New Roman" w:cs="Times New Roman"/>
          <w:sz w:val="24"/>
          <w:szCs w:val="24"/>
        </w:rPr>
        <w:t>poistenie v nezamestnanosti. Jeho zamestnávateľ bude povinný platiť</w:t>
      </w:r>
      <w:r w:rsidRPr="00025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poistné na </w:t>
      </w:r>
      <w:r w:rsidRPr="00025BC2">
        <w:rPr>
          <w:rFonts w:ascii="Times New Roman" w:hAnsi="Times New Roman" w:cs="Times New Roman"/>
          <w:sz w:val="24"/>
          <w:szCs w:val="24"/>
        </w:rPr>
        <w:t xml:space="preserve">nemocenské poistenie, poistné na </w:t>
      </w:r>
      <w:r>
        <w:rPr>
          <w:rFonts w:ascii="Times New Roman" w:hAnsi="Times New Roman" w:cs="Times New Roman"/>
          <w:sz w:val="24"/>
          <w:szCs w:val="24"/>
        </w:rPr>
        <w:t>dôchodkové</w:t>
      </w:r>
      <w:r w:rsidRPr="00025BC2">
        <w:rPr>
          <w:rFonts w:ascii="Times New Roman" w:hAnsi="Times New Roman" w:cs="Times New Roman"/>
          <w:sz w:val="24"/>
          <w:szCs w:val="24"/>
        </w:rPr>
        <w:t xml:space="preserve"> poistenie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5BC2">
        <w:rPr>
          <w:rFonts w:ascii="Times New Roman" w:hAnsi="Times New Roman" w:cs="Times New Roman"/>
          <w:sz w:val="24"/>
          <w:szCs w:val="24"/>
        </w:rPr>
        <w:t xml:space="preserve">poistné na </w:t>
      </w:r>
      <w:r>
        <w:rPr>
          <w:rFonts w:ascii="Times New Roman" w:hAnsi="Times New Roman" w:cs="Times New Roman"/>
          <w:sz w:val="24"/>
          <w:szCs w:val="24"/>
        </w:rPr>
        <w:t xml:space="preserve">poistenie v nezamestnanosti, poistné na financovanie podpory v čase skrátenej práce, poistné na úrazové poistenie, poistné na garančné postenie a poistné do rezervného fondu solidarity. </w:t>
      </w:r>
    </w:p>
    <w:p w14:paraId="2299615B" w14:textId="77777777" w:rsidR="00846CCA" w:rsidRPr="00CD55ED" w:rsidRDefault="00846CCA" w:rsidP="00846CC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Novela tiež navrhuje </w:t>
      </w:r>
      <w:r w:rsidRPr="00CD55ED">
        <w:rPr>
          <w:rFonts w:ascii="Times New Roman" w:hAnsi="Times New Roman" w:cs="Times New Roman"/>
          <w:sz w:val="24"/>
          <w:szCs w:val="24"/>
        </w:rPr>
        <w:t>zrušiť výnimku pre fyzickú osobu v pracovnom pomere alebo štátnozamestnaneckom pomere, ktorá pred jeho vznikom bola dlhodobo nezamestnaným občanom, alebo mala trvalý pobyt v najmenej rozvinutom okrese a z dôvodu jeho vzniku bola vyradená z evidencie uchádzačov o zamestnanie. Takáto fyzická osoba za zákonom ustanovených podmienok nebola poistená na nemocenské poistenie, dôchodkové poistenie a poistenie v nezamestnanosti a nebola povinná platiť poistné na tieto poistenia, rovnako aj jej zamestnávateľ. Po zrušení tejto výnimky získa plnohodnotné sociálne poistenie zamestnanca a v prípade sociálnej udalosti bude krytá príslušnou dávkou sociálneho poistenia.</w:t>
      </w:r>
    </w:p>
    <w:p w14:paraId="7138ABA9" w14:textId="77777777" w:rsidR="00846CCA" w:rsidRDefault="00846CCA" w:rsidP="00846CC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E56CD" w14:textId="77777777" w:rsidR="00846CCA" w:rsidRPr="00CD55ED" w:rsidRDefault="00846CCA" w:rsidP="00846CCA">
      <w:pPr>
        <w:jc w:val="both"/>
        <w:rPr>
          <w:rFonts w:ascii="Times New Roman" w:hAnsi="Times New Roman" w:cs="Times New Roman"/>
          <w:sz w:val="24"/>
          <w:szCs w:val="24"/>
        </w:rPr>
      </w:pPr>
      <w:r w:rsidRPr="00CD55ED">
        <w:rPr>
          <w:rFonts w:ascii="Times New Roman" w:hAnsi="Times New Roman" w:cs="Times New Roman"/>
          <w:sz w:val="24"/>
          <w:szCs w:val="24"/>
        </w:rPr>
        <w:t xml:space="preserve">V novele zákona o dani z príjmov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CD55ED">
        <w:rPr>
          <w:rFonts w:ascii="Times New Roman" w:hAnsi="Times New Roman" w:cs="Times New Roman"/>
          <w:sz w:val="24"/>
          <w:szCs w:val="24"/>
        </w:rPr>
        <w:t>navrhuje, aby poskytnutá podpora v čase skrátenej práce bola oslobodená od dane z príjmov.</w:t>
      </w:r>
    </w:p>
    <w:p w14:paraId="0CBA61FC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4DB153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7098A081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526F86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378D287E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3D57482F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2A703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587907D1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362DC77A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154A520A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39FE61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E0CAA5" w14:textId="77777777" w:rsid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20CAFC00" w14:textId="77777777" w:rsidR="008D30D5" w:rsidRDefault="008D30D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43280C4" w14:textId="77777777" w:rsidR="00CC5A29" w:rsidRDefault="00CC5A29" w:rsidP="00CC5A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Účinnosť právnej úpravy je navrhovaná od roku 2022. Na základe údajov Sociálnej poisťovne a makroekonomických predpokladov je možné počet prispievateľov poistených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 čase skrátenej práce (na úrovni zamestnancov) v roku 2022 odhadnúť na  1 </w:t>
      </w:r>
      <w:r w:rsidRPr="004231A2">
        <w:rPr>
          <w:rFonts w:ascii="Times New Roman" w:eastAsia="Times New Roman" w:hAnsi="Times New Roman" w:cs="Times New Roman"/>
          <w:sz w:val="24"/>
          <w:szCs w:val="24"/>
          <w:lang w:eastAsia="sk-SK"/>
        </w:rPr>
        <w:t>805 tis. osôb, v roku 2023 na 1 808 tis. osôb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v roku 2024 na 1 795 tis. osôb. </w:t>
      </w:r>
    </w:p>
    <w:p w14:paraId="70829A05" w14:textId="77777777" w:rsidR="00CC5A29" w:rsidRDefault="00CC5A29" w:rsidP="00CC5A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B083D4" w14:textId="5BF2BCDE" w:rsidR="001E0765" w:rsidRPr="001E0765" w:rsidRDefault="001E0765" w:rsidP="001E0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07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základe údajov o využívaní nástroja </w:t>
      </w:r>
      <w:proofErr w:type="spellStart"/>
      <w:r w:rsidRPr="001E0765">
        <w:rPr>
          <w:rFonts w:ascii="Times New Roman" w:eastAsia="Times New Roman" w:hAnsi="Times New Roman" w:cs="Times New Roman"/>
          <w:sz w:val="24"/>
          <w:szCs w:val="24"/>
          <w:lang w:eastAsia="sk-SK"/>
        </w:rPr>
        <w:t>Kurzarbeit</w:t>
      </w:r>
      <w:proofErr w:type="spellEnd"/>
      <w:r w:rsidRPr="001E07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nekrízovom období v Nemecku je možné </w:t>
      </w:r>
      <w:r w:rsidR="009B73E3">
        <w:rPr>
          <w:rFonts w:ascii="Times New Roman" w:eastAsia="Times New Roman" w:hAnsi="Times New Roman" w:cs="Times New Roman"/>
          <w:sz w:val="24"/>
          <w:szCs w:val="24"/>
          <w:lang w:eastAsia="sk-SK"/>
        </w:rPr>
        <w:t>odhadnúť</w:t>
      </w:r>
      <w:r w:rsidRPr="001E07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na Slovensku </w:t>
      </w:r>
      <w:r w:rsidR="009B73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bude </w:t>
      </w:r>
      <w:r w:rsidRPr="001E0765">
        <w:rPr>
          <w:rFonts w:ascii="Times New Roman" w:eastAsia="Times New Roman" w:hAnsi="Times New Roman" w:cs="Times New Roman"/>
          <w:sz w:val="24"/>
          <w:szCs w:val="24"/>
          <w:lang w:eastAsia="sk-SK"/>
        </w:rPr>
        <w:t>podp</w:t>
      </w:r>
      <w:r w:rsidR="009B73E3">
        <w:rPr>
          <w:rFonts w:ascii="Times New Roman" w:eastAsia="Times New Roman" w:hAnsi="Times New Roman" w:cs="Times New Roman"/>
          <w:sz w:val="24"/>
          <w:szCs w:val="24"/>
          <w:lang w:eastAsia="sk-SK"/>
        </w:rPr>
        <w:t>ora</w:t>
      </w:r>
      <w:r w:rsidRPr="001E07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čase skrátenej práce</w:t>
      </w:r>
      <w:r w:rsidR="00CC5A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rokoch 2022-2024</w:t>
      </w:r>
      <w:r w:rsidR="009B73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čerpaná na</w:t>
      </w:r>
      <w:r w:rsidRPr="001E07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približne </w:t>
      </w:r>
      <w:r w:rsidRPr="001E0765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A2AA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1E0765">
        <w:rPr>
          <w:rFonts w:ascii="Times New Roman" w:eastAsia="Times New Roman" w:hAnsi="Times New Roman" w:cs="Times New Roman"/>
          <w:sz w:val="24"/>
          <w:szCs w:val="24"/>
          <w:lang w:eastAsia="sk-SK"/>
        </w:rPr>
        <w:t>00</w:t>
      </w:r>
      <w:r w:rsidR="009B73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zamestnancov ročne. </w:t>
      </w:r>
      <w:r w:rsidR="002232FE" w:rsidRPr="001E07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prípade </w:t>
      </w:r>
      <w:r w:rsidR="009B73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hospodárskej alebo inej </w:t>
      </w:r>
      <w:r w:rsidR="002232FE" w:rsidRPr="001E07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krízy bude počet osôb dotknutých režimom skrátenej práce závisieť od </w:t>
      </w:r>
      <w:r w:rsidR="009B73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jej </w:t>
      </w:r>
      <w:r w:rsidR="002232FE" w:rsidRPr="001E0765">
        <w:rPr>
          <w:rFonts w:ascii="Times New Roman" w:eastAsia="Times New Roman" w:hAnsi="Times New Roman" w:cs="Times New Roman"/>
          <w:sz w:val="24"/>
          <w:szCs w:val="24"/>
          <w:lang w:eastAsia="sk-SK"/>
        </w:rPr>
        <w:t>typu, rozmeru a</w:t>
      </w:r>
      <w:r w:rsidR="009B73E3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2232FE" w:rsidRPr="001E0765">
        <w:rPr>
          <w:rFonts w:ascii="Times New Roman" w:eastAsia="Times New Roman" w:hAnsi="Times New Roman" w:cs="Times New Roman"/>
          <w:sz w:val="24"/>
          <w:szCs w:val="24"/>
          <w:lang w:eastAsia="sk-SK"/>
        </w:rPr>
        <w:t>trvania</w:t>
      </w:r>
      <w:r w:rsidR="009B73E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FBE4957" w14:textId="77777777" w:rsidR="00D7001B" w:rsidRDefault="00D7001B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68A5C7" w14:textId="77777777"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14:paraId="4C868A37" w14:textId="77777777" w:rsidTr="005E67AA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0EAC6D68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14:paraId="07EDE568" w14:textId="7FF62BFC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  <w:r w:rsidR="005A6C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(v tis.)</w:t>
            </w:r>
          </w:p>
        </w:tc>
      </w:tr>
      <w:tr w:rsidR="00CC5A29" w:rsidRPr="007D5748" w14:paraId="5B21C35A" w14:textId="77777777" w:rsidTr="005E67AA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60714C1A" w14:textId="77777777" w:rsidR="00CC5A29" w:rsidRPr="007D5748" w:rsidRDefault="00CC5A29" w:rsidP="00CC5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5815F67" w14:textId="1292C4C9" w:rsidR="00CC5A29" w:rsidRPr="007D5748" w:rsidRDefault="00CC5A29" w:rsidP="00CC5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F35EA13" w14:textId="23941C9A" w:rsidR="00CC5A29" w:rsidRPr="007D5748" w:rsidRDefault="00CC5A29" w:rsidP="00CC5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261DE40" w14:textId="041A01A9" w:rsidR="00CC5A29" w:rsidRPr="007D5748" w:rsidRDefault="00CC5A29" w:rsidP="00CC5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F982721" w14:textId="74BE6F55" w:rsidR="00CC5A29" w:rsidRPr="007D5748" w:rsidRDefault="00CC5A29" w:rsidP="00CC5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</w:tr>
      <w:tr w:rsidR="00CC5A29" w:rsidRPr="007D5748" w14:paraId="0A24B8D7" w14:textId="77777777" w:rsidTr="006B3C6F">
        <w:trPr>
          <w:trHeight w:val="70"/>
        </w:trPr>
        <w:tc>
          <w:tcPr>
            <w:tcW w:w="4530" w:type="dxa"/>
          </w:tcPr>
          <w:p w14:paraId="39502D89" w14:textId="1968DF23" w:rsidR="00CC5A29" w:rsidRPr="007D5748" w:rsidRDefault="00CC5A29" w:rsidP="00CC5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Počet prispievateľov poistených  v čase skrátenej práce (na úrovni zamestnancov)</w:t>
            </w:r>
          </w:p>
        </w:tc>
        <w:tc>
          <w:tcPr>
            <w:tcW w:w="1134" w:type="dxa"/>
            <w:vAlign w:val="center"/>
          </w:tcPr>
          <w:p w14:paraId="53EFB271" w14:textId="5AE6D153" w:rsidR="00CC5A29" w:rsidRPr="005D29E6" w:rsidRDefault="00CC5A29" w:rsidP="00CC5A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23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vAlign w:val="center"/>
          </w:tcPr>
          <w:p w14:paraId="2D9D7271" w14:textId="6EAAB2CF" w:rsidR="00CC5A29" w:rsidRPr="005D29E6" w:rsidRDefault="00CC5A29" w:rsidP="00CC5A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23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1 805</w:t>
            </w:r>
          </w:p>
        </w:tc>
        <w:tc>
          <w:tcPr>
            <w:tcW w:w="1134" w:type="dxa"/>
            <w:vAlign w:val="center"/>
          </w:tcPr>
          <w:p w14:paraId="0C3C2748" w14:textId="3765157A" w:rsidR="00CC5A29" w:rsidRPr="005D29E6" w:rsidRDefault="00CC5A29" w:rsidP="00CC5A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23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1 808</w:t>
            </w:r>
          </w:p>
        </w:tc>
        <w:tc>
          <w:tcPr>
            <w:tcW w:w="1134" w:type="dxa"/>
            <w:vAlign w:val="center"/>
          </w:tcPr>
          <w:p w14:paraId="7ABB9A8B" w14:textId="3BF5C196" w:rsidR="00CC5A29" w:rsidRPr="005D29E6" w:rsidRDefault="00CC5A29" w:rsidP="00CC5A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23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1 795</w:t>
            </w:r>
          </w:p>
        </w:tc>
      </w:tr>
      <w:tr w:rsidR="00CC5A29" w:rsidRPr="007D5748" w14:paraId="0A60552E" w14:textId="77777777" w:rsidTr="006B3C6F">
        <w:trPr>
          <w:trHeight w:val="70"/>
        </w:trPr>
        <w:tc>
          <w:tcPr>
            <w:tcW w:w="4530" w:type="dxa"/>
          </w:tcPr>
          <w:p w14:paraId="3DD3CAC6" w14:textId="27BDAA0A" w:rsidR="00CC5A29" w:rsidRPr="007D5748" w:rsidRDefault="00CC5A29" w:rsidP="00CC5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85E4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podporených zamestnancov  </w:t>
            </w:r>
          </w:p>
        </w:tc>
        <w:tc>
          <w:tcPr>
            <w:tcW w:w="1134" w:type="dxa"/>
            <w:vAlign w:val="center"/>
          </w:tcPr>
          <w:p w14:paraId="0116F064" w14:textId="50548089" w:rsidR="00CC5A29" w:rsidRPr="005D29E6" w:rsidRDefault="00CC5A29" w:rsidP="00CC5A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D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vAlign w:val="center"/>
          </w:tcPr>
          <w:p w14:paraId="6810D35D" w14:textId="54D3F457" w:rsidR="00CC5A29" w:rsidRPr="005D29E6" w:rsidRDefault="00CC5A29" w:rsidP="00CC5A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D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6,5 </w:t>
            </w:r>
          </w:p>
        </w:tc>
        <w:tc>
          <w:tcPr>
            <w:tcW w:w="1134" w:type="dxa"/>
            <w:vAlign w:val="center"/>
          </w:tcPr>
          <w:p w14:paraId="688988FA" w14:textId="62518F03" w:rsidR="00CC5A29" w:rsidRPr="005D29E6" w:rsidRDefault="00CC5A29" w:rsidP="00CC5A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D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6,5 </w:t>
            </w:r>
          </w:p>
        </w:tc>
        <w:tc>
          <w:tcPr>
            <w:tcW w:w="1134" w:type="dxa"/>
            <w:vAlign w:val="center"/>
          </w:tcPr>
          <w:p w14:paraId="7F58BD3A" w14:textId="5E107048" w:rsidR="00CC5A29" w:rsidRPr="005D29E6" w:rsidRDefault="00CC5A29" w:rsidP="00CC5A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6,5</w:t>
            </w:r>
          </w:p>
        </w:tc>
      </w:tr>
    </w:tbl>
    <w:p w14:paraId="539E0088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873D1E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408E54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71A0EBAD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7E50C5" w14:textId="37331CFE" w:rsidR="005A30FC" w:rsidRPr="005D29E6" w:rsidRDefault="00CC5A29" w:rsidP="005A30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D29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Navrhovaná právna úprava má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rokoch 2021 až 2024 </w:t>
      </w:r>
      <w:r w:rsidRPr="005D29E6">
        <w:rPr>
          <w:rFonts w:ascii="Times New Roman" w:eastAsia="Times New Roman" w:hAnsi="Times New Roman" w:cs="Times New Roman"/>
          <w:sz w:val="24"/>
          <w:szCs w:val="24"/>
          <w:lang w:eastAsia="sk-SK"/>
        </w:rPr>
        <w:t>vplyv na rozpočet verejnej správy.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D29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Kvantifikácia predpokladá negatívny vplyv na rozpočet verejnej správy v roku 2021 na úrovni cca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3,6</w:t>
      </w:r>
      <w:r w:rsidRPr="005D29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mil. eur;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negatívny </w:t>
      </w:r>
      <w:r w:rsidRPr="005D29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vplyv na rozpočet verejnej správy v roku 2022 na úrovni cca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5,6 </w:t>
      </w:r>
      <w:r w:rsidRPr="005D29E6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il. eur, negatívny </w:t>
      </w:r>
      <w:r w:rsidRPr="005D29E6">
        <w:rPr>
          <w:rFonts w:ascii="Times New Roman" w:eastAsia="Times New Roman" w:hAnsi="Times New Roman" w:cs="Times New Roman"/>
          <w:sz w:val="24"/>
          <w:szCs w:val="24"/>
          <w:lang w:eastAsia="sk-SK"/>
        </w:rPr>
        <w:t>vplyv v roku 2023 na úrovni cca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5,9</w:t>
      </w:r>
      <w:r w:rsidRPr="005D29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mil.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eur a negatívny vplyv v roku 2024 na úrovni 6,2 mil. eur.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114"/>
        <w:gridCol w:w="1488"/>
        <w:gridCol w:w="1488"/>
        <w:gridCol w:w="1488"/>
        <w:gridCol w:w="1489"/>
      </w:tblGrid>
      <w:tr w:rsidR="00CC5A29" w:rsidRPr="005D29E6" w14:paraId="7EE4A115" w14:textId="77777777" w:rsidTr="00CC5A29">
        <w:tc>
          <w:tcPr>
            <w:tcW w:w="3114" w:type="dxa"/>
          </w:tcPr>
          <w:p w14:paraId="65DFE8E5" w14:textId="77777777" w:rsidR="00CC5A29" w:rsidRPr="005D29E6" w:rsidRDefault="00CC5A29" w:rsidP="00CC5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88" w:type="dxa"/>
          </w:tcPr>
          <w:p w14:paraId="59F674D4" w14:textId="4664B219" w:rsidR="00CC5A29" w:rsidRPr="00CC5A29" w:rsidRDefault="00CC5A29" w:rsidP="00CC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CC5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488" w:type="dxa"/>
          </w:tcPr>
          <w:p w14:paraId="5EECC879" w14:textId="20114087" w:rsidR="00CC5A29" w:rsidRPr="00CC5A29" w:rsidRDefault="00CC5A29" w:rsidP="00CC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CC5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488" w:type="dxa"/>
          </w:tcPr>
          <w:p w14:paraId="3CD3B388" w14:textId="50E52D8B" w:rsidR="00CC5A29" w:rsidRPr="00CC5A29" w:rsidRDefault="00CC5A29" w:rsidP="00CC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CC5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489" w:type="dxa"/>
          </w:tcPr>
          <w:p w14:paraId="209B3FA0" w14:textId="031117AC" w:rsidR="00CC5A29" w:rsidRPr="00CC5A29" w:rsidRDefault="00CC5A29" w:rsidP="00CC5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CC5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2024</w:t>
            </w:r>
          </w:p>
        </w:tc>
      </w:tr>
      <w:tr w:rsidR="00CC5A29" w:rsidRPr="005D29E6" w14:paraId="70BB1800" w14:textId="77777777" w:rsidTr="00CC5A29">
        <w:tc>
          <w:tcPr>
            <w:tcW w:w="3114" w:type="dxa"/>
          </w:tcPr>
          <w:p w14:paraId="3436E98D" w14:textId="77777777" w:rsidR="00CC5A29" w:rsidRDefault="00CC5A29" w:rsidP="00CC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D2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Celkový vplyv na rozpočet verejnej správy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</w:p>
          <w:p w14:paraId="2404992B" w14:textId="39AA938D" w:rsidR="00CC5A29" w:rsidRPr="005D29E6" w:rsidRDefault="00CC5A29" w:rsidP="00CC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(+) negatívny / (-) pozitívny</w:t>
            </w:r>
          </w:p>
        </w:tc>
        <w:tc>
          <w:tcPr>
            <w:tcW w:w="1488" w:type="dxa"/>
            <w:vAlign w:val="center"/>
          </w:tcPr>
          <w:p w14:paraId="5F74C7E2" w14:textId="60F8F5B2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E0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3 640 000</w:t>
            </w:r>
          </w:p>
        </w:tc>
        <w:tc>
          <w:tcPr>
            <w:tcW w:w="1488" w:type="dxa"/>
            <w:vAlign w:val="center"/>
          </w:tcPr>
          <w:p w14:paraId="1E250AF6" w14:textId="121AED24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E0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5 581 570</w:t>
            </w:r>
          </w:p>
        </w:tc>
        <w:tc>
          <w:tcPr>
            <w:tcW w:w="1488" w:type="dxa"/>
            <w:vAlign w:val="center"/>
          </w:tcPr>
          <w:p w14:paraId="0E223B63" w14:textId="0D505004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E0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5 873 817</w:t>
            </w:r>
          </w:p>
        </w:tc>
        <w:tc>
          <w:tcPr>
            <w:tcW w:w="1489" w:type="dxa"/>
            <w:vAlign w:val="center"/>
          </w:tcPr>
          <w:p w14:paraId="524D0B66" w14:textId="5A5D0640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E06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6 190 310</w:t>
            </w:r>
          </w:p>
        </w:tc>
      </w:tr>
      <w:tr w:rsidR="00CC5A29" w:rsidRPr="005D29E6" w14:paraId="682B01F5" w14:textId="77777777" w:rsidTr="00CC5A29">
        <w:tc>
          <w:tcPr>
            <w:tcW w:w="3114" w:type="dxa"/>
            <w:vAlign w:val="center"/>
          </w:tcPr>
          <w:p w14:paraId="5494B0EF" w14:textId="608F115F" w:rsidR="00CC5A29" w:rsidRPr="005D29E6" w:rsidRDefault="00CC5A29" w:rsidP="00CC5A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D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v tom: Sociálna poisťovňa</w:t>
            </w:r>
          </w:p>
        </w:tc>
        <w:tc>
          <w:tcPr>
            <w:tcW w:w="1488" w:type="dxa"/>
          </w:tcPr>
          <w:p w14:paraId="6754A141" w14:textId="1B6F3ED5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E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940 000</w:t>
            </w:r>
          </w:p>
        </w:tc>
        <w:tc>
          <w:tcPr>
            <w:tcW w:w="1488" w:type="dxa"/>
          </w:tcPr>
          <w:p w14:paraId="34BB320D" w14:textId="06D238C9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E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7 754 239</w:t>
            </w:r>
          </w:p>
        </w:tc>
        <w:tc>
          <w:tcPr>
            <w:tcW w:w="1488" w:type="dxa"/>
          </w:tcPr>
          <w:p w14:paraId="0C7BE4BB" w14:textId="2CD84972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E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8 218 718</w:t>
            </w:r>
          </w:p>
        </w:tc>
        <w:tc>
          <w:tcPr>
            <w:tcW w:w="1489" w:type="dxa"/>
          </w:tcPr>
          <w:p w14:paraId="0802A2C5" w14:textId="3F9FC4E0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E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8 652 541</w:t>
            </w:r>
          </w:p>
        </w:tc>
      </w:tr>
      <w:tr w:rsidR="00CC5A29" w:rsidRPr="005D29E6" w14:paraId="61BCB11A" w14:textId="77777777" w:rsidTr="00CC5A29">
        <w:tc>
          <w:tcPr>
            <w:tcW w:w="3114" w:type="dxa"/>
            <w:vAlign w:val="center"/>
          </w:tcPr>
          <w:p w14:paraId="54F6FC27" w14:textId="00A8B8C3" w:rsidR="00CC5A29" w:rsidRPr="005D29E6" w:rsidRDefault="00CC5A29" w:rsidP="00CC5A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D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v tom: zdravotné poisťovne</w:t>
            </w:r>
          </w:p>
        </w:tc>
        <w:tc>
          <w:tcPr>
            <w:tcW w:w="1488" w:type="dxa"/>
          </w:tcPr>
          <w:p w14:paraId="22345071" w14:textId="0E27EF0D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E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88" w:type="dxa"/>
          </w:tcPr>
          <w:p w14:paraId="4BFEC495" w14:textId="0728BC12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  <w:r w:rsidRPr="004E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1 264 881</w:t>
            </w:r>
          </w:p>
        </w:tc>
        <w:tc>
          <w:tcPr>
            <w:tcW w:w="1488" w:type="dxa"/>
          </w:tcPr>
          <w:p w14:paraId="07C8778D" w14:textId="30FB1952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  <w:r w:rsidRPr="004E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1 312 138</w:t>
            </w:r>
          </w:p>
        </w:tc>
        <w:tc>
          <w:tcPr>
            <w:tcW w:w="1489" w:type="dxa"/>
          </w:tcPr>
          <w:p w14:paraId="309F1385" w14:textId="2B763146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  <w:r w:rsidRPr="004E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1 360 388</w:t>
            </w:r>
          </w:p>
        </w:tc>
      </w:tr>
      <w:tr w:rsidR="00CC5A29" w:rsidRPr="005D29E6" w14:paraId="6574272A" w14:textId="77777777" w:rsidTr="00CC5A29">
        <w:tc>
          <w:tcPr>
            <w:tcW w:w="3114" w:type="dxa"/>
            <w:vAlign w:val="center"/>
          </w:tcPr>
          <w:p w14:paraId="1EE31FD8" w14:textId="59DCE397" w:rsidR="00CC5A29" w:rsidRPr="005D29E6" w:rsidRDefault="00CC5A29" w:rsidP="00CC5A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D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v tom: obce</w:t>
            </w:r>
          </w:p>
        </w:tc>
        <w:tc>
          <w:tcPr>
            <w:tcW w:w="1488" w:type="dxa"/>
          </w:tcPr>
          <w:p w14:paraId="0A495C71" w14:textId="3E1A1E13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E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88" w:type="dxa"/>
          </w:tcPr>
          <w:p w14:paraId="3B6C0CA7" w14:textId="2D6FAB0C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  <w:r w:rsidRPr="004E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929 251</w:t>
            </w:r>
          </w:p>
        </w:tc>
        <w:tc>
          <w:tcPr>
            <w:tcW w:w="1488" w:type="dxa"/>
          </w:tcPr>
          <w:p w14:paraId="3B2E45F3" w14:textId="4C1CE80C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  <w:r w:rsidRPr="004E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974 145</w:t>
            </w:r>
          </w:p>
        </w:tc>
        <w:tc>
          <w:tcPr>
            <w:tcW w:w="1489" w:type="dxa"/>
          </w:tcPr>
          <w:p w14:paraId="793E489A" w14:textId="4F975A18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  <w:r w:rsidRPr="004E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1 019 983</w:t>
            </w:r>
          </w:p>
        </w:tc>
      </w:tr>
      <w:tr w:rsidR="00CC5A29" w:rsidRPr="005D29E6" w14:paraId="367DDF9E" w14:textId="77777777" w:rsidTr="00CC5A29">
        <w:tc>
          <w:tcPr>
            <w:tcW w:w="3114" w:type="dxa"/>
            <w:vAlign w:val="center"/>
          </w:tcPr>
          <w:p w14:paraId="340F73C4" w14:textId="420496FC" w:rsidR="00CC5A29" w:rsidRPr="005D29E6" w:rsidRDefault="00CC5A29" w:rsidP="00CC5A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D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v tom: VÚC</w:t>
            </w:r>
          </w:p>
        </w:tc>
        <w:tc>
          <w:tcPr>
            <w:tcW w:w="1488" w:type="dxa"/>
          </w:tcPr>
          <w:p w14:paraId="4FD8E332" w14:textId="20E28520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E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88" w:type="dxa"/>
          </w:tcPr>
          <w:p w14:paraId="4E90C975" w14:textId="526E05D3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  <w:r w:rsidRPr="004E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398 250</w:t>
            </w:r>
          </w:p>
        </w:tc>
        <w:tc>
          <w:tcPr>
            <w:tcW w:w="1488" w:type="dxa"/>
          </w:tcPr>
          <w:p w14:paraId="238D749B" w14:textId="40ABBE23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  <w:r w:rsidRPr="004E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417 491</w:t>
            </w:r>
          </w:p>
        </w:tc>
        <w:tc>
          <w:tcPr>
            <w:tcW w:w="1489" w:type="dxa"/>
          </w:tcPr>
          <w:p w14:paraId="04BF35C1" w14:textId="72BF5223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  <w:r w:rsidRPr="004E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437 136</w:t>
            </w:r>
          </w:p>
        </w:tc>
      </w:tr>
      <w:tr w:rsidR="00CC5A29" w:rsidRPr="005D29E6" w14:paraId="75444F05" w14:textId="77777777" w:rsidTr="00CC5A29">
        <w:tc>
          <w:tcPr>
            <w:tcW w:w="3114" w:type="dxa"/>
            <w:vAlign w:val="center"/>
          </w:tcPr>
          <w:p w14:paraId="15F87436" w14:textId="29E306D9" w:rsidR="00CC5A29" w:rsidRPr="005D29E6" w:rsidRDefault="00CC5A29" w:rsidP="00CC5A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D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- v tom: MPSVR SR</w:t>
            </w:r>
          </w:p>
        </w:tc>
        <w:tc>
          <w:tcPr>
            <w:tcW w:w="1488" w:type="dxa"/>
          </w:tcPr>
          <w:p w14:paraId="778EFDDA" w14:textId="2AC2C804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E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2 700 000</w:t>
            </w:r>
          </w:p>
        </w:tc>
        <w:tc>
          <w:tcPr>
            <w:tcW w:w="1488" w:type="dxa"/>
          </w:tcPr>
          <w:p w14:paraId="43AD83EA" w14:textId="0702B9A7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E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419 713</w:t>
            </w:r>
          </w:p>
        </w:tc>
        <w:tc>
          <w:tcPr>
            <w:tcW w:w="1488" w:type="dxa"/>
          </w:tcPr>
          <w:p w14:paraId="72AA7B40" w14:textId="1EA7B2C2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E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358 872</w:t>
            </w:r>
          </w:p>
        </w:tc>
        <w:tc>
          <w:tcPr>
            <w:tcW w:w="1489" w:type="dxa"/>
          </w:tcPr>
          <w:p w14:paraId="11473EE3" w14:textId="5E28ED59" w:rsidR="00CC5A29" w:rsidRPr="005D29E6" w:rsidRDefault="00CC5A29" w:rsidP="00CC5A2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E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355 277</w:t>
            </w:r>
          </w:p>
        </w:tc>
      </w:tr>
    </w:tbl>
    <w:p w14:paraId="5A14AA8E" w14:textId="77777777" w:rsidR="00EC4A8D" w:rsidRDefault="00EC4A8D" w:rsidP="005A30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ED7866" w14:textId="552752F3" w:rsidR="00462060" w:rsidRDefault="00462060" w:rsidP="00EC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 w:type="page"/>
      </w:r>
    </w:p>
    <w:p w14:paraId="4C9BD50F" w14:textId="77777777" w:rsidR="005A30FC" w:rsidRPr="006139BF" w:rsidRDefault="005A30FC" w:rsidP="005A30FC">
      <w:pPr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  <w:r w:rsidRPr="006139BF">
        <w:rPr>
          <w:rFonts w:ascii="Times New Roman" w:hAnsi="Times New Roman" w:cs="Verdana"/>
          <w:b/>
          <w:bCs/>
          <w:iCs/>
          <w:sz w:val="24"/>
          <w:szCs w:val="24"/>
        </w:rPr>
        <w:lastRenderedPageBreak/>
        <w:t>2.2.4.1 Kvantifikácia príjmov</w:t>
      </w:r>
    </w:p>
    <w:p w14:paraId="11497BF1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7AC8C53" w14:textId="77777777" w:rsidR="00CC5A29" w:rsidRPr="007B0114" w:rsidRDefault="00CC5A29" w:rsidP="00CC5A2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Zvýšenie príjmov fondu poistenia v nezamestnanosti </w:t>
      </w:r>
    </w:p>
    <w:p w14:paraId="5190138F" w14:textId="77777777" w:rsidR="00CC5A29" w:rsidRPr="007B0114" w:rsidRDefault="00CC5A29" w:rsidP="00CC5A2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1F4B32C3" w14:textId="77777777" w:rsidR="00CC5A29" w:rsidRPr="007B0114" w:rsidRDefault="00CC5A29" w:rsidP="00CC5A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01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predpokladá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vznik nového druhu sociálneho poistenia - poistenia v čase skrátenej práce, ktoré bude vedené v rámci fondu poistenia v nezamestnanosti. V dôsledku poistenia v čase skrátenej práce vznikne odvodová povinnosť do fondu poistenia v nezamestnanosti vo výške 0,5%</w:t>
      </w:r>
      <w:r w:rsidRPr="00D027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vymeriavacieho základu pre </w:t>
      </w:r>
      <w:r w:rsidRPr="00D027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zamestnávateľov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zamestnávajúcich zamestnancov, ktorí sú poberateľmi</w:t>
      </w:r>
      <w:r w:rsidRPr="005F28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starobného dôchodku, predčasného starobného dôchodku alebo invalidného dôchodku z dôvodu poklesu schopnosti vykonávať zárobkovú činnosť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viac ako 70 % alebo poberateľmi</w:t>
      </w:r>
      <w:r w:rsidRPr="005F28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invalidného dôchodku, ktorí  dovŕšili dôchodkový vek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Vznik odvodovej povinnosti do fondu poistenia v nezamestnanosti u zamestnávateľov uvedených skupín bude mať pozitívny  vplyv na príjmy fondu poistenia v nezamestnanosti.  </w:t>
      </w:r>
    </w:p>
    <w:p w14:paraId="22E72634" w14:textId="77777777" w:rsidR="00CC5A29" w:rsidRDefault="00CC5A29" w:rsidP="00CC5A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0114">
        <w:rPr>
          <w:rFonts w:ascii="Times New Roman" w:eastAsia="Times New Roman" w:hAnsi="Times New Roman" w:cs="Times New Roman"/>
          <w:sz w:val="24"/>
          <w:szCs w:val="24"/>
          <w:lang w:eastAsia="sk-SK"/>
        </w:rPr>
        <w:t>Odhad počtu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uvedených</w:t>
      </w:r>
      <w:r w:rsidRPr="007B01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zamestnancov </w:t>
      </w:r>
      <w:r w:rsidRPr="007B01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ich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priemerného </w:t>
      </w:r>
      <w:r w:rsidRPr="007B0114">
        <w:rPr>
          <w:rFonts w:ascii="Times New Roman" w:eastAsia="Times New Roman" w:hAnsi="Times New Roman" w:cs="Times New Roman"/>
          <w:sz w:val="24"/>
          <w:szCs w:val="24"/>
          <w:lang w:eastAsia="sk-SK"/>
        </w:rPr>
        <w:t>vymeri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avacieho základu v rokoch 2022, </w:t>
      </w:r>
      <w:r w:rsidRPr="007B0114">
        <w:rPr>
          <w:rFonts w:ascii="Times New Roman" w:eastAsia="Times New Roman" w:hAnsi="Times New Roman" w:cs="Times New Roman"/>
          <w:sz w:val="24"/>
          <w:szCs w:val="24"/>
          <w:lang w:eastAsia="sk-SK"/>
        </w:rPr>
        <w:t> 2023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2024</w:t>
      </w:r>
      <w:r w:rsidRPr="007B01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vychádza z údajov Sociálnej poisťovne resp. iných dostupných údajov a zohľadňuje makroekonomické prognózy.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8B157AF" w14:textId="77777777" w:rsidR="00CC5A29" w:rsidRDefault="00CC5A29" w:rsidP="00CC5A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248"/>
        <w:gridCol w:w="855"/>
        <w:gridCol w:w="1321"/>
        <w:gridCol w:w="1321"/>
        <w:gridCol w:w="1322"/>
      </w:tblGrid>
      <w:tr w:rsidR="00CC5A29" w:rsidRPr="00467E4E" w14:paraId="3F899EA4" w14:textId="77777777" w:rsidTr="007D63F6">
        <w:tc>
          <w:tcPr>
            <w:tcW w:w="4248" w:type="dxa"/>
          </w:tcPr>
          <w:p w14:paraId="667D904A" w14:textId="77777777" w:rsidR="00CC5A29" w:rsidRPr="00467E4E" w:rsidRDefault="00CC5A29" w:rsidP="007D63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55" w:type="dxa"/>
          </w:tcPr>
          <w:p w14:paraId="7A155E2A" w14:textId="77777777" w:rsidR="00CC5A29" w:rsidRPr="001F6491" w:rsidRDefault="00CC5A29" w:rsidP="007D63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6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321" w:type="dxa"/>
          </w:tcPr>
          <w:p w14:paraId="20CA780E" w14:textId="77777777" w:rsidR="00CC5A29" w:rsidRPr="001F6491" w:rsidRDefault="00CC5A29" w:rsidP="007D63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6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321" w:type="dxa"/>
          </w:tcPr>
          <w:p w14:paraId="126C823D" w14:textId="77777777" w:rsidR="00CC5A29" w:rsidRPr="001F6491" w:rsidRDefault="00CC5A29" w:rsidP="007D63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6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322" w:type="dxa"/>
          </w:tcPr>
          <w:p w14:paraId="67CD06C5" w14:textId="77777777" w:rsidR="00CC5A29" w:rsidRPr="001F6491" w:rsidRDefault="00CC5A29" w:rsidP="007D63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6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2024</w:t>
            </w:r>
          </w:p>
        </w:tc>
      </w:tr>
      <w:tr w:rsidR="00CC5A29" w:rsidRPr="00467E4E" w14:paraId="0ED5DAE0" w14:textId="77777777" w:rsidTr="007D63F6">
        <w:tc>
          <w:tcPr>
            <w:tcW w:w="4248" w:type="dxa"/>
          </w:tcPr>
          <w:p w14:paraId="1D97C2B6" w14:textId="77777777" w:rsidR="00CC5A29" w:rsidRPr="00467E4E" w:rsidRDefault="00CC5A29" w:rsidP="007D6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01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Odhad počtu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zamestnancov - poberateľov </w:t>
            </w:r>
            <w:r w:rsidRPr="002B7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starobného dôchodku, predčasného starobného dôchodku alebo invalidného dôchodku z dôvodu poklesu schopnosti vykonávať zárobkovú činnosť o viac ako 70 % alebo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poberateľov invalidného dôchodku, ktorí </w:t>
            </w:r>
            <w:r w:rsidRPr="002B7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dovŕšil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</w:t>
            </w:r>
            <w:r w:rsidRPr="002B73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dôchodkový vek</w:t>
            </w:r>
          </w:p>
        </w:tc>
        <w:tc>
          <w:tcPr>
            <w:tcW w:w="855" w:type="dxa"/>
            <w:vAlign w:val="center"/>
          </w:tcPr>
          <w:p w14:paraId="62157E61" w14:textId="77777777" w:rsidR="00CC5A29" w:rsidRPr="00467E4E" w:rsidRDefault="00CC5A29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321" w:type="dxa"/>
            <w:vAlign w:val="center"/>
          </w:tcPr>
          <w:p w14:paraId="6D9E4D44" w14:textId="77777777" w:rsidR="00CC5A29" w:rsidRPr="00467E4E" w:rsidRDefault="00CC5A29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34E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192 084</w:t>
            </w:r>
          </w:p>
        </w:tc>
        <w:tc>
          <w:tcPr>
            <w:tcW w:w="1321" w:type="dxa"/>
            <w:vAlign w:val="center"/>
          </w:tcPr>
          <w:p w14:paraId="6D071778" w14:textId="77777777" w:rsidR="00CC5A29" w:rsidRPr="00467E4E" w:rsidRDefault="00CC5A29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34E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192 954</w:t>
            </w:r>
          </w:p>
        </w:tc>
        <w:tc>
          <w:tcPr>
            <w:tcW w:w="1322" w:type="dxa"/>
            <w:vAlign w:val="center"/>
          </w:tcPr>
          <w:p w14:paraId="441C5AD8" w14:textId="77777777" w:rsidR="00CC5A29" w:rsidRPr="00467E4E" w:rsidRDefault="00CC5A29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34E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193 310</w:t>
            </w:r>
          </w:p>
        </w:tc>
      </w:tr>
      <w:tr w:rsidR="00CC5A29" w:rsidRPr="00467E4E" w14:paraId="11725A04" w14:textId="77777777" w:rsidTr="007D63F6">
        <w:tc>
          <w:tcPr>
            <w:tcW w:w="4248" w:type="dxa"/>
          </w:tcPr>
          <w:p w14:paraId="3D3A8503" w14:textId="77777777" w:rsidR="00CC5A29" w:rsidRPr="00467E4E" w:rsidRDefault="00CC5A29" w:rsidP="007D6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Predpokladaný priemerný vymeriavací základ (eur)</w:t>
            </w:r>
          </w:p>
        </w:tc>
        <w:tc>
          <w:tcPr>
            <w:tcW w:w="855" w:type="dxa"/>
            <w:vAlign w:val="center"/>
          </w:tcPr>
          <w:p w14:paraId="090DA26E" w14:textId="77777777" w:rsidR="00CC5A29" w:rsidRPr="00467E4E" w:rsidRDefault="00CC5A29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321" w:type="dxa"/>
            <w:vAlign w:val="bottom"/>
          </w:tcPr>
          <w:p w14:paraId="6B1CFD5F" w14:textId="77777777" w:rsidR="00CC5A29" w:rsidRPr="00467E4E" w:rsidRDefault="00CC5A29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516</w:t>
            </w:r>
          </w:p>
        </w:tc>
        <w:tc>
          <w:tcPr>
            <w:tcW w:w="1321" w:type="dxa"/>
            <w:vAlign w:val="bottom"/>
          </w:tcPr>
          <w:p w14:paraId="5231142E" w14:textId="77777777" w:rsidR="00CC5A29" w:rsidRPr="00467E4E" w:rsidRDefault="00CC5A29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536</w:t>
            </w:r>
          </w:p>
        </w:tc>
        <w:tc>
          <w:tcPr>
            <w:tcW w:w="1322" w:type="dxa"/>
            <w:vAlign w:val="bottom"/>
          </w:tcPr>
          <w:p w14:paraId="3FE00D7D" w14:textId="77777777" w:rsidR="00CC5A29" w:rsidRPr="00467E4E" w:rsidRDefault="00CC5A29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561</w:t>
            </w:r>
          </w:p>
        </w:tc>
      </w:tr>
      <w:tr w:rsidR="00CC5A29" w:rsidRPr="00467E4E" w14:paraId="6928E4E4" w14:textId="77777777" w:rsidTr="007D63F6">
        <w:tc>
          <w:tcPr>
            <w:tcW w:w="4248" w:type="dxa"/>
          </w:tcPr>
          <w:p w14:paraId="6AF40A9E" w14:textId="77777777" w:rsidR="00CC5A29" w:rsidRPr="00534EF0" w:rsidRDefault="00CC5A29" w:rsidP="007D63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34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Príjmy verejnej správy spolu (eur)</w:t>
            </w:r>
          </w:p>
        </w:tc>
        <w:tc>
          <w:tcPr>
            <w:tcW w:w="855" w:type="dxa"/>
            <w:vAlign w:val="center"/>
          </w:tcPr>
          <w:p w14:paraId="2F482DF6" w14:textId="74F4B93B" w:rsidR="00CC5A29" w:rsidRPr="00534EF0" w:rsidRDefault="00846CCA" w:rsidP="007D63F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321" w:type="dxa"/>
            <w:vAlign w:val="center"/>
          </w:tcPr>
          <w:p w14:paraId="7F17F2D5" w14:textId="77777777" w:rsidR="00CC5A29" w:rsidRPr="00534EF0" w:rsidRDefault="00CC5A29" w:rsidP="007D63F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34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5 943 826</w:t>
            </w:r>
          </w:p>
        </w:tc>
        <w:tc>
          <w:tcPr>
            <w:tcW w:w="1321" w:type="dxa"/>
            <w:vAlign w:val="center"/>
          </w:tcPr>
          <w:p w14:paraId="54CBC59F" w14:textId="77777777" w:rsidR="00CC5A29" w:rsidRPr="00534EF0" w:rsidRDefault="00CC5A29" w:rsidP="007D63F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34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6 201 158</w:t>
            </w:r>
          </w:p>
        </w:tc>
        <w:tc>
          <w:tcPr>
            <w:tcW w:w="1322" w:type="dxa"/>
            <w:vAlign w:val="center"/>
          </w:tcPr>
          <w:p w14:paraId="28694280" w14:textId="77777777" w:rsidR="00CC5A29" w:rsidRPr="00534EF0" w:rsidRDefault="00CC5A29" w:rsidP="007D63F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34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6 510 149</w:t>
            </w:r>
          </w:p>
        </w:tc>
      </w:tr>
      <w:tr w:rsidR="00CC5A29" w:rsidRPr="00467E4E" w14:paraId="5B12F61D" w14:textId="77777777" w:rsidTr="007D63F6">
        <w:tc>
          <w:tcPr>
            <w:tcW w:w="4248" w:type="dxa"/>
          </w:tcPr>
          <w:p w14:paraId="60E1E81A" w14:textId="77777777" w:rsidR="00CC5A29" w:rsidRPr="00534EF0" w:rsidRDefault="00CC5A29" w:rsidP="007D63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34E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 z toho Sociálna poisťovňa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(eur)</w:t>
            </w:r>
          </w:p>
        </w:tc>
        <w:tc>
          <w:tcPr>
            <w:tcW w:w="855" w:type="dxa"/>
            <w:vAlign w:val="center"/>
          </w:tcPr>
          <w:p w14:paraId="55920F27" w14:textId="77777777" w:rsidR="00CC5A29" w:rsidRPr="00534EF0" w:rsidRDefault="00CC5A29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34E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321" w:type="dxa"/>
            <w:vAlign w:val="center"/>
          </w:tcPr>
          <w:p w14:paraId="5F5C1F9C" w14:textId="77777777" w:rsidR="00CC5A29" w:rsidRPr="00534EF0" w:rsidRDefault="00CC5A29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34E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5 943 826</w:t>
            </w:r>
          </w:p>
        </w:tc>
        <w:tc>
          <w:tcPr>
            <w:tcW w:w="1321" w:type="dxa"/>
            <w:vAlign w:val="center"/>
          </w:tcPr>
          <w:p w14:paraId="6C3598B5" w14:textId="77777777" w:rsidR="00CC5A29" w:rsidRPr="00534EF0" w:rsidRDefault="00CC5A29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34E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6 201 158</w:t>
            </w:r>
          </w:p>
        </w:tc>
        <w:tc>
          <w:tcPr>
            <w:tcW w:w="1322" w:type="dxa"/>
            <w:vAlign w:val="center"/>
          </w:tcPr>
          <w:p w14:paraId="5F304D51" w14:textId="77777777" w:rsidR="00CC5A29" w:rsidRPr="00534EF0" w:rsidRDefault="00CC5A29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34E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6 510 149</w:t>
            </w:r>
          </w:p>
        </w:tc>
      </w:tr>
    </w:tbl>
    <w:p w14:paraId="0178A0A3" w14:textId="77777777" w:rsidR="00CC5A29" w:rsidRDefault="00CC5A29" w:rsidP="00CC5A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114C92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FB35382" w14:textId="77777777" w:rsidR="002232FE" w:rsidRDefault="002232FE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2232FE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Udržanie  pracovných miest </w:t>
      </w:r>
    </w:p>
    <w:p w14:paraId="3D976D3B" w14:textId="77777777" w:rsidR="002232FE" w:rsidRDefault="002232FE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75464374" w14:textId="0815FAD8" w:rsidR="002232FE" w:rsidRDefault="002232FE" w:rsidP="00223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32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Vďaka podpore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čase skrátenej práce dôjde v čase kríz či mimoriadnych situácií k</w:t>
      </w:r>
      <w:r w:rsidR="009A7B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udržaniu časti pracovných miest, ktoré by v prípade absencie tohto nástroja dočasne alebo trvalo zanikli. </w:t>
      </w:r>
      <w:r w:rsidR="00632C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preto možné očakávať, že vplyv navrhovanej právnej úpravy sa prejaví v náraste príjmov </w:t>
      </w:r>
      <w:r w:rsidR="009A7B28">
        <w:rPr>
          <w:rFonts w:ascii="Times New Roman" w:eastAsia="Times New Roman" w:hAnsi="Times New Roman" w:cs="Times New Roman"/>
          <w:sz w:val="24"/>
          <w:szCs w:val="24"/>
          <w:lang w:eastAsia="sk-SK"/>
        </w:rPr>
        <w:t>vo verejnej správe, a to v podobe rastu príjmov z odvodov do Sociálnej poisťovne a do zdravotných poisťov</w:t>
      </w:r>
      <w:r w:rsidR="00B731CA">
        <w:rPr>
          <w:rFonts w:ascii="Times New Roman" w:eastAsia="Times New Roman" w:hAnsi="Times New Roman" w:cs="Times New Roman"/>
          <w:sz w:val="24"/>
          <w:szCs w:val="24"/>
          <w:lang w:eastAsia="sk-SK"/>
        </w:rPr>
        <w:t>ní, ako aj v náraste príjmov obcí a VÚC z daní z príjmu fyzických osôb.</w:t>
      </w:r>
      <w:r w:rsidR="009A7B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84D6A">
        <w:rPr>
          <w:rFonts w:ascii="Times New Roman" w:eastAsia="Times New Roman" w:hAnsi="Times New Roman" w:cs="Times New Roman"/>
          <w:sz w:val="24"/>
          <w:szCs w:val="24"/>
          <w:lang w:eastAsia="sk-SK"/>
        </w:rPr>
        <w:t>Na základe údajov o využívaní podpory v čase skrátenej práce v nekrízových rokoch v Nemecku</w:t>
      </w:r>
      <w:r w:rsidR="00384D6A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1"/>
      </w:r>
      <w:r w:rsidR="00FB5E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možné odhadnúť</w:t>
      </w:r>
      <w:r w:rsidR="00384D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počet pracovných mi</w:t>
      </w:r>
      <w:r w:rsidR="00B731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est podporených v rokoch 2022, </w:t>
      </w:r>
      <w:r w:rsidR="00384D6A">
        <w:rPr>
          <w:rFonts w:ascii="Times New Roman" w:eastAsia="Times New Roman" w:hAnsi="Times New Roman" w:cs="Times New Roman"/>
          <w:sz w:val="24"/>
          <w:szCs w:val="24"/>
          <w:lang w:eastAsia="sk-SK"/>
        </w:rPr>
        <w:t>2023</w:t>
      </w:r>
      <w:r w:rsidR="00B731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2024</w:t>
      </w:r>
      <w:r w:rsidR="00384D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F43EE4" w:rsidRPr="00F43E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súlade s dostupnou literatúrou odhadujeme efektivitu podpory v čase skrátenej práce na 25%, (t.j. približne </w:t>
      </w:r>
      <w:r w:rsidR="00F43E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25% z podporených zamestnancov by </w:t>
      </w:r>
      <w:r w:rsidR="00F43EE4" w:rsidRPr="00F43EE4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prípade absencie podpory v čase skrátenej práce prišlo o</w:t>
      </w:r>
      <w:r w:rsidR="00B731C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F43EE4" w:rsidRPr="00F43EE4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pracovné</w:t>
      </w:r>
      <w:r w:rsidR="00B731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miesto</w:t>
      </w:r>
      <w:r w:rsidR="00F43EE4" w:rsidRPr="00F43EE4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  <w:r w:rsidR="00632C15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2"/>
      </w:r>
    </w:p>
    <w:p w14:paraId="23969CDF" w14:textId="77777777" w:rsidR="00F43EE4" w:rsidRDefault="00F43EE4" w:rsidP="00223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9065" w:type="dxa"/>
        <w:tblLook w:val="04A0" w:firstRow="1" w:lastRow="0" w:firstColumn="1" w:lastColumn="0" w:noHBand="0" w:noVBand="1"/>
      </w:tblPr>
      <w:tblGrid>
        <w:gridCol w:w="2949"/>
        <w:gridCol w:w="1529"/>
        <w:gridCol w:w="1529"/>
        <w:gridCol w:w="1529"/>
        <w:gridCol w:w="1529"/>
      </w:tblGrid>
      <w:tr w:rsidR="00B731CA" w:rsidRPr="00467E4E" w14:paraId="1C4F9B01" w14:textId="77777777" w:rsidTr="00B731CA">
        <w:tc>
          <w:tcPr>
            <w:tcW w:w="2949" w:type="dxa"/>
          </w:tcPr>
          <w:p w14:paraId="5E27BC62" w14:textId="77777777" w:rsidR="00B731CA" w:rsidRPr="00467E4E" w:rsidRDefault="00B731CA" w:rsidP="00B731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29" w:type="dxa"/>
          </w:tcPr>
          <w:p w14:paraId="4C3B0F52" w14:textId="0177D51E" w:rsidR="00B731CA" w:rsidRPr="00467E4E" w:rsidRDefault="00B731CA" w:rsidP="00B731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29" w:type="dxa"/>
          </w:tcPr>
          <w:p w14:paraId="10C7AAC9" w14:textId="6D37A2CF" w:rsidR="00B731CA" w:rsidRPr="00467E4E" w:rsidRDefault="00B731CA" w:rsidP="00B731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29" w:type="dxa"/>
          </w:tcPr>
          <w:p w14:paraId="56EFAD5F" w14:textId="0A6DC0E9" w:rsidR="00B731CA" w:rsidRPr="00467E4E" w:rsidRDefault="00B731CA" w:rsidP="00B731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529" w:type="dxa"/>
          </w:tcPr>
          <w:p w14:paraId="3572F729" w14:textId="77DEE4A1" w:rsidR="00B731CA" w:rsidRPr="00467E4E" w:rsidRDefault="00B731CA" w:rsidP="00B731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2024</w:t>
            </w:r>
          </w:p>
        </w:tc>
      </w:tr>
      <w:tr w:rsidR="00B731CA" w:rsidRPr="00467E4E" w14:paraId="1041419A" w14:textId="77777777" w:rsidTr="007D63F6">
        <w:tc>
          <w:tcPr>
            <w:tcW w:w="2949" w:type="dxa"/>
          </w:tcPr>
          <w:p w14:paraId="34FA2684" w14:textId="77777777" w:rsidR="00B731CA" w:rsidRPr="00467E4E" w:rsidRDefault="00B731CA" w:rsidP="00B73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Predpokladaný počet podporených zamestnancov</w:t>
            </w:r>
          </w:p>
        </w:tc>
        <w:tc>
          <w:tcPr>
            <w:tcW w:w="1529" w:type="dxa"/>
            <w:vAlign w:val="center"/>
          </w:tcPr>
          <w:p w14:paraId="41A43B4A" w14:textId="2F8E6444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29" w:type="dxa"/>
            <w:vAlign w:val="center"/>
          </w:tcPr>
          <w:p w14:paraId="54835D66" w14:textId="04A95255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6 487</w:t>
            </w:r>
          </w:p>
        </w:tc>
        <w:tc>
          <w:tcPr>
            <w:tcW w:w="1529" w:type="dxa"/>
            <w:vAlign w:val="center"/>
          </w:tcPr>
          <w:p w14:paraId="4EA2F1E3" w14:textId="6EC8413F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6 499</w:t>
            </w:r>
          </w:p>
        </w:tc>
        <w:tc>
          <w:tcPr>
            <w:tcW w:w="1529" w:type="dxa"/>
            <w:vAlign w:val="center"/>
          </w:tcPr>
          <w:p w14:paraId="7BA475C8" w14:textId="04AA7825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6 453</w:t>
            </w:r>
          </w:p>
        </w:tc>
      </w:tr>
      <w:tr w:rsidR="00B731CA" w:rsidRPr="00467E4E" w14:paraId="62901F1B" w14:textId="77777777" w:rsidTr="007D63F6">
        <w:tc>
          <w:tcPr>
            <w:tcW w:w="2949" w:type="dxa"/>
          </w:tcPr>
          <w:p w14:paraId="327E7AC0" w14:textId="77777777" w:rsidR="00B731CA" w:rsidRPr="00467E4E" w:rsidRDefault="00B731CA" w:rsidP="00B73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Predpokladaný priemerný vymeriavací základ zamestnancov (eur)</w:t>
            </w:r>
          </w:p>
        </w:tc>
        <w:tc>
          <w:tcPr>
            <w:tcW w:w="1529" w:type="dxa"/>
            <w:vAlign w:val="center"/>
          </w:tcPr>
          <w:p w14:paraId="4AC3EBED" w14:textId="137BFAD6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29" w:type="dxa"/>
            <w:vAlign w:val="center"/>
          </w:tcPr>
          <w:p w14:paraId="593ECF4B" w14:textId="16529B6B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1 243</w:t>
            </w:r>
          </w:p>
        </w:tc>
        <w:tc>
          <w:tcPr>
            <w:tcW w:w="1529" w:type="dxa"/>
            <w:vAlign w:val="center"/>
          </w:tcPr>
          <w:p w14:paraId="59A3552C" w14:textId="7A2109C5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1 303</w:t>
            </w:r>
          </w:p>
        </w:tc>
        <w:tc>
          <w:tcPr>
            <w:tcW w:w="1529" w:type="dxa"/>
            <w:vAlign w:val="center"/>
          </w:tcPr>
          <w:p w14:paraId="3937EE5E" w14:textId="1ACFC90F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1 376</w:t>
            </w:r>
          </w:p>
        </w:tc>
      </w:tr>
      <w:tr w:rsidR="00B731CA" w:rsidRPr="00467E4E" w14:paraId="101C19EE" w14:textId="77777777" w:rsidTr="007D63F6">
        <w:tc>
          <w:tcPr>
            <w:tcW w:w="2949" w:type="dxa"/>
          </w:tcPr>
          <w:p w14:paraId="15119569" w14:textId="77777777" w:rsidR="00B731CA" w:rsidRPr="00467E4E" w:rsidRDefault="00B731CA" w:rsidP="00B731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Efektivita nástroja</w:t>
            </w:r>
          </w:p>
        </w:tc>
        <w:tc>
          <w:tcPr>
            <w:tcW w:w="1529" w:type="dxa"/>
            <w:vAlign w:val="center"/>
          </w:tcPr>
          <w:p w14:paraId="00AF04C6" w14:textId="1EC965F9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29" w:type="dxa"/>
            <w:vAlign w:val="center"/>
          </w:tcPr>
          <w:p w14:paraId="5556CD7C" w14:textId="2F59B994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25%</w:t>
            </w:r>
          </w:p>
        </w:tc>
        <w:tc>
          <w:tcPr>
            <w:tcW w:w="1529" w:type="dxa"/>
            <w:vAlign w:val="center"/>
          </w:tcPr>
          <w:p w14:paraId="7E15F8AB" w14:textId="20313E7B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25%</w:t>
            </w:r>
          </w:p>
        </w:tc>
        <w:tc>
          <w:tcPr>
            <w:tcW w:w="1529" w:type="dxa"/>
            <w:vAlign w:val="center"/>
          </w:tcPr>
          <w:p w14:paraId="5E9DAC1E" w14:textId="3060FEF8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25%</w:t>
            </w:r>
          </w:p>
        </w:tc>
      </w:tr>
      <w:tr w:rsidR="00B731CA" w:rsidRPr="00467E4E" w14:paraId="758F224D" w14:textId="77777777" w:rsidTr="007D63F6">
        <w:tc>
          <w:tcPr>
            <w:tcW w:w="2949" w:type="dxa"/>
          </w:tcPr>
          <w:p w14:paraId="211B86DF" w14:textId="4E8C4104" w:rsidR="00B731CA" w:rsidRPr="00467E4E" w:rsidRDefault="00B731CA" w:rsidP="00B731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Príjmy verejnej správy spolu (eur)</w:t>
            </w:r>
          </w:p>
        </w:tc>
        <w:tc>
          <w:tcPr>
            <w:tcW w:w="1529" w:type="dxa"/>
            <w:vAlign w:val="center"/>
          </w:tcPr>
          <w:p w14:paraId="71EBA8E6" w14:textId="1C36B4C0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29" w:type="dxa"/>
            <w:vAlign w:val="bottom"/>
          </w:tcPr>
          <w:p w14:paraId="78BB7198" w14:textId="26243098" w:rsidR="00B731CA" w:rsidRPr="00B731CA" w:rsidRDefault="00B731CA" w:rsidP="00B731C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73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4 381 200</w:t>
            </w:r>
          </w:p>
        </w:tc>
        <w:tc>
          <w:tcPr>
            <w:tcW w:w="1529" w:type="dxa"/>
            <w:vAlign w:val="bottom"/>
          </w:tcPr>
          <w:p w14:paraId="4A01BFBE" w14:textId="556905AB" w:rsidR="00B731CA" w:rsidRPr="00B731CA" w:rsidRDefault="00B731CA" w:rsidP="00B731C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73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4 593 555</w:t>
            </w:r>
          </w:p>
        </w:tc>
        <w:tc>
          <w:tcPr>
            <w:tcW w:w="1529" w:type="dxa"/>
            <w:vAlign w:val="bottom"/>
          </w:tcPr>
          <w:p w14:paraId="3811D076" w14:textId="390B51C8" w:rsidR="00B731CA" w:rsidRPr="00B731CA" w:rsidRDefault="00B731CA" w:rsidP="00B731C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73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4 804 554</w:t>
            </w:r>
          </w:p>
        </w:tc>
      </w:tr>
      <w:tr w:rsidR="00B731CA" w:rsidRPr="00467E4E" w14:paraId="0711E996" w14:textId="77777777" w:rsidTr="007D63F6">
        <w:tc>
          <w:tcPr>
            <w:tcW w:w="2949" w:type="dxa"/>
          </w:tcPr>
          <w:p w14:paraId="0F23EAC6" w14:textId="75A71FE0" w:rsidR="00B731CA" w:rsidRPr="00467E4E" w:rsidRDefault="00B731CA" w:rsidP="00B731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z toho Sociálna poisťovňa (eur)</w:t>
            </w:r>
          </w:p>
        </w:tc>
        <w:tc>
          <w:tcPr>
            <w:tcW w:w="1529" w:type="dxa"/>
            <w:vAlign w:val="center"/>
          </w:tcPr>
          <w:p w14:paraId="7FC4C7B7" w14:textId="467E2E8A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29" w:type="dxa"/>
            <w:vAlign w:val="center"/>
          </w:tcPr>
          <w:p w14:paraId="3B2EB3A3" w14:textId="4A8C671D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31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2 145 679</w:t>
            </w:r>
          </w:p>
        </w:tc>
        <w:tc>
          <w:tcPr>
            <w:tcW w:w="1529" w:type="dxa"/>
            <w:vAlign w:val="center"/>
          </w:tcPr>
          <w:p w14:paraId="09AE4D4F" w14:textId="075CAD6A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31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2 246 643</w:t>
            </w:r>
          </w:p>
        </w:tc>
        <w:tc>
          <w:tcPr>
            <w:tcW w:w="1529" w:type="dxa"/>
            <w:vAlign w:val="center"/>
          </w:tcPr>
          <w:p w14:paraId="6FF258B6" w14:textId="097561E0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31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2 343 909</w:t>
            </w:r>
          </w:p>
        </w:tc>
      </w:tr>
      <w:tr w:rsidR="00B731CA" w:rsidRPr="00467E4E" w14:paraId="74B86D60" w14:textId="77777777" w:rsidTr="007D63F6">
        <w:tc>
          <w:tcPr>
            <w:tcW w:w="2949" w:type="dxa"/>
          </w:tcPr>
          <w:p w14:paraId="553AD18B" w14:textId="277EC405" w:rsidR="00B731CA" w:rsidRPr="00467E4E" w:rsidRDefault="00B731CA" w:rsidP="00B73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z toho zdravotné poisťovne (eur)</w:t>
            </w:r>
          </w:p>
        </w:tc>
        <w:tc>
          <w:tcPr>
            <w:tcW w:w="1529" w:type="dxa"/>
            <w:vAlign w:val="center"/>
          </w:tcPr>
          <w:p w14:paraId="530208F5" w14:textId="1648984B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29" w:type="dxa"/>
            <w:vAlign w:val="center"/>
          </w:tcPr>
          <w:p w14:paraId="101E8FED" w14:textId="41231202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31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948 403</w:t>
            </w:r>
          </w:p>
        </w:tc>
        <w:tc>
          <w:tcPr>
            <w:tcW w:w="1529" w:type="dxa"/>
            <w:vAlign w:val="center"/>
          </w:tcPr>
          <w:p w14:paraId="7F84204E" w14:textId="79769ECE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31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995 660</w:t>
            </w:r>
          </w:p>
        </w:tc>
        <w:tc>
          <w:tcPr>
            <w:tcW w:w="1529" w:type="dxa"/>
            <w:vAlign w:val="center"/>
          </w:tcPr>
          <w:p w14:paraId="4C85A839" w14:textId="56B73AFF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31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1 043 910</w:t>
            </w:r>
          </w:p>
        </w:tc>
      </w:tr>
      <w:tr w:rsidR="00B731CA" w:rsidRPr="00467E4E" w14:paraId="79039217" w14:textId="77777777" w:rsidTr="007D63F6">
        <w:tc>
          <w:tcPr>
            <w:tcW w:w="2949" w:type="dxa"/>
          </w:tcPr>
          <w:p w14:paraId="773C37B8" w14:textId="3E312E56" w:rsidR="00B731CA" w:rsidRPr="00467E4E" w:rsidRDefault="00B731CA" w:rsidP="00B73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z toho obce a VÚC</w:t>
            </w:r>
          </w:p>
        </w:tc>
        <w:tc>
          <w:tcPr>
            <w:tcW w:w="1529" w:type="dxa"/>
            <w:vAlign w:val="center"/>
          </w:tcPr>
          <w:p w14:paraId="5C32765E" w14:textId="2BFAE651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29" w:type="dxa"/>
            <w:vAlign w:val="center"/>
          </w:tcPr>
          <w:p w14:paraId="16F3DCFA" w14:textId="4B96C1FF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31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1 287 118</w:t>
            </w:r>
          </w:p>
        </w:tc>
        <w:tc>
          <w:tcPr>
            <w:tcW w:w="1529" w:type="dxa"/>
            <w:vAlign w:val="center"/>
          </w:tcPr>
          <w:p w14:paraId="24711AB8" w14:textId="719D236F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31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1 351 252</w:t>
            </w:r>
          </w:p>
        </w:tc>
        <w:tc>
          <w:tcPr>
            <w:tcW w:w="1529" w:type="dxa"/>
            <w:vAlign w:val="center"/>
          </w:tcPr>
          <w:p w14:paraId="221ACBA7" w14:textId="34654453" w:rsidR="00B731CA" w:rsidRPr="00467E4E" w:rsidRDefault="00B731CA" w:rsidP="00B731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731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1 416 735</w:t>
            </w:r>
          </w:p>
        </w:tc>
      </w:tr>
    </w:tbl>
    <w:p w14:paraId="6248DF9A" w14:textId="77777777" w:rsidR="00F43EE4" w:rsidRDefault="00F43EE4" w:rsidP="00223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7BA6D9" w14:textId="77777777" w:rsidR="00384D6A" w:rsidRDefault="00384D6A" w:rsidP="00384D6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16185190" w14:textId="77777777" w:rsidR="00245A4B" w:rsidRDefault="00245A4B" w:rsidP="00245A4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384D6A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Zrušenie výnimiek z poistného</w:t>
      </w:r>
    </w:p>
    <w:p w14:paraId="3DFDC4D3" w14:textId="77777777" w:rsidR="00245A4B" w:rsidRDefault="00245A4B" w:rsidP="00245A4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4B749F61" w14:textId="77777777" w:rsidR="00245A4B" w:rsidRDefault="00245A4B" w:rsidP="00245A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74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predpokladá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zrušenie niektorých výnimiek z platenia odvodov na niektoré druhy sociálneho poistenia </w:t>
      </w:r>
      <w:r w:rsidRPr="00031B01">
        <w:rPr>
          <w:rFonts w:ascii="Times New Roman" w:eastAsia="Times New Roman" w:hAnsi="Times New Roman" w:cs="Times New Roman"/>
          <w:sz w:val="24"/>
          <w:szCs w:val="24"/>
          <w:lang w:eastAsia="sk-SK"/>
        </w:rPr>
        <w:t>a na zdravotné poistenie. Ide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o:</w:t>
      </w:r>
    </w:p>
    <w:p w14:paraId="54132614" w14:textId="77777777" w:rsidR="00245A4B" w:rsidRPr="002B749B" w:rsidRDefault="00245A4B" w:rsidP="00245A4B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749B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zamestnancov v pracovnom pomere alebo štátnozamestnaneckom pomere (počas prvých 12 mesiacov), ktorí boli dlhodobo nezamestnanými občanmi (vznikne povinnosť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nemocenského poistenia, invalidného poistenia a starobného poistenia aj poistenia v čase skrátenej práce)</w:t>
      </w:r>
      <w:r w:rsidRPr="002B74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DA89EEF" w14:textId="77777777" w:rsidR="00245A4B" w:rsidRDefault="00245A4B" w:rsidP="00245A4B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749B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zamestnancov v pracovnom pomere alebo štátnozamestnaneckom pomere (počas prvých 12 mesiacov), ktorí majú trvalý pobyt v najmenej rozvinutom okrese (vznikne povinnosť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nemocenského poistenia, invalidného poistenia, starobného poistenia aj poistenia v čase skrátenej práce)</w:t>
      </w:r>
    </w:p>
    <w:p w14:paraId="48E63694" w14:textId="77777777" w:rsidR="00245A4B" w:rsidRDefault="00245A4B" w:rsidP="00245A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C89A11" w14:textId="77777777" w:rsidR="00245A4B" w:rsidRDefault="00245A4B" w:rsidP="00245A4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CF30D2">
        <w:rPr>
          <w:rFonts w:ascii="Times New Roman" w:eastAsia="Times New Roman" w:hAnsi="Times New Roman" w:cs="Times New Roman"/>
          <w:sz w:val="24"/>
          <w:szCs w:val="24"/>
          <w:lang w:eastAsia="sk-SK"/>
        </w:rPr>
        <w:t>Zrušenie výnimiek sa prejaví 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vyšších príjmoch Sociálnej poisťovne a zdravotnej poisťovne. Zároveň bude mať negatívny vplyv na príjem samospráv (v dôsledku nižšieho základu dane pre výpočet dane z príjmov fyzických osôb). </w:t>
      </w:r>
    </w:p>
    <w:p w14:paraId="24CB50E6" w14:textId="77777777" w:rsidR="00245A4B" w:rsidRPr="002B749B" w:rsidRDefault="00245A4B" w:rsidP="00245A4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539"/>
        <w:gridCol w:w="939"/>
        <w:gridCol w:w="1530"/>
        <w:gridCol w:w="1529"/>
        <w:gridCol w:w="1530"/>
      </w:tblGrid>
      <w:tr w:rsidR="00245A4B" w:rsidRPr="00467E4E" w14:paraId="389291F7" w14:textId="77777777" w:rsidTr="007D63F6">
        <w:tc>
          <w:tcPr>
            <w:tcW w:w="3539" w:type="dxa"/>
          </w:tcPr>
          <w:p w14:paraId="26EB4F6A" w14:textId="77777777" w:rsidR="00245A4B" w:rsidRPr="00467E4E" w:rsidRDefault="00245A4B" w:rsidP="007D63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39" w:type="dxa"/>
          </w:tcPr>
          <w:p w14:paraId="2C525067" w14:textId="77777777" w:rsidR="00245A4B" w:rsidRPr="001F6491" w:rsidRDefault="00245A4B" w:rsidP="007D63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6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30" w:type="dxa"/>
          </w:tcPr>
          <w:p w14:paraId="6CE3506A" w14:textId="77777777" w:rsidR="00245A4B" w:rsidRPr="001F6491" w:rsidRDefault="00245A4B" w:rsidP="007D63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6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29" w:type="dxa"/>
          </w:tcPr>
          <w:p w14:paraId="6790D9E8" w14:textId="77777777" w:rsidR="00245A4B" w:rsidRPr="001F6491" w:rsidRDefault="00245A4B" w:rsidP="007D63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6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530" w:type="dxa"/>
          </w:tcPr>
          <w:p w14:paraId="3B048C99" w14:textId="77777777" w:rsidR="00245A4B" w:rsidRPr="001F6491" w:rsidRDefault="00245A4B" w:rsidP="007D63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6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2024</w:t>
            </w:r>
          </w:p>
        </w:tc>
      </w:tr>
      <w:tr w:rsidR="00245A4B" w:rsidRPr="00467E4E" w14:paraId="4825D9CE" w14:textId="77777777" w:rsidTr="007D63F6">
        <w:tc>
          <w:tcPr>
            <w:tcW w:w="3539" w:type="dxa"/>
          </w:tcPr>
          <w:p w14:paraId="69F67609" w14:textId="77777777" w:rsidR="00245A4B" w:rsidRPr="00467E4E" w:rsidRDefault="00245A4B" w:rsidP="007D6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Predpokladaný počet zamestnancov (počas prvých 12 mesiacov) ktorí boli dlhodobo nezamestnanými občanmi alebo ktorí majú trvalý pobyt v najmenej rozvinutom okrese</w:t>
            </w:r>
          </w:p>
        </w:tc>
        <w:tc>
          <w:tcPr>
            <w:tcW w:w="939" w:type="dxa"/>
            <w:vAlign w:val="center"/>
          </w:tcPr>
          <w:p w14:paraId="2F1B3826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0" w:type="dxa"/>
            <w:vAlign w:val="center"/>
          </w:tcPr>
          <w:p w14:paraId="4245CD77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260</w:t>
            </w:r>
          </w:p>
        </w:tc>
        <w:tc>
          <w:tcPr>
            <w:tcW w:w="1529" w:type="dxa"/>
            <w:vAlign w:val="center"/>
          </w:tcPr>
          <w:p w14:paraId="0AE828E6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260</w:t>
            </w:r>
          </w:p>
        </w:tc>
        <w:tc>
          <w:tcPr>
            <w:tcW w:w="1530" w:type="dxa"/>
            <w:vAlign w:val="center"/>
          </w:tcPr>
          <w:p w14:paraId="0775AACB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260</w:t>
            </w:r>
          </w:p>
        </w:tc>
      </w:tr>
      <w:tr w:rsidR="00245A4B" w:rsidRPr="00467E4E" w14:paraId="48FA11D1" w14:textId="77777777" w:rsidTr="007D63F6">
        <w:tc>
          <w:tcPr>
            <w:tcW w:w="3539" w:type="dxa"/>
          </w:tcPr>
          <w:p w14:paraId="6F21862E" w14:textId="77777777" w:rsidR="00245A4B" w:rsidRPr="00467E4E" w:rsidRDefault="00245A4B" w:rsidP="007D6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Predpokladaný priemerný vymeriavací základ zamestnancov (eur)</w:t>
            </w:r>
          </w:p>
        </w:tc>
        <w:tc>
          <w:tcPr>
            <w:tcW w:w="939" w:type="dxa"/>
            <w:vAlign w:val="center"/>
          </w:tcPr>
          <w:p w14:paraId="74258473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0" w:type="dxa"/>
            <w:vAlign w:val="center"/>
          </w:tcPr>
          <w:p w14:paraId="5E5725CA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623</w:t>
            </w:r>
          </w:p>
        </w:tc>
        <w:tc>
          <w:tcPr>
            <w:tcW w:w="1529" w:type="dxa"/>
            <w:vAlign w:val="center"/>
          </w:tcPr>
          <w:p w14:paraId="50519385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623</w:t>
            </w:r>
          </w:p>
        </w:tc>
        <w:tc>
          <w:tcPr>
            <w:tcW w:w="1530" w:type="dxa"/>
            <w:vAlign w:val="center"/>
          </w:tcPr>
          <w:p w14:paraId="649526B0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623</w:t>
            </w:r>
          </w:p>
        </w:tc>
      </w:tr>
      <w:tr w:rsidR="00245A4B" w:rsidRPr="00467E4E" w14:paraId="7DCF0F5F" w14:textId="77777777" w:rsidTr="007D63F6">
        <w:tc>
          <w:tcPr>
            <w:tcW w:w="3539" w:type="dxa"/>
          </w:tcPr>
          <w:p w14:paraId="3C8A5DA3" w14:textId="77777777" w:rsidR="00245A4B" w:rsidRPr="00467E4E" w:rsidRDefault="00245A4B" w:rsidP="007D63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Prí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jmy verejnej správy spolu (eur)</w:t>
            </w:r>
          </w:p>
        </w:tc>
        <w:tc>
          <w:tcPr>
            <w:tcW w:w="939" w:type="dxa"/>
            <w:vAlign w:val="center"/>
          </w:tcPr>
          <w:p w14:paraId="23370079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0" w:type="dxa"/>
            <w:vAlign w:val="center"/>
          </w:tcPr>
          <w:p w14:paraId="1019D5A9" w14:textId="77777777" w:rsidR="00245A4B" w:rsidRPr="00001F64" w:rsidRDefault="00245A4B" w:rsidP="007D63F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01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797 213</w:t>
            </w:r>
          </w:p>
        </w:tc>
        <w:tc>
          <w:tcPr>
            <w:tcW w:w="1529" w:type="dxa"/>
            <w:vAlign w:val="center"/>
          </w:tcPr>
          <w:p w14:paraId="4A26749C" w14:textId="77777777" w:rsidR="00245A4B" w:rsidRPr="00001F64" w:rsidRDefault="00245A4B" w:rsidP="007D63F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01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797 213</w:t>
            </w:r>
          </w:p>
        </w:tc>
        <w:tc>
          <w:tcPr>
            <w:tcW w:w="1530" w:type="dxa"/>
            <w:vAlign w:val="center"/>
          </w:tcPr>
          <w:p w14:paraId="405451B3" w14:textId="77777777" w:rsidR="00245A4B" w:rsidRPr="00001F64" w:rsidRDefault="00245A4B" w:rsidP="007D63F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01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797 213</w:t>
            </w:r>
          </w:p>
        </w:tc>
      </w:tr>
      <w:tr w:rsidR="00245A4B" w:rsidRPr="00467E4E" w14:paraId="504F880A" w14:textId="77777777" w:rsidTr="007D63F6">
        <w:tc>
          <w:tcPr>
            <w:tcW w:w="3539" w:type="dxa"/>
          </w:tcPr>
          <w:p w14:paraId="0B8DBD6E" w14:textId="77777777" w:rsidR="00245A4B" w:rsidRPr="00467E4E" w:rsidRDefault="00245A4B" w:rsidP="007D63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z toho Sociálna poisťovňa (eur)</w:t>
            </w:r>
          </w:p>
        </w:tc>
        <w:tc>
          <w:tcPr>
            <w:tcW w:w="939" w:type="dxa"/>
            <w:vAlign w:val="center"/>
          </w:tcPr>
          <w:p w14:paraId="57A8D9A2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0" w:type="dxa"/>
            <w:vAlign w:val="center"/>
          </w:tcPr>
          <w:p w14:paraId="03B2104B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7B5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559 803</w:t>
            </w:r>
          </w:p>
        </w:tc>
        <w:tc>
          <w:tcPr>
            <w:tcW w:w="1529" w:type="dxa"/>
            <w:vAlign w:val="center"/>
          </w:tcPr>
          <w:p w14:paraId="6127CB0F" w14:textId="77777777" w:rsidR="00245A4B" w:rsidRPr="00031B01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7B5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559 803</w:t>
            </w:r>
          </w:p>
        </w:tc>
        <w:tc>
          <w:tcPr>
            <w:tcW w:w="1530" w:type="dxa"/>
            <w:vAlign w:val="center"/>
          </w:tcPr>
          <w:p w14:paraId="4EA5F908" w14:textId="77777777" w:rsidR="00245A4B" w:rsidRPr="00031B01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7B5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559 803</w:t>
            </w:r>
          </w:p>
        </w:tc>
      </w:tr>
      <w:tr w:rsidR="00245A4B" w:rsidRPr="00467E4E" w14:paraId="1C0ED0BF" w14:textId="77777777" w:rsidTr="007D63F6">
        <w:tc>
          <w:tcPr>
            <w:tcW w:w="3539" w:type="dxa"/>
          </w:tcPr>
          <w:p w14:paraId="1622C333" w14:textId="77777777" w:rsidR="00245A4B" w:rsidRPr="00467E4E" w:rsidRDefault="00245A4B" w:rsidP="007D6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z toho zdravotné poisťovne (eur)</w:t>
            </w:r>
          </w:p>
        </w:tc>
        <w:tc>
          <w:tcPr>
            <w:tcW w:w="939" w:type="dxa"/>
            <w:vAlign w:val="center"/>
          </w:tcPr>
          <w:p w14:paraId="4EA72DA7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0" w:type="dxa"/>
            <w:vAlign w:val="center"/>
          </w:tcPr>
          <w:p w14:paraId="7E8F4D5C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7B5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272 126</w:t>
            </w:r>
          </w:p>
        </w:tc>
        <w:tc>
          <w:tcPr>
            <w:tcW w:w="1529" w:type="dxa"/>
            <w:vAlign w:val="center"/>
          </w:tcPr>
          <w:p w14:paraId="5A97BFA0" w14:textId="77777777" w:rsidR="00245A4B" w:rsidRPr="00031B01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7B5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272 126</w:t>
            </w:r>
          </w:p>
        </w:tc>
        <w:tc>
          <w:tcPr>
            <w:tcW w:w="1530" w:type="dxa"/>
            <w:vAlign w:val="center"/>
          </w:tcPr>
          <w:p w14:paraId="0A9F4B0C" w14:textId="77777777" w:rsidR="00245A4B" w:rsidRPr="00031B01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7B5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272 126</w:t>
            </w:r>
          </w:p>
        </w:tc>
      </w:tr>
      <w:tr w:rsidR="00245A4B" w:rsidRPr="00467E4E" w14:paraId="79DEF022" w14:textId="77777777" w:rsidTr="007D63F6">
        <w:tc>
          <w:tcPr>
            <w:tcW w:w="3539" w:type="dxa"/>
          </w:tcPr>
          <w:p w14:paraId="7F6AEA80" w14:textId="77777777" w:rsidR="00245A4B" w:rsidRDefault="00245A4B" w:rsidP="007D6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z toho obce a VÚC (eur)</w:t>
            </w:r>
          </w:p>
        </w:tc>
        <w:tc>
          <w:tcPr>
            <w:tcW w:w="939" w:type="dxa"/>
            <w:vAlign w:val="center"/>
          </w:tcPr>
          <w:p w14:paraId="43B33CC4" w14:textId="77777777" w:rsidR="00245A4B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30" w:type="dxa"/>
            <w:vAlign w:val="center"/>
          </w:tcPr>
          <w:p w14:paraId="4E2F063E" w14:textId="77777777" w:rsidR="00245A4B" w:rsidRPr="00D07B52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01F6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-34 716</w:t>
            </w:r>
          </w:p>
        </w:tc>
        <w:tc>
          <w:tcPr>
            <w:tcW w:w="1529" w:type="dxa"/>
            <w:vAlign w:val="center"/>
          </w:tcPr>
          <w:p w14:paraId="7D0F4698" w14:textId="77777777" w:rsidR="00245A4B" w:rsidRPr="00D07B52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01F6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-34 716</w:t>
            </w:r>
          </w:p>
        </w:tc>
        <w:tc>
          <w:tcPr>
            <w:tcW w:w="1530" w:type="dxa"/>
            <w:vAlign w:val="center"/>
          </w:tcPr>
          <w:p w14:paraId="4E143FC3" w14:textId="77777777" w:rsidR="00245A4B" w:rsidRPr="00D07B52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01F6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-34 716</w:t>
            </w:r>
          </w:p>
        </w:tc>
      </w:tr>
    </w:tbl>
    <w:p w14:paraId="0D389675" w14:textId="3E59397D" w:rsidR="007A3553" w:rsidRDefault="007A3553" w:rsidP="006A7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578550" w14:textId="77777777" w:rsidR="0076063B" w:rsidRDefault="0076063B" w:rsidP="006A7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93D8E3" w14:textId="77777777" w:rsidR="00F26DC4" w:rsidRDefault="00F26DC4" w:rsidP="00384D6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506E2EC7" w14:textId="77777777" w:rsidR="00245A4B" w:rsidRDefault="00245A4B" w:rsidP="00245A4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lastRenderedPageBreak/>
        <w:t xml:space="preserve">Príjmy z vytvorených pracovných miest v rámci MSPVR SR </w:t>
      </w:r>
    </w:p>
    <w:p w14:paraId="2E056AAD" w14:textId="77777777" w:rsidR="00245A4B" w:rsidRDefault="00245A4B" w:rsidP="00245A4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20DA3548" w14:textId="77777777" w:rsidR="00245A4B" w:rsidRDefault="00245A4B" w:rsidP="00245A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2235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Ministerstvu práce, sociálnych vecí a rodiny SR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 Ústrediu práce, sociálnych vecí a rodiny vznikne v súvislosti so zavedením podpory v čase skrátenej práce nová agenda, ktorá si vyžiada zvýšenie počtu zamestnancov v týchto inštitúciách. Na uvedenú agendu počítame v rokoch 2022, 2023 a 2024 s 9 novými pracovnými miestami v aparáte MPSVR SR a s 5 novými pracovnými miestami v rámci Ústredia práce, sociálnych vecí a rodiny. Vytvorenie nových pracovných miest bude mať pozitívny vplyv na príjmy Sociálnej poisťovne a zdravotných poisťovní, vyšších územných celkov a obcí v podobe vyšších príjmov zo sociálnych a zdravotných odvodov, ako aj z daní z príjmu FO. </w:t>
      </w:r>
    </w:p>
    <w:p w14:paraId="6E3ADB1A" w14:textId="77777777" w:rsidR="00245A4B" w:rsidRDefault="00245A4B" w:rsidP="00245A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1081"/>
        <w:gridCol w:w="1329"/>
        <w:gridCol w:w="1559"/>
        <w:gridCol w:w="1701"/>
      </w:tblGrid>
      <w:tr w:rsidR="00245A4B" w:rsidRPr="00467E4E" w14:paraId="0CAF0F5F" w14:textId="77777777" w:rsidTr="007D63F6">
        <w:tc>
          <w:tcPr>
            <w:tcW w:w="3397" w:type="dxa"/>
          </w:tcPr>
          <w:p w14:paraId="62F46D61" w14:textId="77777777" w:rsidR="00245A4B" w:rsidRPr="00467E4E" w:rsidRDefault="00245A4B" w:rsidP="007D63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81" w:type="dxa"/>
          </w:tcPr>
          <w:p w14:paraId="561502AC" w14:textId="77777777" w:rsidR="00245A4B" w:rsidRPr="001F6491" w:rsidRDefault="00245A4B" w:rsidP="007D63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6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329" w:type="dxa"/>
          </w:tcPr>
          <w:p w14:paraId="7F14518E" w14:textId="77777777" w:rsidR="00245A4B" w:rsidRPr="001F6491" w:rsidRDefault="00245A4B" w:rsidP="007D63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6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59" w:type="dxa"/>
          </w:tcPr>
          <w:p w14:paraId="4989A2F4" w14:textId="77777777" w:rsidR="00245A4B" w:rsidRPr="001F6491" w:rsidRDefault="00245A4B" w:rsidP="007D63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6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701" w:type="dxa"/>
          </w:tcPr>
          <w:p w14:paraId="403D59E9" w14:textId="77777777" w:rsidR="00245A4B" w:rsidRPr="001F6491" w:rsidRDefault="00245A4B" w:rsidP="007D63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6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2024</w:t>
            </w:r>
          </w:p>
        </w:tc>
      </w:tr>
      <w:tr w:rsidR="00245A4B" w:rsidRPr="00467E4E" w14:paraId="531BF094" w14:textId="77777777" w:rsidTr="007D63F6">
        <w:tc>
          <w:tcPr>
            <w:tcW w:w="3397" w:type="dxa"/>
          </w:tcPr>
          <w:p w14:paraId="32ED6D2E" w14:textId="77777777" w:rsidR="00245A4B" w:rsidRPr="00467E4E" w:rsidRDefault="00245A4B" w:rsidP="007D6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Počet nových pracovných miest v súvislosti s novou agendou</w:t>
            </w:r>
          </w:p>
        </w:tc>
        <w:tc>
          <w:tcPr>
            <w:tcW w:w="1081" w:type="dxa"/>
            <w:vAlign w:val="center"/>
          </w:tcPr>
          <w:p w14:paraId="598243FE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329" w:type="dxa"/>
            <w:vAlign w:val="center"/>
          </w:tcPr>
          <w:p w14:paraId="75774FA5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1559" w:type="dxa"/>
            <w:vAlign w:val="center"/>
          </w:tcPr>
          <w:p w14:paraId="7D376E1D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1701" w:type="dxa"/>
            <w:vAlign w:val="center"/>
          </w:tcPr>
          <w:p w14:paraId="5288546E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</w:tr>
      <w:tr w:rsidR="00245A4B" w:rsidRPr="00467E4E" w14:paraId="19F35C6D" w14:textId="77777777" w:rsidTr="007D63F6">
        <w:tc>
          <w:tcPr>
            <w:tcW w:w="3397" w:type="dxa"/>
          </w:tcPr>
          <w:p w14:paraId="71E937D4" w14:textId="77777777" w:rsidR="00245A4B" w:rsidRPr="00467E4E" w:rsidRDefault="00245A4B" w:rsidP="007D6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Predpokladaný priemerný vymeriavací základ – MPSVR SR (eur)</w:t>
            </w:r>
          </w:p>
        </w:tc>
        <w:tc>
          <w:tcPr>
            <w:tcW w:w="1081" w:type="dxa"/>
            <w:vAlign w:val="center"/>
          </w:tcPr>
          <w:p w14:paraId="1B0FA698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329" w:type="dxa"/>
            <w:vAlign w:val="center"/>
          </w:tcPr>
          <w:p w14:paraId="4276E252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2 100</w:t>
            </w:r>
          </w:p>
        </w:tc>
        <w:tc>
          <w:tcPr>
            <w:tcW w:w="1559" w:type="dxa"/>
            <w:vAlign w:val="center"/>
          </w:tcPr>
          <w:p w14:paraId="65D53A1B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2 100 </w:t>
            </w:r>
          </w:p>
        </w:tc>
        <w:tc>
          <w:tcPr>
            <w:tcW w:w="1701" w:type="dxa"/>
            <w:vAlign w:val="center"/>
          </w:tcPr>
          <w:p w14:paraId="4023013D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2 100</w:t>
            </w:r>
          </w:p>
        </w:tc>
      </w:tr>
      <w:tr w:rsidR="00245A4B" w:rsidRPr="00467E4E" w14:paraId="46579812" w14:textId="77777777" w:rsidTr="007D63F6">
        <w:tc>
          <w:tcPr>
            <w:tcW w:w="3397" w:type="dxa"/>
          </w:tcPr>
          <w:p w14:paraId="282D7E37" w14:textId="77777777" w:rsidR="00245A4B" w:rsidRPr="00467E4E" w:rsidRDefault="00245A4B" w:rsidP="007D6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Predpokladaný priemerný vyme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riavací základ – Ústredie PSVR </w:t>
            </w: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(eur)</w:t>
            </w:r>
          </w:p>
        </w:tc>
        <w:tc>
          <w:tcPr>
            <w:tcW w:w="1081" w:type="dxa"/>
            <w:vAlign w:val="center"/>
          </w:tcPr>
          <w:p w14:paraId="744FDBCB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329" w:type="dxa"/>
            <w:vAlign w:val="center"/>
          </w:tcPr>
          <w:p w14:paraId="36AFF674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1 500</w:t>
            </w:r>
          </w:p>
        </w:tc>
        <w:tc>
          <w:tcPr>
            <w:tcW w:w="1559" w:type="dxa"/>
            <w:vAlign w:val="center"/>
          </w:tcPr>
          <w:p w14:paraId="178E95C9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1 500</w:t>
            </w:r>
          </w:p>
        </w:tc>
        <w:tc>
          <w:tcPr>
            <w:tcW w:w="1701" w:type="dxa"/>
            <w:vAlign w:val="center"/>
          </w:tcPr>
          <w:p w14:paraId="54150B19" w14:textId="77777777" w:rsidR="00245A4B" w:rsidRPr="00467E4E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1 500</w:t>
            </w:r>
          </w:p>
        </w:tc>
      </w:tr>
      <w:tr w:rsidR="00245A4B" w:rsidRPr="00467E4E" w14:paraId="2998FE8C" w14:textId="77777777" w:rsidTr="007D63F6">
        <w:tc>
          <w:tcPr>
            <w:tcW w:w="3397" w:type="dxa"/>
          </w:tcPr>
          <w:p w14:paraId="2971CA26" w14:textId="77777777" w:rsidR="00245A4B" w:rsidRPr="00A4627C" w:rsidRDefault="00245A4B" w:rsidP="007D63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46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Príjmy verejnej správy spolu (eur)</w:t>
            </w:r>
          </w:p>
        </w:tc>
        <w:tc>
          <w:tcPr>
            <w:tcW w:w="1081" w:type="dxa"/>
            <w:vAlign w:val="center"/>
          </w:tcPr>
          <w:p w14:paraId="0D64E4F5" w14:textId="77777777" w:rsidR="00245A4B" w:rsidRPr="00A4627C" w:rsidRDefault="00245A4B" w:rsidP="007D63F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46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329" w:type="dxa"/>
            <w:vAlign w:val="center"/>
          </w:tcPr>
          <w:p w14:paraId="72B0339D" w14:textId="77777777" w:rsidR="00245A4B" w:rsidRPr="00A4627C" w:rsidRDefault="00245A4B" w:rsidP="007D63F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46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193 557</w:t>
            </w:r>
          </w:p>
        </w:tc>
        <w:tc>
          <w:tcPr>
            <w:tcW w:w="1559" w:type="dxa"/>
            <w:vAlign w:val="center"/>
          </w:tcPr>
          <w:p w14:paraId="6CB8F91B" w14:textId="77777777" w:rsidR="00245A4B" w:rsidRPr="00A4627C" w:rsidRDefault="00245A4B" w:rsidP="007D63F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46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193 557</w:t>
            </w:r>
          </w:p>
        </w:tc>
        <w:tc>
          <w:tcPr>
            <w:tcW w:w="1701" w:type="dxa"/>
            <w:vAlign w:val="center"/>
          </w:tcPr>
          <w:p w14:paraId="0F397061" w14:textId="77777777" w:rsidR="00245A4B" w:rsidRPr="00A4627C" w:rsidRDefault="00245A4B" w:rsidP="007D63F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46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193 557</w:t>
            </w:r>
          </w:p>
        </w:tc>
      </w:tr>
      <w:tr w:rsidR="00245A4B" w:rsidRPr="00467E4E" w14:paraId="3BC0CB15" w14:textId="77777777" w:rsidTr="007D63F6">
        <w:tc>
          <w:tcPr>
            <w:tcW w:w="3397" w:type="dxa"/>
          </w:tcPr>
          <w:p w14:paraId="6D6A1B5F" w14:textId="77777777" w:rsidR="00245A4B" w:rsidRPr="00A4627C" w:rsidRDefault="00245A4B" w:rsidP="007D63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62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z toho Sociálna poisťovňa (eur)</w:t>
            </w:r>
          </w:p>
        </w:tc>
        <w:tc>
          <w:tcPr>
            <w:tcW w:w="1081" w:type="dxa"/>
            <w:vAlign w:val="center"/>
          </w:tcPr>
          <w:p w14:paraId="1AA8F58A" w14:textId="77777777" w:rsidR="00245A4B" w:rsidRPr="00A4627C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62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329" w:type="dxa"/>
            <w:vAlign w:val="center"/>
          </w:tcPr>
          <w:p w14:paraId="5EE06382" w14:textId="77777777" w:rsidR="00245A4B" w:rsidRPr="00A4627C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62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108 821</w:t>
            </w:r>
          </w:p>
        </w:tc>
        <w:tc>
          <w:tcPr>
            <w:tcW w:w="1559" w:type="dxa"/>
            <w:vAlign w:val="center"/>
          </w:tcPr>
          <w:p w14:paraId="61564ACA" w14:textId="77777777" w:rsidR="00245A4B" w:rsidRPr="00A4627C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62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108 821</w:t>
            </w:r>
          </w:p>
        </w:tc>
        <w:tc>
          <w:tcPr>
            <w:tcW w:w="1701" w:type="dxa"/>
            <w:vAlign w:val="center"/>
          </w:tcPr>
          <w:p w14:paraId="46801C0C" w14:textId="77777777" w:rsidR="00245A4B" w:rsidRPr="00A4627C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62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108 821</w:t>
            </w:r>
          </w:p>
        </w:tc>
      </w:tr>
      <w:tr w:rsidR="00245A4B" w:rsidRPr="00467E4E" w14:paraId="6247C941" w14:textId="77777777" w:rsidTr="007D63F6">
        <w:tc>
          <w:tcPr>
            <w:tcW w:w="3397" w:type="dxa"/>
          </w:tcPr>
          <w:p w14:paraId="6E3BAC7C" w14:textId="77777777" w:rsidR="00245A4B" w:rsidRPr="00A4627C" w:rsidRDefault="00245A4B" w:rsidP="007D6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62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z toho zdravotné  poisťovne (eur)</w:t>
            </w:r>
          </w:p>
        </w:tc>
        <w:tc>
          <w:tcPr>
            <w:tcW w:w="1081" w:type="dxa"/>
            <w:vAlign w:val="center"/>
          </w:tcPr>
          <w:p w14:paraId="0254F24F" w14:textId="77777777" w:rsidR="00245A4B" w:rsidRPr="00A4627C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62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329" w:type="dxa"/>
            <w:vAlign w:val="center"/>
          </w:tcPr>
          <w:p w14:paraId="0FE06B7D" w14:textId="77777777" w:rsidR="00245A4B" w:rsidRPr="00A4627C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62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44 352</w:t>
            </w:r>
          </w:p>
        </w:tc>
        <w:tc>
          <w:tcPr>
            <w:tcW w:w="1559" w:type="dxa"/>
            <w:vAlign w:val="center"/>
          </w:tcPr>
          <w:p w14:paraId="2F884306" w14:textId="77777777" w:rsidR="00245A4B" w:rsidRPr="00A4627C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62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44 352</w:t>
            </w:r>
          </w:p>
        </w:tc>
        <w:tc>
          <w:tcPr>
            <w:tcW w:w="1701" w:type="dxa"/>
            <w:vAlign w:val="center"/>
          </w:tcPr>
          <w:p w14:paraId="198018E5" w14:textId="77777777" w:rsidR="00245A4B" w:rsidRPr="00A4627C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62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44 352</w:t>
            </w:r>
          </w:p>
        </w:tc>
      </w:tr>
      <w:tr w:rsidR="00245A4B" w:rsidRPr="00467E4E" w14:paraId="0E2A18DC" w14:textId="77777777" w:rsidTr="007D63F6">
        <w:tc>
          <w:tcPr>
            <w:tcW w:w="3397" w:type="dxa"/>
          </w:tcPr>
          <w:p w14:paraId="7700A810" w14:textId="77777777" w:rsidR="00245A4B" w:rsidRPr="00A4627C" w:rsidRDefault="00245A4B" w:rsidP="007D6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62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z toho obce a VÚC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eur)</w:t>
            </w:r>
            <w:r w:rsidRPr="00A462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081" w:type="dxa"/>
            <w:vAlign w:val="center"/>
          </w:tcPr>
          <w:p w14:paraId="6F3C6BC4" w14:textId="77777777" w:rsidR="00245A4B" w:rsidRPr="00A4627C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62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329" w:type="dxa"/>
            <w:vAlign w:val="center"/>
          </w:tcPr>
          <w:p w14:paraId="7BFF2514" w14:textId="77777777" w:rsidR="00245A4B" w:rsidRPr="00A4627C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62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40 384</w:t>
            </w:r>
          </w:p>
        </w:tc>
        <w:tc>
          <w:tcPr>
            <w:tcW w:w="1559" w:type="dxa"/>
            <w:vAlign w:val="center"/>
          </w:tcPr>
          <w:p w14:paraId="063E593E" w14:textId="77777777" w:rsidR="00245A4B" w:rsidRPr="00A4627C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62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40 384</w:t>
            </w:r>
          </w:p>
        </w:tc>
        <w:tc>
          <w:tcPr>
            <w:tcW w:w="1701" w:type="dxa"/>
            <w:vAlign w:val="center"/>
          </w:tcPr>
          <w:p w14:paraId="20F2656F" w14:textId="77777777" w:rsidR="00245A4B" w:rsidRPr="00A4627C" w:rsidRDefault="00245A4B" w:rsidP="007D63F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62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40 384</w:t>
            </w:r>
          </w:p>
        </w:tc>
      </w:tr>
    </w:tbl>
    <w:p w14:paraId="000878FB" w14:textId="77777777" w:rsidR="00245A4B" w:rsidRDefault="00245A4B" w:rsidP="00245A4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67877B26" w14:textId="50608C7B" w:rsidR="00794519" w:rsidRPr="00336891" w:rsidRDefault="00794519" w:rsidP="00336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794519" w:rsidRPr="00336891" w:rsidSect="002A703C"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20B70E29" w14:textId="77777777" w:rsid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14:paraId="6520C8FD" w14:textId="77777777" w:rsidR="008E12E2" w:rsidRDefault="008E12E2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645921E0" w14:textId="37D40334" w:rsidR="009200AF" w:rsidRDefault="009200AF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576"/>
        <w:gridCol w:w="1864"/>
        <w:gridCol w:w="1722"/>
        <w:gridCol w:w="1575"/>
        <w:gridCol w:w="3685"/>
      </w:tblGrid>
      <w:tr w:rsidR="00FB32F9" w:rsidRPr="00FB32F9" w14:paraId="1E2CBF35" w14:textId="77777777" w:rsidTr="00FB32F9">
        <w:trPr>
          <w:trHeight w:val="330"/>
        </w:trPr>
        <w:tc>
          <w:tcPr>
            <w:tcW w:w="13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AF4A0D" w14:textId="77777777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Príjmy (v eurách) – Sociálna poisťovňa</w:t>
            </w:r>
            <w:r w:rsidRPr="00FB32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FF1132" w14:textId="1ED349F6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3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4438AB3" w14:textId="77777777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FB32F9" w:rsidRPr="00FB32F9" w14:paraId="5CAA5A8F" w14:textId="77777777" w:rsidTr="00FB32F9">
        <w:trPr>
          <w:trHeight w:val="330"/>
        </w:trPr>
        <w:tc>
          <w:tcPr>
            <w:tcW w:w="13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0275A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E26C08" w14:textId="77777777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573B8F" w14:textId="77777777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94AFD1" w14:textId="77777777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229E116" w14:textId="77777777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3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CBBB7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FB32F9" w:rsidRPr="00FB32F9" w14:paraId="7EC991E9" w14:textId="77777777" w:rsidTr="00FB32F9">
        <w:trPr>
          <w:trHeight w:val="390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0FC30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Daňové príjmy (100)</w:t>
            </w: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787EB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60AFA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8 758 129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FF309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9 116 425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B6E6B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9 522 682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7EA06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B32F9" w:rsidRPr="00FB32F9" w14:paraId="30957972" w14:textId="77777777" w:rsidTr="00FB32F9">
        <w:trPr>
          <w:trHeight w:val="1035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F9E85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príjmy z poistného na podporu v čase skrátenej práce (155)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11D13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523B0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5 943 826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70336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6 201 158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2F426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6 510 149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D453A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Príjmy z poistenia zamestnanosti (zamestnanci - poberatelia dôchodkov)</w:t>
            </w:r>
          </w:p>
        </w:tc>
      </w:tr>
      <w:tr w:rsidR="00FB32F9" w:rsidRPr="00FB32F9" w14:paraId="6D48FD42" w14:textId="77777777" w:rsidTr="00FB32F9">
        <w:trPr>
          <w:trHeight w:val="645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0C6CE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príjmy z poistného na sociálne poistenie (151+152+153+155+156+157+158)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7B61D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231F4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2 145 679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3390D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2 246 643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098A4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2 343 909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C9B26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Udržanie pracovných miest vďaka podpory v čase skrátenej práce</w:t>
            </w:r>
          </w:p>
        </w:tc>
      </w:tr>
      <w:tr w:rsidR="00FB32F9" w:rsidRPr="00FB32F9" w14:paraId="45A81D7A" w14:textId="77777777" w:rsidTr="00FB32F9">
        <w:trPr>
          <w:trHeight w:val="645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8C1F1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príjmy z poistného na sociálne poistenie (151+152+153+155+156+157+158)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502DB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B7043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559 803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E98FA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559 803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F721B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559 803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953FF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Zrušenie výnimiek z poistného (dlhodobo nezamestnaní a FO z NRO)</w:t>
            </w:r>
          </w:p>
        </w:tc>
      </w:tr>
      <w:tr w:rsidR="00FB32F9" w:rsidRPr="00FB32F9" w14:paraId="029BFC40" w14:textId="77777777" w:rsidTr="00FB32F9">
        <w:trPr>
          <w:trHeight w:val="645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FA1DE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príjmy z poistného na sociálne poistenie (151+152+153+155+156+157+158)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1A59B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AEAA0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108 821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7C242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108 821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4386A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108 821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51D90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Vytvorenie pracovných miest na novú agendu</w:t>
            </w:r>
          </w:p>
        </w:tc>
      </w:tr>
      <w:tr w:rsidR="00FB32F9" w:rsidRPr="00FB32F9" w14:paraId="6AD901DC" w14:textId="77777777" w:rsidTr="00FB32F9">
        <w:trPr>
          <w:trHeight w:val="390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8DC0C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Nedaňové príjmy (200)</w:t>
            </w: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E860F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9EC28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57400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00A0E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E7DB3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B32F9" w:rsidRPr="00FB32F9" w14:paraId="1AFDDB81" w14:textId="77777777" w:rsidTr="00FB32F9">
        <w:trPr>
          <w:trHeight w:val="390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939DA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Granty a transfery (300)</w:t>
            </w: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 xml:space="preserve">1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D2D73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552AC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1454F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CC3B6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D100E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B32F9" w:rsidRPr="00FB32F9" w14:paraId="777DDC9F" w14:textId="77777777" w:rsidTr="00FB32F9">
        <w:trPr>
          <w:trHeight w:val="645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AA55A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A063E18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C88F4BD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D21BE37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28B2FBB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2D40D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B32F9" w:rsidRPr="00FB32F9" w14:paraId="4FE0BCBE" w14:textId="77777777" w:rsidTr="00FB32F9">
        <w:trPr>
          <w:trHeight w:val="645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5C12A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0503668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0441EEE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063608F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F7C2E75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F168C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B32F9" w:rsidRPr="00FB32F9" w14:paraId="63F5C89E" w14:textId="77777777" w:rsidTr="00FB32F9">
        <w:trPr>
          <w:trHeight w:val="330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B5B497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DDF075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5E65AF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8 758 129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6FD8B8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9 116 425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D9E522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9 522 682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381E78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3A26798" w14:textId="77777777" w:rsidR="00FB32F9" w:rsidRDefault="00FB32F9"/>
    <w:p w14:paraId="786CEF35" w14:textId="77777777" w:rsidR="00FB32F9" w:rsidRDefault="00FB32F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576"/>
        <w:gridCol w:w="1864"/>
        <w:gridCol w:w="1722"/>
        <w:gridCol w:w="1575"/>
        <w:gridCol w:w="3685"/>
      </w:tblGrid>
      <w:tr w:rsidR="00FB32F9" w:rsidRPr="00FB32F9" w14:paraId="4C334D74" w14:textId="77777777" w:rsidTr="00FB32F9">
        <w:trPr>
          <w:trHeight w:val="330"/>
        </w:trPr>
        <w:tc>
          <w:tcPr>
            <w:tcW w:w="13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045B5E" w14:textId="77777777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Príjmy (v eurách) – zdravotné poisťovne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754B19" w14:textId="35EDFF26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Vplyv na rozpočet verejnej správy </w:t>
            </w:r>
          </w:p>
        </w:tc>
        <w:tc>
          <w:tcPr>
            <w:tcW w:w="13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9CEC39E" w14:textId="77777777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FB32F9" w:rsidRPr="00FB32F9" w14:paraId="2A046CA3" w14:textId="77777777" w:rsidTr="00FB32F9">
        <w:trPr>
          <w:trHeight w:val="330"/>
        </w:trPr>
        <w:tc>
          <w:tcPr>
            <w:tcW w:w="13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F38CD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A2EC43" w14:textId="77777777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4E8D60" w14:textId="77777777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9256D8" w14:textId="77777777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1A746F" w14:textId="77777777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3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1A99B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FB32F9" w:rsidRPr="00FB32F9" w14:paraId="5F77095D" w14:textId="77777777" w:rsidTr="00FB32F9">
        <w:trPr>
          <w:trHeight w:val="390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86E14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Daňové príjmy (100)</w:t>
            </w: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3A5F8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2F77C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1 264 881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D021A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1 312 138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65FCF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1 360 388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66329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B32F9" w:rsidRPr="00FB32F9" w14:paraId="3A853AFF" w14:textId="77777777" w:rsidTr="00FB32F9">
        <w:trPr>
          <w:trHeight w:val="330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F1D15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príjmy z poistného na zdravotné poistenie (154)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BA8D5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8FD78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948 403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0DBCD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995 660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D474C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1 043 910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52A52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Udržanie pracovných miest </w:t>
            </w:r>
          </w:p>
        </w:tc>
      </w:tr>
      <w:tr w:rsidR="00FB32F9" w:rsidRPr="00FB32F9" w14:paraId="14E9B93E" w14:textId="77777777" w:rsidTr="00FB32F9">
        <w:trPr>
          <w:trHeight w:val="330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50CC0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príjmy z poistného na zdravotné poistenie (154)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6D980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2BC5F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44 352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15D2E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44 352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0914B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44 352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2AD28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Vytvorenie pracovných miest na novú agendu</w:t>
            </w:r>
          </w:p>
        </w:tc>
      </w:tr>
      <w:tr w:rsidR="00FB32F9" w:rsidRPr="00FB32F9" w14:paraId="5EC5F820" w14:textId="77777777" w:rsidTr="00FB32F9">
        <w:trPr>
          <w:trHeight w:val="525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42D9A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príjmy z poistného na zdravotné poistenie (154)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661FC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9CFBF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272 126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3AC01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272 126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A5F22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272 126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05ABD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Zrušenie výnimiek z poistného (dlhodobo nezamestnaní a FO z NRO)</w:t>
            </w:r>
          </w:p>
        </w:tc>
      </w:tr>
      <w:tr w:rsidR="00FB32F9" w:rsidRPr="00FB32F9" w14:paraId="0E67858C" w14:textId="77777777" w:rsidTr="00FB32F9">
        <w:trPr>
          <w:trHeight w:val="390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CBA04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Nedaňové príjmy (200)</w:t>
            </w: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915DA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82355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07D9A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F2B06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27A39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B32F9" w:rsidRPr="00FB32F9" w14:paraId="24B2DD6C" w14:textId="77777777" w:rsidTr="00FB32F9">
        <w:trPr>
          <w:trHeight w:val="390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AFF1D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Granty a transfery (300)</w:t>
            </w: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9C3CD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983E0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4F5EE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B5EDD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30EFE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B32F9" w:rsidRPr="00FB32F9" w14:paraId="36E0E9A5" w14:textId="77777777" w:rsidTr="00FB32F9">
        <w:trPr>
          <w:trHeight w:val="645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54615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2BE94C6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45E1278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7F77BB0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C50BD3E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8D71B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B32F9" w:rsidRPr="00FB32F9" w14:paraId="7A8AE9AE" w14:textId="77777777" w:rsidTr="00FB32F9">
        <w:trPr>
          <w:trHeight w:val="645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039AE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561AC3E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F198CE2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23E8314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3379353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B90B2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B32F9" w:rsidRPr="00FB32F9" w14:paraId="497F071D" w14:textId="77777777" w:rsidTr="00FB32F9">
        <w:trPr>
          <w:trHeight w:val="330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33C36E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DD1951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2127C5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1 264 881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FF8743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1 312 138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F4CEE3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1 360 388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B1A11F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66229DA" w14:textId="4AD8CC7C" w:rsidR="00462060" w:rsidRDefault="00462060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576"/>
        <w:gridCol w:w="1864"/>
        <w:gridCol w:w="1722"/>
        <w:gridCol w:w="1575"/>
        <w:gridCol w:w="3685"/>
      </w:tblGrid>
      <w:tr w:rsidR="00FB32F9" w:rsidRPr="00FB32F9" w14:paraId="7CE7FBB8" w14:textId="77777777" w:rsidTr="00FB32F9">
        <w:trPr>
          <w:trHeight w:val="330"/>
        </w:trPr>
        <w:tc>
          <w:tcPr>
            <w:tcW w:w="13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FE523D" w14:textId="77777777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Príjmy (v eurách) – VÚC a obce</w:t>
            </w:r>
          </w:p>
        </w:tc>
        <w:tc>
          <w:tcPr>
            <w:tcW w:w="238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85DC43" w14:textId="2E98883C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Vplyv na rozpočet verejnej správy </w:t>
            </w:r>
          </w:p>
        </w:tc>
        <w:tc>
          <w:tcPr>
            <w:tcW w:w="13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85FC3D1" w14:textId="77777777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FB32F9" w:rsidRPr="00FB32F9" w14:paraId="681164C9" w14:textId="77777777" w:rsidTr="00FB32F9">
        <w:trPr>
          <w:trHeight w:val="330"/>
        </w:trPr>
        <w:tc>
          <w:tcPr>
            <w:tcW w:w="13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0B708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6A8B0B" w14:textId="77777777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64F65E" w14:textId="77777777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4C5808" w14:textId="77777777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D9E340" w14:textId="2CAF220A" w:rsidR="00FB32F9" w:rsidRPr="00FB32F9" w:rsidRDefault="00FB32F9" w:rsidP="00FB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2024</w:t>
            </w: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FFEDE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FB32F9" w:rsidRPr="00FB32F9" w14:paraId="37BF89B9" w14:textId="77777777" w:rsidTr="00FB32F9">
        <w:trPr>
          <w:trHeight w:val="390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46090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Daňové príjmy (100)</w:t>
            </w: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96396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E1AEE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1 327 502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BE119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1 391 636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73E3F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1 457 119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BB946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B32F9" w:rsidRPr="00FB32F9" w14:paraId="2EA44C71" w14:textId="77777777" w:rsidTr="00FB32F9">
        <w:trPr>
          <w:trHeight w:val="525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34923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príjmy z dane z príjmov FO (111)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98FC4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D3A0D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40 384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8FB7B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40 384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49A23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40 384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A25AE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Príjmy z vytvorených pracovných miest v aparáte MSPVR SR, v ÚPSVR v Sociálnej poisťovni</w:t>
            </w:r>
          </w:p>
        </w:tc>
      </w:tr>
      <w:tr w:rsidR="00FB32F9" w:rsidRPr="00FB32F9" w14:paraId="5C9F4449" w14:textId="77777777" w:rsidTr="00FB32F9">
        <w:trPr>
          <w:trHeight w:val="330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568C9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príjmy z dane z príjmov FO (111)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1C9C7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69A5B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1 287 118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C5E57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1 351 252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C0A31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1 416 735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FEACC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Udržanie pracovných miest</w:t>
            </w:r>
          </w:p>
        </w:tc>
      </w:tr>
      <w:tr w:rsidR="00FB32F9" w:rsidRPr="00FB32F9" w14:paraId="046C5DD7" w14:textId="77777777" w:rsidTr="00FB32F9">
        <w:trPr>
          <w:trHeight w:val="390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B9CDA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Nedaňové príjmy (200)</w:t>
            </w: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D4C76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B089D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615EB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3E2FD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7DF40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B32F9" w:rsidRPr="00FB32F9" w14:paraId="73331C48" w14:textId="77777777" w:rsidTr="00FB32F9">
        <w:trPr>
          <w:trHeight w:val="390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8AE70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Granty a transfery (300)</w:t>
            </w: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8D469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96BD5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A79E2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2BE96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65CCF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B32F9" w:rsidRPr="00FB32F9" w14:paraId="492ADAEA" w14:textId="77777777" w:rsidTr="00FB32F9">
        <w:trPr>
          <w:trHeight w:val="645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0E102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A54BE1B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00DC402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B257563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7155020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FAA74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B32F9" w:rsidRPr="00FB32F9" w14:paraId="04F5C1E1" w14:textId="77777777" w:rsidTr="00FB32F9">
        <w:trPr>
          <w:trHeight w:val="645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D1462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2A3B11E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CCEAA9B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F73ECED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D551A3D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C5D58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B32F9" w:rsidRPr="00FB32F9" w14:paraId="68D1B0C3" w14:textId="77777777" w:rsidTr="00FB32F9">
        <w:trPr>
          <w:trHeight w:val="330"/>
        </w:trPr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1B7E19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C1691D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EA43D2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1 327 502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38914D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1 391 636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2B11C9" w14:textId="77777777" w:rsidR="00FB32F9" w:rsidRPr="00FB32F9" w:rsidRDefault="00FB32F9" w:rsidP="00FB3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1 457 119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4562B8E" w14:textId="77777777" w:rsidR="00FB32F9" w:rsidRPr="00FB32F9" w:rsidRDefault="00FB32F9" w:rsidP="00FB3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36D05CF" w14:textId="77777777" w:rsidR="008E12E2" w:rsidRDefault="008E12E2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8F560E5" w14:textId="2B4087CA" w:rsidR="006B3C6F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6B3C6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.</w:t>
      </w:r>
    </w:p>
    <w:p w14:paraId="2ECE2243" w14:textId="77777777" w:rsidR="00727B20" w:rsidRPr="007D5748" w:rsidRDefault="00727B20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FF655BD" w14:textId="77777777" w:rsid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F0841BE" w14:textId="631407A4" w:rsidR="00E85585" w:rsidRDefault="00E85585" w:rsidP="00E85585">
      <w:pPr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  <w:r>
        <w:rPr>
          <w:rFonts w:ascii="Times New Roman" w:hAnsi="Times New Roman" w:cs="Verdana"/>
          <w:b/>
          <w:bCs/>
          <w:iCs/>
          <w:sz w:val="24"/>
          <w:szCs w:val="24"/>
        </w:rPr>
        <w:t>2.2.4.2 Kvantifikácia výdavkov</w:t>
      </w:r>
    </w:p>
    <w:p w14:paraId="7D272DC6" w14:textId="77777777" w:rsidR="00E85585" w:rsidRDefault="00E85585" w:rsidP="00E85585">
      <w:pPr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</w:p>
    <w:p w14:paraId="09E648FE" w14:textId="7A45D623" w:rsidR="003C123A" w:rsidRDefault="003C123A" w:rsidP="00E8558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Podpora v čase skrátenej práce</w:t>
      </w:r>
    </w:p>
    <w:p w14:paraId="290685C0" w14:textId="77777777" w:rsidR="003C123A" w:rsidRDefault="003C123A" w:rsidP="00E8558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6434F02D" w14:textId="1FEA11B1" w:rsidR="003C123A" w:rsidRPr="003C123A" w:rsidRDefault="003C123A" w:rsidP="003C12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123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Výdavky na </w:t>
      </w:r>
      <w:r w:rsidR="006B3C6F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čase </w:t>
      </w:r>
      <w:r w:rsidR="00FB32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skrátenej práce v rokoch 2022,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2023</w:t>
      </w:r>
      <w:r w:rsidR="00FB32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2024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B3C6F">
        <w:rPr>
          <w:rFonts w:ascii="Times New Roman" w:eastAsia="Times New Roman" w:hAnsi="Times New Roman" w:cs="Times New Roman"/>
          <w:sz w:val="24"/>
          <w:szCs w:val="24"/>
          <w:lang w:eastAsia="sk-SK"/>
        </w:rPr>
        <w:t>odhadujeme na základe údajov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využívaní podpory </w:t>
      </w:r>
      <w:r w:rsidRPr="003C123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čase skrátenej práce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nekrízových rokoch v Nemecku</w:t>
      </w:r>
      <w:r w:rsidR="006B3C6F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418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Odhadované ročné výdavky sú uvedené v nasledujúcej Tabuľke. </w:t>
      </w:r>
    </w:p>
    <w:p w14:paraId="628AE72D" w14:textId="77777777" w:rsidR="003C123A" w:rsidRDefault="003C123A" w:rsidP="00E8558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tbl>
      <w:tblPr>
        <w:tblStyle w:val="Mriekatabuky"/>
        <w:tblW w:w="9065" w:type="dxa"/>
        <w:tblLook w:val="04A0" w:firstRow="1" w:lastRow="0" w:firstColumn="1" w:lastColumn="0" w:noHBand="0" w:noVBand="1"/>
      </w:tblPr>
      <w:tblGrid>
        <w:gridCol w:w="2949"/>
        <w:gridCol w:w="1529"/>
        <w:gridCol w:w="1529"/>
        <w:gridCol w:w="1529"/>
        <w:gridCol w:w="1529"/>
      </w:tblGrid>
      <w:tr w:rsidR="00FB32F9" w:rsidRPr="00467E4E" w14:paraId="210CD69B" w14:textId="77777777" w:rsidTr="00FB32F9">
        <w:tc>
          <w:tcPr>
            <w:tcW w:w="2949" w:type="dxa"/>
          </w:tcPr>
          <w:p w14:paraId="1AB5043E" w14:textId="77777777" w:rsidR="00FB32F9" w:rsidRPr="00467E4E" w:rsidRDefault="00FB32F9" w:rsidP="00FB32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29" w:type="dxa"/>
            <w:vAlign w:val="center"/>
          </w:tcPr>
          <w:p w14:paraId="3802BA99" w14:textId="2104B3A4" w:rsidR="00FB32F9" w:rsidRPr="00FB32F9" w:rsidRDefault="00FB32F9" w:rsidP="00FB32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29" w:type="dxa"/>
            <w:vAlign w:val="center"/>
          </w:tcPr>
          <w:p w14:paraId="5BBD584C" w14:textId="4C6C60EF" w:rsidR="00FB32F9" w:rsidRPr="00FB32F9" w:rsidRDefault="00FB32F9" w:rsidP="00FB32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29" w:type="dxa"/>
            <w:vAlign w:val="center"/>
          </w:tcPr>
          <w:p w14:paraId="09F137DA" w14:textId="74CFA02A" w:rsidR="00FB32F9" w:rsidRPr="00FB32F9" w:rsidRDefault="00FB32F9" w:rsidP="00FB32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529" w:type="dxa"/>
            <w:vAlign w:val="center"/>
          </w:tcPr>
          <w:p w14:paraId="2D707333" w14:textId="41A8F0FD" w:rsidR="00FB32F9" w:rsidRPr="00FB32F9" w:rsidRDefault="00FB32F9" w:rsidP="00FB32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2024</w:t>
            </w:r>
          </w:p>
        </w:tc>
      </w:tr>
      <w:tr w:rsidR="00FB32F9" w:rsidRPr="00467E4E" w14:paraId="5F307CCE" w14:textId="77777777" w:rsidTr="009153A8">
        <w:tc>
          <w:tcPr>
            <w:tcW w:w="2949" w:type="dxa"/>
          </w:tcPr>
          <w:p w14:paraId="0491AD83" w14:textId="77777777" w:rsidR="00FB32F9" w:rsidRPr="00467E4E" w:rsidRDefault="00FB32F9" w:rsidP="00FB32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Predpokladaný počet podporených zamestnancov</w:t>
            </w:r>
          </w:p>
        </w:tc>
        <w:tc>
          <w:tcPr>
            <w:tcW w:w="1529" w:type="dxa"/>
            <w:vAlign w:val="center"/>
          </w:tcPr>
          <w:p w14:paraId="2147A7AC" w14:textId="5C406850" w:rsidR="00FB32F9" w:rsidRPr="00467E4E" w:rsidRDefault="00FB32F9" w:rsidP="00FB32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29" w:type="dxa"/>
            <w:vAlign w:val="center"/>
          </w:tcPr>
          <w:p w14:paraId="54F82555" w14:textId="2DEEA50C" w:rsidR="00FB32F9" w:rsidRPr="00467E4E" w:rsidRDefault="00FB32F9" w:rsidP="00FB32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6 487</w:t>
            </w:r>
          </w:p>
        </w:tc>
        <w:tc>
          <w:tcPr>
            <w:tcW w:w="1529" w:type="dxa"/>
            <w:vAlign w:val="center"/>
          </w:tcPr>
          <w:p w14:paraId="4EBD2264" w14:textId="373E8AFC" w:rsidR="00FB32F9" w:rsidRPr="00467E4E" w:rsidRDefault="00FB32F9" w:rsidP="00FB32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6 499</w:t>
            </w:r>
          </w:p>
        </w:tc>
        <w:tc>
          <w:tcPr>
            <w:tcW w:w="1529" w:type="dxa"/>
            <w:vAlign w:val="center"/>
          </w:tcPr>
          <w:p w14:paraId="63BA2CB7" w14:textId="5AC2F10B" w:rsidR="00FB32F9" w:rsidRPr="00467E4E" w:rsidRDefault="00FB32F9" w:rsidP="00FB32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6 453</w:t>
            </w:r>
          </w:p>
        </w:tc>
      </w:tr>
      <w:tr w:rsidR="00FB32F9" w:rsidRPr="00467E4E" w14:paraId="084B7D5E" w14:textId="77777777" w:rsidTr="009153A8">
        <w:tc>
          <w:tcPr>
            <w:tcW w:w="2949" w:type="dxa"/>
          </w:tcPr>
          <w:p w14:paraId="6230CC51" w14:textId="77777777" w:rsidR="00FB32F9" w:rsidRPr="00467E4E" w:rsidRDefault="00FB32F9" w:rsidP="00FB32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Predpokladaný priemerný vymeriavací základ zamestnancov (eur)</w:t>
            </w:r>
          </w:p>
        </w:tc>
        <w:tc>
          <w:tcPr>
            <w:tcW w:w="1529" w:type="dxa"/>
            <w:vAlign w:val="center"/>
          </w:tcPr>
          <w:p w14:paraId="6B25B56B" w14:textId="7566C647" w:rsidR="00FB32F9" w:rsidRPr="00467E4E" w:rsidRDefault="00FB32F9" w:rsidP="00FB32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29" w:type="dxa"/>
            <w:vAlign w:val="center"/>
          </w:tcPr>
          <w:p w14:paraId="20ADAA62" w14:textId="02D17EBE" w:rsidR="00FB32F9" w:rsidRPr="00467E4E" w:rsidRDefault="00FB32F9" w:rsidP="00FB32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1 243</w:t>
            </w:r>
          </w:p>
        </w:tc>
        <w:tc>
          <w:tcPr>
            <w:tcW w:w="1529" w:type="dxa"/>
            <w:vAlign w:val="center"/>
          </w:tcPr>
          <w:p w14:paraId="416E2347" w14:textId="39F7F6B2" w:rsidR="00FB32F9" w:rsidRPr="00467E4E" w:rsidRDefault="00FB32F9" w:rsidP="00FB32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1 303</w:t>
            </w:r>
          </w:p>
        </w:tc>
        <w:tc>
          <w:tcPr>
            <w:tcW w:w="1529" w:type="dxa"/>
            <w:vAlign w:val="center"/>
          </w:tcPr>
          <w:p w14:paraId="051B2555" w14:textId="16E7E128" w:rsidR="00FB32F9" w:rsidRPr="00467E4E" w:rsidRDefault="00FB32F9" w:rsidP="00FB32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1 376</w:t>
            </w:r>
          </w:p>
        </w:tc>
      </w:tr>
      <w:tr w:rsidR="00FB32F9" w:rsidRPr="00467E4E" w14:paraId="711A4BD4" w14:textId="77777777" w:rsidTr="009153A8">
        <w:tc>
          <w:tcPr>
            <w:tcW w:w="2949" w:type="dxa"/>
          </w:tcPr>
          <w:p w14:paraId="3773B867" w14:textId="77777777" w:rsidR="00FB32F9" w:rsidRPr="00467E4E" w:rsidRDefault="00FB32F9" w:rsidP="00FB32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Výdavky verejnej správy spolu (eur)</w:t>
            </w:r>
          </w:p>
        </w:tc>
        <w:tc>
          <w:tcPr>
            <w:tcW w:w="1529" w:type="dxa"/>
            <w:vAlign w:val="center"/>
          </w:tcPr>
          <w:p w14:paraId="631223E4" w14:textId="207EB1D3" w:rsidR="00FB32F9" w:rsidRPr="00467E4E" w:rsidRDefault="00FB32F9" w:rsidP="00FB32F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29" w:type="dxa"/>
            <w:vAlign w:val="center"/>
          </w:tcPr>
          <w:p w14:paraId="49F7CBA0" w14:textId="51B3A49E" w:rsidR="00FB32F9" w:rsidRPr="00FB32F9" w:rsidRDefault="00FB32F9" w:rsidP="00FB32F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20 322 914</w:t>
            </w:r>
          </w:p>
        </w:tc>
        <w:tc>
          <w:tcPr>
            <w:tcW w:w="1529" w:type="dxa"/>
            <w:vAlign w:val="center"/>
          </w:tcPr>
          <w:p w14:paraId="424BA53F" w14:textId="0442D352" w:rsidR="00FB32F9" w:rsidRPr="00FB32F9" w:rsidRDefault="00FB32F9" w:rsidP="00FB32F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21 335 561</w:t>
            </w:r>
          </w:p>
        </w:tc>
        <w:tc>
          <w:tcPr>
            <w:tcW w:w="1529" w:type="dxa"/>
            <w:vAlign w:val="center"/>
          </w:tcPr>
          <w:p w14:paraId="6D760B9A" w14:textId="441A14D3" w:rsidR="00FB32F9" w:rsidRPr="00FB32F9" w:rsidRDefault="00FB32F9" w:rsidP="00FB32F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22 369 505</w:t>
            </w:r>
          </w:p>
        </w:tc>
      </w:tr>
      <w:tr w:rsidR="00FB32F9" w:rsidRPr="00467E4E" w14:paraId="357FAEAB" w14:textId="77777777" w:rsidTr="009153A8">
        <w:tc>
          <w:tcPr>
            <w:tcW w:w="2949" w:type="dxa"/>
          </w:tcPr>
          <w:p w14:paraId="18DBFF5A" w14:textId="5C2CB118" w:rsidR="00FB32F9" w:rsidRPr="00467E4E" w:rsidRDefault="00FB32F9" w:rsidP="00FB32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z toho fond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poistenia v </w:t>
            </w:r>
            <w:r w:rsidR="00F44A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</w:t>
            </w: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zamestnanosti</w:t>
            </w:r>
          </w:p>
        </w:tc>
        <w:tc>
          <w:tcPr>
            <w:tcW w:w="1529" w:type="dxa"/>
            <w:vAlign w:val="center"/>
          </w:tcPr>
          <w:p w14:paraId="43113921" w14:textId="4D7EBC81" w:rsidR="00FB32F9" w:rsidRPr="00467E4E" w:rsidRDefault="00FB32F9" w:rsidP="00FB32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29" w:type="dxa"/>
            <w:vAlign w:val="center"/>
          </w:tcPr>
          <w:p w14:paraId="06C983FA" w14:textId="379A535D" w:rsidR="00FB32F9" w:rsidRPr="00467E4E" w:rsidRDefault="00FB32F9" w:rsidP="00FB32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20 322 914</w:t>
            </w:r>
          </w:p>
        </w:tc>
        <w:tc>
          <w:tcPr>
            <w:tcW w:w="1529" w:type="dxa"/>
            <w:vAlign w:val="center"/>
          </w:tcPr>
          <w:p w14:paraId="7BD8D141" w14:textId="6F761AD5" w:rsidR="00FB32F9" w:rsidRPr="00467E4E" w:rsidRDefault="00FB32F9" w:rsidP="00FB32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21 335 561</w:t>
            </w:r>
          </w:p>
        </w:tc>
        <w:tc>
          <w:tcPr>
            <w:tcW w:w="1529" w:type="dxa"/>
            <w:vAlign w:val="center"/>
          </w:tcPr>
          <w:p w14:paraId="4ADFD292" w14:textId="3EEFBE23" w:rsidR="00FB32F9" w:rsidRPr="00467E4E" w:rsidRDefault="00FB32F9" w:rsidP="00FB32F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B32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22 369 505</w:t>
            </w:r>
          </w:p>
        </w:tc>
      </w:tr>
    </w:tbl>
    <w:p w14:paraId="357DAAF1" w14:textId="77777777" w:rsidR="003C123A" w:rsidRDefault="003C123A" w:rsidP="00E8558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59AB464E" w14:textId="77777777" w:rsidR="003C123A" w:rsidRDefault="003C123A" w:rsidP="00E8558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108002E5" w14:textId="77777777" w:rsidR="00E85585" w:rsidRDefault="00E85585" w:rsidP="00E8558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2232FE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Udržanie  pracovných miest </w:t>
      </w:r>
    </w:p>
    <w:p w14:paraId="6D18B1E6" w14:textId="77777777" w:rsidR="00E85585" w:rsidRDefault="00E85585" w:rsidP="00E8558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40862386" w14:textId="2C15555F" w:rsidR="006B3C6F" w:rsidRDefault="00E85585" w:rsidP="00E85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232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Vďaka podpore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čase skrátenej práce dôjde v</w:t>
      </w:r>
      <w:r w:rsidR="00F44A33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čase</w:t>
      </w:r>
      <w:r w:rsidR="00F44A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sektorových kríz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či mimoriadnych situácií k udržaniu časti pracovných miest, ktoré by v prípade absencie tohto nástroja dočasne alebo trvalo zanikli. Je preto možné očakávať, že vplyv navrhovanej právnej úpravy sa prejaví v nižších výdavkoch verejnej správy,</w:t>
      </w:r>
      <w:r w:rsidR="00F963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to v podobe nižších výdavkov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B3C6F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6B3C6F">
        <w:rPr>
          <w:rFonts w:ascii="Times New Roman" w:eastAsia="Times New Roman" w:hAnsi="Times New Roman" w:cs="Times New Roman"/>
          <w:sz w:val="24"/>
          <w:szCs w:val="24"/>
          <w:lang w:eastAsia="sk-SK"/>
        </w:rPr>
        <w:t>inisterstva práce, sociálnych vecí a rodiny SR</w:t>
      </w:r>
      <w:r w:rsidR="00F963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pomoc v hmotnej núdzi a nižších výdavkov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Sociálnej poisťovne na dávku v</w:t>
      </w:r>
      <w:r w:rsidR="00F963A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nezam</w:t>
      </w:r>
      <w:r w:rsidR="00F963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estnanosti. </w:t>
      </w:r>
    </w:p>
    <w:p w14:paraId="13FBF366" w14:textId="4FCC2710" w:rsidR="00E85585" w:rsidRDefault="00E85585" w:rsidP="00E85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3E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súlade s dostupnou literatúrou odhadujeme efektivitu podpory v čase skrátenej práce na 25%, (t.j. približne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25% z podporených zamestnancov by </w:t>
      </w:r>
      <w:r w:rsidRPr="00F43EE4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prípade absencie podpory v čase skrátenej práce prišlo o pracovné miesto).</w:t>
      </w:r>
      <w:r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4"/>
      </w:r>
    </w:p>
    <w:p w14:paraId="029B9F54" w14:textId="0A95D19A" w:rsidR="00EC68D1" w:rsidRDefault="00EC68D1" w:rsidP="00E855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Ďalej odh</w:t>
      </w:r>
      <w:r w:rsidR="004735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adujeme, že 10% zo zamestnancov,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ktorí by v prípade absencie podpory v čase skrátenej práce prišli príjem zo zamestnania</w:t>
      </w:r>
      <w:r w:rsidR="004735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6B3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bolo odkázaných na pomoc v hmotnej núdzi. </w:t>
      </w:r>
      <w:r w:rsidR="003C123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Nárok na </w:t>
      </w:r>
      <w:r w:rsidR="006B3C6F">
        <w:rPr>
          <w:rFonts w:ascii="Times New Roman" w:eastAsia="Times New Roman" w:hAnsi="Times New Roman" w:cs="Times New Roman"/>
          <w:sz w:val="24"/>
          <w:szCs w:val="24"/>
          <w:lang w:eastAsia="sk-SK"/>
        </w:rPr>
        <w:t>dávku</w:t>
      </w:r>
      <w:r w:rsidR="003C123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nezamestnanosti by malo  90% zamestnancov, pričom priemerná doba poberania predstavuje 4,2 mesiaca. </w:t>
      </w:r>
    </w:p>
    <w:p w14:paraId="676DB219" w14:textId="391189C7" w:rsidR="00E85585" w:rsidRDefault="00E85585" w:rsidP="00E8558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tbl>
      <w:tblPr>
        <w:tblStyle w:val="Mriekatabuky"/>
        <w:tblW w:w="9065" w:type="dxa"/>
        <w:tblLook w:val="04A0" w:firstRow="1" w:lastRow="0" w:firstColumn="1" w:lastColumn="0" w:noHBand="0" w:noVBand="1"/>
      </w:tblPr>
      <w:tblGrid>
        <w:gridCol w:w="2949"/>
        <w:gridCol w:w="1529"/>
        <w:gridCol w:w="1529"/>
        <w:gridCol w:w="1529"/>
        <w:gridCol w:w="1529"/>
      </w:tblGrid>
      <w:tr w:rsidR="004735E1" w:rsidRPr="00467E4E" w14:paraId="0034397F" w14:textId="77777777" w:rsidTr="004735E1">
        <w:tc>
          <w:tcPr>
            <w:tcW w:w="2949" w:type="dxa"/>
          </w:tcPr>
          <w:p w14:paraId="4556637B" w14:textId="77777777" w:rsidR="004735E1" w:rsidRPr="00467E4E" w:rsidRDefault="004735E1" w:rsidP="004735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29" w:type="dxa"/>
            <w:vAlign w:val="center"/>
          </w:tcPr>
          <w:p w14:paraId="52A3FBC4" w14:textId="442F17CB" w:rsidR="004735E1" w:rsidRPr="00467E4E" w:rsidRDefault="004735E1" w:rsidP="00473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29" w:type="dxa"/>
            <w:vAlign w:val="center"/>
          </w:tcPr>
          <w:p w14:paraId="77FE61F8" w14:textId="5DB0A7B4" w:rsidR="004735E1" w:rsidRPr="00467E4E" w:rsidRDefault="004735E1" w:rsidP="00473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29" w:type="dxa"/>
            <w:vAlign w:val="center"/>
          </w:tcPr>
          <w:p w14:paraId="75016A24" w14:textId="5D1E96E1" w:rsidR="004735E1" w:rsidRPr="00467E4E" w:rsidRDefault="004735E1" w:rsidP="00473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529" w:type="dxa"/>
            <w:vAlign w:val="center"/>
          </w:tcPr>
          <w:p w14:paraId="1E333C27" w14:textId="00DD07EB" w:rsidR="004735E1" w:rsidRPr="00467E4E" w:rsidRDefault="004735E1" w:rsidP="00473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2024</w:t>
            </w:r>
          </w:p>
        </w:tc>
      </w:tr>
      <w:tr w:rsidR="004735E1" w:rsidRPr="00467E4E" w14:paraId="63FF7448" w14:textId="77777777" w:rsidTr="00145388">
        <w:tc>
          <w:tcPr>
            <w:tcW w:w="2949" w:type="dxa"/>
          </w:tcPr>
          <w:p w14:paraId="6E8E8043" w14:textId="77777777" w:rsidR="004735E1" w:rsidRPr="00467E4E" w:rsidRDefault="004735E1" w:rsidP="004735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Predpokladaný počet podporených zamestnancov</w:t>
            </w:r>
          </w:p>
        </w:tc>
        <w:tc>
          <w:tcPr>
            <w:tcW w:w="1529" w:type="dxa"/>
            <w:vAlign w:val="center"/>
          </w:tcPr>
          <w:p w14:paraId="295C5B57" w14:textId="798F248E" w:rsidR="004735E1" w:rsidRPr="00467E4E" w:rsidRDefault="004735E1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29" w:type="dxa"/>
            <w:vAlign w:val="center"/>
          </w:tcPr>
          <w:p w14:paraId="5728D18D" w14:textId="0192FA2F" w:rsidR="004735E1" w:rsidRPr="00467E4E" w:rsidRDefault="004735E1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6 487</w:t>
            </w:r>
          </w:p>
        </w:tc>
        <w:tc>
          <w:tcPr>
            <w:tcW w:w="1529" w:type="dxa"/>
            <w:vAlign w:val="center"/>
          </w:tcPr>
          <w:p w14:paraId="53FBE9DC" w14:textId="25F891B2" w:rsidR="004735E1" w:rsidRPr="00467E4E" w:rsidRDefault="004735E1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6 499</w:t>
            </w:r>
          </w:p>
        </w:tc>
        <w:tc>
          <w:tcPr>
            <w:tcW w:w="1529" w:type="dxa"/>
            <w:vAlign w:val="center"/>
          </w:tcPr>
          <w:p w14:paraId="6BDB71B1" w14:textId="589C6D46" w:rsidR="004735E1" w:rsidRPr="00467E4E" w:rsidRDefault="004735E1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6 453</w:t>
            </w:r>
          </w:p>
        </w:tc>
      </w:tr>
      <w:tr w:rsidR="004735E1" w:rsidRPr="00467E4E" w14:paraId="27897CB2" w14:textId="77777777" w:rsidTr="00145388">
        <w:tc>
          <w:tcPr>
            <w:tcW w:w="2949" w:type="dxa"/>
          </w:tcPr>
          <w:p w14:paraId="5A1CD1CF" w14:textId="77777777" w:rsidR="004735E1" w:rsidRPr="00467E4E" w:rsidRDefault="004735E1" w:rsidP="004735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Predpokladaný priemerný vymeriavací základ zamestnancov (eur)</w:t>
            </w:r>
          </w:p>
        </w:tc>
        <w:tc>
          <w:tcPr>
            <w:tcW w:w="1529" w:type="dxa"/>
            <w:vAlign w:val="center"/>
          </w:tcPr>
          <w:p w14:paraId="0B7B7ED1" w14:textId="5C9DA201" w:rsidR="004735E1" w:rsidRPr="00467E4E" w:rsidRDefault="004735E1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29" w:type="dxa"/>
            <w:vAlign w:val="center"/>
          </w:tcPr>
          <w:p w14:paraId="1BBCC8C9" w14:textId="56550492" w:rsidR="004735E1" w:rsidRPr="00467E4E" w:rsidRDefault="004735E1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1 243</w:t>
            </w:r>
          </w:p>
        </w:tc>
        <w:tc>
          <w:tcPr>
            <w:tcW w:w="1529" w:type="dxa"/>
            <w:vAlign w:val="center"/>
          </w:tcPr>
          <w:p w14:paraId="346F7B9C" w14:textId="25C62ECD" w:rsidR="004735E1" w:rsidRPr="00467E4E" w:rsidRDefault="004735E1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1 303</w:t>
            </w:r>
          </w:p>
        </w:tc>
        <w:tc>
          <w:tcPr>
            <w:tcW w:w="1529" w:type="dxa"/>
            <w:vAlign w:val="center"/>
          </w:tcPr>
          <w:p w14:paraId="1EA9E25F" w14:textId="3AD8A5DE" w:rsidR="004735E1" w:rsidRPr="00467E4E" w:rsidRDefault="004735E1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1 376</w:t>
            </w:r>
          </w:p>
        </w:tc>
      </w:tr>
      <w:tr w:rsidR="004735E1" w:rsidRPr="00467E4E" w14:paraId="1AF9D44E" w14:textId="77777777" w:rsidTr="00145388">
        <w:tc>
          <w:tcPr>
            <w:tcW w:w="2949" w:type="dxa"/>
          </w:tcPr>
          <w:p w14:paraId="2DEB7FB4" w14:textId="77777777" w:rsidR="004735E1" w:rsidRPr="00467E4E" w:rsidRDefault="004735E1" w:rsidP="004735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Efektivita nástroja</w:t>
            </w:r>
          </w:p>
        </w:tc>
        <w:tc>
          <w:tcPr>
            <w:tcW w:w="1529" w:type="dxa"/>
            <w:vAlign w:val="center"/>
          </w:tcPr>
          <w:p w14:paraId="73D57D0D" w14:textId="70B217DE" w:rsidR="004735E1" w:rsidRPr="00467E4E" w:rsidRDefault="004735E1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29" w:type="dxa"/>
            <w:vAlign w:val="center"/>
          </w:tcPr>
          <w:p w14:paraId="602B613E" w14:textId="7B4A9BF4" w:rsidR="004735E1" w:rsidRPr="00467E4E" w:rsidRDefault="004735E1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25%</w:t>
            </w:r>
          </w:p>
        </w:tc>
        <w:tc>
          <w:tcPr>
            <w:tcW w:w="1529" w:type="dxa"/>
            <w:vAlign w:val="center"/>
          </w:tcPr>
          <w:p w14:paraId="7B3E7BBC" w14:textId="784DC6AA" w:rsidR="004735E1" w:rsidRPr="00467E4E" w:rsidRDefault="004735E1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25%</w:t>
            </w:r>
          </w:p>
        </w:tc>
        <w:tc>
          <w:tcPr>
            <w:tcW w:w="1529" w:type="dxa"/>
            <w:vAlign w:val="center"/>
          </w:tcPr>
          <w:p w14:paraId="3E8EEA8B" w14:textId="078319D7" w:rsidR="004735E1" w:rsidRPr="00467E4E" w:rsidRDefault="004735E1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25%</w:t>
            </w:r>
          </w:p>
        </w:tc>
      </w:tr>
      <w:tr w:rsidR="004735E1" w:rsidRPr="00467E4E" w14:paraId="3C6A10F4" w14:textId="77777777" w:rsidTr="00145388">
        <w:tc>
          <w:tcPr>
            <w:tcW w:w="2949" w:type="dxa"/>
          </w:tcPr>
          <w:p w14:paraId="0662CAFD" w14:textId="13D227E6" w:rsidR="004735E1" w:rsidRPr="00467E4E" w:rsidRDefault="004735E1" w:rsidP="004735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Predpokladaná priemerná </w:t>
            </w: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mesačná výška pomoci v hmotnej núdzi (eur)</w:t>
            </w:r>
          </w:p>
        </w:tc>
        <w:tc>
          <w:tcPr>
            <w:tcW w:w="1529" w:type="dxa"/>
            <w:vAlign w:val="center"/>
          </w:tcPr>
          <w:p w14:paraId="3DE5418F" w14:textId="097C3396" w:rsidR="004735E1" w:rsidRPr="00467E4E" w:rsidRDefault="00145388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-</w:t>
            </w:r>
          </w:p>
        </w:tc>
        <w:tc>
          <w:tcPr>
            <w:tcW w:w="1529" w:type="dxa"/>
            <w:vAlign w:val="center"/>
          </w:tcPr>
          <w:p w14:paraId="1F10D189" w14:textId="5ACB5EAB" w:rsidR="004735E1" w:rsidRPr="00467E4E" w:rsidRDefault="004735E1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147</w:t>
            </w:r>
          </w:p>
        </w:tc>
        <w:tc>
          <w:tcPr>
            <w:tcW w:w="1529" w:type="dxa"/>
            <w:vAlign w:val="center"/>
          </w:tcPr>
          <w:p w14:paraId="63432C4A" w14:textId="46FBAA26" w:rsidR="004735E1" w:rsidRPr="00467E4E" w:rsidRDefault="004735E1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67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152</w:t>
            </w:r>
          </w:p>
        </w:tc>
        <w:tc>
          <w:tcPr>
            <w:tcW w:w="1529" w:type="dxa"/>
            <w:vAlign w:val="center"/>
          </w:tcPr>
          <w:p w14:paraId="1711F9FE" w14:textId="4B4C1616" w:rsidR="004735E1" w:rsidRPr="00467E4E" w:rsidRDefault="00145388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156</w:t>
            </w:r>
          </w:p>
        </w:tc>
      </w:tr>
      <w:tr w:rsidR="00145388" w:rsidRPr="00467E4E" w14:paraId="04BCF065" w14:textId="77777777" w:rsidTr="008F15C8">
        <w:tc>
          <w:tcPr>
            <w:tcW w:w="2949" w:type="dxa"/>
          </w:tcPr>
          <w:p w14:paraId="7D52784B" w14:textId="0E779FDC" w:rsidR="00145388" w:rsidRPr="005766B1" w:rsidRDefault="00145388" w:rsidP="00145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576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lastRenderedPageBreak/>
              <w:t>Výdavky verejnej správy spolu (eur)</w:t>
            </w:r>
          </w:p>
        </w:tc>
        <w:tc>
          <w:tcPr>
            <w:tcW w:w="1529" w:type="dxa"/>
            <w:vAlign w:val="center"/>
          </w:tcPr>
          <w:p w14:paraId="5F20FF6F" w14:textId="1C65C9B5" w:rsidR="00145388" w:rsidRPr="005766B1" w:rsidRDefault="00145388" w:rsidP="00145388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29" w:type="dxa"/>
            <w:vAlign w:val="bottom"/>
          </w:tcPr>
          <w:p w14:paraId="0FF427C9" w14:textId="3CC7579F" w:rsidR="00145388" w:rsidRPr="005766B1" w:rsidRDefault="00145388" w:rsidP="00145388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45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-3 958 354</w:t>
            </w:r>
          </w:p>
        </w:tc>
        <w:tc>
          <w:tcPr>
            <w:tcW w:w="1529" w:type="dxa"/>
            <w:vAlign w:val="bottom"/>
          </w:tcPr>
          <w:p w14:paraId="24A6F10F" w14:textId="46793DA9" w:rsidR="00145388" w:rsidRPr="005766B1" w:rsidRDefault="00145388" w:rsidP="00145388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45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-4 153 068</w:t>
            </w:r>
          </w:p>
        </w:tc>
        <w:tc>
          <w:tcPr>
            <w:tcW w:w="1529" w:type="dxa"/>
            <w:vAlign w:val="bottom"/>
          </w:tcPr>
          <w:p w14:paraId="5FDDCBC8" w14:textId="343F6080" w:rsidR="00145388" w:rsidRPr="005766B1" w:rsidRDefault="00145388" w:rsidP="00145388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45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-4 350 527</w:t>
            </w:r>
          </w:p>
        </w:tc>
      </w:tr>
      <w:tr w:rsidR="00145388" w:rsidRPr="00467E4E" w14:paraId="385BBF2A" w14:textId="77777777" w:rsidTr="00145388">
        <w:tc>
          <w:tcPr>
            <w:tcW w:w="2949" w:type="dxa"/>
          </w:tcPr>
          <w:p w14:paraId="5F5EFC46" w14:textId="77777777" w:rsidR="00145388" w:rsidRPr="005766B1" w:rsidRDefault="00145388" w:rsidP="001453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6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- z toho Sociálna poisťovňa (eur)</w:t>
            </w:r>
          </w:p>
        </w:tc>
        <w:tc>
          <w:tcPr>
            <w:tcW w:w="1529" w:type="dxa"/>
            <w:vAlign w:val="center"/>
          </w:tcPr>
          <w:p w14:paraId="0130AEBE" w14:textId="07F7D563" w:rsidR="00145388" w:rsidRPr="00145388" w:rsidRDefault="00145388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453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29" w:type="dxa"/>
            <w:vAlign w:val="center"/>
          </w:tcPr>
          <w:p w14:paraId="43AC656C" w14:textId="2EEF4C2D" w:rsidR="00145388" w:rsidRPr="00145388" w:rsidRDefault="00145388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453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-3 810 546</w:t>
            </w:r>
          </w:p>
        </w:tc>
        <w:tc>
          <w:tcPr>
            <w:tcW w:w="1529" w:type="dxa"/>
            <w:vAlign w:val="center"/>
          </w:tcPr>
          <w:p w14:paraId="47BBB521" w14:textId="2D4A340A" w:rsidR="00145388" w:rsidRPr="00145388" w:rsidRDefault="00145388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453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-4 000 418</w:t>
            </w:r>
          </w:p>
        </w:tc>
        <w:tc>
          <w:tcPr>
            <w:tcW w:w="1529" w:type="dxa"/>
            <w:vAlign w:val="center"/>
          </w:tcPr>
          <w:p w14:paraId="5A01025D" w14:textId="12BB275F" w:rsidR="00145388" w:rsidRPr="00145388" w:rsidRDefault="00145388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453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-4 194 282</w:t>
            </w:r>
          </w:p>
        </w:tc>
      </w:tr>
      <w:tr w:rsidR="00145388" w:rsidRPr="00467E4E" w14:paraId="06F3AADE" w14:textId="77777777" w:rsidTr="00145388">
        <w:tc>
          <w:tcPr>
            <w:tcW w:w="2949" w:type="dxa"/>
          </w:tcPr>
          <w:p w14:paraId="08C0C720" w14:textId="5D4B3398" w:rsidR="00145388" w:rsidRPr="005766B1" w:rsidRDefault="00145388" w:rsidP="001453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6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z toho MPSVR SR (eur)</w:t>
            </w:r>
          </w:p>
        </w:tc>
        <w:tc>
          <w:tcPr>
            <w:tcW w:w="1529" w:type="dxa"/>
            <w:vAlign w:val="center"/>
          </w:tcPr>
          <w:p w14:paraId="07572C3A" w14:textId="49C1E605" w:rsidR="00145388" w:rsidRPr="00145388" w:rsidRDefault="00145388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453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29" w:type="dxa"/>
            <w:vAlign w:val="center"/>
          </w:tcPr>
          <w:p w14:paraId="364851DC" w14:textId="7E2E849D" w:rsidR="00145388" w:rsidRPr="00145388" w:rsidRDefault="00145388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453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-147 808</w:t>
            </w:r>
          </w:p>
        </w:tc>
        <w:tc>
          <w:tcPr>
            <w:tcW w:w="1529" w:type="dxa"/>
            <w:vAlign w:val="center"/>
          </w:tcPr>
          <w:p w14:paraId="0F7945E2" w14:textId="59A26BE0" w:rsidR="00145388" w:rsidRPr="00145388" w:rsidRDefault="00145388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453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-152 650</w:t>
            </w:r>
          </w:p>
        </w:tc>
        <w:tc>
          <w:tcPr>
            <w:tcW w:w="1529" w:type="dxa"/>
            <w:vAlign w:val="center"/>
          </w:tcPr>
          <w:p w14:paraId="66A3D15E" w14:textId="47115F7E" w:rsidR="00145388" w:rsidRPr="00145388" w:rsidRDefault="00145388" w:rsidP="001453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453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-156 245</w:t>
            </w:r>
          </w:p>
        </w:tc>
      </w:tr>
    </w:tbl>
    <w:p w14:paraId="773AC6D7" w14:textId="77777777" w:rsidR="00E85585" w:rsidRDefault="00E85585" w:rsidP="00E8558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5D7C6F22" w14:textId="77777777" w:rsidR="00010307" w:rsidRDefault="00010307" w:rsidP="00E85585">
      <w:pPr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</w:p>
    <w:p w14:paraId="227F1EF3" w14:textId="77777777" w:rsidR="00145388" w:rsidRDefault="00145388" w:rsidP="0014538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Vytvorené pracovné miesta v rámci MSPVR SR </w:t>
      </w:r>
    </w:p>
    <w:p w14:paraId="01D30E66" w14:textId="77777777" w:rsidR="00145388" w:rsidRDefault="00145388" w:rsidP="00145388">
      <w:pPr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</w:p>
    <w:p w14:paraId="18DC026C" w14:textId="77777777" w:rsidR="00145388" w:rsidRPr="00DE2235" w:rsidRDefault="00145388" w:rsidP="001453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22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Ministerstvu práce, sociálnych vecí a rodiny SR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vznikne v oblasti štátnej správy podpory v čase skrátenej práce nová agenda, ktorá si v rokoch 2022, 2023 a 2024 vyžiada zvýšené osobné náklady súvisiace so zvýšením počtu zamestnancov </w:t>
      </w:r>
      <w:r w:rsidRPr="000103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 9 osôb v aparáte MPSVR SR a o 5 osôb na Ústredí práce, sociálnych vecí a rodiny.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kvantifikácii výdavkov vychádzame z priemernej hrubej mzdy vo </w:t>
      </w:r>
      <w:r w:rsidRPr="000103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výške 2 100 eur pre zamestnancov v aparáte MPSVR SR </w:t>
      </w:r>
      <w:r w:rsidRPr="00303F57">
        <w:rPr>
          <w:rFonts w:ascii="Times New Roman" w:eastAsia="Times New Roman" w:hAnsi="Times New Roman" w:cs="Times New Roman"/>
          <w:sz w:val="24"/>
          <w:szCs w:val="24"/>
          <w:lang w:eastAsia="sk-SK"/>
        </w:rPr>
        <w:t>(s odvodmi zamestnávateľa vo výške 734,0 eur)</w:t>
      </w:r>
      <w:r w:rsidRPr="000103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z priemernej hrubej mzdy vo výške 1 500 eur pre zamestnancov Ústredia práce, sociálnych vecí a rodiny </w:t>
      </w:r>
      <w:r w:rsidRPr="000A55B1">
        <w:rPr>
          <w:rFonts w:ascii="Times New Roman" w:eastAsia="Times New Roman" w:hAnsi="Times New Roman" w:cs="Times New Roman"/>
          <w:sz w:val="24"/>
          <w:szCs w:val="24"/>
          <w:lang w:eastAsia="sk-SK"/>
        </w:rPr>
        <w:t>(s odvodmi zamestnávateľa vo výške 524,3 eur).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Zároveň bude potrebné v roku 2022 zaobstarať materiálno-technické zabezpečenie a prevádzkové výdavky pre uvedených 14</w:t>
      </w:r>
      <w:r w:rsidRPr="009052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nových zamestnancov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(počítače, kancelárske potreby, nábytok, stravné, a pod.) v odhadovanej </w:t>
      </w:r>
      <w:r w:rsidRPr="009052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sume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14</w:t>
      </w:r>
      <w:r w:rsidRPr="009052E9">
        <w:rPr>
          <w:rFonts w:ascii="Times New Roman" w:eastAsia="Times New Roman" w:hAnsi="Times New Roman" w:cs="Times New Roman"/>
          <w:sz w:val="24"/>
          <w:szCs w:val="24"/>
          <w:lang w:eastAsia="sk-SK"/>
        </w:rPr>
        <w:t>0 000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eur. </w:t>
      </w:r>
      <w:r w:rsidRPr="009052E9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9052E9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nasledujúc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ich rokoch</w:t>
      </w:r>
      <w:r w:rsidRPr="009052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 zohľadnené prevádzkové výdavky 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14</w:t>
      </w:r>
      <w:r w:rsidRPr="009052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zamestnancov v sume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84 </w:t>
      </w:r>
      <w:r w:rsidRPr="009052E9">
        <w:rPr>
          <w:rFonts w:ascii="Times New Roman" w:eastAsia="Times New Roman" w:hAnsi="Times New Roman" w:cs="Times New Roman"/>
          <w:sz w:val="24"/>
          <w:szCs w:val="24"/>
          <w:lang w:eastAsia="sk-SK"/>
        </w:rPr>
        <w:t>000 eur.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4B55B8E3" w14:textId="77777777" w:rsidR="00145388" w:rsidRDefault="00145388" w:rsidP="00145388">
      <w:pPr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</w:p>
    <w:p w14:paraId="32A2AA2B" w14:textId="77777777" w:rsidR="00145388" w:rsidRDefault="00145388" w:rsidP="00145388">
      <w:pPr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  <w:r>
        <w:rPr>
          <w:rFonts w:ascii="Times New Roman" w:hAnsi="Times New Roman" w:cs="Verdana"/>
          <w:b/>
          <w:bCs/>
          <w:iCs/>
          <w:sz w:val="24"/>
          <w:szCs w:val="24"/>
        </w:rPr>
        <w:t>Informačné systémy</w:t>
      </w:r>
    </w:p>
    <w:p w14:paraId="2566F4F6" w14:textId="77777777" w:rsidR="00145388" w:rsidRDefault="00145388" w:rsidP="00145388">
      <w:pPr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</w:p>
    <w:p w14:paraId="79D043D3" w14:textId="77777777" w:rsidR="00145388" w:rsidRDefault="00145388" w:rsidP="00145388">
      <w:pPr>
        <w:spacing w:after="0" w:line="240" w:lineRule="auto"/>
        <w:ind w:firstLine="708"/>
        <w:jc w:val="both"/>
        <w:rPr>
          <w:rFonts w:ascii="Times New Roman" w:hAnsi="Times New Roman" w:cs="Verdana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Nové procesy vyplývajúce </w:t>
      </w:r>
      <w:r w:rsidRPr="00E55B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predkladaného návrhu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si vyžadujú úpravu informačných systémov MPSVR SR a Sociálnej poisťovne. Náklady na úpravu alebo vytvorenie nového informačného systému pre MPSVR SR na účely spracovania žiadostí o podporu v čase skrátenej práce, výplatu podpory v čase skrátenej práce a analytické účely, sú odhadované na </w:t>
      </w:r>
      <w:r w:rsidRPr="009052E9">
        <w:rPr>
          <w:rFonts w:ascii="Times New Roman" w:eastAsia="Times New Roman" w:hAnsi="Times New Roman" w:cs="Times New Roman"/>
          <w:sz w:val="24"/>
          <w:szCs w:val="24"/>
          <w:lang w:eastAsia="sk-SK"/>
        </w:rPr>
        <w:t>2 700 000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eur. Náklady na úpravu informačných systémov Sociálnej poisťovne sú odhadované na 940 000 eur. </w:t>
      </w:r>
    </w:p>
    <w:p w14:paraId="5AC5B058" w14:textId="77777777" w:rsidR="007110B8" w:rsidRDefault="007110B8" w:rsidP="00E85585">
      <w:pPr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</w:p>
    <w:p w14:paraId="6D0B057F" w14:textId="77777777" w:rsidR="007110B8" w:rsidRDefault="007110B8" w:rsidP="00E85585">
      <w:pPr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</w:p>
    <w:p w14:paraId="5ADEB7B2" w14:textId="77777777" w:rsidR="007110B8" w:rsidRDefault="007110B8" w:rsidP="00E85585">
      <w:pPr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</w:p>
    <w:p w14:paraId="597721AB" w14:textId="77777777" w:rsidR="006B3C6F" w:rsidRDefault="006B3C6F" w:rsidP="00E85585">
      <w:pPr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  <w:sectPr w:rsidR="006B3C6F" w:rsidSect="006B3C6F">
          <w:type w:val="evenPage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D3F435E" w14:textId="77777777" w:rsidR="00E85585" w:rsidRPr="007D5748" w:rsidRDefault="00E8558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843E7F6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p w14:paraId="3894396D" w14:textId="77777777" w:rsidR="006A7872" w:rsidRDefault="007110B8" w:rsidP="006A787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110B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1683"/>
        <w:gridCol w:w="1686"/>
        <w:gridCol w:w="1686"/>
        <w:gridCol w:w="1686"/>
        <w:gridCol w:w="3346"/>
      </w:tblGrid>
      <w:tr w:rsidR="001D233A" w:rsidRPr="001D233A" w14:paraId="054428CA" w14:textId="77777777" w:rsidTr="001D233A">
        <w:trPr>
          <w:trHeight w:val="315"/>
        </w:trPr>
        <w:tc>
          <w:tcPr>
            <w:tcW w:w="14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73C359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(v eurách) – MPSVR SR</w:t>
            </w:r>
          </w:p>
        </w:tc>
        <w:tc>
          <w:tcPr>
            <w:tcW w:w="238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162EB6" w14:textId="32ADF65E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rozpočet verejnej správy </w:t>
            </w:r>
          </w:p>
        </w:tc>
        <w:tc>
          <w:tcPr>
            <w:tcW w:w="11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00AB165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1D233A" w:rsidRPr="001D233A" w14:paraId="4578FE2A" w14:textId="77777777" w:rsidTr="001D233A">
        <w:trPr>
          <w:trHeight w:val="315"/>
        </w:trPr>
        <w:tc>
          <w:tcPr>
            <w:tcW w:w="14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D9098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00EE70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C802A6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1A6A7A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73B1CC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1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8B308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1D233A" w:rsidRPr="001D233A" w14:paraId="6ED43338" w14:textId="77777777" w:rsidTr="001D233A">
        <w:trPr>
          <w:trHeight w:val="330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B7D4E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2F05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2 700 000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A9BEF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419 713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CFC5C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358 872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A3BC7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355 277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3F96A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65474094" w14:textId="77777777" w:rsidTr="001D233A">
        <w:trPr>
          <w:trHeight w:val="525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DD1C5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5581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16F47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316 800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6D979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316 800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1D95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316 800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BA50B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navýšenie počtu  zamestnancov v aparáte MPSVR SR + Ústredie</w:t>
            </w:r>
          </w:p>
        </w:tc>
      </w:tr>
      <w:tr w:rsidR="001D233A" w:rsidRPr="001D233A" w14:paraId="648F21E7" w14:textId="77777777" w:rsidTr="001D233A">
        <w:trPr>
          <w:trHeight w:val="525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566B3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Poistné a príspevok do poisťovní (620)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CCC7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9A98F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110 722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AC6C9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110 722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9062E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110 722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EE18A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navýšenie počtu zamestnancov v aparáte MPSVR SR + Ústredie</w:t>
            </w:r>
          </w:p>
        </w:tc>
      </w:tr>
      <w:tr w:rsidR="001D233A" w:rsidRPr="001D233A" w14:paraId="74D18CE4" w14:textId="77777777" w:rsidTr="001D233A">
        <w:trPr>
          <w:trHeight w:val="525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492A7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 xml:space="preserve">2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AF48C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47D9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140 000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2144B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84 000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15B4F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84 000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8CC47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navýšenie počtu zamestnancov v aparáte MPSVR SR + Ústredie</w:t>
            </w:r>
          </w:p>
        </w:tc>
      </w:tr>
      <w:tr w:rsidR="001D233A" w:rsidRPr="001D233A" w14:paraId="0821F0C5" w14:textId="77777777" w:rsidTr="001D233A">
        <w:trPr>
          <w:trHeight w:val="330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70383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E75A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2 700 000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4894B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3E53A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DB9E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10ED0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úprava informačných systémov</w:t>
            </w:r>
          </w:p>
        </w:tc>
      </w:tr>
      <w:tr w:rsidR="001D233A" w:rsidRPr="001D233A" w14:paraId="67D9DC9B" w14:textId="77777777" w:rsidTr="001D233A">
        <w:trPr>
          <w:trHeight w:val="525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E79AE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 xml:space="preserve">2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EBFF5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6F93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-147 808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46DD5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-152 650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6419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-156 245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F4D6A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pomoc v hmotnej núdzi - nižšie výdavky v  súvislosti s udržanými pracovnými miestami</w:t>
            </w:r>
          </w:p>
        </w:tc>
      </w:tr>
      <w:tr w:rsidR="001D233A" w:rsidRPr="001D233A" w14:paraId="1A6D38B8" w14:textId="77777777" w:rsidTr="001D233A">
        <w:trPr>
          <w:trHeight w:val="885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12550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1D233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1435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0E27B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D50EA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5FEB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AA1C8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3AF36292" w14:textId="77777777" w:rsidTr="001D233A">
        <w:trPr>
          <w:trHeight w:val="330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5B41F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BFBD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8C38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6E13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8C7E9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A1CE5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36448F60" w14:textId="77777777" w:rsidTr="001D233A">
        <w:trPr>
          <w:trHeight w:val="330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94BBD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B5D30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2D7E0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0734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27E5F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6E2B9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5B5A6D35" w14:textId="77777777" w:rsidTr="001D233A">
        <w:trPr>
          <w:trHeight w:val="330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D2A3E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A7A97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DEC9E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B233F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3E40E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0C174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14D7503D" w14:textId="77777777" w:rsidTr="001D233A">
        <w:trPr>
          <w:trHeight w:val="525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C83F0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BFE676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9D2A740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167163F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ACD3A1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B5277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2C9A86CB" w14:textId="77777777" w:rsidTr="001D233A">
        <w:trPr>
          <w:trHeight w:val="330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2DDFB2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1EB7799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2 700 000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157EA7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419 713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C9E44B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358 872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47D2A9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355 277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E6966D2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6D1504F" w14:textId="31AB10C9" w:rsidR="00462060" w:rsidRDefault="00462060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1683"/>
        <w:gridCol w:w="1686"/>
        <w:gridCol w:w="1686"/>
        <w:gridCol w:w="1686"/>
        <w:gridCol w:w="3346"/>
      </w:tblGrid>
      <w:tr w:rsidR="001D233A" w:rsidRPr="001D233A" w14:paraId="5BAC824E" w14:textId="77777777" w:rsidTr="001D233A">
        <w:trPr>
          <w:trHeight w:val="315"/>
        </w:trPr>
        <w:tc>
          <w:tcPr>
            <w:tcW w:w="14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A71B66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Výdavky (v eurách) – Sociálna poisťovňa</w:t>
            </w:r>
          </w:p>
        </w:tc>
        <w:tc>
          <w:tcPr>
            <w:tcW w:w="238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1B40F0" w14:textId="69039348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rozpočet verejnej správy </w:t>
            </w:r>
          </w:p>
        </w:tc>
        <w:tc>
          <w:tcPr>
            <w:tcW w:w="11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96F11C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1D233A" w:rsidRPr="001D233A" w14:paraId="4A8F4C27" w14:textId="77777777" w:rsidTr="001D233A">
        <w:trPr>
          <w:trHeight w:val="315"/>
        </w:trPr>
        <w:tc>
          <w:tcPr>
            <w:tcW w:w="14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FE0F4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35925B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3CA338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4E866A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878001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1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664A0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1D233A" w:rsidRPr="001D233A" w14:paraId="51821E93" w14:textId="77777777" w:rsidTr="001D233A">
        <w:trPr>
          <w:trHeight w:val="330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6216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4D1B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940 000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F214B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16 512 368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D07B9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17 335 144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E1700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18 175 223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55030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077F75BE" w14:textId="77777777" w:rsidTr="001D233A">
        <w:trPr>
          <w:trHeight w:val="525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BBEC7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295D0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A04E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B28E6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CD9B1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848D9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701EB347" w14:textId="77777777" w:rsidTr="001D233A">
        <w:trPr>
          <w:trHeight w:val="330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4A362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Poistné a príspevok do poisťovní (620)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CCAA1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66F2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253BB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2E16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D4C22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57889644" w14:textId="77777777" w:rsidTr="001D233A">
        <w:trPr>
          <w:trHeight w:val="330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09F74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21E4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940 000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13ECC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2F53F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74343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C1EDB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úprava informačných systémov</w:t>
            </w:r>
          </w:p>
        </w:tc>
      </w:tr>
      <w:tr w:rsidR="001D233A" w:rsidRPr="001D233A" w14:paraId="44FD7CC6" w14:textId="77777777" w:rsidTr="001D233A">
        <w:trPr>
          <w:trHeight w:val="330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99F52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 xml:space="preserve">2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1E6DA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21FC6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20 322 914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9BBF5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21 335 561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C755A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22 369 505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EE53F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dávka podpory v čase skrátenej práce</w:t>
            </w:r>
          </w:p>
        </w:tc>
      </w:tr>
      <w:tr w:rsidR="001D233A" w:rsidRPr="001D233A" w14:paraId="7DC52E95" w14:textId="77777777" w:rsidTr="001D233A">
        <w:trPr>
          <w:trHeight w:val="780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89E6E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 xml:space="preserve">2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2CE6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45913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-3 810 546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9EEB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-4 000 418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7C0E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-4 194 282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FBF93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dávka v nezamestnanosti (642033) - nižšie výdavky v  súvislosti s udržanými pracovnými miestami vďaka podpory v čase skrátenej práce</w:t>
            </w:r>
          </w:p>
        </w:tc>
      </w:tr>
      <w:tr w:rsidR="001D233A" w:rsidRPr="001D233A" w14:paraId="23E1F4A0" w14:textId="77777777" w:rsidTr="001D233A">
        <w:trPr>
          <w:trHeight w:val="885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91593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1D233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D5D3A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E5615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93F9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872A6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2FD08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1A30756F" w14:textId="77777777" w:rsidTr="001D233A">
        <w:trPr>
          <w:trHeight w:val="330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25400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D4E7A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88D4A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12A2B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BAF1A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95F78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65B068F4" w14:textId="77777777" w:rsidTr="001D233A">
        <w:trPr>
          <w:trHeight w:val="330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5D9F2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702B6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FEC3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6BE3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B5C6E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5C0C0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5F48FB55" w14:textId="77777777" w:rsidTr="001D233A">
        <w:trPr>
          <w:trHeight w:val="330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7455D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CC9C5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53AE6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1431A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80E9B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51D7D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4AA2FC2E" w14:textId="77777777" w:rsidTr="001D233A">
        <w:trPr>
          <w:trHeight w:val="525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ECB31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725D9F0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2269C70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E4C3CC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DC4215E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0D7C8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4F183EC0" w14:textId="77777777" w:rsidTr="001D233A">
        <w:trPr>
          <w:trHeight w:val="330"/>
        </w:trPr>
        <w:tc>
          <w:tcPr>
            <w:tcW w:w="1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B15975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C1DB2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940 000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017ED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16 512 368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6B30B5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17 335 144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38513E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18 175 223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9187EC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61777BFA" w14:textId="76E2FCF1" w:rsidR="00CB3623" w:rsidRDefault="00CB3623" w:rsidP="00F4281C">
      <w:pPr>
        <w:tabs>
          <w:tab w:val="left" w:pos="1291"/>
        </w:tabs>
      </w:pPr>
    </w:p>
    <w:p w14:paraId="4A6D10CD" w14:textId="77777777" w:rsidR="00462060" w:rsidRDefault="00462060" w:rsidP="001D233A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 w:type="page"/>
      </w:r>
    </w:p>
    <w:p w14:paraId="46D5DC05" w14:textId="15A73370" w:rsidR="001D233A" w:rsidRDefault="001D233A" w:rsidP="001D233A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5 </w:t>
      </w:r>
    </w:p>
    <w:p w14:paraId="361E6357" w14:textId="77777777" w:rsidR="001D233A" w:rsidRDefault="001D233A" w:rsidP="00F4281C">
      <w:pPr>
        <w:tabs>
          <w:tab w:val="left" w:pos="1291"/>
        </w:tabs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8"/>
        <w:gridCol w:w="2042"/>
        <w:gridCol w:w="2042"/>
        <w:gridCol w:w="2042"/>
        <w:gridCol w:w="2045"/>
        <w:gridCol w:w="2685"/>
      </w:tblGrid>
      <w:tr w:rsidR="001D233A" w:rsidRPr="001D233A" w14:paraId="55CE8B60" w14:textId="77777777" w:rsidTr="001D233A">
        <w:trPr>
          <w:trHeight w:val="1035"/>
        </w:trPr>
        <w:tc>
          <w:tcPr>
            <w:tcW w:w="11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2307DA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Zamestnanosť – MPSVR SR (aparát + Ústredie)</w:t>
            </w:r>
          </w:p>
        </w:tc>
        <w:tc>
          <w:tcPr>
            <w:tcW w:w="288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AF0EED8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9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807943B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1D233A" w:rsidRPr="001D233A" w14:paraId="758BD982" w14:textId="77777777" w:rsidTr="001D233A">
        <w:trPr>
          <w:trHeight w:val="330"/>
        </w:trPr>
        <w:tc>
          <w:tcPr>
            <w:tcW w:w="11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5CA19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E71453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90375B6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C7C4D9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D78ABB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94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1EFDD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1D233A" w:rsidRPr="001D233A" w14:paraId="61536B53" w14:textId="77777777" w:rsidTr="001D233A">
        <w:trPr>
          <w:trHeight w:val="330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438B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FF3F4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EA3EB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44C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1D73D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B164D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05BD2CB5" w14:textId="77777777" w:rsidTr="001D233A">
        <w:trPr>
          <w:trHeight w:val="330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949CF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1714E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46E6A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CB160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D73AF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CBE92D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7EE52700" w14:textId="77777777" w:rsidTr="001D233A">
        <w:trPr>
          <w:trHeight w:val="330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8C890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3079D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800EE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1 886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87DB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1 886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B5B07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1 886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1FE01A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48981B61" w14:textId="77777777" w:rsidTr="001D233A">
        <w:trPr>
          <w:trHeight w:val="330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617DF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9D01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A04C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1 886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64931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1 886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2C32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1 886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858DA7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291D965A" w14:textId="77777777" w:rsidTr="001D233A">
        <w:trPr>
          <w:trHeight w:val="330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5F3EAB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F3E535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5AD2036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427 522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B97821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427 522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4272E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427 522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233E53B2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317E7EC0" w14:textId="77777777" w:rsidTr="001D233A">
        <w:trPr>
          <w:trHeight w:val="645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DC77F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B33F1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49876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316 800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9E6FF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316 800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F8F58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316 800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AADA1E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2FD5CE37" w14:textId="77777777" w:rsidTr="001D233A">
        <w:trPr>
          <w:trHeight w:val="330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15B06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DD5C3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E78D9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316 800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F02F6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316 800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160F3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316 800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210BFE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39F0C064" w14:textId="77777777" w:rsidTr="001D233A">
        <w:trPr>
          <w:trHeight w:val="330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4DDA3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77EE6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BF860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110 722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444E7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110 722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43D72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110 722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15E4A1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D233A" w:rsidRPr="001D233A" w14:paraId="7EF96299" w14:textId="77777777" w:rsidTr="001D233A">
        <w:trPr>
          <w:trHeight w:val="330"/>
        </w:trPr>
        <w:tc>
          <w:tcPr>
            <w:tcW w:w="1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1963D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DA12B" w14:textId="77777777" w:rsidR="001D233A" w:rsidRPr="001D233A" w:rsidRDefault="001D233A" w:rsidP="001D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9D87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110 722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412A4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110 722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0C2C" w14:textId="77777777" w:rsidR="001D233A" w:rsidRPr="001D233A" w:rsidRDefault="001D233A" w:rsidP="001D2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110 722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8BD1B9" w14:textId="77777777" w:rsidR="001D233A" w:rsidRPr="001D233A" w:rsidRDefault="001D233A" w:rsidP="001D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D2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9362A64" w14:textId="77777777" w:rsidR="001D233A" w:rsidRPr="00B077D7" w:rsidRDefault="001D233A" w:rsidP="00F4281C">
      <w:pPr>
        <w:tabs>
          <w:tab w:val="left" w:pos="1291"/>
        </w:tabs>
      </w:pPr>
    </w:p>
    <w:sectPr w:rsidR="001D233A" w:rsidRPr="00B077D7" w:rsidSect="00F510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DDBE8" w14:textId="77777777" w:rsidR="00530E2D" w:rsidRDefault="00530E2D">
      <w:pPr>
        <w:spacing w:after="0" w:line="240" w:lineRule="auto"/>
      </w:pPr>
      <w:r>
        <w:separator/>
      </w:r>
    </w:p>
  </w:endnote>
  <w:endnote w:type="continuationSeparator" w:id="0">
    <w:p w14:paraId="25B30902" w14:textId="77777777" w:rsidR="00530E2D" w:rsidRDefault="0053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57085" w14:textId="77777777" w:rsidR="007D63F6" w:rsidRDefault="007D63F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2D9A9441" w14:textId="77777777" w:rsidR="007D63F6" w:rsidRDefault="007D63F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3872951"/>
      <w:docPartObj>
        <w:docPartGallery w:val="Page Numbers (Bottom of Page)"/>
        <w:docPartUnique/>
      </w:docPartObj>
    </w:sdtPr>
    <w:sdtContent>
      <w:p w14:paraId="025F2434" w14:textId="1C2382F9" w:rsidR="007D63F6" w:rsidRDefault="005475C8" w:rsidP="005475C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2A788" w14:textId="77777777" w:rsidR="007D63F6" w:rsidRDefault="007D63F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1421E9EB" w14:textId="77777777" w:rsidR="007D63F6" w:rsidRDefault="007D63F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44D6D" w14:textId="77777777" w:rsidR="00530E2D" w:rsidRDefault="00530E2D">
      <w:pPr>
        <w:spacing w:after="0" w:line="240" w:lineRule="auto"/>
      </w:pPr>
      <w:r>
        <w:separator/>
      </w:r>
    </w:p>
  </w:footnote>
  <w:footnote w:type="continuationSeparator" w:id="0">
    <w:p w14:paraId="6205B563" w14:textId="77777777" w:rsidR="00530E2D" w:rsidRDefault="00530E2D">
      <w:pPr>
        <w:spacing w:after="0" w:line="240" w:lineRule="auto"/>
      </w:pPr>
      <w:r>
        <w:continuationSeparator/>
      </w:r>
    </w:p>
  </w:footnote>
  <w:footnote w:id="1">
    <w:p w14:paraId="63071229" w14:textId="5AC0FB75" w:rsidR="007D63F6" w:rsidRPr="00CF30D2" w:rsidRDefault="007D63F6">
      <w:pPr>
        <w:pStyle w:val="Textpoznmkypodiarou"/>
        <w:rPr>
          <w:rFonts w:ascii="Times New Roman" w:hAnsi="Times New Roman" w:cs="Times New Roman"/>
        </w:rPr>
      </w:pPr>
      <w:r w:rsidRPr="00CF30D2">
        <w:rPr>
          <w:rStyle w:val="Odkaznapoznmkupodiarou"/>
          <w:rFonts w:ascii="Times New Roman" w:hAnsi="Times New Roman" w:cs="Times New Roman"/>
        </w:rPr>
        <w:footnoteRef/>
      </w:r>
      <w:r w:rsidRPr="00CF30D2">
        <w:rPr>
          <w:rFonts w:ascii="Times New Roman" w:hAnsi="Times New Roman" w:cs="Times New Roman"/>
        </w:rPr>
        <w:t xml:space="preserve"> Podiel pracovníkov v režime </w:t>
      </w:r>
      <w:proofErr w:type="spellStart"/>
      <w:r w:rsidRPr="00CF30D2">
        <w:rPr>
          <w:rFonts w:ascii="Times New Roman" w:hAnsi="Times New Roman" w:cs="Times New Roman"/>
        </w:rPr>
        <w:t>Kurzarbeit</w:t>
      </w:r>
      <w:proofErr w:type="spellEnd"/>
      <w:r w:rsidRPr="00CF30D2">
        <w:rPr>
          <w:rFonts w:ascii="Times New Roman" w:hAnsi="Times New Roman" w:cs="Times New Roman"/>
        </w:rPr>
        <w:t xml:space="preserve"> predstavuje v Nemecku v nekrízových rokoch v priemere 0,36%.</w:t>
      </w:r>
    </w:p>
  </w:footnote>
  <w:footnote w:id="2">
    <w:p w14:paraId="63305A60" w14:textId="77777777" w:rsidR="007D63F6" w:rsidRPr="00CF30D2" w:rsidRDefault="007D63F6">
      <w:pPr>
        <w:pStyle w:val="Textpoznmkypodiarou"/>
        <w:rPr>
          <w:rFonts w:ascii="Times New Roman" w:hAnsi="Times New Roman" w:cs="Times New Roman"/>
        </w:rPr>
      </w:pPr>
      <w:r w:rsidRPr="00CF30D2">
        <w:rPr>
          <w:rStyle w:val="Odkaznapoznmkupodiarou"/>
          <w:rFonts w:ascii="Times New Roman" w:hAnsi="Times New Roman" w:cs="Times New Roman"/>
        </w:rPr>
        <w:footnoteRef/>
      </w:r>
      <w:r w:rsidRPr="00CF30D2">
        <w:rPr>
          <w:rFonts w:ascii="Times New Roman" w:hAnsi="Times New Roman" w:cs="Times New Roman"/>
        </w:rPr>
        <w:t xml:space="preserve"> </w:t>
      </w:r>
      <w:proofErr w:type="spellStart"/>
      <w:r w:rsidRPr="00CF30D2">
        <w:rPr>
          <w:rFonts w:ascii="Times New Roman" w:hAnsi="Times New Roman" w:cs="Times New Roman"/>
        </w:rPr>
        <w:t>Boeri</w:t>
      </w:r>
      <w:proofErr w:type="spellEnd"/>
      <w:r w:rsidRPr="00CF30D2">
        <w:rPr>
          <w:rFonts w:ascii="Times New Roman" w:hAnsi="Times New Roman" w:cs="Times New Roman"/>
        </w:rPr>
        <w:t xml:space="preserve">, </w:t>
      </w:r>
      <w:proofErr w:type="spellStart"/>
      <w:r w:rsidRPr="00CF30D2">
        <w:rPr>
          <w:rFonts w:ascii="Times New Roman" w:hAnsi="Times New Roman" w:cs="Times New Roman"/>
        </w:rPr>
        <w:t>Bruecker</w:t>
      </w:r>
      <w:proofErr w:type="spellEnd"/>
      <w:r w:rsidRPr="00CF30D2">
        <w:rPr>
          <w:rFonts w:ascii="Times New Roman" w:hAnsi="Times New Roman" w:cs="Times New Roman"/>
        </w:rPr>
        <w:t xml:space="preserve"> (2011). </w:t>
      </w:r>
      <w:proofErr w:type="spellStart"/>
      <w:r w:rsidRPr="00CF30D2">
        <w:rPr>
          <w:rFonts w:ascii="Times New Roman" w:hAnsi="Times New Roman" w:cs="Times New Roman"/>
        </w:rPr>
        <w:t>Short-Time</w:t>
      </w:r>
      <w:proofErr w:type="spellEnd"/>
      <w:r w:rsidRPr="00CF30D2">
        <w:rPr>
          <w:rFonts w:ascii="Times New Roman" w:hAnsi="Times New Roman" w:cs="Times New Roman"/>
        </w:rPr>
        <w:t xml:space="preserve"> </w:t>
      </w:r>
      <w:proofErr w:type="spellStart"/>
      <w:r w:rsidRPr="00CF30D2">
        <w:rPr>
          <w:rFonts w:ascii="Times New Roman" w:hAnsi="Times New Roman" w:cs="Times New Roman"/>
        </w:rPr>
        <w:t>Work</w:t>
      </w:r>
      <w:proofErr w:type="spellEnd"/>
      <w:r w:rsidRPr="00CF30D2">
        <w:rPr>
          <w:rFonts w:ascii="Times New Roman" w:hAnsi="Times New Roman" w:cs="Times New Roman"/>
        </w:rPr>
        <w:t xml:space="preserve"> </w:t>
      </w:r>
      <w:proofErr w:type="spellStart"/>
      <w:r w:rsidRPr="00CF30D2">
        <w:rPr>
          <w:rFonts w:ascii="Times New Roman" w:hAnsi="Times New Roman" w:cs="Times New Roman"/>
        </w:rPr>
        <w:t>Benefi</w:t>
      </w:r>
      <w:proofErr w:type="spellEnd"/>
      <w:r w:rsidRPr="00CF30D2">
        <w:rPr>
          <w:rFonts w:ascii="Times New Roman" w:hAnsi="Times New Roman" w:cs="Times New Roman"/>
        </w:rPr>
        <w:t xml:space="preserve"> </w:t>
      </w:r>
      <w:proofErr w:type="spellStart"/>
      <w:r w:rsidRPr="00CF30D2">
        <w:rPr>
          <w:rFonts w:ascii="Times New Roman" w:hAnsi="Times New Roman" w:cs="Times New Roman"/>
        </w:rPr>
        <w:t>ts</w:t>
      </w:r>
      <w:proofErr w:type="spellEnd"/>
      <w:r w:rsidRPr="00CF30D2">
        <w:rPr>
          <w:rFonts w:ascii="Times New Roman" w:hAnsi="Times New Roman" w:cs="Times New Roman"/>
        </w:rPr>
        <w:t xml:space="preserve"> </w:t>
      </w:r>
      <w:proofErr w:type="spellStart"/>
      <w:r w:rsidRPr="00CF30D2">
        <w:rPr>
          <w:rFonts w:ascii="Times New Roman" w:hAnsi="Times New Roman" w:cs="Times New Roman"/>
        </w:rPr>
        <w:t>Revisited</w:t>
      </w:r>
      <w:proofErr w:type="spellEnd"/>
      <w:r w:rsidRPr="00CF30D2">
        <w:rPr>
          <w:rFonts w:ascii="Times New Roman" w:hAnsi="Times New Roman" w:cs="Times New Roman"/>
        </w:rPr>
        <w:t xml:space="preserve">: </w:t>
      </w:r>
      <w:proofErr w:type="spellStart"/>
      <w:r w:rsidRPr="00CF30D2">
        <w:rPr>
          <w:rFonts w:ascii="Times New Roman" w:hAnsi="Times New Roman" w:cs="Times New Roman"/>
        </w:rPr>
        <w:t>Some</w:t>
      </w:r>
      <w:proofErr w:type="spellEnd"/>
      <w:r w:rsidRPr="00CF30D2">
        <w:rPr>
          <w:rFonts w:ascii="Times New Roman" w:hAnsi="Times New Roman" w:cs="Times New Roman"/>
        </w:rPr>
        <w:t xml:space="preserve"> </w:t>
      </w:r>
      <w:proofErr w:type="spellStart"/>
      <w:r w:rsidRPr="00CF30D2">
        <w:rPr>
          <w:rFonts w:ascii="Times New Roman" w:hAnsi="Times New Roman" w:cs="Times New Roman"/>
        </w:rPr>
        <w:t>Lessons</w:t>
      </w:r>
      <w:proofErr w:type="spellEnd"/>
      <w:r w:rsidRPr="00CF30D2">
        <w:rPr>
          <w:rFonts w:ascii="Times New Roman" w:hAnsi="Times New Roman" w:cs="Times New Roman"/>
        </w:rPr>
        <w:t xml:space="preserve"> </w:t>
      </w:r>
      <w:proofErr w:type="spellStart"/>
      <w:r w:rsidRPr="00CF30D2">
        <w:rPr>
          <w:rFonts w:ascii="Times New Roman" w:hAnsi="Times New Roman" w:cs="Times New Roman"/>
        </w:rPr>
        <w:t>from</w:t>
      </w:r>
      <w:proofErr w:type="spellEnd"/>
      <w:r w:rsidRPr="00CF30D2">
        <w:rPr>
          <w:rFonts w:ascii="Times New Roman" w:hAnsi="Times New Roman" w:cs="Times New Roman"/>
        </w:rPr>
        <w:t xml:space="preserve"> </w:t>
      </w:r>
      <w:proofErr w:type="spellStart"/>
      <w:r w:rsidRPr="00CF30D2">
        <w:rPr>
          <w:rFonts w:ascii="Times New Roman" w:hAnsi="Times New Roman" w:cs="Times New Roman"/>
        </w:rPr>
        <w:t>the</w:t>
      </w:r>
      <w:proofErr w:type="spellEnd"/>
      <w:r w:rsidRPr="00CF30D2">
        <w:rPr>
          <w:rFonts w:ascii="Times New Roman" w:hAnsi="Times New Roman" w:cs="Times New Roman"/>
        </w:rPr>
        <w:t xml:space="preserve"> </w:t>
      </w:r>
      <w:proofErr w:type="spellStart"/>
      <w:r w:rsidRPr="00CF30D2">
        <w:rPr>
          <w:rFonts w:ascii="Times New Roman" w:hAnsi="Times New Roman" w:cs="Times New Roman"/>
        </w:rPr>
        <w:t>Great</w:t>
      </w:r>
      <w:proofErr w:type="spellEnd"/>
      <w:r w:rsidRPr="00CF30D2">
        <w:rPr>
          <w:rFonts w:ascii="Times New Roman" w:hAnsi="Times New Roman" w:cs="Times New Roman"/>
        </w:rPr>
        <w:t xml:space="preserve"> </w:t>
      </w:r>
      <w:proofErr w:type="spellStart"/>
      <w:r w:rsidRPr="00CF30D2">
        <w:rPr>
          <w:rFonts w:ascii="Times New Roman" w:hAnsi="Times New Roman" w:cs="Times New Roman"/>
        </w:rPr>
        <w:t>Recession</w:t>
      </w:r>
      <w:proofErr w:type="spellEnd"/>
      <w:r w:rsidRPr="00CF30D2">
        <w:rPr>
          <w:rFonts w:ascii="Times New Roman" w:hAnsi="Times New Roman" w:cs="Times New Roman"/>
        </w:rPr>
        <w:t xml:space="preserve">. </w:t>
      </w:r>
    </w:p>
    <w:p w14:paraId="71802102" w14:textId="4C558A8E" w:rsidR="007D63F6" w:rsidRDefault="007D63F6">
      <w:pPr>
        <w:pStyle w:val="Textpoznmkypodiarou"/>
      </w:pPr>
      <w:proofErr w:type="spellStart"/>
      <w:r w:rsidRPr="00CF30D2">
        <w:rPr>
          <w:rFonts w:ascii="Times New Roman" w:hAnsi="Times New Roman" w:cs="Times New Roman"/>
        </w:rPr>
        <w:t>Hijzen</w:t>
      </w:r>
      <w:proofErr w:type="spellEnd"/>
      <w:r w:rsidRPr="00CF30D2">
        <w:rPr>
          <w:rFonts w:ascii="Times New Roman" w:hAnsi="Times New Roman" w:cs="Times New Roman"/>
        </w:rPr>
        <w:t xml:space="preserve">, Martin (2013). </w:t>
      </w:r>
      <w:proofErr w:type="spellStart"/>
      <w:r w:rsidRPr="00CF30D2">
        <w:rPr>
          <w:rFonts w:ascii="Times New Roman" w:hAnsi="Times New Roman" w:cs="Times New Roman"/>
        </w:rPr>
        <w:t>The</w:t>
      </w:r>
      <w:proofErr w:type="spellEnd"/>
      <w:r w:rsidRPr="00CF30D2">
        <w:rPr>
          <w:rFonts w:ascii="Times New Roman" w:hAnsi="Times New Roman" w:cs="Times New Roman"/>
        </w:rPr>
        <w:t xml:space="preserve"> Role </w:t>
      </w:r>
      <w:proofErr w:type="spellStart"/>
      <w:r w:rsidRPr="00CF30D2">
        <w:rPr>
          <w:rFonts w:ascii="Times New Roman" w:hAnsi="Times New Roman" w:cs="Times New Roman"/>
        </w:rPr>
        <w:t>of</w:t>
      </w:r>
      <w:proofErr w:type="spellEnd"/>
      <w:r w:rsidRPr="00CF30D2">
        <w:rPr>
          <w:rFonts w:ascii="Times New Roman" w:hAnsi="Times New Roman" w:cs="Times New Roman"/>
        </w:rPr>
        <w:t xml:space="preserve"> </w:t>
      </w:r>
      <w:proofErr w:type="spellStart"/>
      <w:r w:rsidRPr="00CF30D2">
        <w:rPr>
          <w:rFonts w:ascii="Times New Roman" w:hAnsi="Times New Roman" w:cs="Times New Roman"/>
        </w:rPr>
        <w:t>Short-Time</w:t>
      </w:r>
      <w:proofErr w:type="spellEnd"/>
      <w:r w:rsidRPr="00CF30D2">
        <w:rPr>
          <w:rFonts w:ascii="Times New Roman" w:hAnsi="Times New Roman" w:cs="Times New Roman"/>
        </w:rPr>
        <w:t xml:space="preserve"> </w:t>
      </w:r>
      <w:proofErr w:type="spellStart"/>
      <w:r w:rsidRPr="00CF30D2">
        <w:rPr>
          <w:rFonts w:ascii="Times New Roman" w:hAnsi="Times New Roman" w:cs="Times New Roman"/>
        </w:rPr>
        <w:t>Work</w:t>
      </w:r>
      <w:proofErr w:type="spellEnd"/>
      <w:r w:rsidRPr="00CF30D2">
        <w:rPr>
          <w:rFonts w:ascii="Times New Roman" w:hAnsi="Times New Roman" w:cs="Times New Roman"/>
        </w:rPr>
        <w:t xml:space="preserve"> </w:t>
      </w:r>
      <w:proofErr w:type="spellStart"/>
      <w:r w:rsidRPr="00CF30D2">
        <w:rPr>
          <w:rFonts w:ascii="Times New Roman" w:hAnsi="Times New Roman" w:cs="Times New Roman"/>
        </w:rPr>
        <w:t>Schemes</w:t>
      </w:r>
      <w:proofErr w:type="spellEnd"/>
      <w:r w:rsidRPr="00CF30D2">
        <w:rPr>
          <w:rFonts w:ascii="Times New Roman" w:hAnsi="Times New Roman" w:cs="Times New Roman"/>
        </w:rPr>
        <w:t xml:space="preserve"> </w:t>
      </w:r>
      <w:proofErr w:type="spellStart"/>
      <w:r w:rsidRPr="00CF30D2">
        <w:rPr>
          <w:rFonts w:ascii="Times New Roman" w:hAnsi="Times New Roman" w:cs="Times New Roman"/>
        </w:rPr>
        <w:t>during</w:t>
      </w:r>
      <w:proofErr w:type="spellEnd"/>
      <w:r w:rsidRPr="00CF30D2">
        <w:rPr>
          <w:rFonts w:ascii="Times New Roman" w:hAnsi="Times New Roman" w:cs="Times New Roman"/>
        </w:rPr>
        <w:t xml:space="preserve"> </w:t>
      </w:r>
      <w:proofErr w:type="spellStart"/>
      <w:r w:rsidRPr="00CF30D2">
        <w:rPr>
          <w:rFonts w:ascii="Times New Roman" w:hAnsi="Times New Roman" w:cs="Times New Roman"/>
        </w:rPr>
        <w:t>the</w:t>
      </w:r>
      <w:proofErr w:type="spellEnd"/>
      <w:r w:rsidRPr="00CF30D2">
        <w:rPr>
          <w:rFonts w:ascii="Times New Roman" w:hAnsi="Times New Roman" w:cs="Times New Roman"/>
        </w:rPr>
        <w:t xml:space="preserve"> </w:t>
      </w:r>
      <w:proofErr w:type="spellStart"/>
      <w:r w:rsidRPr="00CF30D2">
        <w:rPr>
          <w:rFonts w:ascii="Times New Roman" w:hAnsi="Times New Roman" w:cs="Times New Roman"/>
        </w:rPr>
        <w:t>Global</w:t>
      </w:r>
      <w:proofErr w:type="spellEnd"/>
      <w:r w:rsidRPr="00CF30D2">
        <w:rPr>
          <w:rFonts w:ascii="Times New Roman" w:hAnsi="Times New Roman" w:cs="Times New Roman"/>
        </w:rPr>
        <w:t xml:space="preserve"> </w:t>
      </w:r>
      <w:proofErr w:type="spellStart"/>
      <w:r w:rsidRPr="00CF30D2">
        <w:rPr>
          <w:rFonts w:ascii="Times New Roman" w:hAnsi="Times New Roman" w:cs="Times New Roman"/>
        </w:rPr>
        <w:t>Financial</w:t>
      </w:r>
      <w:proofErr w:type="spellEnd"/>
      <w:r w:rsidRPr="00CF30D2">
        <w:rPr>
          <w:rFonts w:ascii="Times New Roman" w:hAnsi="Times New Roman" w:cs="Times New Roman"/>
        </w:rPr>
        <w:t xml:space="preserve"> </w:t>
      </w:r>
      <w:proofErr w:type="spellStart"/>
      <w:r w:rsidRPr="00CF30D2">
        <w:rPr>
          <w:rFonts w:ascii="Times New Roman" w:hAnsi="Times New Roman" w:cs="Times New Roman"/>
        </w:rPr>
        <w:t>Crisis</w:t>
      </w:r>
      <w:proofErr w:type="spellEnd"/>
      <w:r w:rsidRPr="00CF30D2">
        <w:rPr>
          <w:rFonts w:ascii="Times New Roman" w:hAnsi="Times New Roman" w:cs="Times New Roman"/>
        </w:rPr>
        <w:t xml:space="preserve"> and </w:t>
      </w:r>
      <w:proofErr w:type="spellStart"/>
      <w:r w:rsidRPr="00CF30D2">
        <w:rPr>
          <w:rFonts w:ascii="Times New Roman" w:hAnsi="Times New Roman" w:cs="Times New Roman"/>
        </w:rPr>
        <w:t>Early</w:t>
      </w:r>
      <w:proofErr w:type="spellEnd"/>
      <w:r w:rsidRPr="00CF30D2">
        <w:rPr>
          <w:rFonts w:ascii="Times New Roman" w:hAnsi="Times New Roman" w:cs="Times New Roman"/>
        </w:rPr>
        <w:t xml:space="preserve"> </w:t>
      </w:r>
      <w:proofErr w:type="spellStart"/>
      <w:r w:rsidRPr="00CF30D2">
        <w:rPr>
          <w:rFonts w:ascii="Times New Roman" w:hAnsi="Times New Roman" w:cs="Times New Roman"/>
        </w:rPr>
        <w:t>Recovery</w:t>
      </w:r>
      <w:proofErr w:type="spellEnd"/>
      <w:r w:rsidRPr="00CF30D2">
        <w:rPr>
          <w:rFonts w:ascii="Times New Roman" w:hAnsi="Times New Roman" w:cs="Times New Roman"/>
        </w:rPr>
        <w:t xml:space="preserve">: A </w:t>
      </w:r>
      <w:proofErr w:type="spellStart"/>
      <w:r w:rsidRPr="00CF30D2">
        <w:rPr>
          <w:rFonts w:ascii="Times New Roman" w:hAnsi="Times New Roman" w:cs="Times New Roman"/>
        </w:rPr>
        <w:t>Cross-Country</w:t>
      </w:r>
      <w:proofErr w:type="spellEnd"/>
      <w:r w:rsidRPr="00CF30D2">
        <w:rPr>
          <w:rFonts w:ascii="Times New Roman" w:hAnsi="Times New Roman" w:cs="Times New Roman"/>
        </w:rPr>
        <w:t xml:space="preserve"> </w:t>
      </w:r>
      <w:proofErr w:type="spellStart"/>
      <w:r w:rsidRPr="00CF30D2">
        <w:rPr>
          <w:rFonts w:ascii="Times New Roman" w:hAnsi="Times New Roman" w:cs="Times New Roman"/>
        </w:rPr>
        <w:t>Analysis</w:t>
      </w:r>
      <w:proofErr w:type="spellEnd"/>
      <w:r w:rsidRPr="00CF30D2">
        <w:rPr>
          <w:rFonts w:ascii="Times New Roman" w:hAnsi="Times New Roman" w:cs="Times New Roman"/>
        </w:rPr>
        <w:t>.</w:t>
      </w:r>
      <w:r w:rsidRPr="00632C15">
        <w:t xml:space="preserve"> </w:t>
      </w:r>
    </w:p>
  </w:footnote>
  <w:footnote w:id="3">
    <w:p w14:paraId="4B0D0C94" w14:textId="6616CC6D" w:rsidR="007D63F6" w:rsidRDefault="007D63F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6B3C6F">
        <w:rPr>
          <w:rFonts w:ascii="Times New Roman" w:hAnsi="Times New Roman" w:cs="Times New Roman"/>
          <w:sz w:val="18"/>
        </w:rPr>
        <w:t xml:space="preserve">Podiel pracovníkov v režime </w:t>
      </w:r>
      <w:proofErr w:type="spellStart"/>
      <w:r w:rsidRPr="006B3C6F">
        <w:rPr>
          <w:rFonts w:ascii="Times New Roman" w:hAnsi="Times New Roman" w:cs="Times New Roman"/>
          <w:sz w:val="18"/>
        </w:rPr>
        <w:t>Kurzarbeit</w:t>
      </w:r>
      <w:proofErr w:type="spellEnd"/>
      <w:r w:rsidRPr="006B3C6F">
        <w:rPr>
          <w:rFonts w:ascii="Times New Roman" w:hAnsi="Times New Roman" w:cs="Times New Roman"/>
          <w:sz w:val="18"/>
        </w:rPr>
        <w:t xml:space="preserve"> predstavuje v Nemecku v nekrízových rokoch v priemere 0,36%.</w:t>
      </w:r>
    </w:p>
  </w:footnote>
  <w:footnote w:id="4">
    <w:p w14:paraId="1F1CE55A" w14:textId="39686E73" w:rsidR="007D63F6" w:rsidRPr="006F5538" w:rsidRDefault="007D63F6" w:rsidP="00E85585">
      <w:pPr>
        <w:pStyle w:val="Textpoznmkypodiarou"/>
        <w:rPr>
          <w:rFonts w:ascii="Times New Roman" w:hAnsi="Times New Roman" w:cs="Times New Roman"/>
          <w:sz w:val="18"/>
        </w:rPr>
      </w:pPr>
      <w:r w:rsidRPr="006F5538">
        <w:rPr>
          <w:rStyle w:val="Odkaznapoznmkupodiarou"/>
          <w:rFonts w:ascii="Times New Roman" w:hAnsi="Times New Roman" w:cs="Times New Roman"/>
          <w:sz w:val="18"/>
        </w:rPr>
        <w:footnoteRef/>
      </w:r>
      <w:r w:rsidRPr="006F5538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6F5538">
        <w:rPr>
          <w:rFonts w:ascii="Times New Roman" w:hAnsi="Times New Roman" w:cs="Times New Roman"/>
          <w:sz w:val="18"/>
        </w:rPr>
        <w:t>Boeri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, </w:t>
      </w:r>
      <w:proofErr w:type="spellStart"/>
      <w:r w:rsidRPr="006F5538">
        <w:rPr>
          <w:rFonts w:ascii="Times New Roman" w:hAnsi="Times New Roman" w:cs="Times New Roman"/>
          <w:sz w:val="18"/>
        </w:rPr>
        <w:t>Bruecker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 (2011). </w:t>
      </w:r>
      <w:proofErr w:type="spellStart"/>
      <w:r w:rsidRPr="006F5538">
        <w:rPr>
          <w:rFonts w:ascii="Times New Roman" w:hAnsi="Times New Roman" w:cs="Times New Roman"/>
          <w:sz w:val="18"/>
        </w:rPr>
        <w:t>Short-Time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6F5538">
        <w:rPr>
          <w:rFonts w:ascii="Times New Roman" w:hAnsi="Times New Roman" w:cs="Times New Roman"/>
          <w:sz w:val="18"/>
        </w:rPr>
        <w:t>Work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6F5538">
        <w:rPr>
          <w:rFonts w:ascii="Times New Roman" w:hAnsi="Times New Roman" w:cs="Times New Roman"/>
          <w:sz w:val="18"/>
        </w:rPr>
        <w:t>Benefi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6F5538">
        <w:rPr>
          <w:rFonts w:ascii="Times New Roman" w:hAnsi="Times New Roman" w:cs="Times New Roman"/>
          <w:sz w:val="18"/>
        </w:rPr>
        <w:t>ts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6F5538">
        <w:rPr>
          <w:rFonts w:ascii="Times New Roman" w:hAnsi="Times New Roman" w:cs="Times New Roman"/>
          <w:sz w:val="18"/>
        </w:rPr>
        <w:t>Revisited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: </w:t>
      </w:r>
      <w:proofErr w:type="spellStart"/>
      <w:r w:rsidRPr="006F5538">
        <w:rPr>
          <w:rFonts w:ascii="Times New Roman" w:hAnsi="Times New Roman" w:cs="Times New Roman"/>
          <w:sz w:val="18"/>
        </w:rPr>
        <w:t>Some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6F5538">
        <w:rPr>
          <w:rFonts w:ascii="Times New Roman" w:hAnsi="Times New Roman" w:cs="Times New Roman"/>
          <w:sz w:val="18"/>
        </w:rPr>
        <w:t>Le</w:t>
      </w:r>
      <w:r>
        <w:rPr>
          <w:rFonts w:ascii="Times New Roman" w:hAnsi="Times New Roman" w:cs="Times New Roman"/>
          <w:sz w:val="18"/>
        </w:rPr>
        <w:t>ssons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from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the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Great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Recession</w:t>
      </w:r>
      <w:proofErr w:type="spellEnd"/>
      <w:r>
        <w:rPr>
          <w:rFonts w:ascii="Times New Roman" w:hAnsi="Times New Roman" w:cs="Times New Roman"/>
          <w:sz w:val="18"/>
        </w:rPr>
        <w:t>; a</w:t>
      </w:r>
    </w:p>
    <w:p w14:paraId="3297739B" w14:textId="77777777" w:rsidR="007D63F6" w:rsidRDefault="007D63F6" w:rsidP="00E85585">
      <w:pPr>
        <w:pStyle w:val="Textpoznmkypodiarou"/>
      </w:pPr>
      <w:proofErr w:type="spellStart"/>
      <w:r w:rsidRPr="006F5538">
        <w:rPr>
          <w:rFonts w:ascii="Times New Roman" w:hAnsi="Times New Roman" w:cs="Times New Roman"/>
          <w:sz w:val="18"/>
        </w:rPr>
        <w:t>Hijzen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, Martin (2013). </w:t>
      </w:r>
      <w:proofErr w:type="spellStart"/>
      <w:r w:rsidRPr="006F5538">
        <w:rPr>
          <w:rFonts w:ascii="Times New Roman" w:hAnsi="Times New Roman" w:cs="Times New Roman"/>
          <w:sz w:val="18"/>
        </w:rPr>
        <w:t>The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 Role </w:t>
      </w:r>
      <w:proofErr w:type="spellStart"/>
      <w:r w:rsidRPr="006F5538">
        <w:rPr>
          <w:rFonts w:ascii="Times New Roman" w:hAnsi="Times New Roman" w:cs="Times New Roman"/>
          <w:sz w:val="18"/>
        </w:rPr>
        <w:t>of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6F5538">
        <w:rPr>
          <w:rFonts w:ascii="Times New Roman" w:hAnsi="Times New Roman" w:cs="Times New Roman"/>
          <w:sz w:val="18"/>
        </w:rPr>
        <w:t>Short-Time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6F5538">
        <w:rPr>
          <w:rFonts w:ascii="Times New Roman" w:hAnsi="Times New Roman" w:cs="Times New Roman"/>
          <w:sz w:val="18"/>
        </w:rPr>
        <w:t>Work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6F5538">
        <w:rPr>
          <w:rFonts w:ascii="Times New Roman" w:hAnsi="Times New Roman" w:cs="Times New Roman"/>
          <w:sz w:val="18"/>
        </w:rPr>
        <w:t>Schemes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6F5538">
        <w:rPr>
          <w:rFonts w:ascii="Times New Roman" w:hAnsi="Times New Roman" w:cs="Times New Roman"/>
          <w:sz w:val="18"/>
        </w:rPr>
        <w:t>during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6F5538">
        <w:rPr>
          <w:rFonts w:ascii="Times New Roman" w:hAnsi="Times New Roman" w:cs="Times New Roman"/>
          <w:sz w:val="18"/>
        </w:rPr>
        <w:t>the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6F5538">
        <w:rPr>
          <w:rFonts w:ascii="Times New Roman" w:hAnsi="Times New Roman" w:cs="Times New Roman"/>
          <w:sz w:val="18"/>
        </w:rPr>
        <w:t>Global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6F5538">
        <w:rPr>
          <w:rFonts w:ascii="Times New Roman" w:hAnsi="Times New Roman" w:cs="Times New Roman"/>
          <w:sz w:val="18"/>
        </w:rPr>
        <w:t>Financial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6F5538">
        <w:rPr>
          <w:rFonts w:ascii="Times New Roman" w:hAnsi="Times New Roman" w:cs="Times New Roman"/>
          <w:sz w:val="18"/>
        </w:rPr>
        <w:t>Crisis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 and </w:t>
      </w:r>
      <w:proofErr w:type="spellStart"/>
      <w:r w:rsidRPr="006F5538">
        <w:rPr>
          <w:rFonts w:ascii="Times New Roman" w:hAnsi="Times New Roman" w:cs="Times New Roman"/>
          <w:sz w:val="18"/>
        </w:rPr>
        <w:t>Early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6F5538">
        <w:rPr>
          <w:rFonts w:ascii="Times New Roman" w:hAnsi="Times New Roman" w:cs="Times New Roman"/>
          <w:sz w:val="18"/>
        </w:rPr>
        <w:t>Recovery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: A </w:t>
      </w:r>
      <w:proofErr w:type="spellStart"/>
      <w:r w:rsidRPr="006F5538">
        <w:rPr>
          <w:rFonts w:ascii="Times New Roman" w:hAnsi="Times New Roman" w:cs="Times New Roman"/>
          <w:sz w:val="18"/>
        </w:rPr>
        <w:t>Cross-Country</w:t>
      </w:r>
      <w:proofErr w:type="spellEnd"/>
      <w:r w:rsidRPr="006F5538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6F5538">
        <w:rPr>
          <w:rFonts w:ascii="Times New Roman" w:hAnsi="Times New Roman" w:cs="Times New Roman"/>
          <w:sz w:val="18"/>
        </w:rPr>
        <w:t>Analysis</w:t>
      </w:r>
      <w:proofErr w:type="spellEnd"/>
      <w:r w:rsidRPr="006F5538">
        <w:rPr>
          <w:rFonts w:ascii="Times New Roman" w:hAnsi="Times New Roman" w:cs="Times New Roman"/>
          <w:sz w:val="18"/>
        </w:rPr>
        <w:t>.</w:t>
      </w:r>
      <w:r w:rsidRPr="006F5538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82411" w14:textId="77777777" w:rsidR="007D63F6" w:rsidRDefault="007D63F6" w:rsidP="002A703C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5A8C8BFF" w14:textId="77777777" w:rsidR="007D63F6" w:rsidRPr="00EB59C8" w:rsidRDefault="007D63F6" w:rsidP="002A703C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93C7" w14:textId="3996FCC4" w:rsidR="007D63F6" w:rsidRPr="0024067A" w:rsidRDefault="007D63F6">
    <w:pPr>
      <w:pStyle w:val="Hlavika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842B0" w14:textId="77777777" w:rsidR="007D63F6" w:rsidRPr="000A15AE" w:rsidRDefault="007D63F6" w:rsidP="002A703C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31ED"/>
    <w:multiLevelType w:val="hybridMultilevel"/>
    <w:tmpl w:val="40186C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C06389"/>
    <w:multiLevelType w:val="hybridMultilevel"/>
    <w:tmpl w:val="861AFE8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5B86AA9"/>
    <w:multiLevelType w:val="hybridMultilevel"/>
    <w:tmpl w:val="09DE03D8"/>
    <w:lvl w:ilvl="0" w:tplc="CF9ABC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B358EF"/>
    <w:multiLevelType w:val="hybridMultilevel"/>
    <w:tmpl w:val="0E9859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223734"/>
    <w:multiLevelType w:val="hybridMultilevel"/>
    <w:tmpl w:val="7A2C82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45121A"/>
    <w:multiLevelType w:val="hybridMultilevel"/>
    <w:tmpl w:val="5CA46012"/>
    <w:lvl w:ilvl="0" w:tplc="A1DA8F2A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42918"/>
    <w:multiLevelType w:val="hybridMultilevel"/>
    <w:tmpl w:val="EEB88B4C"/>
    <w:lvl w:ilvl="0" w:tplc="77E89A98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EC6E55"/>
    <w:multiLevelType w:val="hybridMultilevel"/>
    <w:tmpl w:val="E618D8BC"/>
    <w:lvl w:ilvl="0" w:tplc="A1DA8F2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A1DA8F2A">
      <w:start w:val="1"/>
      <w:numFmt w:val="bullet"/>
      <w:lvlText w:val="-"/>
      <w:lvlJc w:val="left"/>
      <w:pPr>
        <w:ind w:left="1080" w:hanging="360"/>
      </w:pPr>
      <w:rPr>
        <w:rFonts w:ascii="Arial Narrow" w:hAnsi="Arial Narrow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293ACC"/>
    <w:multiLevelType w:val="hybridMultilevel"/>
    <w:tmpl w:val="0046C7E2"/>
    <w:lvl w:ilvl="0" w:tplc="D41243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C"/>
    <w:rsid w:val="00010307"/>
    <w:rsid w:val="00022419"/>
    <w:rsid w:val="00031B01"/>
    <w:rsid w:val="00035EB6"/>
    <w:rsid w:val="00036963"/>
    <w:rsid w:val="0003782D"/>
    <w:rsid w:val="00057135"/>
    <w:rsid w:val="00062A48"/>
    <w:rsid w:val="000850DF"/>
    <w:rsid w:val="00085E44"/>
    <w:rsid w:val="000D0484"/>
    <w:rsid w:val="000D6C78"/>
    <w:rsid w:val="000D7762"/>
    <w:rsid w:val="001127A8"/>
    <w:rsid w:val="001151FC"/>
    <w:rsid w:val="00132B5C"/>
    <w:rsid w:val="00145388"/>
    <w:rsid w:val="00152B66"/>
    <w:rsid w:val="00152E7D"/>
    <w:rsid w:val="00152F9C"/>
    <w:rsid w:val="00156FDF"/>
    <w:rsid w:val="00163D88"/>
    <w:rsid w:val="00170D2B"/>
    <w:rsid w:val="00181F5A"/>
    <w:rsid w:val="00183C45"/>
    <w:rsid w:val="001A47C0"/>
    <w:rsid w:val="001B6B5C"/>
    <w:rsid w:val="001D233A"/>
    <w:rsid w:val="001E0765"/>
    <w:rsid w:val="001E1497"/>
    <w:rsid w:val="001F24D6"/>
    <w:rsid w:val="00200898"/>
    <w:rsid w:val="002031B7"/>
    <w:rsid w:val="002031EC"/>
    <w:rsid w:val="00204A27"/>
    <w:rsid w:val="002123A3"/>
    <w:rsid w:val="00212894"/>
    <w:rsid w:val="002232FE"/>
    <w:rsid w:val="0023014C"/>
    <w:rsid w:val="002403F8"/>
    <w:rsid w:val="00245A4B"/>
    <w:rsid w:val="002473AC"/>
    <w:rsid w:val="0025673C"/>
    <w:rsid w:val="0025743B"/>
    <w:rsid w:val="00265604"/>
    <w:rsid w:val="002A703C"/>
    <w:rsid w:val="002B749B"/>
    <w:rsid w:val="002D32D9"/>
    <w:rsid w:val="002F1CA3"/>
    <w:rsid w:val="002F2781"/>
    <w:rsid w:val="002F7BE1"/>
    <w:rsid w:val="00304F8C"/>
    <w:rsid w:val="00315BB1"/>
    <w:rsid w:val="00317B90"/>
    <w:rsid w:val="00325815"/>
    <w:rsid w:val="00333D0B"/>
    <w:rsid w:val="00336891"/>
    <w:rsid w:val="003471B0"/>
    <w:rsid w:val="0035217D"/>
    <w:rsid w:val="003705E7"/>
    <w:rsid w:val="003801C4"/>
    <w:rsid w:val="00384D6A"/>
    <w:rsid w:val="003A3DAE"/>
    <w:rsid w:val="003A41EC"/>
    <w:rsid w:val="003B6180"/>
    <w:rsid w:val="003C123A"/>
    <w:rsid w:val="003C2D50"/>
    <w:rsid w:val="003C6D30"/>
    <w:rsid w:val="003D07C1"/>
    <w:rsid w:val="003D09D5"/>
    <w:rsid w:val="003D6253"/>
    <w:rsid w:val="00427B01"/>
    <w:rsid w:val="00452234"/>
    <w:rsid w:val="00462060"/>
    <w:rsid w:val="004651CB"/>
    <w:rsid w:val="00467E4E"/>
    <w:rsid w:val="00472505"/>
    <w:rsid w:val="004735E1"/>
    <w:rsid w:val="00480DA2"/>
    <w:rsid w:val="00481716"/>
    <w:rsid w:val="00487203"/>
    <w:rsid w:val="004A2AAF"/>
    <w:rsid w:val="004A7817"/>
    <w:rsid w:val="004B4F0B"/>
    <w:rsid w:val="004C713A"/>
    <w:rsid w:val="004D78FE"/>
    <w:rsid w:val="004F478B"/>
    <w:rsid w:val="005005EC"/>
    <w:rsid w:val="00505887"/>
    <w:rsid w:val="00530E2D"/>
    <w:rsid w:val="005324DF"/>
    <w:rsid w:val="00533F22"/>
    <w:rsid w:val="00535AD5"/>
    <w:rsid w:val="00545B8B"/>
    <w:rsid w:val="005475C8"/>
    <w:rsid w:val="00554C0B"/>
    <w:rsid w:val="00562F08"/>
    <w:rsid w:val="0056603C"/>
    <w:rsid w:val="00570D2B"/>
    <w:rsid w:val="00570DF9"/>
    <w:rsid w:val="005766B1"/>
    <w:rsid w:val="005A30FC"/>
    <w:rsid w:val="005A3E6F"/>
    <w:rsid w:val="005A5E81"/>
    <w:rsid w:val="005A6CD5"/>
    <w:rsid w:val="005B1B8B"/>
    <w:rsid w:val="005B6E66"/>
    <w:rsid w:val="005B7184"/>
    <w:rsid w:val="005D29E6"/>
    <w:rsid w:val="005D61DC"/>
    <w:rsid w:val="005E67AA"/>
    <w:rsid w:val="005F5F34"/>
    <w:rsid w:val="005F7531"/>
    <w:rsid w:val="00600B6B"/>
    <w:rsid w:val="00602A54"/>
    <w:rsid w:val="00625500"/>
    <w:rsid w:val="00627568"/>
    <w:rsid w:val="00632C15"/>
    <w:rsid w:val="0064111E"/>
    <w:rsid w:val="006429F5"/>
    <w:rsid w:val="00652D30"/>
    <w:rsid w:val="006804E5"/>
    <w:rsid w:val="006865DF"/>
    <w:rsid w:val="00694F0A"/>
    <w:rsid w:val="0069562B"/>
    <w:rsid w:val="006A7872"/>
    <w:rsid w:val="006B3C6F"/>
    <w:rsid w:val="006C71AD"/>
    <w:rsid w:val="006D2B8A"/>
    <w:rsid w:val="006E1194"/>
    <w:rsid w:val="006F01B8"/>
    <w:rsid w:val="006F5538"/>
    <w:rsid w:val="007048BE"/>
    <w:rsid w:val="007110B8"/>
    <w:rsid w:val="007246BD"/>
    <w:rsid w:val="007258FA"/>
    <w:rsid w:val="00727B20"/>
    <w:rsid w:val="0075180D"/>
    <w:rsid w:val="0076063B"/>
    <w:rsid w:val="00761D52"/>
    <w:rsid w:val="00762D5A"/>
    <w:rsid w:val="00782395"/>
    <w:rsid w:val="00794519"/>
    <w:rsid w:val="007A3553"/>
    <w:rsid w:val="007B1BC5"/>
    <w:rsid w:val="007D5748"/>
    <w:rsid w:val="007D63F6"/>
    <w:rsid w:val="0080551C"/>
    <w:rsid w:val="00807048"/>
    <w:rsid w:val="00813914"/>
    <w:rsid w:val="00816426"/>
    <w:rsid w:val="008171C9"/>
    <w:rsid w:val="00830866"/>
    <w:rsid w:val="00840BB1"/>
    <w:rsid w:val="00846CCA"/>
    <w:rsid w:val="0086109E"/>
    <w:rsid w:val="008616E9"/>
    <w:rsid w:val="0087162E"/>
    <w:rsid w:val="00871D7D"/>
    <w:rsid w:val="00880B09"/>
    <w:rsid w:val="00881197"/>
    <w:rsid w:val="008A6A23"/>
    <w:rsid w:val="008C25F1"/>
    <w:rsid w:val="008D30D5"/>
    <w:rsid w:val="008D339D"/>
    <w:rsid w:val="008D3A12"/>
    <w:rsid w:val="008D5C61"/>
    <w:rsid w:val="008E12E2"/>
    <w:rsid w:val="008E2736"/>
    <w:rsid w:val="008E38AF"/>
    <w:rsid w:val="009052E9"/>
    <w:rsid w:val="00915B50"/>
    <w:rsid w:val="009200AF"/>
    <w:rsid w:val="00963C7D"/>
    <w:rsid w:val="0097026C"/>
    <w:rsid w:val="009706B7"/>
    <w:rsid w:val="00972D5E"/>
    <w:rsid w:val="00984074"/>
    <w:rsid w:val="009A6D22"/>
    <w:rsid w:val="009A7B28"/>
    <w:rsid w:val="009B73E3"/>
    <w:rsid w:val="00A057CD"/>
    <w:rsid w:val="00A078AC"/>
    <w:rsid w:val="00A1189C"/>
    <w:rsid w:val="00A45E60"/>
    <w:rsid w:val="00A87EDB"/>
    <w:rsid w:val="00A908F8"/>
    <w:rsid w:val="00AA0A04"/>
    <w:rsid w:val="00AB4BD6"/>
    <w:rsid w:val="00B06A64"/>
    <w:rsid w:val="00B077D7"/>
    <w:rsid w:val="00B14BE7"/>
    <w:rsid w:val="00B215AC"/>
    <w:rsid w:val="00B5535C"/>
    <w:rsid w:val="00B72B12"/>
    <w:rsid w:val="00B731CA"/>
    <w:rsid w:val="00B91420"/>
    <w:rsid w:val="00BC27CC"/>
    <w:rsid w:val="00BE5D2A"/>
    <w:rsid w:val="00C15212"/>
    <w:rsid w:val="00C3335F"/>
    <w:rsid w:val="00C34650"/>
    <w:rsid w:val="00C51FD4"/>
    <w:rsid w:val="00C75C5E"/>
    <w:rsid w:val="00C833BB"/>
    <w:rsid w:val="00C84E3B"/>
    <w:rsid w:val="00C90FFC"/>
    <w:rsid w:val="00C967EC"/>
    <w:rsid w:val="00CB3623"/>
    <w:rsid w:val="00CB6556"/>
    <w:rsid w:val="00CC4F15"/>
    <w:rsid w:val="00CC5A29"/>
    <w:rsid w:val="00CD1028"/>
    <w:rsid w:val="00CE299A"/>
    <w:rsid w:val="00CE79E3"/>
    <w:rsid w:val="00CF30D2"/>
    <w:rsid w:val="00D0375E"/>
    <w:rsid w:val="00D20EF6"/>
    <w:rsid w:val="00D31A08"/>
    <w:rsid w:val="00D408A8"/>
    <w:rsid w:val="00D42FFD"/>
    <w:rsid w:val="00D47F96"/>
    <w:rsid w:val="00D522BD"/>
    <w:rsid w:val="00D7001B"/>
    <w:rsid w:val="00D95007"/>
    <w:rsid w:val="00DB36C3"/>
    <w:rsid w:val="00DC10CE"/>
    <w:rsid w:val="00DE2235"/>
    <w:rsid w:val="00DE5BF1"/>
    <w:rsid w:val="00DF68E3"/>
    <w:rsid w:val="00E05BE2"/>
    <w:rsid w:val="00E07CE9"/>
    <w:rsid w:val="00E2784C"/>
    <w:rsid w:val="00E308B3"/>
    <w:rsid w:val="00E35D49"/>
    <w:rsid w:val="00E4184F"/>
    <w:rsid w:val="00E52605"/>
    <w:rsid w:val="00E53884"/>
    <w:rsid w:val="00E5589B"/>
    <w:rsid w:val="00E55BC0"/>
    <w:rsid w:val="00E85585"/>
    <w:rsid w:val="00E94D99"/>
    <w:rsid w:val="00E963A3"/>
    <w:rsid w:val="00EA19CA"/>
    <w:rsid w:val="00EA1E90"/>
    <w:rsid w:val="00EA671E"/>
    <w:rsid w:val="00EB217E"/>
    <w:rsid w:val="00EC4A8D"/>
    <w:rsid w:val="00EC68D1"/>
    <w:rsid w:val="00ED4DE3"/>
    <w:rsid w:val="00EE27A8"/>
    <w:rsid w:val="00EE43F6"/>
    <w:rsid w:val="00EF15E1"/>
    <w:rsid w:val="00F014EA"/>
    <w:rsid w:val="00F061F9"/>
    <w:rsid w:val="00F07906"/>
    <w:rsid w:val="00F26DC4"/>
    <w:rsid w:val="00F26E25"/>
    <w:rsid w:val="00F40136"/>
    <w:rsid w:val="00F40E61"/>
    <w:rsid w:val="00F4281C"/>
    <w:rsid w:val="00F43EE4"/>
    <w:rsid w:val="00F44A33"/>
    <w:rsid w:val="00F510AD"/>
    <w:rsid w:val="00F61C87"/>
    <w:rsid w:val="00F857D7"/>
    <w:rsid w:val="00F87CDF"/>
    <w:rsid w:val="00F93EBE"/>
    <w:rsid w:val="00F963A2"/>
    <w:rsid w:val="00FA6AF9"/>
    <w:rsid w:val="00FB32F9"/>
    <w:rsid w:val="00FB5EFE"/>
    <w:rsid w:val="00FC5129"/>
    <w:rsid w:val="00F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3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2A703C"/>
    <w:pPr>
      <w:ind w:left="720"/>
      <w:contextualSpacing/>
    </w:pPr>
  </w:style>
  <w:style w:type="table" w:styleId="Mriekatabuky">
    <w:name w:val="Table Grid"/>
    <w:basedOn w:val="Normlnatabuka"/>
    <w:uiPriority w:val="59"/>
    <w:rsid w:val="00F4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F93EB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93EB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93EB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3EB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3EBE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32C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32C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32C15"/>
    <w:rPr>
      <w:vertAlign w:val="superscript"/>
    </w:rPr>
  </w:style>
  <w:style w:type="character" w:styleId="Siln">
    <w:name w:val="Strong"/>
    <w:basedOn w:val="Predvolenpsmoodseku"/>
    <w:uiPriority w:val="22"/>
    <w:qFormat/>
    <w:rsid w:val="002403F8"/>
    <w:rPr>
      <w:b/>
      <w:bCs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2403F8"/>
  </w:style>
  <w:style w:type="character" w:customStyle="1" w:styleId="s4">
    <w:name w:val="s4"/>
    <w:rsid w:val="00B215AC"/>
    <w:rPr>
      <w:rFonts w:ascii="TimesNewRomanPS-BoldMT" w:hAnsi="TimesNewRomanPS-BoldMT" w:hint="default"/>
      <w:b/>
      <w:bCs/>
      <w:i w:val="0"/>
      <w:iCs w:val="0"/>
      <w:sz w:val="17"/>
      <w:szCs w:val="17"/>
    </w:rPr>
  </w:style>
  <w:style w:type="character" w:styleId="Textzstupnhosymbolu">
    <w:name w:val="Placeholder Text"/>
    <w:basedOn w:val="Predvolenpsmoodseku"/>
    <w:uiPriority w:val="99"/>
    <w:semiHidden/>
    <w:rsid w:val="00B215AC"/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2A703C"/>
    <w:pPr>
      <w:ind w:left="720"/>
      <w:contextualSpacing/>
    </w:pPr>
  </w:style>
  <w:style w:type="table" w:styleId="Mriekatabuky">
    <w:name w:val="Table Grid"/>
    <w:basedOn w:val="Normlnatabuka"/>
    <w:uiPriority w:val="59"/>
    <w:rsid w:val="00F4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F93EB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93EB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93EB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3EB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3EBE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32C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32C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32C15"/>
    <w:rPr>
      <w:vertAlign w:val="superscript"/>
    </w:rPr>
  </w:style>
  <w:style w:type="character" w:styleId="Siln">
    <w:name w:val="Strong"/>
    <w:basedOn w:val="Predvolenpsmoodseku"/>
    <w:uiPriority w:val="22"/>
    <w:qFormat/>
    <w:rsid w:val="002403F8"/>
    <w:rPr>
      <w:b/>
      <w:bCs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2403F8"/>
  </w:style>
  <w:style w:type="character" w:customStyle="1" w:styleId="s4">
    <w:name w:val="s4"/>
    <w:rsid w:val="00B215AC"/>
    <w:rPr>
      <w:rFonts w:ascii="TimesNewRomanPS-BoldMT" w:hAnsi="TimesNewRomanPS-BoldMT" w:hint="default"/>
      <w:b/>
      <w:bCs/>
      <w:i w:val="0"/>
      <w:iCs w:val="0"/>
      <w:sz w:val="17"/>
      <w:szCs w:val="17"/>
    </w:rPr>
  </w:style>
  <w:style w:type="character" w:styleId="Textzstupnhosymbolu">
    <w:name w:val="Placeholder Text"/>
    <w:basedOn w:val="Predvolenpsmoodseku"/>
    <w:uiPriority w:val="99"/>
    <w:semiHidden/>
    <w:rsid w:val="00B215AC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8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14FC052-0723-4BE5-82E6-8076BF27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3862</Words>
  <Characters>22016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25827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Varos Juraj</cp:lastModifiedBy>
  <cp:revision>5</cp:revision>
  <dcterms:created xsi:type="dcterms:W3CDTF">2021-02-18T17:05:00Z</dcterms:created>
  <dcterms:modified xsi:type="dcterms:W3CDTF">2021-02-24T10:53:00Z</dcterms:modified>
</cp:coreProperties>
</file>