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E8" w:rsidRPr="006272E8" w:rsidRDefault="006272E8" w:rsidP="006272E8">
      <w:pPr>
        <w:jc w:val="center"/>
        <w:rPr>
          <w:b/>
          <w:bCs/>
          <w:color w:val="000000" w:themeColor="text1"/>
          <w:sz w:val="28"/>
        </w:rPr>
      </w:pPr>
      <w:r w:rsidRPr="006272E8">
        <w:rPr>
          <w:b/>
          <w:bCs/>
          <w:color w:val="000000" w:themeColor="text1"/>
          <w:sz w:val="28"/>
        </w:rPr>
        <w:t>Dôvodová správa</w:t>
      </w:r>
    </w:p>
    <w:p w:rsidR="006272E8" w:rsidRPr="006272E8" w:rsidRDefault="006272E8" w:rsidP="006272E8">
      <w:pPr>
        <w:jc w:val="center"/>
        <w:outlineLvl w:val="0"/>
      </w:pPr>
    </w:p>
    <w:p w:rsidR="006272E8" w:rsidRPr="006272E8" w:rsidRDefault="006272E8" w:rsidP="006272E8">
      <w:pPr>
        <w:jc w:val="both"/>
        <w:rPr>
          <w:b/>
          <w:bCs/>
          <w:color w:val="000000" w:themeColor="text1"/>
        </w:rPr>
      </w:pPr>
    </w:p>
    <w:p w:rsidR="006272E8" w:rsidRPr="006272E8" w:rsidRDefault="006272E8" w:rsidP="006272E8">
      <w:pPr>
        <w:keepNext/>
        <w:keepLines/>
        <w:outlineLvl w:val="4"/>
        <w:rPr>
          <w:rFonts w:eastAsiaTheme="majorEastAsia"/>
          <w:b/>
          <w:color w:val="000000" w:themeColor="text1"/>
        </w:rPr>
      </w:pPr>
      <w:r w:rsidRPr="006272E8">
        <w:rPr>
          <w:rFonts w:eastAsiaTheme="majorEastAsia"/>
          <w:b/>
          <w:color w:val="000000" w:themeColor="text1"/>
        </w:rPr>
        <w:t>A. Všeobecná časť</w:t>
      </w:r>
    </w:p>
    <w:p w:rsidR="006272E8" w:rsidRPr="006272E8" w:rsidRDefault="006272E8" w:rsidP="006272E8">
      <w:pPr>
        <w:spacing w:after="200"/>
        <w:rPr>
          <w:b/>
          <w:color w:val="000000" w:themeColor="text1"/>
        </w:rPr>
      </w:pPr>
    </w:p>
    <w:p w:rsidR="006272E8" w:rsidRPr="006272E8" w:rsidRDefault="006272E8" w:rsidP="006272E8">
      <w:pPr>
        <w:ind w:firstLine="708"/>
        <w:jc w:val="both"/>
        <w:rPr>
          <w:rFonts w:eastAsiaTheme="minorHAnsi"/>
          <w:color w:val="000000"/>
          <w:lang w:eastAsia="en-US"/>
        </w:rPr>
      </w:pPr>
      <w:r w:rsidRPr="006272E8">
        <w:rPr>
          <w:rFonts w:eastAsiaTheme="minorHAnsi"/>
          <w:color w:val="000000"/>
          <w:lang w:eastAsia="en-US"/>
        </w:rPr>
        <w:t xml:space="preserve">Národný bezpečnostný úrad ako ústredný organ štátnej správy pre kybernetickú bezpečnosť pripravil na základe schváleného </w:t>
      </w:r>
      <w:r w:rsidR="00DD74E1">
        <w:rPr>
          <w:rFonts w:eastAsiaTheme="minorHAnsi"/>
          <w:color w:val="000000"/>
          <w:lang w:eastAsia="en-US"/>
        </w:rPr>
        <w:t>P</w:t>
      </w:r>
      <w:r w:rsidRPr="006272E8">
        <w:rPr>
          <w:rFonts w:eastAsiaTheme="minorHAnsi"/>
          <w:color w:val="000000"/>
          <w:lang w:eastAsia="en-US"/>
        </w:rPr>
        <w:t xml:space="preserve">rogramového vyhlásenia vlády Slovenskej republiky na roky 2020-2024 a úlohy vyplývajúcej z Plánu legislatívnych úloh vlády Slovenskej republiky na </w:t>
      </w:r>
      <w:r w:rsidR="00620302">
        <w:rPr>
          <w:rFonts w:eastAsiaTheme="minorHAnsi"/>
          <w:color w:val="000000"/>
          <w:lang w:eastAsia="en-US"/>
        </w:rPr>
        <w:t>mesiace september až december</w:t>
      </w:r>
      <w:r w:rsidRPr="006272E8">
        <w:rPr>
          <w:rFonts w:eastAsiaTheme="minorHAnsi"/>
          <w:color w:val="000000"/>
          <w:lang w:eastAsia="en-US"/>
        </w:rPr>
        <w:t xml:space="preserve"> 2020 </w:t>
      </w:r>
      <w:r w:rsidR="00620302">
        <w:rPr>
          <w:rFonts w:eastAsia="Calibri"/>
          <w:color w:val="000000"/>
        </w:rPr>
        <w:t>„N</w:t>
      </w:r>
      <w:r w:rsidR="00620302" w:rsidRPr="00296715">
        <w:rPr>
          <w:rFonts w:eastAsia="Calibri"/>
          <w:color w:val="000000"/>
        </w:rPr>
        <w:t xml:space="preserve">ávrh zákona, ktorým sa mení a dopĺňa zákon č. 69/2018 Z. z. o kybernetickej bezpečnosti a o zmene </w:t>
      </w:r>
      <w:r w:rsidRPr="006272E8">
        <w:rPr>
          <w:rFonts w:eastAsiaTheme="minorHAnsi"/>
          <w:color w:val="000000"/>
          <w:lang w:eastAsia="en-US"/>
        </w:rPr>
        <w:t>a doplnení niektorých zákonov v znení neskorších predpisov</w:t>
      </w:r>
      <w:r w:rsidR="00DD74E1">
        <w:rPr>
          <w:rFonts w:eastAsiaTheme="minorHAnsi"/>
          <w:color w:val="000000"/>
          <w:lang w:eastAsia="en-US"/>
        </w:rPr>
        <w:t xml:space="preserve"> </w:t>
      </w:r>
      <w:r w:rsidR="00DD74E1" w:rsidRPr="00DD74E1">
        <w:rPr>
          <w:rFonts w:eastAsiaTheme="minorHAnsi"/>
          <w:color w:val="000000"/>
          <w:lang w:eastAsia="en-US"/>
        </w:rPr>
        <w:t>a ktorým sa menia a dopĺňajú niektoré zákony</w:t>
      </w:r>
      <w:r w:rsidR="00620302">
        <w:rPr>
          <w:rFonts w:eastAsiaTheme="minorHAnsi"/>
          <w:color w:val="000000"/>
          <w:lang w:eastAsia="en-US"/>
        </w:rPr>
        <w:t>“</w:t>
      </w:r>
      <w:r w:rsidRPr="006272E8">
        <w:rPr>
          <w:rFonts w:eastAsiaTheme="minorHAnsi"/>
          <w:color w:val="000000"/>
          <w:lang w:eastAsia="en-US"/>
        </w:rPr>
        <w:t xml:space="preserve"> (ďalej len „návrh zákona“).</w:t>
      </w:r>
    </w:p>
    <w:p w:rsidR="006272E8" w:rsidRPr="006272E8" w:rsidRDefault="006272E8" w:rsidP="006272E8">
      <w:pPr>
        <w:ind w:firstLine="708"/>
        <w:jc w:val="both"/>
        <w:rPr>
          <w:rFonts w:eastAsiaTheme="minorHAnsi"/>
          <w:color w:val="000000"/>
          <w:lang w:eastAsia="en-US"/>
        </w:rPr>
      </w:pPr>
    </w:p>
    <w:p w:rsidR="006272E8" w:rsidRPr="006272E8" w:rsidRDefault="006272E8" w:rsidP="006272E8">
      <w:pPr>
        <w:ind w:firstLine="708"/>
        <w:jc w:val="both"/>
        <w:rPr>
          <w:rFonts w:eastAsiaTheme="minorHAnsi"/>
          <w:color w:val="000000"/>
          <w:lang w:eastAsia="en-US"/>
        </w:rPr>
      </w:pPr>
      <w:r w:rsidRPr="006272E8">
        <w:rPr>
          <w:rFonts w:eastAsiaTheme="minorHAnsi"/>
          <w:color w:val="000000"/>
          <w:lang w:eastAsia="en-US"/>
        </w:rPr>
        <w:t xml:space="preserve">Cieľom predkladaného návrhu zákona je posilniť legislatívnu úpravu v oblasti kybernetickej bezpečnosti, </w:t>
      </w:r>
      <w:r w:rsidR="00DD74E1">
        <w:rPr>
          <w:rFonts w:eastAsiaTheme="minorHAnsi"/>
          <w:color w:val="000000"/>
          <w:lang w:eastAsia="en-US"/>
        </w:rPr>
        <w:t>pričom</w:t>
      </w:r>
      <w:r w:rsidR="00DD74E1" w:rsidRPr="006272E8">
        <w:rPr>
          <w:rFonts w:eastAsiaTheme="minorHAnsi"/>
          <w:color w:val="000000"/>
          <w:lang w:eastAsia="en-US"/>
        </w:rPr>
        <w:t xml:space="preserve"> </w:t>
      </w:r>
      <w:r w:rsidRPr="006272E8">
        <w:rPr>
          <w:rFonts w:eastAsiaTheme="minorHAnsi"/>
          <w:color w:val="000000"/>
          <w:lang w:eastAsia="en-US"/>
        </w:rPr>
        <w:t xml:space="preserve">sa zameriava na posilnenie právomocí príslušných vnútroštátnych orgánov. Predmetom návrhu zákona je precizovanie niektorých definícií, úprava procesného postupu pri certifikácii kybernetickej bezpečnosti, ktorá vyplýva z 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Ďalej sa zavádza inštitút blokovania, upravuje sa postavenie audítora kybernetickej bezpečnosti. V prílohe č. 1 sa precizuje prevádzkovateľ služieb v podsektore Letecká doprava, upravuje sa sektor Digitálna infraštruktúra a zo sektora Verejná správa sa vypúšťa podsektor spravodajské služby v rozsahu Slovenská informačná služba a Vojenské spravodajstvo. </w:t>
      </w:r>
    </w:p>
    <w:p w:rsidR="006272E8" w:rsidRPr="006272E8" w:rsidRDefault="006272E8" w:rsidP="006272E8">
      <w:pPr>
        <w:ind w:firstLine="708"/>
        <w:jc w:val="both"/>
        <w:rPr>
          <w:rFonts w:eastAsiaTheme="minorHAnsi"/>
          <w:color w:val="000000"/>
          <w:lang w:eastAsia="en-US"/>
        </w:rPr>
      </w:pPr>
    </w:p>
    <w:p w:rsidR="006272E8" w:rsidRPr="006272E8" w:rsidRDefault="006272E8" w:rsidP="006272E8">
      <w:pPr>
        <w:ind w:firstLine="708"/>
        <w:jc w:val="both"/>
        <w:rPr>
          <w:rFonts w:eastAsiaTheme="minorHAnsi"/>
          <w:color w:val="000000"/>
          <w:lang w:eastAsia="en-US"/>
        </w:rPr>
      </w:pPr>
      <w:r w:rsidRPr="006272E8">
        <w:rPr>
          <w:rFonts w:eastAsiaTheme="minorHAnsi"/>
          <w:color w:val="000000"/>
          <w:lang w:eastAsia="en-US"/>
        </w:rPr>
        <w:t xml:space="preserve">Návrh zákona v článku II novelizuje zákon </w:t>
      </w:r>
      <w:r w:rsidR="00DD74E1">
        <w:rPr>
          <w:rFonts w:eastAsia="Calibri"/>
          <w:color w:val="000000"/>
        </w:rPr>
        <w:t xml:space="preserve">Národnej rady Slovenskej republiky </w:t>
      </w:r>
      <w:r w:rsidRPr="006272E8">
        <w:rPr>
          <w:rFonts w:eastAsiaTheme="minorHAnsi"/>
          <w:color w:val="000000"/>
          <w:lang w:eastAsia="en-US"/>
        </w:rPr>
        <w:t>č. 145/1995 Z. z. o správnych poplatkoch v znení neskorších predpisov, v článku III novelizuje zákon č. 351/2011 Z. z. o elektronických komunikáciách v znení neskorších predpisov a v článku IV novelizuje zákon č. 95/2019 Z. z.  o informačných technológiách vo verejnej správe a o zmene a doplnení niektorých zákonov</w:t>
      </w:r>
      <w:r w:rsidR="00DD74E1">
        <w:rPr>
          <w:rFonts w:eastAsiaTheme="minorHAnsi"/>
          <w:color w:val="000000"/>
          <w:lang w:eastAsia="en-US"/>
        </w:rPr>
        <w:t xml:space="preserve"> </w:t>
      </w:r>
      <w:r w:rsidR="00DD74E1">
        <w:rPr>
          <w:rFonts w:eastAsia="Calibri"/>
          <w:color w:val="000000"/>
        </w:rPr>
        <w:t xml:space="preserve">v znení </w:t>
      </w:r>
      <w:r w:rsidR="00B82E01">
        <w:rPr>
          <w:rFonts w:eastAsia="Calibri"/>
          <w:color w:val="000000"/>
        </w:rPr>
        <w:t>neskorších predpisov.</w:t>
      </w:r>
    </w:p>
    <w:p w:rsidR="006272E8" w:rsidRPr="006272E8" w:rsidRDefault="006272E8" w:rsidP="006272E8">
      <w:pPr>
        <w:ind w:firstLine="708"/>
        <w:jc w:val="both"/>
        <w:rPr>
          <w:rFonts w:eastAsiaTheme="minorHAnsi"/>
          <w:color w:val="000000"/>
          <w:lang w:eastAsia="en-US"/>
        </w:rPr>
      </w:pPr>
    </w:p>
    <w:p w:rsidR="006272E8" w:rsidRPr="006272E8" w:rsidRDefault="006272E8" w:rsidP="006272E8">
      <w:pPr>
        <w:ind w:firstLine="708"/>
        <w:jc w:val="both"/>
        <w:rPr>
          <w:rFonts w:eastAsiaTheme="minorHAnsi"/>
          <w:color w:val="000000"/>
          <w:lang w:eastAsia="en-US"/>
        </w:rPr>
      </w:pPr>
      <w:r w:rsidRPr="006272E8">
        <w:rPr>
          <w:rFonts w:eastAsiaTheme="minorHAnsi"/>
          <w:color w:val="000000"/>
          <w:lang w:eastAsia="en-US"/>
        </w:rPr>
        <w:t>Predložený návrh zákona predpokladá pozitívny vplyv na rozpoče</w:t>
      </w:r>
      <w:r w:rsidR="00D26144">
        <w:rPr>
          <w:rFonts w:eastAsiaTheme="minorHAnsi"/>
          <w:color w:val="000000"/>
          <w:lang w:eastAsia="en-US"/>
        </w:rPr>
        <w:t>t verejnej správy</w:t>
      </w:r>
      <w:r w:rsidRPr="006272E8">
        <w:rPr>
          <w:rFonts w:eastAsiaTheme="minorHAnsi"/>
          <w:color w:val="000000"/>
          <w:lang w:eastAsia="en-US"/>
        </w:rPr>
        <w:t xml:space="preserve"> </w:t>
      </w:r>
      <w:r w:rsidR="00D26144">
        <w:rPr>
          <w:rFonts w:eastAsiaTheme="minorHAnsi"/>
          <w:color w:val="000000"/>
          <w:lang w:eastAsia="en-US"/>
        </w:rPr>
        <w:t xml:space="preserve">a </w:t>
      </w:r>
      <w:r w:rsidRPr="006272E8">
        <w:rPr>
          <w:rFonts w:eastAsiaTheme="minorHAnsi"/>
          <w:color w:val="000000"/>
          <w:lang w:eastAsia="en-US"/>
        </w:rPr>
        <w:t xml:space="preserve">pozitívny vplyv na podnikateľské prostredie. Návrh zákona nezakladá </w:t>
      </w:r>
      <w:r w:rsidR="00D26144" w:rsidRPr="00D26144">
        <w:rPr>
          <w:rFonts w:eastAsiaTheme="minorHAnsi"/>
          <w:color w:val="000000"/>
          <w:lang w:eastAsia="en-US"/>
        </w:rPr>
        <w:t>vplyv na informatizáciu spoločnosti</w:t>
      </w:r>
      <w:r w:rsidR="00D26144">
        <w:rPr>
          <w:rFonts w:eastAsiaTheme="minorHAnsi"/>
          <w:color w:val="000000"/>
          <w:lang w:eastAsia="en-US"/>
        </w:rPr>
        <w:t>,</w:t>
      </w:r>
      <w:r w:rsidR="00D26144" w:rsidRPr="00D26144">
        <w:rPr>
          <w:rFonts w:eastAsiaTheme="minorHAnsi"/>
          <w:color w:val="000000"/>
          <w:lang w:eastAsia="en-US"/>
        </w:rPr>
        <w:t xml:space="preserve"> </w:t>
      </w:r>
      <w:r w:rsidRPr="006272E8">
        <w:rPr>
          <w:rFonts w:eastAsiaTheme="minorHAnsi"/>
          <w:color w:val="000000"/>
          <w:lang w:eastAsia="en-US"/>
        </w:rPr>
        <w:t>sociálne vplyvy, vplyvy na životné prostredie, na služby verejnej správy pre občana a</w:t>
      </w:r>
      <w:r w:rsidR="00DD74E1">
        <w:rPr>
          <w:rFonts w:eastAsiaTheme="minorHAnsi"/>
          <w:color w:val="000000"/>
          <w:lang w:eastAsia="en-US"/>
        </w:rPr>
        <w:t>ni</w:t>
      </w:r>
      <w:r w:rsidRPr="006272E8">
        <w:rPr>
          <w:rFonts w:eastAsiaTheme="minorHAnsi"/>
          <w:color w:val="000000"/>
          <w:lang w:eastAsia="en-US"/>
        </w:rPr>
        <w:t xml:space="preserve"> na manželstvo, rodičovstvo a rodinu. </w:t>
      </w:r>
    </w:p>
    <w:p w:rsidR="006272E8" w:rsidRPr="006272E8" w:rsidRDefault="006272E8" w:rsidP="006272E8">
      <w:pPr>
        <w:ind w:firstLine="708"/>
        <w:jc w:val="both"/>
        <w:rPr>
          <w:rFonts w:eastAsiaTheme="minorHAnsi"/>
          <w:color w:val="000000"/>
          <w:lang w:eastAsia="en-US"/>
        </w:rPr>
      </w:pPr>
    </w:p>
    <w:p w:rsidR="006272E8" w:rsidRPr="006272E8" w:rsidRDefault="006272E8" w:rsidP="006272E8">
      <w:pPr>
        <w:ind w:firstLine="708"/>
        <w:jc w:val="both"/>
        <w:rPr>
          <w:rFonts w:eastAsiaTheme="minorHAnsi"/>
          <w:color w:val="000000"/>
          <w:lang w:eastAsia="en-US"/>
        </w:rPr>
      </w:pPr>
      <w:r w:rsidRPr="006272E8">
        <w:rPr>
          <w:rFonts w:eastAsiaTheme="minorHAnsi"/>
          <w:color w:val="000000"/>
          <w:lang w:eastAsia="en-US"/>
        </w:rPr>
        <w:t>Návrh zákona je v súlade s 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Európskej únie.</w:t>
      </w:r>
    </w:p>
    <w:p w:rsidR="002437E0" w:rsidRDefault="002437E0"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E3279A">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E3279A" w:rsidRDefault="00E3279A" w:rsidP="00E3279A">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2"/>
        <w:gridCol w:w="3622"/>
      </w:tblGrid>
      <w:tr w:rsidR="00E3279A" w:rsidTr="00E3279A">
        <w:trPr>
          <w:jc w:val="center"/>
        </w:trPr>
        <w:tc>
          <w:tcPr>
            <w:tcW w:w="250" w:type="pct"/>
            <w:gridSpan w:val="2"/>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1.  Základné údaje</w:t>
            </w:r>
          </w:p>
        </w:tc>
      </w:tr>
      <w:tr w:rsidR="00E3279A" w:rsidTr="00E3279A">
        <w:trPr>
          <w:trHeight w:val="450"/>
          <w:jc w:val="center"/>
        </w:trPr>
        <w:tc>
          <w:tcPr>
            <w:tcW w:w="250" w:type="pct"/>
            <w:gridSpan w:val="2"/>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Názov materiálu</w:t>
            </w:r>
          </w:p>
        </w:tc>
      </w:tr>
      <w:tr w:rsidR="00E3279A" w:rsidTr="00E3279A">
        <w:trPr>
          <w:trHeight w:val="450"/>
          <w:jc w:val="center"/>
        </w:trPr>
        <w:tc>
          <w:tcPr>
            <w:tcW w:w="250" w:type="pct"/>
            <w:gridSpan w:val="2"/>
            <w:tcBorders>
              <w:top w:val="outset" w:sz="6" w:space="0" w:color="000000"/>
              <w:bottom w:val="outset" w:sz="6" w:space="0" w:color="000000"/>
            </w:tcBorders>
            <w:hideMark/>
          </w:tcPr>
          <w:p w:rsidR="00E3279A" w:rsidRDefault="00E3279A" w:rsidP="00E3279A">
            <w:pPr>
              <w:jc w:val="both"/>
              <w:rPr>
                <w:rFonts w:ascii="Times" w:hAnsi="Times" w:cs="Times"/>
                <w:sz w:val="20"/>
                <w:szCs w:val="20"/>
              </w:rPr>
            </w:pPr>
            <w:r w:rsidRPr="00490C7C">
              <w:rPr>
                <w:rFonts w:ascii="Times" w:hAnsi="Times" w:cs="Times"/>
                <w:sz w:val="20"/>
                <w:szCs w:val="20"/>
              </w:rPr>
              <w:t>Návrh zákona</w:t>
            </w:r>
            <w:r>
              <w:rPr>
                <w:rFonts w:ascii="Times" w:hAnsi="Times" w:cs="Times"/>
                <w:sz w:val="20"/>
                <w:szCs w:val="20"/>
              </w:rPr>
              <w:t xml:space="preserve">, </w:t>
            </w:r>
            <w:r w:rsidRPr="00FD634D">
              <w:rPr>
                <w:rFonts w:ascii="Times" w:hAnsi="Times" w:cs="Times"/>
                <w:sz w:val="20"/>
                <w:szCs w:val="20"/>
              </w:rPr>
              <w:t xml:space="preserve">ktorým sa mení a dopĺňa zákon č. 69/2018 Z. z. o kybernetickej bezpečnosti a o zmene a doplnení niektorých zákonov v znení </w:t>
            </w:r>
            <w:r>
              <w:rPr>
                <w:rFonts w:ascii="Times" w:hAnsi="Times" w:cs="Times"/>
                <w:sz w:val="20"/>
                <w:szCs w:val="20"/>
              </w:rPr>
              <w:t>neskorších predpisov</w:t>
            </w:r>
            <w:r w:rsidR="00D61A8B">
              <w:rPr>
                <w:rFonts w:ascii="Times" w:hAnsi="Times" w:cs="Times"/>
                <w:sz w:val="20"/>
                <w:szCs w:val="20"/>
              </w:rPr>
              <w:t xml:space="preserve"> a ktorým sa menia a dopĺňajú niektoré zákony</w:t>
            </w:r>
            <w:r>
              <w:rPr>
                <w:rFonts w:ascii="Times" w:hAnsi="Times" w:cs="Times"/>
                <w:sz w:val="20"/>
                <w:szCs w:val="20"/>
              </w:rPr>
              <w:t>.</w:t>
            </w:r>
          </w:p>
          <w:p w:rsidR="00E3279A" w:rsidRPr="00490C7C" w:rsidRDefault="00E3279A" w:rsidP="00E3279A">
            <w:pPr>
              <w:jc w:val="both"/>
              <w:rPr>
                <w:rFonts w:ascii="Times" w:hAnsi="Times" w:cs="Times"/>
                <w:sz w:val="20"/>
                <w:szCs w:val="20"/>
              </w:rPr>
            </w:pPr>
          </w:p>
        </w:tc>
      </w:tr>
      <w:tr w:rsidR="00E3279A" w:rsidTr="00E3279A">
        <w:trPr>
          <w:trHeight w:val="450"/>
          <w:jc w:val="center"/>
        </w:trPr>
        <w:tc>
          <w:tcPr>
            <w:tcW w:w="250" w:type="pct"/>
            <w:gridSpan w:val="2"/>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Predkladateľ (a spolupredkladateľ)</w:t>
            </w:r>
          </w:p>
        </w:tc>
      </w:tr>
      <w:tr w:rsidR="00E3279A" w:rsidTr="00E3279A">
        <w:trPr>
          <w:trHeight w:val="450"/>
          <w:jc w:val="center"/>
        </w:trPr>
        <w:tc>
          <w:tcPr>
            <w:tcW w:w="250" w:type="pct"/>
            <w:gridSpan w:val="2"/>
            <w:tcBorders>
              <w:top w:val="outset" w:sz="6" w:space="0" w:color="000000"/>
              <w:bottom w:val="outset" w:sz="6" w:space="0" w:color="000000"/>
            </w:tcBorders>
            <w:hideMark/>
          </w:tcPr>
          <w:p w:rsidR="00E3279A" w:rsidRDefault="00E3279A" w:rsidP="00E3279A">
            <w:pPr>
              <w:rPr>
                <w:rFonts w:ascii="Times" w:hAnsi="Times" w:cs="Times"/>
                <w:sz w:val="20"/>
                <w:szCs w:val="20"/>
              </w:rPr>
            </w:pPr>
            <w:r>
              <w:rPr>
                <w:rFonts w:ascii="Times" w:hAnsi="Times" w:cs="Times"/>
                <w:sz w:val="20"/>
                <w:szCs w:val="20"/>
              </w:rPr>
              <w:t>Národný bezpečnostný úrad</w:t>
            </w:r>
          </w:p>
        </w:tc>
      </w:tr>
      <w:tr w:rsidR="00E3279A" w:rsidTr="00E3279A">
        <w:trPr>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E3279A" w:rsidRDefault="00E3279A" w:rsidP="00E3279A">
            <w:pPr>
              <w:jc w:val="center"/>
              <w:rPr>
                <w:rFonts w:ascii="Times" w:hAnsi="Times" w:cs="Times"/>
                <w:b/>
                <w:bCs/>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E3279A" w:rsidRDefault="00E3279A" w:rsidP="00E3279A">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E3279A" w:rsidTr="00E3279A">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E3279A" w:rsidRDefault="00E3279A" w:rsidP="00E3279A">
            <w:pPr>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rsidR="00E3279A" w:rsidRDefault="00E3279A" w:rsidP="00E3279A">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E3279A" w:rsidTr="00E3279A">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E3279A" w:rsidRDefault="00E3279A" w:rsidP="00E3279A">
            <w:pPr>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rsidR="00E3279A" w:rsidRDefault="00E3279A" w:rsidP="00E3279A">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E3279A" w:rsidTr="00E3279A">
        <w:trPr>
          <w:trHeight w:val="403"/>
          <w:jc w:val="center"/>
        </w:trPr>
        <w:tc>
          <w:tcPr>
            <w:tcW w:w="0" w:type="auto"/>
            <w:gridSpan w:val="2"/>
            <w:tcBorders>
              <w:top w:val="outset" w:sz="6" w:space="0" w:color="000000"/>
              <w:bottom w:val="outset" w:sz="6" w:space="0" w:color="000000"/>
            </w:tcBorders>
            <w:hideMark/>
          </w:tcPr>
          <w:p w:rsidR="00E3279A" w:rsidRDefault="00E3279A" w:rsidP="00E3279A">
            <w:pPr>
              <w:rPr>
                <w:rFonts w:ascii="Times" w:hAnsi="Times" w:cs="Times"/>
                <w:sz w:val="20"/>
                <w:szCs w:val="20"/>
              </w:rPr>
            </w:pPr>
          </w:p>
        </w:tc>
      </w:tr>
      <w:tr w:rsidR="00E3279A" w:rsidTr="00E3279A">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tcBorders>
            <w:hideMark/>
          </w:tcPr>
          <w:p w:rsidR="00E3279A" w:rsidRDefault="00E3279A" w:rsidP="00E3279A">
            <w:pPr>
              <w:rPr>
                <w:rFonts w:ascii="Times" w:hAnsi="Times" w:cs="Times"/>
                <w:sz w:val="20"/>
                <w:szCs w:val="20"/>
              </w:rPr>
            </w:pPr>
            <w:r>
              <w:rPr>
                <w:rFonts w:ascii="Times" w:hAnsi="Times" w:cs="Times"/>
                <w:sz w:val="20"/>
                <w:szCs w:val="20"/>
              </w:rPr>
              <w:t>Začiatok: september 2020</w:t>
            </w:r>
          </w:p>
          <w:p w:rsidR="00E3279A" w:rsidRDefault="00E3279A" w:rsidP="00E3279A">
            <w:pPr>
              <w:rPr>
                <w:rFonts w:ascii="Times" w:hAnsi="Times" w:cs="Times"/>
                <w:sz w:val="20"/>
                <w:szCs w:val="20"/>
              </w:rPr>
            </w:pPr>
            <w:r>
              <w:rPr>
                <w:rFonts w:ascii="Times" w:hAnsi="Times" w:cs="Times"/>
                <w:sz w:val="20"/>
                <w:szCs w:val="20"/>
              </w:rPr>
              <w:t>Koniec: september 2020</w:t>
            </w:r>
          </w:p>
        </w:tc>
      </w:tr>
      <w:tr w:rsidR="00E3279A" w:rsidTr="00E3279A">
        <w:trPr>
          <w:trHeight w:val="564"/>
          <w:jc w:val="center"/>
        </w:trPr>
        <w:tc>
          <w:tcPr>
            <w:tcW w:w="3000" w:type="pct"/>
            <w:tcBorders>
              <w:top w:val="outset" w:sz="6" w:space="0" w:color="000000"/>
              <w:bottom w:val="outset" w:sz="6" w:space="0" w:color="000000"/>
              <w:right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tcBorders>
            <w:hideMark/>
          </w:tcPr>
          <w:p w:rsidR="00E3279A" w:rsidRPr="003651EF" w:rsidRDefault="00E3279A" w:rsidP="00E3279A">
            <w:pPr>
              <w:rPr>
                <w:rFonts w:ascii="Times" w:hAnsi="Times" w:cs="Times"/>
                <w:bCs/>
              </w:rPr>
            </w:pPr>
            <w:r>
              <w:rPr>
                <w:rFonts w:ascii="Times" w:hAnsi="Times" w:cs="Times"/>
                <w:sz w:val="20"/>
                <w:szCs w:val="20"/>
              </w:rPr>
              <w:t>september 2020</w:t>
            </w:r>
          </w:p>
        </w:tc>
      </w:tr>
      <w:tr w:rsidR="00E3279A" w:rsidTr="00E3279A">
        <w:trPr>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tcBorders>
            <w:hideMark/>
          </w:tcPr>
          <w:p w:rsidR="00E3279A" w:rsidRDefault="00E3279A" w:rsidP="00E3279A">
            <w:pPr>
              <w:rPr>
                <w:rFonts w:ascii="Times" w:hAnsi="Times" w:cs="Times"/>
                <w:b/>
                <w:bCs/>
              </w:rPr>
            </w:pPr>
            <w:r>
              <w:rPr>
                <w:rFonts w:ascii="Times" w:hAnsi="Times" w:cs="Times"/>
                <w:sz w:val="20"/>
                <w:szCs w:val="20"/>
              </w:rPr>
              <w:t xml:space="preserve"> október 2020</w:t>
            </w:r>
          </w:p>
        </w:tc>
      </w:tr>
    </w:tbl>
    <w:p w:rsidR="00E3279A" w:rsidRDefault="00E3279A" w:rsidP="00E3279A">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2.  Definícia problému</w:t>
            </w:r>
          </w:p>
        </w:tc>
      </w:tr>
      <w:tr w:rsidR="00E3279A" w:rsidTr="00E3279A">
        <w:trPr>
          <w:trHeight w:val="600"/>
          <w:jc w:val="center"/>
        </w:trPr>
        <w:tc>
          <w:tcPr>
            <w:tcW w:w="5000" w:type="pct"/>
            <w:tcBorders>
              <w:top w:val="outset" w:sz="6" w:space="0" w:color="000000"/>
              <w:bottom w:val="outset" w:sz="6" w:space="0" w:color="000000"/>
            </w:tcBorders>
            <w:hideMark/>
          </w:tcPr>
          <w:p w:rsidR="00E3279A" w:rsidRDefault="00E3279A" w:rsidP="00E3279A">
            <w:pPr>
              <w:pStyle w:val="Normlnywebov"/>
              <w:spacing w:before="0" w:beforeAutospacing="0" w:after="0" w:afterAutospacing="0"/>
              <w:jc w:val="both"/>
              <w:rPr>
                <w:sz w:val="20"/>
                <w:szCs w:val="20"/>
              </w:rPr>
            </w:pPr>
            <w:r w:rsidRPr="00D177D1">
              <w:rPr>
                <w:sz w:val="20"/>
                <w:szCs w:val="20"/>
              </w:rPr>
              <w:t xml:space="preserve">Návrh zákona vychádza z potreby úpravy ustanovení spôsobujúcich aplikačné problémy v praxi, ktoré </w:t>
            </w:r>
            <w:proofErr w:type="spellStart"/>
            <w:r w:rsidRPr="00D177D1">
              <w:rPr>
                <w:sz w:val="20"/>
                <w:szCs w:val="20"/>
              </w:rPr>
              <w:t>vy</w:t>
            </w:r>
            <w:r>
              <w:rPr>
                <w:sz w:val="20"/>
                <w:szCs w:val="20"/>
              </w:rPr>
              <w:t>v</w:t>
            </w:r>
            <w:r w:rsidRPr="00D177D1">
              <w:rPr>
                <w:sz w:val="20"/>
                <w:szCs w:val="20"/>
              </w:rPr>
              <w:t>stali</w:t>
            </w:r>
            <w:proofErr w:type="spellEnd"/>
            <w:r w:rsidRPr="00D177D1">
              <w:rPr>
                <w:sz w:val="20"/>
                <w:szCs w:val="20"/>
              </w:rPr>
              <w:t xml:space="preserve"> pri aplikácii zákona č. 69/2018 Z. z. o kybernetickej bezpečnosti. Ide najmä o úpravu definície niektorých pojmov (sieť a informačný </w:t>
            </w:r>
            <w:r>
              <w:rPr>
                <w:sz w:val="20"/>
                <w:szCs w:val="20"/>
              </w:rPr>
              <w:t>systém, kybernetická bezpečnosť</w:t>
            </w:r>
            <w:r w:rsidRPr="00D177D1">
              <w:rPr>
                <w:sz w:val="20"/>
                <w:szCs w:val="20"/>
              </w:rPr>
              <w:t>), postavenia audítora kybernetickej bezpečnosti, blokovania, úpravu v niektorých sektoroch podľa prílohy č. 1,  ako aj v dôsledku úpravy procesného postupu pri certifikácii kybernetickej bezpečnosti vyplývajúcej z 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w:t>
            </w:r>
            <w:r>
              <w:rPr>
                <w:sz w:val="20"/>
                <w:szCs w:val="20"/>
              </w:rPr>
              <w:t xml:space="preserve"> (ďalej len „nariadenie (EÚ) č. 2019/881“)</w:t>
            </w:r>
            <w:r w:rsidRPr="00D177D1">
              <w:rPr>
                <w:sz w:val="20"/>
                <w:szCs w:val="20"/>
              </w:rPr>
              <w:t>.</w:t>
            </w:r>
          </w:p>
          <w:p w:rsidR="00E3279A" w:rsidRPr="0042031D" w:rsidRDefault="00E3279A" w:rsidP="00E3279A">
            <w:pPr>
              <w:pStyle w:val="Normlnywebov"/>
              <w:spacing w:before="0" w:beforeAutospacing="0" w:after="0" w:afterAutospacing="0"/>
              <w:jc w:val="both"/>
              <w:rPr>
                <w:sz w:val="20"/>
                <w:szCs w:val="20"/>
              </w:rPr>
            </w:pPr>
          </w:p>
        </w:tc>
      </w:tr>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Pr="0042031D" w:rsidRDefault="00E3279A" w:rsidP="00E3279A">
            <w:pPr>
              <w:rPr>
                <w:b/>
                <w:bCs/>
              </w:rPr>
            </w:pPr>
            <w:r w:rsidRPr="0042031D">
              <w:rPr>
                <w:b/>
                <w:bCs/>
                <w:sz w:val="22"/>
                <w:szCs w:val="22"/>
              </w:rPr>
              <w:t>  3.  Ciele a výsledný stav</w:t>
            </w:r>
          </w:p>
        </w:tc>
      </w:tr>
      <w:tr w:rsidR="00E3279A" w:rsidTr="00E3279A">
        <w:trPr>
          <w:trHeight w:val="600"/>
          <w:jc w:val="center"/>
        </w:trPr>
        <w:tc>
          <w:tcPr>
            <w:tcW w:w="5000" w:type="pct"/>
            <w:tcBorders>
              <w:top w:val="outset" w:sz="6" w:space="0" w:color="000000"/>
              <w:bottom w:val="outset" w:sz="6" w:space="0" w:color="000000"/>
            </w:tcBorders>
            <w:hideMark/>
          </w:tcPr>
          <w:p w:rsidR="00E3279A" w:rsidRDefault="00E3279A" w:rsidP="00E3279A">
            <w:pPr>
              <w:tabs>
                <w:tab w:val="num" w:pos="360"/>
              </w:tabs>
              <w:jc w:val="both"/>
              <w:rPr>
                <w:sz w:val="20"/>
                <w:szCs w:val="20"/>
              </w:rPr>
            </w:pPr>
            <w:r w:rsidRPr="00D177D1">
              <w:rPr>
                <w:sz w:val="20"/>
                <w:szCs w:val="20"/>
              </w:rPr>
              <w:t>Cieľom predkladaného návrhu zákona je posilniť legislatívnu úpravu v oblasti kybernetickej bezpečnosti, ktorá sa zameriava na posilnenie právomocí príslušných vnútroštátnych orgánov. Predmetom návrhu zákona je precizovanie niektorých definícií, úprava procesného postupu pri certifikácii kybernetickej bezpečnosti, ktorá vyplýva z</w:t>
            </w:r>
            <w:r>
              <w:t xml:space="preserve"> </w:t>
            </w:r>
            <w:r w:rsidRPr="00F70565">
              <w:rPr>
                <w:sz w:val="20"/>
                <w:szCs w:val="20"/>
              </w:rPr>
              <w:t>nariadeni</w:t>
            </w:r>
            <w:r>
              <w:rPr>
                <w:sz w:val="20"/>
                <w:szCs w:val="20"/>
              </w:rPr>
              <w:t>a</w:t>
            </w:r>
            <w:r w:rsidRPr="00F70565">
              <w:rPr>
                <w:sz w:val="20"/>
                <w:szCs w:val="20"/>
              </w:rPr>
              <w:t xml:space="preserve"> (EÚ) č. 2019/881</w:t>
            </w:r>
            <w:r w:rsidRPr="00D177D1">
              <w:rPr>
                <w:sz w:val="20"/>
                <w:szCs w:val="20"/>
              </w:rPr>
              <w:t xml:space="preserve">. </w:t>
            </w:r>
          </w:p>
          <w:p w:rsidR="00E3279A" w:rsidRPr="00D177D1" w:rsidRDefault="00E3279A" w:rsidP="00E3279A">
            <w:pPr>
              <w:tabs>
                <w:tab w:val="num" w:pos="360"/>
              </w:tabs>
              <w:jc w:val="both"/>
              <w:rPr>
                <w:sz w:val="20"/>
                <w:szCs w:val="20"/>
              </w:rPr>
            </w:pPr>
            <w:r w:rsidRPr="00D177D1">
              <w:rPr>
                <w:sz w:val="20"/>
                <w:szCs w:val="20"/>
              </w:rPr>
              <w:t>V návrhu zákona sa ďalej zavádza inštitút blokovania</w:t>
            </w:r>
            <w:r>
              <w:rPr>
                <w:sz w:val="20"/>
                <w:szCs w:val="20"/>
              </w:rPr>
              <w:t>,</w:t>
            </w:r>
            <w:r w:rsidRPr="00D177D1">
              <w:rPr>
                <w:sz w:val="20"/>
                <w:szCs w:val="20"/>
              </w:rPr>
              <w:t xml:space="preserve"> jeho hmotnoprávna a procesnoprávna úprava a upravuje sa postavenie audítora kybernetickej bezpečnosti. V prílohe č. 1 sa precizuje prevádzkovateľ služieb v podsektore Letecká doprava, upravuje sa sektor Digitálna infraštruktúra a zo sektora Verejná správa sa vypúšťa podsektor spravodajské služby v rozsahu Slovenská informačná služba a Vojenské spravodajstvo. </w:t>
            </w:r>
          </w:p>
          <w:p w:rsidR="00E3279A" w:rsidRPr="0042031D" w:rsidRDefault="00E3279A" w:rsidP="00E3279A">
            <w:pPr>
              <w:tabs>
                <w:tab w:val="num" w:pos="360"/>
              </w:tabs>
              <w:jc w:val="both"/>
              <w:rPr>
                <w:sz w:val="20"/>
                <w:szCs w:val="20"/>
              </w:rPr>
            </w:pPr>
          </w:p>
        </w:tc>
      </w:tr>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Pr="0042031D" w:rsidRDefault="00E3279A" w:rsidP="00E3279A">
            <w:pPr>
              <w:rPr>
                <w:b/>
                <w:bCs/>
              </w:rPr>
            </w:pPr>
            <w:r w:rsidRPr="0042031D">
              <w:rPr>
                <w:b/>
                <w:bCs/>
                <w:sz w:val="22"/>
                <w:szCs w:val="22"/>
              </w:rPr>
              <w:t xml:space="preserve"> 4.  Dotknuté subjekty</w:t>
            </w:r>
          </w:p>
        </w:tc>
      </w:tr>
      <w:tr w:rsidR="00E3279A" w:rsidTr="00E3279A">
        <w:trPr>
          <w:trHeight w:val="600"/>
          <w:jc w:val="center"/>
        </w:trPr>
        <w:tc>
          <w:tcPr>
            <w:tcW w:w="5000" w:type="pct"/>
            <w:tcBorders>
              <w:top w:val="outset" w:sz="6" w:space="0" w:color="000000"/>
              <w:bottom w:val="outset" w:sz="6" w:space="0" w:color="000000"/>
            </w:tcBorders>
            <w:hideMark/>
          </w:tcPr>
          <w:p w:rsidR="00E3279A" w:rsidRDefault="00E3279A" w:rsidP="00E3279A">
            <w:pPr>
              <w:rPr>
                <w:rFonts w:ascii="Times" w:hAnsi="Times" w:cs="Times"/>
                <w:sz w:val="20"/>
                <w:szCs w:val="20"/>
              </w:rPr>
            </w:pPr>
            <w:r w:rsidRPr="00D177D1">
              <w:rPr>
                <w:rFonts w:ascii="Times" w:hAnsi="Times" w:cs="Times"/>
                <w:sz w:val="20"/>
                <w:szCs w:val="20"/>
              </w:rPr>
              <w:t xml:space="preserve">Národný bezpečnostný úrad, ministerstvá a ostatné ústredné orgány štátnej správy a iné štátne orgány v rozsahu  pôsobnosti tohto zákona, fyzické osoby, právnické osoby. </w:t>
            </w:r>
          </w:p>
          <w:p w:rsidR="00E3279A" w:rsidRDefault="00E3279A" w:rsidP="00E3279A">
            <w:pPr>
              <w:rPr>
                <w:rFonts w:ascii="Times" w:hAnsi="Times" w:cs="Times"/>
                <w:sz w:val="20"/>
                <w:szCs w:val="20"/>
              </w:rPr>
            </w:pPr>
          </w:p>
        </w:tc>
      </w:tr>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5.  Alternatívne riešenia</w:t>
            </w:r>
          </w:p>
        </w:tc>
      </w:tr>
      <w:tr w:rsidR="00E3279A" w:rsidTr="00E3279A">
        <w:trPr>
          <w:trHeight w:val="419"/>
          <w:jc w:val="center"/>
        </w:trPr>
        <w:tc>
          <w:tcPr>
            <w:tcW w:w="5000" w:type="pct"/>
            <w:tcBorders>
              <w:top w:val="outset" w:sz="6" w:space="0" w:color="000000"/>
              <w:bottom w:val="outset" w:sz="6" w:space="0" w:color="000000"/>
            </w:tcBorders>
            <w:hideMark/>
          </w:tcPr>
          <w:p w:rsidR="00E3279A" w:rsidRDefault="00E3279A" w:rsidP="00E3279A">
            <w:pPr>
              <w:pStyle w:val="Obyajntext"/>
              <w:rPr>
                <w:rFonts w:ascii="Times New Roman" w:hAnsi="Times New Roman" w:cs="Times New Roman"/>
                <w:sz w:val="20"/>
                <w:szCs w:val="20"/>
              </w:rPr>
            </w:pPr>
            <w:r>
              <w:rPr>
                <w:rFonts w:ascii="Times New Roman" w:hAnsi="Times New Roman" w:cs="Times New Roman"/>
                <w:sz w:val="20"/>
                <w:szCs w:val="20"/>
              </w:rPr>
              <w:t>Základným</w:t>
            </w:r>
            <w:r w:rsidRPr="00034190">
              <w:rPr>
                <w:rFonts w:ascii="Times New Roman" w:hAnsi="Times New Roman" w:cs="Times New Roman"/>
                <w:sz w:val="20"/>
                <w:szCs w:val="20"/>
              </w:rPr>
              <w:t xml:space="preserve"> rozdiel</w:t>
            </w:r>
            <w:r>
              <w:rPr>
                <w:rFonts w:ascii="Times New Roman" w:hAnsi="Times New Roman" w:cs="Times New Roman"/>
                <w:sz w:val="20"/>
                <w:szCs w:val="20"/>
              </w:rPr>
              <w:t>om</w:t>
            </w:r>
            <w:r w:rsidRPr="00034190">
              <w:rPr>
                <w:rFonts w:ascii="Times New Roman" w:hAnsi="Times New Roman" w:cs="Times New Roman"/>
                <w:sz w:val="20"/>
                <w:szCs w:val="20"/>
              </w:rPr>
              <w:t xml:space="preserve"> oproti </w:t>
            </w:r>
            <w:r>
              <w:rPr>
                <w:rFonts w:ascii="Times New Roman" w:hAnsi="Times New Roman" w:cs="Times New Roman"/>
                <w:sz w:val="20"/>
                <w:szCs w:val="20"/>
              </w:rPr>
              <w:t xml:space="preserve">aktuálne platnej a účinnej zákonnej úprave spočíva v zmene poradia krokov pri využívaní akreditovanej jednotky CSIRT. Kým doposiaľ si ústredný orgán zriaďoval prioritne vlastnú jednotku CSIRT, čo je finančne podstatne nákladná činnosť, podľa návrhu zákona bude primárne využívať na základe zmluvy jednotky CSIRT už zriadené, a to </w:t>
            </w:r>
            <w:r w:rsidRPr="00034190">
              <w:rPr>
                <w:rFonts w:ascii="Times New Roman" w:hAnsi="Times New Roman" w:cs="Times New Roman"/>
                <w:sz w:val="20"/>
                <w:szCs w:val="20"/>
              </w:rPr>
              <w:t>N</w:t>
            </w:r>
            <w:r>
              <w:rPr>
                <w:rFonts w:ascii="Times New Roman" w:hAnsi="Times New Roman" w:cs="Times New Roman"/>
                <w:sz w:val="20"/>
                <w:szCs w:val="20"/>
              </w:rPr>
              <w:t>á</w:t>
            </w:r>
            <w:r w:rsidRPr="00034190">
              <w:rPr>
                <w:rFonts w:ascii="Times New Roman" w:hAnsi="Times New Roman" w:cs="Times New Roman"/>
                <w:sz w:val="20"/>
                <w:szCs w:val="20"/>
              </w:rPr>
              <w:t>rodn</w:t>
            </w:r>
            <w:r>
              <w:rPr>
                <w:rFonts w:ascii="Times New Roman" w:hAnsi="Times New Roman" w:cs="Times New Roman"/>
                <w:sz w:val="20"/>
                <w:szCs w:val="20"/>
              </w:rPr>
              <w:t>ú jednotku CSIRT v gescii Národného centra kybernetickej bezpečnosti (NBÚ) alebo Vládnu jednotku CSIRT</w:t>
            </w:r>
            <w:r w:rsidRPr="00034190">
              <w:rPr>
                <w:rFonts w:ascii="Times New Roman" w:hAnsi="Times New Roman" w:cs="Times New Roman"/>
                <w:sz w:val="20"/>
                <w:szCs w:val="20"/>
              </w:rPr>
              <w:t xml:space="preserve"> </w:t>
            </w:r>
            <w:r>
              <w:rPr>
                <w:rFonts w:ascii="Times New Roman" w:hAnsi="Times New Roman" w:cs="Times New Roman"/>
                <w:sz w:val="20"/>
                <w:szCs w:val="20"/>
              </w:rPr>
              <w:t xml:space="preserve">(MIRRI) </w:t>
            </w:r>
            <w:r w:rsidRPr="00034190">
              <w:rPr>
                <w:rFonts w:ascii="Times New Roman" w:hAnsi="Times New Roman" w:cs="Times New Roman"/>
                <w:sz w:val="20"/>
                <w:szCs w:val="20"/>
              </w:rPr>
              <w:t>a a</w:t>
            </w:r>
            <w:r>
              <w:rPr>
                <w:rFonts w:ascii="Times New Roman" w:hAnsi="Times New Roman" w:cs="Times New Roman"/>
                <w:sz w:val="20"/>
                <w:szCs w:val="20"/>
              </w:rPr>
              <w:t>ž</w:t>
            </w:r>
            <w:r w:rsidRPr="00034190">
              <w:rPr>
                <w:rFonts w:ascii="Times New Roman" w:hAnsi="Times New Roman" w:cs="Times New Roman"/>
                <w:sz w:val="20"/>
                <w:szCs w:val="20"/>
              </w:rPr>
              <w:t xml:space="preserve"> n</w:t>
            </w:r>
            <w:r>
              <w:rPr>
                <w:rFonts w:ascii="Times New Roman" w:hAnsi="Times New Roman" w:cs="Times New Roman"/>
                <w:sz w:val="20"/>
                <w:szCs w:val="20"/>
              </w:rPr>
              <w:t>á</w:t>
            </w:r>
            <w:r w:rsidRPr="00034190">
              <w:rPr>
                <w:rFonts w:ascii="Times New Roman" w:hAnsi="Times New Roman" w:cs="Times New Roman"/>
                <w:sz w:val="20"/>
                <w:szCs w:val="20"/>
              </w:rPr>
              <w:t xml:space="preserve">sledne </w:t>
            </w:r>
            <w:r>
              <w:rPr>
                <w:rFonts w:ascii="Times New Roman" w:hAnsi="Times New Roman" w:cs="Times New Roman"/>
                <w:sz w:val="20"/>
                <w:szCs w:val="20"/>
              </w:rPr>
              <w:t xml:space="preserve">ak po porovnaní a </w:t>
            </w:r>
            <w:proofErr w:type="spellStart"/>
            <w:r>
              <w:rPr>
                <w:rFonts w:ascii="Times New Roman" w:hAnsi="Times New Roman" w:cs="Times New Roman"/>
                <w:sz w:val="20"/>
                <w:szCs w:val="20"/>
              </w:rPr>
              <w:t>analizovaní</w:t>
            </w:r>
            <w:proofErr w:type="spellEnd"/>
            <w:r>
              <w:rPr>
                <w:rFonts w:ascii="Times New Roman" w:hAnsi="Times New Roman" w:cs="Times New Roman"/>
                <w:sz w:val="20"/>
                <w:szCs w:val="20"/>
              </w:rPr>
              <w:t xml:space="preserve"> oboch alternatív pristúpi k rozhodnutia resp. možnosti</w:t>
            </w:r>
            <w:r w:rsidRPr="00034190">
              <w:rPr>
                <w:rFonts w:ascii="Times New Roman" w:hAnsi="Times New Roman" w:cs="Times New Roman"/>
                <w:sz w:val="20"/>
                <w:szCs w:val="20"/>
              </w:rPr>
              <w:t>-nie povinnos</w:t>
            </w:r>
            <w:r>
              <w:rPr>
                <w:rFonts w:ascii="Times New Roman" w:hAnsi="Times New Roman" w:cs="Times New Roman"/>
                <w:sz w:val="20"/>
                <w:szCs w:val="20"/>
              </w:rPr>
              <w:t>ti</w:t>
            </w:r>
            <w:r w:rsidRPr="00034190">
              <w:rPr>
                <w:rFonts w:ascii="Times New Roman" w:hAnsi="Times New Roman" w:cs="Times New Roman"/>
                <w:sz w:val="20"/>
                <w:szCs w:val="20"/>
              </w:rPr>
              <w:t xml:space="preserve"> akreditova</w:t>
            </w:r>
            <w:r>
              <w:rPr>
                <w:rFonts w:ascii="Times New Roman" w:hAnsi="Times New Roman" w:cs="Times New Roman"/>
                <w:sz w:val="20"/>
                <w:szCs w:val="20"/>
              </w:rPr>
              <w:t>ť vlastnú</w:t>
            </w:r>
            <w:r w:rsidRPr="00034190">
              <w:rPr>
                <w:rFonts w:ascii="Times New Roman" w:hAnsi="Times New Roman" w:cs="Times New Roman"/>
                <w:sz w:val="20"/>
                <w:szCs w:val="20"/>
              </w:rPr>
              <w:t xml:space="preserve"> jednotku</w:t>
            </w:r>
            <w:r>
              <w:rPr>
                <w:rFonts w:ascii="Times New Roman" w:hAnsi="Times New Roman" w:cs="Times New Roman"/>
                <w:sz w:val="20"/>
                <w:szCs w:val="20"/>
              </w:rPr>
              <w:t xml:space="preserve"> CSIRT</w:t>
            </w:r>
            <w:r w:rsidRPr="00034190">
              <w:rPr>
                <w:rFonts w:ascii="Times New Roman" w:hAnsi="Times New Roman" w:cs="Times New Roman"/>
                <w:sz w:val="20"/>
                <w:szCs w:val="20"/>
              </w:rPr>
              <w:t xml:space="preserve">. </w:t>
            </w:r>
          </w:p>
          <w:p w:rsidR="00E3279A" w:rsidRPr="00034190" w:rsidRDefault="00E3279A" w:rsidP="00E3279A">
            <w:pPr>
              <w:pStyle w:val="Obyajntext"/>
              <w:rPr>
                <w:rFonts w:ascii="Times New Roman" w:hAnsi="Times New Roman" w:cs="Times New Roman"/>
                <w:sz w:val="20"/>
                <w:szCs w:val="20"/>
              </w:rPr>
            </w:pPr>
            <w:r>
              <w:rPr>
                <w:rFonts w:ascii="Times New Roman" w:hAnsi="Times New Roman" w:cs="Times New Roman"/>
                <w:sz w:val="20"/>
                <w:szCs w:val="20"/>
              </w:rPr>
              <w:t>90% subjektov využí</w:t>
            </w:r>
            <w:r w:rsidRPr="00034190">
              <w:rPr>
                <w:rFonts w:ascii="Times New Roman" w:hAnsi="Times New Roman" w:cs="Times New Roman"/>
                <w:sz w:val="20"/>
                <w:szCs w:val="20"/>
              </w:rPr>
              <w:t>va N</w:t>
            </w:r>
            <w:r>
              <w:rPr>
                <w:rFonts w:ascii="Times New Roman" w:hAnsi="Times New Roman" w:cs="Times New Roman"/>
                <w:sz w:val="20"/>
                <w:szCs w:val="20"/>
              </w:rPr>
              <w:t>á</w:t>
            </w:r>
            <w:r w:rsidRPr="00034190">
              <w:rPr>
                <w:rFonts w:ascii="Times New Roman" w:hAnsi="Times New Roman" w:cs="Times New Roman"/>
                <w:sz w:val="20"/>
                <w:szCs w:val="20"/>
              </w:rPr>
              <w:t>rodn</w:t>
            </w:r>
            <w:r>
              <w:rPr>
                <w:rFonts w:ascii="Times New Roman" w:hAnsi="Times New Roman" w:cs="Times New Roman"/>
                <w:sz w:val="20"/>
                <w:szCs w:val="20"/>
              </w:rPr>
              <w:t>ú</w:t>
            </w:r>
            <w:r w:rsidRPr="00034190">
              <w:rPr>
                <w:rFonts w:ascii="Times New Roman" w:hAnsi="Times New Roman" w:cs="Times New Roman"/>
                <w:sz w:val="20"/>
                <w:szCs w:val="20"/>
              </w:rPr>
              <w:t xml:space="preserve"> jednotku</w:t>
            </w:r>
            <w:r>
              <w:rPr>
                <w:rFonts w:ascii="Times New Roman" w:hAnsi="Times New Roman" w:cs="Times New Roman"/>
                <w:sz w:val="20"/>
                <w:szCs w:val="20"/>
              </w:rPr>
              <w:t xml:space="preserve"> CSIRT, zvyšné V</w:t>
            </w:r>
            <w:r w:rsidRPr="00034190">
              <w:rPr>
                <w:rFonts w:ascii="Times New Roman" w:hAnsi="Times New Roman" w:cs="Times New Roman"/>
                <w:sz w:val="20"/>
                <w:szCs w:val="20"/>
              </w:rPr>
              <w:t>l</w:t>
            </w:r>
            <w:r>
              <w:rPr>
                <w:rFonts w:ascii="Times New Roman" w:hAnsi="Times New Roman" w:cs="Times New Roman"/>
                <w:sz w:val="20"/>
                <w:szCs w:val="20"/>
              </w:rPr>
              <w:t>á</w:t>
            </w:r>
            <w:r w:rsidRPr="00034190">
              <w:rPr>
                <w:rFonts w:ascii="Times New Roman" w:hAnsi="Times New Roman" w:cs="Times New Roman"/>
                <w:sz w:val="20"/>
                <w:szCs w:val="20"/>
              </w:rPr>
              <w:t>dnu jednotku CSIRT.</w:t>
            </w:r>
          </w:p>
          <w:p w:rsidR="00E3279A" w:rsidRDefault="00E3279A" w:rsidP="00E3279A">
            <w:pPr>
              <w:jc w:val="both"/>
              <w:rPr>
                <w:rFonts w:ascii="Times" w:hAnsi="Times" w:cs="Times"/>
                <w:sz w:val="20"/>
                <w:szCs w:val="20"/>
              </w:rPr>
            </w:pPr>
          </w:p>
        </w:tc>
      </w:tr>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lastRenderedPageBreak/>
              <w:t>  6.  Vykonávacie predpisy</w:t>
            </w:r>
          </w:p>
        </w:tc>
      </w:tr>
      <w:tr w:rsidR="00E3279A" w:rsidTr="00E3279A">
        <w:trPr>
          <w:trHeight w:val="600"/>
          <w:jc w:val="center"/>
        </w:trPr>
        <w:tc>
          <w:tcPr>
            <w:tcW w:w="5000" w:type="pct"/>
            <w:tcBorders>
              <w:top w:val="outset" w:sz="6" w:space="0" w:color="000000"/>
              <w:bottom w:val="outset" w:sz="6" w:space="0" w:color="000000"/>
            </w:tcBorders>
            <w:hideMark/>
          </w:tcPr>
          <w:p w:rsidR="00E3279A" w:rsidRPr="000B51D4" w:rsidRDefault="00E3279A" w:rsidP="00E3279A">
            <w:pPr>
              <w:rPr>
                <w:sz w:val="20"/>
                <w:szCs w:val="20"/>
              </w:rPr>
            </w:pPr>
            <w:r w:rsidRPr="000B51D4">
              <w:rPr>
                <w:sz w:val="20"/>
                <w:szCs w:val="20"/>
              </w:rPr>
              <w:t xml:space="preserve">Predpokladá sa prijatie/zmena vykonávacích predpisov?                 </w:t>
            </w:r>
            <w:r>
              <w:rPr>
                <w:rFonts w:ascii="Wingdings 2" w:hAnsi="Wingdings 2" w:cs="Times"/>
                <w:sz w:val="20"/>
                <w:szCs w:val="20"/>
              </w:rPr>
              <w:t></w:t>
            </w:r>
            <w:r w:rsidRPr="000B51D4">
              <w:rPr>
                <w:sz w:val="20"/>
                <w:szCs w:val="20"/>
              </w:rPr>
              <w:t>  Áno        </w:t>
            </w:r>
            <w:r w:rsidRPr="000B51D4">
              <w:rPr>
                <w:sz w:val="20"/>
                <w:szCs w:val="20"/>
              </w:rPr>
              <w:t>   Nie   </w:t>
            </w:r>
          </w:p>
          <w:p w:rsidR="00E3279A" w:rsidRPr="00D177D1" w:rsidRDefault="00E3279A" w:rsidP="00E3279A">
            <w:pPr>
              <w:jc w:val="both"/>
              <w:rPr>
                <w:sz w:val="20"/>
                <w:szCs w:val="20"/>
              </w:rPr>
            </w:pPr>
            <w:r w:rsidRPr="00D177D1">
              <w:rPr>
                <w:sz w:val="20"/>
                <w:szCs w:val="20"/>
              </w:rPr>
              <w:t>Vyhláška Národného bezpečnostného úradu č. ..../202</w:t>
            </w:r>
            <w:r>
              <w:rPr>
                <w:sz w:val="20"/>
                <w:szCs w:val="20"/>
              </w:rPr>
              <w:t>1</w:t>
            </w:r>
            <w:r w:rsidRPr="00D177D1">
              <w:rPr>
                <w:sz w:val="20"/>
                <w:szCs w:val="20"/>
              </w:rPr>
              <w:t xml:space="preserve"> o</w:t>
            </w:r>
            <w:r>
              <w:rPr>
                <w:sz w:val="20"/>
                <w:szCs w:val="20"/>
              </w:rPr>
              <w:t> </w:t>
            </w:r>
            <w:r w:rsidRPr="00D177D1">
              <w:rPr>
                <w:sz w:val="20"/>
                <w:szCs w:val="20"/>
              </w:rPr>
              <w:t>blokovaní;</w:t>
            </w:r>
          </w:p>
          <w:p w:rsidR="00E3279A" w:rsidRDefault="00E3279A" w:rsidP="00E3279A">
            <w:pPr>
              <w:jc w:val="both"/>
              <w:rPr>
                <w:sz w:val="20"/>
                <w:szCs w:val="20"/>
              </w:rPr>
            </w:pPr>
            <w:r w:rsidRPr="00D177D1">
              <w:rPr>
                <w:sz w:val="20"/>
                <w:szCs w:val="20"/>
              </w:rPr>
              <w:t>Vyhláška Národného bezpečnostného úradu č. ..../202</w:t>
            </w:r>
            <w:r>
              <w:rPr>
                <w:sz w:val="20"/>
                <w:szCs w:val="20"/>
              </w:rPr>
              <w:t>1</w:t>
            </w:r>
            <w:r w:rsidRPr="00D177D1">
              <w:rPr>
                <w:sz w:val="20"/>
                <w:szCs w:val="20"/>
              </w:rPr>
              <w:t xml:space="preserve"> o certifikácii kybernetickej bezpečnosti</w:t>
            </w:r>
            <w:r>
              <w:rPr>
                <w:sz w:val="20"/>
                <w:szCs w:val="20"/>
              </w:rPr>
              <w:t>,</w:t>
            </w:r>
          </w:p>
          <w:p w:rsidR="00E3279A" w:rsidRPr="000B51D4" w:rsidRDefault="00E3279A" w:rsidP="00E3279A">
            <w:pPr>
              <w:jc w:val="both"/>
              <w:rPr>
                <w:sz w:val="20"/>
                <w:szCs w:val="20"/>
              </w:rPr>
            </w:pPr>
            <w:r>
              <w:rPr>
                <w:sz w:val="20"/>
                <w:szCs w:val="20"/>
              </w:rPr>
              <w:t>- automatizovaného hlásenia.</w:t>
            </w:r>
          </w:p>
        </w:tc>
      </w:tr>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xml:space="preserve">  7.  Transpozícia práva EÚ </w:t>
            </w:r>
          </w:p>
        </w:tc>
      </w:tr>
      <w:tr w:rsidR="00E3279A" w:rsidTr="00E3279A">
        <w:trPr>
          <w:trHeight w:val="600"/>
          <w:jc w:val="center"/>
        </w:trPr>
        <w:tc>
          <w:tcPr>
            <w:tcW w:w="5000" w:type="pct"/>
            <w:tcBorders>
              <w:top w:val="outset" w:sz="6" w:space="0" w:color="000000"/>
              <w:bottom w:val="outset" w:sz="6" w:space="0" w:color="000000"/>
            </w:tcBorders>
            <w:hideMark/>
          </w:tcPr>
          <w:p w:rsidR="00E3279A" w:rsidRDefault="00E3279A" w:rsidP="00E3279A">
            <w:pPr>
              <w:jc w:val="both"/>
              <w:rPr>
                <w:sz w:val="20"/>
                <w:szCs w:val="20"/>
              </w:rPr>
            </w:pPr>
            <w:r>
              <w:rPr>
                <w:sz w:val="20"/>
                <w:szCs w:val="20"/>
              </w:rPr>
              <w:t>Nie</w:t>
            </w:r>
            <w:r w:rsidRPr="00D177D1">
              <w:rPr>
                <w:sz w:val="20"/>
                <w:szCs w:val="20"/>
              </w:rPr>
              <w:t xml:space="preserve">. </w:t>
            </w:r>
          </w:p>
          <w:p w:rsidR="00E3279A" w:rsidRDefault="00E3279A" w:rsidP="00E3279A">
            <w:pPr>
              <w:jc w:val="both"/>
              <w:rPr>
                <w:sz w:val="20"/>
                <w:szCs w:val="20"/>
              </w:rPr>
            </w:pPr>
          </w:p>
          <w:p w:rsidR="00E3279A" w:rsidRDefault="00E3279A" w:rsidP="00E3279A">
            <w:pPr>
              <w:jc w:val="both"/>
              <w:rPr>
                <w:sz w:val="20"/>
                <w:szCs w:val="20"/>
              </w:rPr>
            </w:pPr>
            <w:r w:rsidRPr="00D177D1">
              <w:rPr>
                <w:sz w:val="20"/>
                <w:szCs w:val="20"/>
              </w:rPr>
              <w:t xml:space="preserve">Návrh zákona o kybernetickej bezpečnosti a o zmene a doplnení niektorých zákonov do národného právneho poriadku </w:t>
            </w:r>
            <w:r>
              <w:rPr>
                <w:sz w:val="20"/>
                <w:szCs w:val="20"/>
              </w:rPr>
              <w:t xml:space="preserve">implementuje </w:t>
            </w:r>
            <w:r w:rsidRPr="00F70565">
              <w:rPr>
                <w:sz w:val="20"/>
                <w:szCs w:val="20"/>
              </w:rPr>
              <w:t>nariadenie (EÚ) č. 2019/881</w:t>
            </w:r>
            <w:r>
              <w:rPr>
                <w:sz w:val="20"/>
                <w:szCs w:val="20"/>
              </w:rPr>
              <w:t xml:space="preserve"> spôsobom, ktorým vytvára súlad medzi nariadením, ktoré je priamo záväzné, a vnútroštátnou právnou úpravou. Zákon reflektuje aj na povinnosti určené v </w:t>
            </w:r>
            <w:r w:rsidRPr="00F70565">
              <w:rPr>
                <w:sz w:val="20"/>
                <w:szCs w:val="20"/>
              </w:rPr>
              <w:t>nariaden</w:t>
            </w:r>
            <w:r>
              <w:rPr>
                <w:sz w:val="20"/>
                <w:szCs w:val="20"/>
              </w:rPr>
              <w:t>í</w:t>
            </w:r>
            <w:r w:rsidRPr="00F70565">
              <w:rPr>
                <w:sz w:val="20"/>
                <w:szCs w:val="20"/>
              </w:rPr>
              <w:t xml:space="preserve"> (EÚ) č. 2019/881</w:t>
            </w:r>
            <w:r>
              <w:rPr>
                <w:sz w:val="20"/>
                <w:szCs w:val="20"/>
              </w:rPr>
              <w:t xml:space="preserve"> (napr. určenie </w:t>
            </w:r>
            <w:r w:rsidRPr="00F70565">
              <w:rPr>
                <w:sz w:val="20"/>
                <w:szCs w:val="20"/>
              </w:rPr>
              <w:t>jeden</w:t>
            </w:r>
            <w:r>
              <w:rPr>
                <w:sz w:val="20"/>
                <w:szCs w:val="20"/>
              </w:rPr>
              <w:t>ého</w:t>
            </w:r>
            <w:r w:rsidRPr="00F70565">
              <w:rPr>
                <w:sz w:val="20"/>
                <w:szCs w:val="20"/>
              </w:rPr>
              <w:t xml:space="preserve"> alebo viacer</w:t>
            </w:r>
            <w:r>
              <w:rPr>
                <w:sz w:val="20"/>
                <w:szCs w:val="20"/>
              </w:rPr>
              <w:t>ých</w:t>
            </w:r>
            <w:r w:rsidRPr="00F70565">
              <w:rPr>
                <w:sz w:val="20"/>
                <w:szCs w:val="20"/>
              </w:rPr>
              <w:t xml:space="preserve"> vnútroštátnych orgánov pre certifikáciu kybernetickej bezpečnosti</w:t>
            </w:r>
            <w:r>
              <w:rPr>
                <w:sz w:val="20"/>
                <w:szCs w:val="20"/>
              </w:rPr>
              <w:t xml:space="preserve">). Zákon priamo nie je reakciou na </w:t>
            </w:r>
            <w:r w:rsidRPr="00D177D1">
              <w:rPr>
                <w:sz w:val="20"/>
                <w:szCs w:val="20"/>
              </w:rPr>
              <w:t>transpo</w:t>
            </w:r>
            <w:r>
              <w:rPr>
                <w:sz w:val="20"/>
                <w:szCs w:val="20"/>
              </w:rPr>
              <w:t xml:space="preserve">zíciu </w:t>
            </w:r>
            <w:r w:rsidRPr="00D177D1">
              <w:rPr>
                <w:sz w:val="20"/>
                <w:szCs w:val="20"/>
              </w:rPr>
              <w:t>smernic</w:t>
            </w:r>
            <w:r>
              <w:rPr>
                <w:sz w:val="20"/>
                <w:szCs w:val="20"/>
              </w:rPr>
              <w:t>e</w:t>
            </w:r>
            <w:r w:rsidRPr="00D177D1">
              <w:rPr>
                <w:sz w:val="20"/>
                <w:szCs w:val="20"/>
              </w:rPr>
              <w:t xml:space="preserve"> Európskeho parlamentu a rady (EÚ) 2016/1148 zo 6. júla 2016 o opatreniach na zabezpečenie vysokej spoločnej úrovne bezpečnosti sietí a informačných systémov v</w:t>
            </w:r>
            <w:r>
              <w:rPr>
                <w:sz w:val="20"/>
                <w:szCs w:val="20"/>
              </w:rPr>
              <w:t> </w:t>
            </w:r>
            <w:r w:rsidRPr="00D177D1">
              <w:rPr>
                <w:sz w:val="20"/>
                <w:szCs w:val="20"/>
              </w:rPr>
              <w:t>Únii</w:t>
            </w:r>
            <w:r>
              <w:rPr>
                <w:sz w:val="20"/>
                <w:szCs w:val="20"/>
              </w:rPr>
              <w:t>, avšak v minimálnej miere sa jej dotýka</w:t>
            </w:r>
            <w:r w:rsidRPr="00D177D1">
              <w:rPr>
                <w:sz w:val="20"/>
                <w:szCs w:val="20"/>
              </w:rPr>
              <w:t>.</w:t>
            </w:r>
          </w:p>
          <w:p w:rsidR="00E3279A" w:rsidRDefault="00E3279A" w:rsidP="00E3279A">
            <w:pPr>
              <w:jc w:val="both"/>
              <w:rPr>
                <w:rFonts w:ascii="Times" w:hAnsi="Times" w:cs="Times"/>
                <w:sz w:val="20"/>
                <w:szCs w:val="20"/>
              </w:rPr>
            </w:pPr>
          </w:p>
        </w:tc>
      </w:tr>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8.  Preskúmanie účelnosti**</w:t>
            </w:r>
          </w:p>
        </w:tc>
      </w:tr>
      <w:tr w:rsidR="00E3279A" w:rsidTr="00E3279A">
        <w:trPr>
          <w:trHeight w:val="600"/>
          <w:jc w:val="center"/>
        </w:trPr>
        <w:tc>
          <w:tcPr>
            <w:tcW w:w="5000" w:type="pct"/>
            <w:tcBorders>
              <w:top w:val="outset" w:sz="6" w:space="0" w:color="000000"/>
              <w:bottom w:val="outset" w:sz="6" w:space="0" w:color="000000"/>
            </w:tcBorders>
            <w:hideMark/>
          </w:tcPr>
          <w:p w:rsidR="00E3279A" w:rsidRPr="004B5CDB" w:rsidRDefault="00E3279A" w:rsidP="00E3279A">
            <w:pPr>
              <w:jc w:val="both"/>
              <w:rPr>
                <w:rFonts w:ascii="Times" w:hAnsi="Times" w:cs="Times"/>
                <w:sz w:val="20"/>
                <w:szCs w:val="20"/>
              </w:rPr>
            </w:pPr>
            <w:r w:rsidRPr="004B5CDB">
              <w:rPr>
                <w:rFonts w:ascii="Times" w:hAnsi="Times" w:cs="Times"/>
                <w:sz w:val="20"/>
                <w:szCs w:val="20"/>
              </w:rPr>
              <w:t>Preskúmanie účelnosti navrhovaného materiálu bude vykonávané priebežne po nadobudnutí účinnosti a jeho aplikácii.</w:t>
            </w:r>
          </w:p>
        </w:tc>
      </w:tr>
    </w:tbl>
    <w:p w:rsidR="00E3279A" w:rsidRDefault="00E3279A" w:rsidP="00E3279A">
      <w:pPr>
        <w:pStyle w:val="Normlnywebov"/>
        <w:spacing w:before="0" w:beforeAutospacing="0" w:after="0" w:afterAutospacing="0"/>
        <w:rPr>
          <w:bCs/>
          <w:sz w:val="22"/>
          <w:szCs w:val="22"/>
        </w:rPr>
      </w:pPr>
    </w:p>
    <w:p w:rsidR="00E3279A" w:rsidRPr="00F70565" w:rsidRDefault="00E3279A" w:rsidP="00E3279A">
      <w:pPr>
        <w:ind w:left="142" w:hanging="142"/>
        <w:rPr>
          <w:sz w:val="18"/>
          <w:szCs w:val="18"/>
        </w:rPr>
      </w:pPr>
      <w:r w:rsidRPr="00F70565">
        <w:rPr>
          <w:sz w:val="18"/>
          <w:szCs w:val="18"/>
        </w:rPr>
        <w:t xml:space="preserve">* vyplniť iba v prípade, ak materiál nie je zahrnutý do Plánu práce vlády Slovenskej republiky alebo Plánu legislatívnych úloh vlády Slovenskej republiky. </w:t>
      </w:r>
    </w:p>
    <w:p w:rsidR="00E3279A" w:rsidRPr="00F70565" w:rsidRDefault="00E3279A" w:rsidP="00E3279A">
      <w:pPr>
        <w:pStyle w:val="Normlnywebov"/>
        <w:spacing w:before="0" w:beforeAutospacing="0" w:after="0" w:afterAutospacing="0"/>
        <w:rPr>
          <w:sz w:val="18"/>
          <w:szCs w:val="18"/>
        </w:rPr>
      </w:pPr>
      <w:r w:rsidRPr="00F70565">
        <w:rPr>
          <w:sz w:val="18"/>
          <w:szCs w:val="18"/>
        </w:rPr>
        <w:t>** nepovinné</w:t>
      </w:r>
    </w:p>
    <w:p w:rsidR="00E3279A" w:rsidRDefault="00E3279A" w:rsidP="00E3279A">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1"/>
      </w:tblGrid>
      <w:tr w:rsidR="00E3279A" w:rsidTr="00E3279A">
        <w:trPr>
          <w:trHeight w:val="450"/>
          <w:jc w:val="center"/>
        </w:trPr>
        <w:tc>
          <w:tcPr>
            <w:tcW w:w="250" w:type="pct"/>
            <w:gridSpan w:val="4"/>
            <w:tcBorders>
              <w:top w:val="outset" w:sz="6" w:space="0" w:color="000000"/>
              <w:bottom w:val="outset" w:sz="6" w:space="0" w:color="000000"/>
            </w:tcBorders>
            <w:shd w:val="clear" w:color="auto" w:fill="E6E6E6"/>
            <w:hideMark/>
          </w:tcPr>
          <w:p w:rsidR="00E3279A" w:rsidRDefault="00E3279A" w:rsidP="00E3279A">
            <w:pPr>
              <w:rPr>
                <w:rFonts w:ascii="Times" w:hAnsi="Times" w:cs="Times"/>
                <w:b/>
                <w:bCs/>
                <w:sz w:val="20"/>
                <w:szCs w:val="20"/>
              </w:rPr>
            </w:pPr>
            <w:r>
              <w:rPr>
                <w:rFonts w:ascii="Times" w:hAnsi="Times" w:cs="Times"/>
                <w:b/>
                <w:bCs/>
                <w:sz w:val="20"/>
                <w:szCs w:val="20"/>
              </w:rPr>
              <w:t>  9.   Vplyvy navrhovaného materiálu</w:t>
            </w:r>
          </w:p>
        </w:tc>
      </w:tr>
      <w:tr w:rsidR="00E3279A" w:rsidTr="00E3279A">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E3279A" w:rsidRDefault="00E3279A" w:rsidP="00E3279A">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xml:space="preserve">  </w:t>
            </w:r>
            <w:r w:rsidRPr="00F70565">
              <w:rPr>
                <w:rFonts w:ascii="Wingdings 2" w:hAnsi="Wingdings 2" w:cs="Times"/>
                <w:sz w:val="20"/>
                <w:szCs w:val="20"/>
              </w:rPr>
              <w:t></w:t>
            </w:r>
            <w:r w:rsidRPr="00F70565">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xml:space="preserve">  </w:t>
            </w:r>
            <w:r w:rsidRPr="00F70565">
              <w:rPr>
                <w:rFonts w:ascii="Wingdings 2" w:hAnsi="Wingdings 2" w:cs="Times"/>
                <w:sz w:val="28"/>
                <w:szCs w:val="28"/>
              </w:rPr>
              <w:t></w:t>
            </w:r>
            <w:r w:rsidRPr="00F70565">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w:t>
            </w:r>
            <w:r>
              <w:rPr>
                <w:rFonts w:ascii="Times" w:hAnsi="Times" w:cs="Times"/>
                <w:sz w:val="20"/>
                <w:szCs w:val="20"/>
              </w:rPr>
              <w:t xml:space="preserve"> </w:t>
            </w:r>
            <w:r w:rsidRPr="00F70565">
              <w:rPr>
                <w:rFonts w:ascii="Wingdings 2" w:hAnsi="Wingdings 2" w:cs="Times"/>
                <w:sz w:val="28"/>
                <w:szCs w:val="28"/>
              </w:rPr>
              <w:t></w:t>
            </w:r>
            <w:r w:rsidRPr="00F70565">
              <w:rPr>
                <w:rFonts w:ascii="Times" w:hAnsi="Times" w:cs="Times"/>
                <w:sz w:val="20"/>
                <w:szCs w:val="20"/>
              </w:rPr>
              <w:t xml:space="preserve">   Negatívne</w:t>
            </w:r>
          </w:p>
        </w:tc>
      </w:tr>
      <w:tr w:rsidR="00E3279A" w:rsidTr="00E3279A">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E3279A" w:rsidRDefault="00E3279A" w:rsidP="00E3279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xml:space="preserve">  </w:t>
            </w:r>
            <w:r w:rsidRPr="00F70565">
              <w:rPr>
                <w:rFonts w:ascii="Wingdings 2" w:hAnsi="Wingdings 2" w:cs="Times"/>
                <w:sz w:val="20"/>
                <w:szCs w:val="20"/>
              </w:rPr>
              <w:t></w:t>
            </w:r>
            <w:r w:rsidRPr="00F70565">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xml:space="preserve">  </w:t>
            </w:r>
            <w:r w:rsidRPr="00F70565">
              <w:rPr>
                <w:rFonts w:ascii="Wingdings 2" w:hAnsi="Wingdings 2" w:cs="Times"/>
                <w:sz w:val="28"/>
                <w:szCs w:val="28"/>
              </w:rPr>
              <w:t></w:t>
            </w:r>
            <w:r w:rsidRPr="00F70565">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xml:space="preserve">  </w:t>
            </w:r>
            <w:r w:rsidRPr="00F70565">
              <w:rPr>
                <w:rFonts w:ascii="Wingdings 2" w:hAnsi="Wingdings 2" w:cs="Times"/>
                <w:sz w:val="28"/>
                <w:szCs w:val="28"/>
              </w:rPr>
              <w:t></w:t>
            </w:r>
            <w:r w:rsidRPr="00F70565">
              <w:rPr>
                <w:rFonts w:ascii="Times" w:hAnsi="Times" w:cs="Times"/>
                <w:sz w:val="20"/>
                <w:szCs w:val="20"/>
              </w:rPr>
              <w:t xml:space="preserve">   Čiastočne</w:t>
            </w:r>
          </w:p>
        </w:tc>
      </w:tr>
      <w:tr w:rsidR="00E3279A" w:rsidTr="00E3279A">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E3279A" w:rsidRDefault="00E3279A" w:rsidP="00E3279A">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w:t>
            </w:r>
            <w:r w:rsidRPr="00F70565">
              <w:rPr>
                <w:rFonts w:ascii="Wingdings 2" w:hAnsi="Wingdings 2" w:cs="Times"/>
                <w:sz w:val="20"/>
                <w:szCs w:val="20"/>
              </w:rPr>
              <w:t></w:t>
            </w:r>
            <w:r w:rsidRPr="00F70565">
              <w:rPr>
                <w:rFonts w:ascii="Times" w:hAnsi="Times" w:cs="Times"/>
                <w:sz w:val="20"/>
                <w:szCs w:val="20"/>
              </w:rPr>
              <w:t xml:space="preserve">  </w:t>
            </w:r>
            <w:r>
              <w:rPr>
                <w:rFonts w:ascii="Times" w:hAnsi="Times" w:cs="Times"/>
                <w:sz w:val="20"/>
                <w:szCs w:val="20"/>
              </w:rPr>
              <w:t xml:space="preserve"> </w:t>
            </w:r>
            <w:r w:rsidRPr="00F70565">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w:t>
            </w:r>
            <w:r w:rsidRPr="00F70565">
              <w:rPr>
                <w:rFonts w:ascii="Wingdings 2" w:hAnsi="Wingdings 2" w:cs="Times"/>
                <w:sz w:val="28"/>
                <w:szCs w:val="28"/>
              </w:rPr>
              <w:t></w:t>
            </w:r>
            <w:r w:rsidRPr="00F70565">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w:t>
            </w:r>
            <w:r w:rsidRPr="00F70565">
              <w:rPr>
                <w:rFonts w:ascii="Wingdings 2" w:hAnsi="Wingdings 2" w:cs="Times"/>
                <w:sz w:val="20"/>
                <w:szCs w:val="20"/>
              </w:rPr>
              <w:t></w:t>
            </w:r>
            <w:r w:rsidRPr="00F70565">
              <w:rPr>
                <w:rFonts w:ascii="Times" w:hAnsi="Times" w:cs="Times"/>
                <w:sz w:val="20"/>
                <w:szCs w:val="20"/>
              </w:rPr>
              <w:t>  </w:t>
            </w:r>
            <w:r>
              <w:rPr>
                <w:rFonts w:ascii="Times" w:hAnsi="Times" w:cs="Times"/>
                <w:sz w:val="20"/>
                <w:szCs w:val="20"/>
              </w:rPr>
              <w:t xml:space="preserve"> </w:t>
            </w:r>
            <w:r w:rsidRPr="00F70565">
              <w:rPr>
                <w:rFonts w:ascii="Times" w:hAnsi="Times" w:cs="Times"/>
                <w:sz w:val="20"/>
                <w:szCs w:val="20"/>
              </w:rPr>
              <w:t xml:space="preserve"> Negatívne</w:t>
            </w:r>
          </w:p>
        </w:tc>
      </w:tr>
      <w:tr w:rsidR="00E3279A" w:rsidTr="00E3279A">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E3279A" w:rsidRDefault="00E3279A" w:rsidP="00E3279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w:t>
            </w:r>
            <w:r w:rsidRPr="00F70565">
              <w:rPr>
                <w:rFonts w:ascii="Wingdings 2" w:hAnsi="Wingdings 2" w:cs="Times"/>
                <w:sz w:val="28"/>
                <w:szCs w:val="28"/>
              </w:rPr>
              <w:t></w:t>
            </w:r>
            <w:r w:rsidRPr="00F70565">
              <w:rPr>
                <w:rFonts w:ascii="Times" w:hAnsi="Times" w:cs="Times"/>
                <w:sz w:val="20"/>
                <w:szCs w:val="20"/>
              </w:rPr>
              <w:t>   </w:t>
            </w:r>
            <w:r>
              <w:rPr>
                <w:rFonts w:ascii="Times" w:hAnsi="Times" w:cs="Times"/>
                <w:sz w:val="20"/>
                <w:szCs w:val="20"/>
              </w:rPr>
              <w:t xml:space="preserve"> </w:t>
            </w:r>
            <w:r w:rsidRPr="00F70565">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xml:space="preserve">  </w:t>
            </w:r>
            <w:r w:rsidRPr="00F70565">
              <w:rPr>
                <w:rFonts w:ascii="Wingdings 2" w:hAnsi="Wingdings 2" w:cs="Times"/>
                <w:sz w:val="20"/>
                <w:szCs w:val="20"/>
              </w:rPr>
              <w:t></w:t>
            </w:r>
            <w:r w:rsidRPr="00F70565">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rsidR="00E3279A" w:rsidRPr="00F70565" w:rsidRDefault="00E3279A" w:rsidP="00E3279A">
            <w:pPr>
              <w:rPr>
                <w:rFonts w:ascii="Times" w:hAnsi="Times" w:cs="Times"/>
                <w:sz w:val="20"/>
                <w:szCs w:val="20"/>
              </w:rPr>
            </w:pPr>
            <w:r w:rsidRPr="00F70565">
              <w:rPr>
                <w:rFonts w:ascii="Times" w:hAnsi="Times" w:cs="Times"/>
                <w:sz w:val="20"/>
                <w:szCs w:val="20"/>
              </w:rPr>
              <w:t>  </w:t>
            </w:r>
            <w:r w:rsidRPr="00F70565">
              <w:rPr>
                <w:rFonts w:ascii="Wingdings 2" w:hAnsi="Wingdings 2" w:cs="Times"/>
                <w:sz w:val="28"/>
                <w:szCs w:val="28"/>
              </w:rPr>
              <w:t></w:t>
            </w:r>
            <w:r w:rsidRPr="00F70565">
              <w:rPr>
                <w:rFonts w:ascii="Times" w:hAnsi="Times" w:cs="Times"/>
                <w:sz w:val="20"/>
                <w:szCs w:val="20"/>
              </w:rPr>
              <w:t xml:space="preserve">   Negatívne</w:t>
            </w:r>
          </w:p>
        </w:tc>
      </w:tr>
      <w:tr w:rsidR="00E3279A" w:rsidTr="00E3279A">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E3279A" w:rsidRDefault="00E3279A" w:rsidP="00E3279A">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w:t>
            </w:r>
            <w:r>
              <w:rPr>
                <w:rFonts w:ascii="Times" w:hAnsi="Times" w:cs="Times"/>
                <w:sz w:val="20"/>
                <w:szCs w:val="20"/>
              </w:rPr>
              <w:t xml:space="preserve"> </w:t>
            </w:r>
            <w:r w:rsidRPr="00DD2FEE">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w:t>
            </w:r>
            <w:r>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Negatívne</w:t>
            </w:r>
          </w:p>
        </w:tc>
      </w:tr>
      <w:tr w:rsidR="00E3279A" w:rsidTr="00E3279A">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E3279A" w:rsidRDefault="00E3279A" w:rsidP="00E3279A">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w:t>
            </w:r>
            <w:r>
              <w:rPr>
                <w:rFonts w:ascii="Times" w:hAnsi="Times" w:cs="Times"/>
                <w:sz w:val="20"/>
                <w:szCs w:val="20"/>
              </w:rPr>
              <w:t xml:space="preserve"> </w:t>
            </w:r>
            <w:r w:rsidRPr="00DD2FEE">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w:t>
            </w:r>
            <w:r>
              <w:rPr>
                <w:rFonts w:ascii="Times" w:hAnsi="Times" w:cs="Times"/>
                <w:sz w:val="20"/>
                <w:szCs w:val="20"/>
              </w:rPr>
              <w:t xml:space="preserve"> </w:t>
            </w:r>
            <w:r w:rsidRPr="00DD2FEE">
              <w:rPr>
                <w:rFonts w:ascii="Times" w:hAnsi="Times" w:cs="Times"/>
                <w:sz w:val="20"/>
                <w:szCs w:val="20"/>
              </w:rPr>
              <w:t>Negatívne</w:t>
            </w:r>
          </w:p>
        </w:tc>
      </w:tr>
      <w:tr w:rsidR="00E3279A" w:rsidTr="00E3279A">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E3279A" w:rsidRDefault="00E3279A" w:rsidP="00E3279A">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w:t>
            </w:r>
            <w:r w:rsidRPr="00DD2FEE">
              <w:rPr>
                <w:rFonts w:ascii="Wingdings 2" w:hAnsi="Wingdings 2" w:cs="Times"/>
                <w:sz w:val="28"/>
                <w:szCs w:val="28"/>
              </w:rPr>
              <w:t></w:t>
            </w:r>
            <w:r w:rsidRPr="00DD2FEE">
              <w:rPr>
                <w:rFonts w:ascii="Times" w:hAnsi="Times" w:cs="Times"/>
                <w:sz w:val="20"/>
                <w:szCs w:val="20"/>
              </w:rPr>
              <w:t xml:space="preserve">   </w:t>
            </w:r>
            <w:r>
              <w:rPr>
                <w:rFonts w:ascii="Times" w:hAnsi="Times" w:cs="Times"/>
                <w:sz w:val="20"/>
                <w:szCs w:val="20"/>
              </w:rPr>
              <w:t xml:space="preserve"> </w:t>
            </w:r>
            <w:r w:rsidRPr="00DD2FEE">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w:t>
            </w:r>
            <w:r>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xml:space="preserve">   </w:t>
            </w:r>
            <w:r>
              <w:rPr>
                <w:rFonts w:ascii="Times" w:hAnsi="Times" w:cs="Times"/>
                <w:sz w:val="20"/>
                <w:szCs w:val="20"/>
              </w:rPr>
              <w:t xml:space="preserve">  </w:t>
            </w:r>
            <w:r w:rsidRPr="00DD2FEE">
              <w:rPr>
                <w:rFonts w:ascii="Times" w:hAnsi="Times" w:cs="Times"/>
                <w:sz w:val="20"/>
                <w:szCs w:val="20"/>
              </w:rPr>
              <w:t>Žiadne</w:t>
            </w:r>
          </w:p>
        </w:tc>
        <w:tc>
          <w:tcPr>
            <w:tcW w:w="1000" w:type="pct"/>
            <w:tcBorders>
              <w:top w:val="outset" w:sz="6" w:space="0" w:color="000000"/>
              <w:left w:val="outset" w:sz="6" w:space="0" w:color="000000"/>
              <w:bottom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Negatívne</w:t>
            </w:r>
          </w:p>
        </w:tc>
      </w:tr>
      <w:tr w:rsidR="00E3279A" w:rsidTr="00E3279A">
        <w:trPr>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E3279A" w:rsidRDefault="00E3279A" w:rsidP="00E3279A">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br/>
              <w:t xml:space="preserve">   </w:t>
            </w:r>
            <w:r w:rsidRPr="00DD2FEE">
              <w:rPr>
                <w:rFonts w:ascii="Wingdings 2" w:hAnsi="Wingdings 2" w:cs="Times"/>
                <w:sz w:val="28"/>
                <w:szCs w:val="28"/>
              </w:rPr>
              <w:t></w:t>
            </w:r>
            <w:r w:rsidRPr="00DD2FEE">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br/>
              <w:t xml:space="preserve">  </w:t>
            </w:r>
            <w:r w:rsidRPr="00DD2FEE">
              <w:rPr>
                <w:rFonts w:ascii="Wingdings 2" w:hAnsi="Wingdings 2" w:cs="Times"/>
                <w:sz w:val="20"/>
                <w:szCs w:val="20"/>
              </w:rPr>
              <w:t></w:t>
            </w:r>
            <w:r w:rsidRPr="00DD2FEE">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br/>
              <w:t xml:space="preserve">  </w:t>
            </w:r>
            <w:r w:rsidRPr="00DD2FEE">
              <w:rPr>
                <w:rFonts w:ascii="Wingdings 2" w:hAnsi="Wingdings 2" w:cs="Times"/>
                <w:sz w:val="28"/>
                <w:szCs w:val="28"/>
              </w:rPr>
              <w:t></w:t>
            </w:r>
            <w:r w:rsidRPr="00DD2FEE">
              <w:rPr>
                <w:rFonts w:ascii="Times" w:hAnsi="Times" w:cs="Times"/>
                <w:sz w:val="20"/>
                <w:szCs w:val="20"/>
              </w:rPr>
              <w:t xml:space="preserve">   Negatívne</w:t>
            </w:r>
          </w:p>
        </w:tc>
      </w:tr>
      <w:tr w:rsidR="00E3279A" w:rsidTr="00E3279A">
        <w:trPr>
          <w:trHeight w:val="150"/>
          <w:jc w:val="center"/>
        </w:trPr>
        <w:tc>
          <w:tcPr>
            <w:tcW w:w="0" w:type="auto"/>
            <w:vMerge/>
            <w:tcBorders>
              <w:top w:val="outset" w:sz="6" w:space="0" w:color="000000"/>
              <w:bottom w:val="outset" w:sz="6" w:space="0" w:color="000000"/>
              <w:right w:val="outset" w:sz="6" w:space="0" w:color="000000"/>
            </w:tcBorders>
            <w:vAlign w:val="center"/>
            <w:hideMark/>
          </w:tcPr>
          <w:p w:rsidR="00E3279A" w:rsidRDefault="00E3279A" w:rsidP="00E3279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Wingdings 2" w:hAnsi="Wingdings 2" w:cs="Times"/>
                <w:sz w:val="20"/>
                <w:szCs w:val="20"/>
              </w:rPr>
              <w:t></w:t>
            </w:r>
            <w:r w:rsidRPr="00DD2FEE">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E3279A" w:rsidRPr="00DD2FEE" w:rsidRDefault="00E3279A" w:rsidP="00E3279A">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Negatívne</w:t>
            </w:r>
          </w:p>
        </w:tc>
      </w:tr>
    </w:tbl>
    <w:p w:rsidR="00E3279A" w:rsidRDefault="00E3279A" w:rsidP="00E3279A">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10.  Poznámky</w:t>
            </w:r>
          </w:p>
        </w:tc>
      </w:tr>
      <w:tr w:rsidR="00E3279A" w:rsidTr="00E3279A">
        <w:trPr>
          <w:trHeight w:val="600"/>
          <w:jc w:val="center"/>
        </w:trPr>
        <w:tc>
          <w:tcPr>
            <w:tcW w:w="5000" w:type="pct"/>
            <w:tcBorders>
              <w:top w:val="outset" w:sz="6" w:space="0" w:color="000000"/>
              <w:bottom w:val="outset" w:sz="6" w:space="0" w:color="000000"/>
            </w:tcBorders>
          </w:tcPr>
          <w:p w:rsidR="00E3279A" w:rsidRPr="00093F83" w:rsidRDefault="00E3279A" w:rsidP="00E3279A">
            <w:pPr>
              <w:rPr>
                <w:sz w:val="20"/>
                <w:szCs w:val="20"/>
              </w:rPr>
            </w:pPr>
            <w:r w:rsidRPr="00093F83">
              <w:rPr>
                <w:bCs/>
                <w:color w:val="212121"/>
                <w:sz w:val="20"/>
                <w:szCs w:val="20"/>
              </w:rPr>
              <w:t>Realizá</w:t>
            </w:r>
            <w:r>
              <w:rPr>
                <w:bCs/>
                <w:color w:val="212121"/>
                <w:sz w:val="20"/>
                <w:szCs w:val="20"/>
              </w:rPr>
              <w:t>cia  úloh vyplývajúcich z návrhu novely</w:t>
            </w:r>
            <w:r w:rsidRPr="00093F83">
              <w:rPr>
                <w:bCs/>
                <w:color w:val="212121"/>
                <w:sz w:val="20"/>
                <w:szCs w:val="20"/>
              </w:rPr>
              <w:t xml:space="preserve"> zákona o kybernetickej bezpečnosti bude zabezpečená v rámci schválených limitov výdavkov dotknutých subjektov rozpočtu verejnej správy a zároveň si nevyžiada dodatočné zdroje zo štátneho rozpočtu na osobné výdavky a počet zamestnancov v dotknutých kapitolách ŠR a teda aj v kapitole NBÚ.</w:t>
            </w:r>
          </w:p>
          <w:p w:rsidR="00E3279A" w:rsidRPr="006C5089" w:rsidRDefault="00E3279A" w:rsidP="00E3279A">
            <w:pPr>
              <w:tabs>
                <w:tab w:val="num" w:pos="1080"/>
              </w:tabs>
              <w:jc w:val="both"/>
              <w:rPr>
                <w:bCs/>
              </w:rPr>
            </w:pPr>
          </w:p>
        </w:tc>
      </w:tr>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11.  Kontakt na spracovateľa</w:t>
            </w:r>
          </w:p>
        </w:tc>
      </w:tr>
      <w:tr w:rsidR="00E3279A" w:rsidTr="00E3279A">
        <w:trPr>
          <w:trHeight w:val="600"/>
          <w:jc w:val="center"/>
        </w:trPr>
        <w:tc>
          <w:tcPr>
            <w:tcW w:w="5000" w:type="pct"/>
            <w:tcBorders>
              <w:top w:val="outset" w:sz="6" w:space="0" w:color="000000"/>
              <w:bottom w:val="outset" w:sz="6" w:space="0" w:color="000000"/>
            </w:tcBorders>
            <w:hideMark/>
          </w:tcPr>
          <w:p w:rsidR="00E3279A" w:rsidRDefault="00E3279A" w:rsidP="00E3279A">
            <w:pPr>
              <w:rPr>
                <w:rFonts w:eastAsiaTheme="minorEastAsia"/>
                <w:noProof/>
                <w:sz w:val="20"/>
                <w:szCs w:val="20"/>
              </w:rPr>
            </w:pPr>
            <w:r>
              <w:rPr>
                <w:rFonts w:eastAsiaTheme="minorEastAsia"/>
                <w:noProof/>
                <w:sz w:val="20"/>
                <w:szCs w:val="20"/>
              </w:rPr>
              <w:t>pplk. JUDr. Janka Fabriciová</w:t>
            </w:r>
          </w:p>
          <w:p w:rsidR="00E3279A" w:rsidRDefault="00E3279A" w:rsidP="00E3279A">
            <w:pPr>
              <w:rPr>
                <w:rFonts w:eastAsiaTheme="minorEastAsia"/>
                <w:noProof/>
                <w:sz w:val="20"/>
                <w:szCs w:val="20"/>
              </w:rPr>
            </w:pPr>
            <w:r>
              <w:rPr>
                <w:rFonts w:eastAsiaTheme="minorEastAsia"/>
                <w:noProof/>
                <w:sz w:val="20"/>
                <w:szCs w:val="20"/>
              </w:rPr>
              <w:t>sekcia regulácie a metodiky</w:t>
            </w:r>
          </w:p>
          <w:p w:rsidR="00E3279A" w:rsidRDefault="00E3279A" w:rsidP="00E3279A">
            <w:pPr>
              <w:rPr>
                <w:rFonts w:eastAsiaTheme="minorEastAsia"/>
                <w:noProof/>
                <w:sz w:val="20"/>
                <w:szCs w:val="20"/>
              </w:rPr>
            </w:pPr>
            <w:r>
              <w:rPr>
                <w:rFonts w:eastAsiaTheme="minorEastAsia"/>
                <w:noProof/>
                <w:sz w:val="20"/>
                <w:szCs w:val="20"/>
              </w:rPr>
              <w:t xml:space="preserve">sekcia regulácie a dohľadu </w:t>
            </w:r>
          </w:p>
          <w:p w:rsidR="00E3279A" w:rsidRDefault="00E3279A" w:rsidP="00E3279A">
            <w:pPr>
              <w:rPr>
                <w:rFonts w:eastAsiaTheme="minorEastAsia"/>
                <w:noProof/>
                <w:sz w:val="20"/>
                <w:szCs w:val="20"/>
              </w:rPr>
            </w:pPr>
            <w:r>
              <w:rPr>
                <w:rFonts w:eastAsiaTheme="minorEastAsia"/>
                <w:noProof/>
                <w:sz w:val="20"/>
                <w:szCs w:val="20"/>
              </w:rPr>
              <w:t>Národný bezpečnostný úrad</w:t>
            </w:r>
          </w:p>
          <w:p w:rsidR="00E3279A" w:rsidRPr="00984ECD" w:rsidRDefault="00E3279A" w:rsidP="00E3279A">
            <w:pPr>
              <w:rPr>
                <w:rFonts w:eastAsiaTheme="minorEastAsia"/>
                <w:noProof/>
                <w:sz w:val="20"/>
                <w:szCs w:val="20"/>
              </w:rPr>
            </w:pPr>
            <w:r>
              <w:rPr>
                <w:rFonts w:eastAsiaTheme="minorEastAsia"/>
                <w:noProof/>
                <w:sz w:val="20"/>
                <w:szCs w:val="20"/>
              </w:rPr>
              <w:t>02/ 6869 2428</w:t>
            </w:r>
          </w:p>
          <w:p w:rsidR="00E3279A" w:rsidRPr="00DF5FA0" w:rsidRDefault="00E3279A" w:rsidP="00E3279A">
            <w:pPr>
              <w:rPr>
                <w:rFonts w:eastAsiaTheme="minorEastAsia"/>
                <w:noProof/>
                <w:sz w:val="20"/>
                <w:szCs w:val="20"/>
              </w:rPr>
            </w:pPr>
            <w:r>
              <w:rPr>
                <w:rFonts w:eastAsiaTheme="minorEastAsia"/>
                <w:noProof/>
                <w:sz w:val="20"/>
                <w:szCs w:val="20"/>
              </w:rPr>
              <w:t>E-m</w:t>
            </w:r>
            <w:r w:rsidRPr="00984ECD">
              <w:rPr>
                <w:rFonts w:eastAsiaTheme="minorEastAsia"/>
                <w:noProof/>
                <w:sz w:val="20"/>
                <w:szCs w:val="20"/>
              </w:rPr>
              <w:t xml:space="preserve">ail: </w:t>
            </w:r>
            <w:hyperlink r:id="rId12" w:history="1">
              <w:r w:rsidRPr="00F05DC6">
                <w:rPr>
                  <w:rStyle w:val="Hypertextovprepojenie"/>
                  <w:rFonts w:eastAsiaTheme="minorEastAsia"/>
                  <w:noProof/>
                  <w:sz w:val="20"/>
                  <w:szCs w:val="20"/>
                </w:rPr>
                <w:t>janka.fabriciova@nbu.gov.sk</w:t>
              </w:r>
            </w:hyperlink>
            <w:r>
              <w:rPr>
                <w:rFonts w:eastAsiaTheme="minorEastAsia"/>
                <w:noProof/>
                <w:sz w:val="20"/>
                <w:szCs w:val="20"/>
              </w:rPr>
              <w:t xml:space="preserve"> </w:t>
            </w:r>
          </w:p>
        </w:tc>
      </w:tr>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12.  Zdroje</w:t>
            </w:r>
          </w:p>
        </w:tc>
      </w:tr>
      <w:tr w:rsidR="00E3279A" w:rsidTr="00E3279A">
        <w:trPr>
          <w:trHeight w:val="600"/>
          <w:jc w:val="center"/>
        </w:trPr>
        <w:tc>
          <w:tcPr>
            <w:tcW w:w="5000" w:type="pct"/>
            <w:tcBorders>
              <w:top w:val="outset" w:sz="6" w:space="0" w:color="000000"/>
              <w:bottom w:val="outset" w:sz="6" w:space="0" w:color="000000"/>
            </w:tcBorders>
            <w:hideMark/>
          </w:tcPr>
          <w:p w:rsidR="00E3279A" w:rsidRPr="00AE1B65" w:rsidRDefault="00E3279A" w:rsidP="00E3279A">
            <w:pPr>
              <w:rPr>
                <w:rFonts w:ascii="Times" w:hAnsi="Times" w:cs="Times"/>
                <w:bCs/>
                <w:sz w:val="20"/>
                <w:szCs w:val="20"/>
              </w:rPr>
            </w:pPr>
            <w:r>
              <w:rPr>
                <w:rFonts w:ascii="Times" w:hAnsi="Times" w:cs="Times"/>
                <w:bCs/>
                <w:sz w:val="20"/>
                <w:szCs w:val="20"/>
              </w:rPr>
              <w:lastRenderedPageBreak/>
              <w:t>Vlastná činnosť Národného bezpečnostného úradu</w:t>
            </w:r>
          </w:p>
        </w:tc>
      </w:tr>
      <w:tr w:rsidR="00E3279A" w:rsidTr="00E3279A">
        <w:trPr>
          <w:jc w:val="center"/>
        </w:trPr>
        <w:tc>
          <w:tcPr>
            <w:tcW w:w="5000" w:type="pct"/>
            <w:tcBorders>
              <w:top w:val="outset" w:sz="6" w:space="0" w:color="000000"/>
              <w:bottom w:val="outset" w:sz="6" w:space="0" w:color="000000"/>
            </w:tcBorders>
            <w:shd w:val="clear" w:color="auto" w:fill="E6E6E6"/>
            <w:hideMark/>
          </w:tcPr>
          <w:p w:rsidR="00E3279A" w:rsidRDefault="00E3279A" w:rsidP="00E3279A">
            <w:pPr>
              <w:rPr>
                <w:rFonts w:ascii="Times" w:hAnsi="Times" w:cs="Times"/>
                <w:b/>
                <w:bCs/>
              </w:rPr>
            </w:pPr>
            <w:r>
              <w:rPr>
                <w:rFonts w:ascii="Times" w:hAnsi="Times" w:cs="Times"/>
                <w:b/>
                <w:bCs/>
                <w:sz w:val="22"/>
                <w:szCs w:val="22"/>
              </w:rPr>
              <w:t>  13.  Stanovisko Komisie pre posudzovanie vybraných vplyvov z PPK</w:t>
            </w:r>
          </w:p>
        </w:tc>
      </w:tr>
      <w:tr w:rsidR="00E3279A" w:rsidTr="00E3279A">
        <w:trPr>
          <w:trHeight w:val="1200"/>
          <w:jc w:val="center"/>
        </w:trPr>
        <w:tc>
          <w:tcPr>
            <w:tcW w:w="5000" w:type="pct"/>
            <w:tcBorders>
              <w:top w:val="outset" w:sz="6" w:space="0" w:color="000000"/>
              <w:bottom w:val="outset" w:sz="6" w:space="0" w:color="000000"/>
            </w:tcBorders>
            <w:hideMark/>
          </w:tcPr>
          <w:p w:rsidR="00E3279A" w:rsidRPr="00630A81" w:rsidRDefault="00E3279A" w:rsidP="00E3279A">
            <w:pPr>
              <w:suppressAutoHyphens/>
              <w:spacing w:line="100" w:lineRule="atLeast"/>
              <w:jc w:val="both"/>
              <w:rPr>
                <w:bCs/>
                <w:sz w:val="20"/>
                <w:szCs w:val="20"/>
                <w:lang w:eastAsia="ar-SA"/>
              </w:rPr>
            </w:pPr>
            <w:r w:rsidRPr="00630A81">
              <w:rPr>
                <w:b/>
                <w:bCs/>
                <w:sz w:val="20"/>
                <w:szCs w:val="20"/>
                <w:lang w:eastAsia="ar-SA"/>
              </w:rPr>
              <w:t>P</w:t>
            </w:r>
            <w:r w:rsidRPr="00630A81">
              <w:rPr>
                <w:b/>
                <w:sz w:val="20"/>
                <w:szCs w:val="20"/>
                <w:lang w:eastAsia="ar-SA"/>
              </w:rPr>
              <w:t>r</w:t>
            </w:r>
            <w:r w:rsidRPr="00630A81">
              <w:rPr>
                <w:b/>
                <w:bCs/>
                <w:sz w:val="20"/>
                <w:szCs w:val="20"/>
                <w:lang w:eastAsia="ar-SA"/>
              </w:rPr>
              <w:t>ipomienky a návrhy zm</w:t>
            </w:r>
            <w:r w:rsidRPr="00630A81">
              <w:rPr>
                <w:b/>
                <w:sz w:val="20"/>
                <w:szCs w:val="20"/>
                <w:lang w:eastAsia="ar-SA"/>
              </w:rPr>
              <w:t>ie</w:t>
            </w:r>
            <w:r w:rsidRPr="00630A81">
              <w:rPr>
                <w:b/>
                <w:bCs/>
                <w:sz w:val="20"/>
                <w:szCs w:val="20"/>
                <w:lang w:eastAsia="ar-SA"/>
              </w:rPr>
              <w:t xml:space="preserve">n: </w:t>
            </w:r>
            <w:r w:rsidRPr="00630A81">
              <w:rPr>
                <w:bCs/>
                <w:sz w:val="20"/>
                <w:szCs w:val="20"/>
                <w:lang w:eastAsia="ar-SA"/>
              </w:rPr>
              <w:t xml:space="preserve">Komisia uplatňuje k materiálu zásadné pripomienky </w:t>
            </w:r>
            <w:r w:rsidRPr="00630A81">
              <w:rPr>
                <w:bCs/>
                <w:sz w:val="20"/>
                <w:szCs w:val="20"/>
              </w:rPr>
              <w:t>a odporúčania</w:t>
            </w:r>
            <w:r w:rsidRPr="00630A81">
              <w:rPr>
                <w:bCs/>
                <w:sz w:val="20"/>
                <w:szCs w:val="20"/>
                <w:lang w:eastAsia="ar-SA"/>
              </w:rPr>
              <w:t>:</w:t>
            </w:r>
          </w:p>
          <w:p w:rsidR="00E3279A" w:rsidRPr="00630A81" w:rsidRDefault="00E3279A" w:rsidP="00E3279A">
            <w:pPr>
              <w:suppressAutoHyphens/>
              <w:spacing w:line="100" w:lineRule="atLeast"/>
              <w:jc w:val="both"/>
              <w:rPr>
                <w:bCs/>
                <w:sz w:val="20"/>
                <w:szCs w:val="20"/>
                <w:lang w:eastAsia="ar-SA"/>
              </w:rPr>
            </w:pPr>
          </w:p>
          <w:p w:rsidR="00E3279A" w:rsidRPr="00630A81" w:rsidRDefault="00E3279A" w:rsidP="00E3279A">
            <w:pPr>
              <w:suppressAutoHyphens/>
              <w:spacing w:line="100" w:lineRule="atLeast"/>
              <w:jc w:val="both"/>
              <w:rPr>
                <w:b/>
                <w:bCs/>
                <w:sz w:val="20"/>
                <w:szCs w:val="20"/>
                <w:lang w:eastAsia="ar-SA"/>
              </w:rPr>
            </w:pPr>
            <w:r w:rsidRPr="00630A81">
              <w:rPr>
                <w:b/>
                <w:bCs/>
                <w:sz w:val="20"/>
                <w:szCs w:val="20"/>
                <w:lang w:eastAsia="ar-SA"/>
              </w:rPr>
              <w:t>K doložke vybraných vplyvov a k analýze vplyvov na podnikateľské prostredie</w:t>
            </w:r>
          </w:p>
          <w:p w:rsidR="00E3279A" w:rsidRDefault="00E3279A" w:rsidP="00E3279A">
            <w:pPr>
              <w:suppressAutoHyphens/>
              <w:spacing w:line="100" w:lineRule="atLeast"/>
              <w:jc w:val="both"/>
              <w:rPr>
                <w:bCs/>
                <w:sz w:val="20"/>
                <w:szCs w:val="20"/>
                <w:lang w:eastAsia="ar-SA"/>
              </w:rPr>
            </w:pPr>
            <w:r w:rsidRPr="00630A81">
              <w:rPr>
                <w:bCs/>
                <w:sz w:val="20"/>
                <w:szCs w:val="20"/>
                <w:lang w:eastAsia="ar-SA"/>
              </w:rPr>
              <w:t>V stanovisku Komisie sa uvádza, že predkladateľ materiálu má najmä prehodnotiť negatívne vplyvy na podnikateľské prostredie, z toho vplyvy na MSP a popísať, či kvantifikovať najmä administratívne náklady. Nič z uvedeného v Doložke vybraných vplyvov, ani Analýze vplyvov na podnikateľské prostredie predkladateľ materiálu nezohľadnil. Z uvedeného dôvodu žiadame v zmysle stanoviska Komisie dopracovať Doložku vybraných vplyvov a Analýzu vplyvov na podnikateľské prostredie.</w:t>
            </w:r>
          </w:p>
          <w:p w:rsidR="00E3279A" w:rsidRPr="00630A81" w:rsidRDefault="00E3279A" w:rsidP="00E3279A">
            <w:pPr>
              <w:suppressAutoHyphens/>
              <w:spacing w:line="100" w:lineRule="atLeast"/>
              <w:jc w:val="both"/>
              <w:rPr>
                <w:bCs/>
                <w:sz w:val="20"/>
                <w:szCs w:val="20"/>
                <w:lang w:eastAsia="ar-SA"/>
              </w:rPr>
            </w:pPr>
          </w:p>
          <w:p w:rsidR="00E3279A" w:rsidRDefault="00E3279A" w:rsidP="00E3279A">
            <w:pPr>
              <w:suppressAutoHyphens/>
              <w:spacing w:line="100" w:lineRule="atLeast"/>
              <w:jc w:val="both"/>
              <w:rPr>
                <w:bCs/>
                <w:sz w:val="20"/>
                <w:szCs w:val="20"/>
                <w:lang w:eastAsia="ar-SA"/>
              </w:rPr>
            </w:pPr>
            <w:r w:rsidRPr="00630A81">
              <w:rPr>
                <w:bCs/>
                <w:sz w:val="20"/>
                <w:szCs w:val="20"/>
                <w:lang w:eastAsia="ar-SA"/>
              </w:rPr>
              <w:t>Komisia sa oboznámila s predkladateľom priloženými podkladmi a dospela k záveru, že posudzovaný materiál zakladá pozitívno-negatívny vplyv na podnikateľské prostredie, vrátane MSP, ktorý však predkladateľ nevyznačil v Doložke vybraných vplyvov. Komisia žiada predkladateľa o vyznačenie nielen pozitívneho, ale aj negatívneho vplyvu (napr. zvýšenie správnych poplatkov pri podávaní žiadosti o akreditáciu jednotky CSIRT, resp. žiadostí o certifikáciu) na podnikateľské prostredie, vrátane MSP, v Doložke vybraných vplyvov, a tiež o podrobný popis týchto vplyvov v Analýze vplyvov na podnikateľské prostredie.</w:t>
            </w:r>
          </w:p>
          <w:p w:rsidR="00E3279A" w:rsidRDefault="00E3279A" w:rsidP="00E3279A">
            <w:pPr>
              <w:suppressAutoHyphens/>
              <w:spacing w:line="100" w:lineRule="atLeast"/>
              <w:jc w:val="both"/>
              <w:rPr>
                <w:bCs/>
                <w:sz w:val="20"/>
                <w:szCs w:val="20"/>
                <w:lang w:eastAsia="ar-SA"/>
              </w:rPr>
            </w:pPr>
          </w:p>
          <w:p w:rsidR="00E3279A" w:rsidRPr="005E1B51" w:rsidRDefault="00E3279A" w:rsidP="00E3279A">
            <w:pPr>
              <w:pStyle w:val="Obyajntext"/>
              <w:rPr>
                <w:rFonts w:ascii="Times New Roman" w:eastAsia="Times New Roman" w:hAnsi="Times New Roman" w:cs="Times New Roman"/>
                <w:b/>
                <w:bCs/>
                <w:sz w:val="20"/>
                <w:szCs w:val="20"/>
                <w:lang w:eastAsia="ar-SA"/>
              </w:rPr>
            </w:pPr>
            <w:r w:rsidRPr="00034190">
              <w:rPr>
                <w:rFonts w:ascii="Times New Roman" w:hAnsi="Times New Roman" w:cs="Times New Roman"/>
                <w:b/>
                <w:bCs/>
                <w:sz w:val="20"/>
                <w:szCs w:val="20"/>
                <w:lang w:eastAsia="ar-SA"/>
              </w:rPr>
              <w:t xml:space="preserve">Vyjadrenie predkladateľa: </w:t>
            </w:r>
            <w:r>
              <w:rPr>
                <w:rFonts w:ascii="Times New Roman" w:hAnsi="Times New Roman" w:cs="Times New Roman"/>
                <w:b/>
                <w:bCs/>
                <w:sz w:val="20"/>
                <w:szCs w:val="20"/>
                <w:lang w:eastAsia="ar-SA"/>
              </w:rPr>
              <w:t xml:space="preserve">Pozitívno-negatívny vplyv bol doplnení. </w:t>
            </w:r>
            <w:r w:rsidRPr="00034190">
              <w:rPr>
                <w:rFonts w:ascii="Times New Roman" w:hAnsi="Times New Roman" w:cs="Times New Roman"/>
                <w:b/>
                <w:sz w:val="20"/>
                <w:szCs w:val="20"/>
              </w:rPr>
              <w:t>N</w:t>
            </w:r>
            <w:r>
              <w:rPr>
                <w:rFonts w:ascii="Times New Roman" w:hAnsi="Times New Roman" w:cs="Times New Roman"/>
                <w:b/>
                <w:sz w:val="20"/>
                <w:szCs w:val="20"/>
              </w:rPr>
              <w:t>á</w:t>
            </w:r>
            <w:r w:rsidRPr="00034190">
              <w:rPr>
                <w:rFonts w:ascii="Times New Roman" w:hAnsi="Times New Roman" w:cs="Times New Roman"/>
                <w:b/>
                <w:sz w:val="20"/>
                <w:szCs w:val="20"/>
              </w:rPr>
              <w:t>vrh</w:t>
            </w:r>
            <w:r>
              <w:rPr>
                <w:rFonts w:ascii="Times New Roman" w:hAnsi="Times New Roman" w:cs="Times New Roman"/>
                <w:b/>
                <w:sz w:val="20"/>
                <w:szCs w:val="20"/>
              </w:rPr>
              <w:t xml:space="preserve"> však </w:t>
            </w:r>
            <w:r w:rsidRPr="00034190">
              <w:rPr>
                <w:rFonts w:ascii="Times New Roman" w:hAnsi="Times New Roman" w:cs="Times New Roman"/>
                <w:b/>
                <w:sz w:val="20"/>
                <w:szCs w:val="20"/>
              </w:rPr>
              <w:t xml:space="preserve">nereguluje MSP </w:t>
            </w:r>
            <w:r>
              <w:rPr>
                <w:rFonts w:ascii="Times New Roman" w:hAnsi="Times New Roman" w:cs="Times New Roman"/>
                <w:b/>
                <w:sz w:val="20"/>
                <w:szCs w:val="20"/>
              </w:rPr>
              <w:t>a v ž</w:t>
            </w:r>
            <w:r w:rsidRPr="00034190">
              <w:rPr>
                <w:rFonts w:ascii="Times New Roman" w:hAnsi="Times New Roman" w:cs="Times New Roman"/>
                <w:b/>
                <w:sz w:val="20"/>
                <w:szCs w:val="20"/>
              </w:rPr>
              <w:t>iadnom smere teda</w:t>
            </w:r>
            <w:r>
              <w:rPr>
                <w:rFonts w:ascii="Times New Roman" w:hAnsi="Times New Roman" w:cs="Times New Roman"/>
                <w:b/>
                <w:sz w:val="20"/>
                <w:szCs w:val="20"/>
              </w:rPr>
              <w:t xml:space="preserve"> na </w:t>
            </w:r>
            <w:proofErr w:type="spellStart"/>
            <w:r>
              <w:rPr>
                <w:rFonts w:ascii="Times New Roman" w:hAnsi="Times New Roman" w:cs="Times New Roman"/>
                <w:b/>
                <w:sz w:val="20"/>
                <w:szCs w:val="20"/>
              </w:rPr>
              <w:t>ne</w:t>
            </w:r>
            <w:proofErr w:type="spellEnd"/>
            <w:r w:rsidRPr="00034190">
              <w:rPr>
                <w:rFonts w:ascii="Times New Roman" w:hAnsi="Times New Roman" w:cs="Times New Roman"/>
                <w:b/>
                <w:sz w:val="20"/>
                <w:szCs w:val="20"/>
              </w:rPr>
              <w:t xml:space="preserve"> nem</w:t>
            </w:r>
            <w:r>
              <w:rPr>
                <w:rFonts w:ascii="Times New Roman" w:hAnsi="Times New Roman" w:cs="Times New Roman"/>
                <w:b/>
                <w:sz w:val="20"/>
                <w:szCs w:val="20"/>
              </w:rPr>
              <w:t>ôž</w:t>
            </w:r>
            <w:r w:rsidRPr="00034190">
              <w:rPr>
                <w:rFonts w:ascii="Times New Roman" w:hAnsi="Times New Roman" w:cs="Times New Roman"/>
                <w:b/>
                <w:sz w:val="20"/>
                <w:szCs w:val="20"/>
              </w:rPr>
              <w:t>e ma</w:t>
            </w:r>
            <w:r>
              <w:rPr>
                <w:rFonts w:ascii="Times New Roman" w:hAnsi="Times New Roman" w:cs="Times New Roman"/>
                <w:b/>
                <w:sz w:val="20"/>
                <w:szCs w:val="20"/>
              </w:rPr>
              <w:t>ť</w:t>
            </w:r>
            <w:r w:rsidRPr="00034190">
              <w:rPr>
                <w:rFonts w:ascii="Times New Roman" w:hAnsi="Times New Roman" w:cs="Times New Roman"/>
                <w:b/>
                <w:sz w:val="20"/>
                <w:szCs w:val="20"/>
              </w:rPr>
              <w:t xml:space="preserve"> vplyv</w:t>
            </w:r>
            <w:r>
              <w:rPr>
                <w:rFonts w:ascii="Times New Roman" w:hAnsi="Times New Roman" w:cs="Times New Roman"/>
                <w:b/>
                <w:sz w:val="20"/>
                <w:szCs w:val="20"/>
              </w:rPr>
              <w:t xml:space="preserve">. </w:t>
            </w:r>
            <w:r w:rsidRPr="005E1B51">
              <w:rPr>
                <w:rFonts w:ascii="Times New Roman" w:hAnsi="Times New Roman" w:cs="Times New Roman"/>
                <w:b/>
                <w:sz w:val="20"/>
                <w:szCs w:val="20"/>
              </w:rPr>
              <w:t>Vo vz</w:t>
            </w:r>
            <w:r>
              <w:rPr>
                <w:rFonts w:ascii="Times New Roman" w:hAnsi="Times New Roman" w:cs="Times New Roman"/>
                <w:b/>
                <w:sz w:val="20"/>
                <w:szCs w:val="20"/>
              </w:rPr>
              <w:t>ť</w:t>
            </w:r>
            <w:r w:rsidRPr="005E1B51">
              <w:rPr>
                <w:rFonts w:ascii="Times New Roman" w:hAnsi="Times New Roman" w:cs="Times New Roman"/>
                <w:b/>
                <w:sz w:val="20"/>
                <w:szCs w:val="20"/>
              </w:rPr>
              <w:t>ahu k certifik</w:t>
            </w:r>
            <w:r>
              <w:rPr>
                <w:rFonts w:ascii="Times New Roman" w:hAnsi="Times New Roman" w:cs="Times New Roman"/>
                <w:b/>
                <w:sz w:val="20"/>
                <w:szCs w:val="20"/>
              </w:rPr>
              <w:t>á</w:t>
            </w:r>
            <w:r w:rsidRPr="005E1B51">
              <w:rPr>
                <w:rFonts w:ascii="Times New Roman" w:hAnsi="Times New Roman" w:cs="Times New Roman"/>
                <w:b/>
                <w:sz w:val="20"/>
                <w:szCs w:val="20"/>
              </w:rPr>
              <w:t>cii ide o implement</w:t>
            </w:r>
            <w:r>
              <w:rPr>
                <w:rFonts w:ascii="Times New Roman" w:hAnsi="Times New Roman" w:cs="Times New Roman"/>
                <w:b/>
                <w:sz w:val="20"/>
                <w:szCs w:val="20"/>
              </w:rPr>
              <w:t>á</w:t>
            </w:r>
            <w:r w:rsidRPr="005E1B51">
              <w:rPr>
                <w:rFonts w:ascii="Times New Roman" w:hAnsi="Times New Roman" w:cs="Times New Roman"/>
                <w:b/>
                <w:sz w:val="20"/>
                <w:szCs w:val="20"/>
              </w:rPr>
              <w:t>ciu platn</w:t>
            </w:r>
            <w:r>
              <w:rPr>
                <w:rFonts w:ascii="Times New Roman" w:hAnsi="Times New Roman" w:cs="Times New Roman"/>
                <w:b/>
                <w:sz w:val="20"/>
                <w:szCs w:val="20"/>
              </w:rPr>
              <w:t>é</w:t>
            </w:r>
            <w:r w:rsidRPr="005E1B51">
              <w:rPr>
                <w:rFonts w:ascii="Times New Roman" w:hAnsi="Times New Roman" w:cs="Times New Roman"/>
                <w:b/>
                <w:sz w:val="20"/>
                <w:szCs w:val="20"/>
              </w:rPr>
              <w:t>ho nariadenia EU.</w:t>
            </w:r>
          </w:p>
          <w:p w:rsidR="00E3279A" w:rsidRPr="00034190" w:rsidRDefault="00E3279A" w:rsidP="00E3279A">
            <w:pPr>
              <w:pStyle w:val="Obyajntext"/>
              <w:rPr>
                <w:rFonts w:ascii="Times New Roman" w:eastAsia="Times New Roman" w:hAnsi="Times New Roman" w:cs="Times New Roman"/>
                <w:b/>
                <w:bCs/>
                <w:sz w:val="20"/>
                <w:szCs w:val="20"/>
                <w:lang w:eastAsia="ar-SA"/>
              </w:rPr>
            </w:pPr>
          </w:p>
          <w:p w:rsidR="00E3279A" w:rsidRDefault="00E3279A" w:rsidP="00E3279A">
            <w:pPr>
              <w:suppressAutoHyphens/>
              <w:spacing w:line="100" w:lineRule="atLeast"/>
              <w:jc w:val="both"/>
              <w:rPr>
                <w:bCs/>
                <w:sz w:val="20"/>
                <w:szCs w:val="20"/>
                <w:lang w:eastAsia="ar-SA"/>
              </w:rPr>
            </w:pPr>
            <w:r w:rsidRPr="00630A81">
              <w:rPr>
                <w:bCs/>
                <w:sz w:val="20"/>
                <w:szCs w:val="20"/>
                <w:lang w:eastAsia="ar-SA"/>
              </w:rPr>
              <w:t>Komisia odporúča predkladateľovi dopracovať časť 5. Alternatívne riešenia doložky vybraných vplyvov v súlade s Jednotnou metodikou na posudzovanie vybraných vplyvov.  Predkladateľ má na základe súčasného stavu a stanovených cieľov navrhnúť alternatívy právneho a vecného riešenia uvedeného problému. V rámci alternatívnych riešení je potrebné uviesť minimálne nulový variant, t. j. analýzu súčasného stavu, v rámci ktorej sa uvedú dôsledky vyplývajúce z dôvodu absencie právnej úpravy alebo nelegislatívneho materiálu resp. z dôvodu ich neprijatia. V prípade, kedy nie je možné realizovať nulový variant, slúži tento nulový variant ako báza, ku ktorej sa môžu porovnávať ostatné alternatívy.</w:t>
            </w:r>
          </w:p>
          <w:p w:rsidR="00E3279A" w:rsidRDefault="00E3279A" w:rsidP="00E3279A">
            <w:pPr>
              <w:suppressAutoHyphens/>
              <w:spacing w:line="100" w:lineRule="atLeast"/>
              <w:jc w:val="both"/>
              <w:rPr>
                <w:bCs/>
                <w:sz w:val="20"/>
                <w:szCs w:val="20"/>
                <w:lang w:eastAsia="ar-SA"/>
              </w:rPr>
            </w:pPr>
          </w:p>
          <w:p w:rsidR="00E3279A" w:rsidRPr="005E1B51" w:rsidRDefault="00E3279A" w:rsidP="00E3279A">
            <w:pPr>
              <w:pStyle w:val="Obyajntext"/>
              <w:rPr>
                <w:rFonts w:ascii="Times New Roman" w:hAnsi="Times New Roman" w:cs="Times New Roman"/>
                <w:b/>
                <w:bCs/>
                <w:sz w:val="20"/>
                <w:szCs w:val="20"/>
                <w:lang w:eastAsia="ar-SA"/>
              </w:rPr>
            </w:pPr>
            <w:r w:rsidRPr="005E1B51">
              <w:rPr>
                <w:rFonts w:ascii="Times New Roman" w:hAnsi="Times New Roman" w:cs="Times New Roman"/>
                <w:b/>
                <w:bCs/>
                <w:sz w:val="20"/>
                <w:szCs w:val="20"/>
                <w:lang w:eastAsia="ar-SA"/>
              </w:rPr>
              <w:t>Vyjadrenie predkladateľa: Doplnené „</w:t>
            </w:r>
            <w:r w:rsidRPr="005E1B51">
              <w:rPr>
                <w:rFonts w:ascii="Times New Roman" w:hAnsi="Times New Roman" w:cs="Times New Roman"/>
                <w:b/>
                <w:sz w:val="20"/>
                <w:szCs w:val="20"/>
              </w:rPr>
              <w:t xml:space="preserve">Základným rozdielom oproti aktuálne platnej a účinnej zákonnej úprave spočíva v zmene poradia krokov pri využívaní akreditovanej jednotky CSIRT. Kým doposiaľ si ústredný orgán zriaďoval prioritne vlastnú jednotku CSIRT, čo je finančne podstatne nákladná činnosť, podľa návrhu zákona bude primárne využívať na základe zmluvy jednotky CSIRT už zriadené, a to Národnú jednotku CSIRT v gescii Národného centra kybernetickej bezpečnosti (NBÚ) alebo Vládnu jednotku CSIRT (MIRRI) a až následne ak po porovnaní a </w:t>
            </w:r>
            <w:proofErr w:type="spellStart"/>
            <w:r w:rsidRPr="005E1B51">
              <w:rPr>
                <w:rFonts w:ascii="Times New Roman" w:hAnsi="Times New Roman" w:cs="Times New Roman"/>
                <w:b/>
                <w:sz w:val="20"/>
                <w:szCs w:val="20"/>
              </w:rPr>
              <w:t>analizovaní</w:t>
            </w:r>
            <w:proofErr w:type="spellEnd"/>
            <w:r w:rsidRPr="005E1B51">
              <w:rPr>
                <w:rFonts w:ascii="Times New Roman" w:hAnsi="Times New Roman" w:cs="Times New Roman"/>
                <w:b/>
                <w:sz w:val="20"/>
                <w:szCs w:val="20"/>
              </w:rPr>
              <w:t xml:space="preserve"> oboch alternatív pristúpi k rozhodnutia resp. možnosti-nie povinnosti akreditovať vlastnú jednotku CSIRT. 90% subjektov využíva Národnú jednotku CSIRT, zvyšné Vládnu jednotku CSIRT.</w:t>
            </w:r>
            <w:r w:rsidRPr="005E1B51">
              <w:rPr>
                <w:rFonts w:ascii="Times New Roman" w:hAnsi="Times New Roman" w:cs="Times New Roman"/>
                <w:b/>
                <w:bCs/>
                <w:sz w:val="20"/>
                <w:szCs w:val="20"/>
                <w:lang w:eastAsia="ar-SA"/>
              </w:rPr>
              <w:t>„</w:t>
            </w:r>
          </w:p>
          <w:p w:rsidR="00E3279A" w:rsidRPr="00630A81" w:rsidRDefault="00E3279A" w:rsidP="00E3279A">
            <w:pPr>
              <w:suppressAutoHyphens/>
              <w:spacing w:line="100" w:lineRule="atLeast"/>
              <w:jc w:val="both"/>
              <w:rPr>
                <w:bCs/>
                <w:sz w:val="20"/>
                <w:szCs w:val="20"/>
                <w:lang w:eastAsia="ar-SA"/>
              </w:rPr>
            </w:pPr>
          </w:p>
          <w:p w:rsidR="00E3279A" w:rsidRPr="009B7FE1" w:rsidRDefault="00E3279A" w:rsidP="00E3279A">
            <w:pPr>
              <w:pStyle w:val="Normlnywebov"/>
              <w:rPr>
                <w:rFonts w:ascii="Times" w:hAnsi="Times" w:cs="Times"/>
                <w:sz w:val="20"/>
                <w:szCs w:val="20"/>
              </w:rPr>
            </w:pPr>
            <w:r w:rsidRPr="009B7FE1">
              <w:rPr>
                <w:rStyle w:val="Siln"/>
                <w:rFonts w:ascii="Times" w:hAnsi="Times" w:cs="Times"/>
                <w:sz w:val="20"/>
                <w:szCs w:val="20"/>
              </w:rPr>
              <w:t xml:space="preserve">III. Záver: </w:t>
            </w:r>
            <w:r w:rsidRPr="009B7FE1">
              <w:rPr>
                <w:rFonts w:ascii="Times" w:hAnsi="Times" w:cs="Times"/>
                <w:sz w:val="20"/>
                <w:szCs w:val="20"/>
              </w:rPr>
              <w:t>Stála pracovná komisia na posudzovanie vybraných vplyvov vyjadruje</w:t>
            </w:r>
          </w:p>
          <w:p w:rsidR="00E3279A" w:rsidRPr="009B7FE1" w:rsidRDefault="00E3279A" w:rsidP="00E3279A">
            <w:pPr>
              <w:pStyle w:val="Normlnywebov"/>
              <w:jc w:val="center"/>
              <w:rPr>
                <w:rFonts w:ascii="Times" w:hAnsi="Times" w:cs="Times"/>
                <w:sz w:val="20"/>
                <w:szCs w:val="20"/>
              </w:rPr>
            </w:pPr>
            <w:r w:rsidRPr="009B7FE1">
              <w:rPr>
                <w:rStyle w:val="Siln"/>
                <w:rFonts w:ascii="Times" w:hAnsi="Times" w:cs="Times"/>
                <w:sz w:val="20"/>
                <w:szCs w:val="20"/>
              </w:rPr>
              <w:t>nesúhlasné stanovisko</w:t>
            </w:r>
          </w:p>
          <w:p w:rsidR="00E3279A" w:rsidRPr="003D71A7" w:rsidRDefault="00E3279A" w:rsidP="00E3279A">
            <w:pPr>
              <w:tabs>
                <w:tab w:val="center" w:pos="6379"/>
              </w:tabs>
              <w:suppressAutoHyphens/>
              <w:spacing w:line="100" w:lineRule="atLeast"/>
              <w:ind w:right="-2"/>
              <w:jc w:val="both"/>
            </w:pPr>
            <w:r w:rsidRPr="009B7FE1">
              <w:rPr>
                <w:rFonts w:ascii="Times" w:hAnsi="Times" w:cs="Times"/>
                <w:sz w:val="20"/>
                <w:szCs w:val="20"/>
              </w:rPr>
              <w:t>s materiálom predloženým na predbežné pripomienkové konanie.</w:t>
            </w:r>
          </w:p>
        </w:tc>
      </w:tr>
    </w:tbl>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Pr="007D5748" w:rsidRDefault="00E3279A" w:rsidP="00E3279A">
      <w:pPr>
        <w:jc w:val="center"/>
        <w:rPr>
          <w:b/>
          <w:bCs/>
          <w:sz w:val="28"/>
          <w:szCs w:val="28"/>
        </w:rPr>
      </w:pPr>
      <w:r w:rsidRPr="007D5748">
        <w:rPr>
          <w:b/>
          <w:bCs/>
          <w:sz w:val="28"/>
          <w:szCs w:val="28"/>
        </w:rPr>
        <w:lastRenderedPageBreak/>
        <w:t>Analýza vplyvov na rozpočet verejnej správy,</w:t>
      </w:r>
    </w:p>
    <w:p w:rsidR="00E3279A" w:rsidRPr="007D5748" w:rsidRDefault="00E3279A" w:rsidP="00E3279A">
      <w:pPr>
        <w:jc w:val="center"/>
        <w:rPr>
          <w:b/>
          <w:bCs/>
          <w:sz w:val="28"/>
          <w:szCs w:val="28"/>
        </w:rPr>
      </w:pPr>
      <w:r w:rsidRPr="007D5748">
        <w:rPr>
          <w:b/>
          <w:bCs/>
          <w:sz w:val="28"/>
          <w:szCs w:val="28"/>
        </w:rPr>
        <w:t>na zamestnanosť vo verejnej správe a financovanie návrhu</w:t>
      </w:r>
    </w:p>
    <w:p w:rsidR="00E3279A" w:rsidRPr="00212894" w:rsidRDefault="00E3279A" w:rsidP="00E3279A">
      <w:pPr>
        <w:jc w:val="right"/>
        <w:rPr>
          <w:b/>
          <w:bCs/>
        </w:rPr>
      </w:pPr>
    </w:p>
    <w:p w:rsidR="00E3279A" w:rsidRDefault="00E3279A" w:rsidP="00E3279A">
      <w:pPr>
        <w:rPr>
          <w:b/>
          <w:bCs/>
        </w:rPr>
      </w:pPr>
    </w:p>
    <w:p w:rsidR="00E3279A" w:rsidRPr="00212894" w:rsidRDefault="00E3279A" w:rsidP="00E3279A">
      <w:pPr>
        <w:rPr>
          <w:b/>
          <w:bCs/>
        </w:rPr>
      </w:pPr>
      <w:r w:rsidRPr="00212894">
        <w:rPr>
          <w:b/>
          <w:bCs/>
        </w:rPr>
        <w:t>2.1 Zhrnutie vplyvov na rozpočet verejnej správy v návrhu</w:t>
      </w:r>
    </w:p>
    <w:p w:rsidR="00E3279A" w:rsidRDefault="00E3279A" w:rsidP="00E3279A">
      <w:pPr>
        <w:jc w:val="right"/>
        <w:rPr>
          <w:sz w:val="20"/>
          <w:szCs w:val="20"/>
        </w:rPr>
      </w:pPr>
    </w:p>
    <w:p w:rsidR="00E3279A" w:rsidRPr="007D5748" w:rsidRDefault="00E3279A" w:rsidP="00E3279A">
      <w:pPr>
        <w:jc w:val="right"/>
        <w:rPr>
          <w:sz w:val="20"/>
          <w:szCs w:val="20"/>
        </w:rPr>
      </w:pPr>
      <w:r w:rsidRPr="007D5748">
        <w:rPr>
          <w:sz w:val="20"/>
          <w:szCs w:val="20"/>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E3279A" w:rsidRPr="007D5748" w:rsidTr="00E3279A">
        <w:trPr>
          <w:cantSplit/>
          <w:trHeight w:val="194"/>
          <w:jc w:val="center"/>
        </w:trPr>
        <w:tc>
          <w:tcPr>
            <w:tcW w:w="4661" w:type="dxa"/>
            <w:vMerge w:val="restart"/>
            <w:shd w:val="clear" w:color="auto" w:fill="BFBFBF" w:themeFill="background1" w:themeFillShade="BF"/>
            <w:vAlign w:val="center"/>
          </w:tcPr>
          <w:p w:rsidR="00E3279A" w:rsidRPr="006B04A1" w:rsidRDefault="00E3279A" w:rsidP="00E3279A">
            <w:pPr>
              <w:jc w:val="center"/>
              <w:rPr>
                <w:b/>
                <w:bCs/>
              </w:rPr>
            </w:pPr>
            <w:bookmarkStart w:id="0" w:name="OLE_LINK1"/>
            <w:r w:rsidRPr="006B04A1">
              <w:rPr>
                <w:b/>
                <w:bCs/>
              </w:rPr>
              <w:t>Vplyvy na rozpočet verejnej správy</w:t>
            </w:r>
          </w:p>
        </w:tc>
        <w:tc>
          <w:tcPr>
            <w:tcW w:w="5068" w:type="dxa"/>
            <w:gridSpan w:val="4"/>
            <w:shd w:val="clear" w:color="auto" w:fill="BFBFBF" w:themeFill="background1" w:themeFillShade="BF"/>
            <w:vAlign w:val="center"/>
          </w:tcPr>
          <w:p w:rsidR="00E3279A" w:rsidRPr="006B04A1" w:rsidRDefault="00E3279A" w:rsidP="00E3279A">
            <w:pPr>
              <w:jc w:val="center"/>
              <w:rPr>
                <w:b/>
                <w:bCs/>
              </w:rPr>
            </w:pPr>
            <w:r w:rsidRPr="006B04A1">
              <w:rPr>
                <w:b/>
                <w:bCs/>
              </w:rPr>
              <w:t>Vplyv na rozpočet verejnej správy (v eurách)</w:t>
            </w:r>
          </w:p>
        </w:tc>
      </w:tr>
      <w:tr w:rsidR="00E3279A" w:rsidRPr="007D5748" w:rsidTr="00E3279A">
        <w:trPr>
          <w:cantSplit/>
          <w:trHeight w:val="70"/>
          <w:jc w:val="center"/>
        </w:trPr>
        <w:tc>
          <w:tcPr>
            <w:tcW w:w="4661" w:type="dxa"/>
            <w:vMerge/>
            <w:shd w:val="clear" w:color="auto" w:fill="BFBFBF" w:themeFill="background1" w:themeFillShade="BF"/>
            <w:vAlign w:val="center"/>
          </w:tcPr>
          <w:p w:rsidR="00E3279A" w:rsidRPr="006B04A1" w:rsidRDefault="00E3279A" w:rsidP="00E3279A">
            <w:pPr>
              <w:jc w:val="center"/>
              <w:rPr>
                <w:b/>
                <w:bCs/>
              </w:rPr>
            </w:pPr>
          </w:p>
        </w:tc>
        <w:tc>
          <w:tcPr>
            <w:tcW w:w="1267" w:type="dxa"/>
            <w:shd w:val="clear" w:color="auto" w:fill="BFBFBF" w:themeFill="background1" w:themeFillShade="BF"/>
            <w:vAlign w:val="center"/>
          </w:tcPr>
          <w:p w:rsidR="00E3279A" w:rsidRPr="006B04A1" w:rsidRDefault="00E3279A" w:rsidP="00E3279A">
            <w:pPr>
              <w:jc w:val="center"/>
              <w:rPr>
                <w:b/>
                <w:bCs/>
              </w:rPr>
            </w:pPr>
            <w:r w:rsidRPr="006B04A1">
              <w:rPr>
                <w:b/>
                <w:bCs/>
              </w:rPr>
              <w:t>2020</w:t>
            </w:r>
          </w:p>
        </w:tc>
        <w:tc>
          <w:tcPr>
            <w:tcW w:w="1267" w:type="dxa"/>
            <w:shd w:val="clear" w:color="auto" w:fill="BFBFBF" w:themeFill="background1" w:themeFillShade="BF"/>
            <w:vAlign w:val="center"/>
          </w:tcPr>
          <w:p w:rsidR="00E3279A" w:rsidRPr="006B04A1" w:rsidRDefault="00E3279A" w:rsidP="00E3279A">
            <w:pPr>
              <w:jc w:val="center"/>
              <w:rPr>
                <w:b/>
                <w:bCs/>
              </w:rPr>
            </w:pPr>
            <w:r w:rsidRPr="006B04A1">
              <w:rPr>
                <w:b/>
                <w:bCs/>
              </w:rPr>
              <w:t>202</w:t>
            </w:r>
            <w:r>
              <w:rPr>
                <w:b/>
                <w:bCs/>
              </w:rPr>
              <w:t>1</w:t>
            </w:r>
          </w:p>
        </w:tc>
        <w:tc>
          <w:tcPr>
            <w:tcW w:w="1267" w:type="dxa"/>
            <w:shd w:val="clear" w:color="auto" w:fill="BFBFBF" w:themeFill="background1" w:themeFillShade="BF"/>
            <w:vAlign w:val="center"/>
          </w:tcPr>
          <w:p w:rsidR="00E3279A" w:rsidRPr="006B04A1" w:rsidRDefault="00E3279A" w:rsidP="00E3279A">
            <w:pPr>
              <w:jc w:val="center"/>
              <w:rPr>
                <w:b/>
                <w:bCs/>
              </w:rPr>
            </w:pPr>
            <w:r w:rsidRPr="006B04A1">
              <w:rPr>
                <w:b/>
                <w:bCs/>
              </w:rPr>
              <w:t>202</w:t>
            </w:r>
            <w:r>
              <w:rPr>
                <w:b/>
                <w:bCs/>
              </w:rPr>
              <w:t>2</w:t>
            </w:r>
          </w:p>
        </w:tc>
        <w:tc>
          <w:tcPr>
            <w:tcW w:w="1267" w:type="dxa"/>
            <w:shd w:val="clear" w:color="auto" w:fill="BFBFBF" w:themeFill="background1" w:themeFillShade="BF"/>
            <w:vAlign w:val="center"/>
          </w:tcPr>
          <w:p w:rsidR="00E3279A" w:rsidRPr="006B04A1" w:rsidRDefault="00E3279A" w:rsidP="00E3279A">
            <w:pPr>
              <w:jc w:val="center"/>
              <w:rPr>
                <w:b/>
                <w:bCs/>
              </w:rPr>
            </w:pPr>
            <w:r w:rsidRPr="006B04A1">
              <w:rPr>
                <w:b/>
                <w:bCs/>
              </w:rPr>
              <w:t>202</w:t>
            </w:r>
            <w:r>
              <w:rPr>
                <w:b/>
                <w:bCs/>
              </w:rPr>
              <w:t>3</w:t>
            </w:r>
          </w:p>
        </w:tc>
      </w:tr>
      <w:tr w:rsidR="00E3279A" w:rsidRPr="007D5748" w:rsidTr="00E3279A">
        <w:trPr>
          <w:trHeight w:val="70"/>
          <w:jc w:val="center"/>
        </w:trPr>
        <w:tc>
          <w:tcPr>
            <w:tcW w:w="4661" w:type="dxa"/>
            <w:shd w:val="clear" w:color="auto" w:fill="C0C0C0"/>
            <w:noWrap/>
            <w:vAlign w:val="center"/>
          </w:tcPr>
          <w:p w:rsidR="00E3279A" w:rsidRPr="006B04A1" w:rsidRDefault="00E3279A" w:rsidP="00E3279A">
            <w:r w:rsidRPr="006B04A1">
              <w:rPr>
                <w:b/>
                <w:bCs/>
              </w:rPr>
              <w:t>Príjmy verejnej správy celkom</w:t>
            </w:r>
          </w:p>
        </w:tc>
        <w:tc>
          <w:tcPr>
            <w:tcW w:w="1267" w:type="dxa"/>
            <w:shd w:val="clear" w:color="auto" w:fill="C0C0C0"/>
            <w:vAlign w:val="center"/>
          </w:tcPr>
          <w:p w:rsidR="00E3279A" w:rsidRPr="00F66481" w:rsidRDefault="00E3279A" w:rsidP="00E3279A">
            <w:pPr>
              <w:jc w:val="right"/>
              <w:rPr>
                <w:b/>
                <w:bCs/>
              </w:rPr>
            </w:pPr>
            <w:r>
              <w:rPr>
                <w:b/>
                <w:bCs/>
                <w:iCs/>
              </w:rPr>
              <w:t>n/a</w:t>
            </w:r>
          </w:p>
        </w:tc>
        <w:tc>
          <w:tcPr>
            <w:tcW w:w="1267" w:type="dxa"/>
            <w:shd w:val="clear" w:color="auto" w:fill="C0C0C0"/>
            <w:vAlign w:val="center"/>
          </w:tcPr>
          <w:p w:rsidR="00E3279A" w:rsidRPr="00F66481" w:rsidRDefault="00E3279A" w:rsidP="00E3279A">
            <w:pPr>
              <w:jc w:val="right"/>
              <w:rPr>
                <w:b/>
                <w:bCs/>
              </w:rPr>
            </w:pPr>
            <w:r>
              <w:rPr>
                <w:b/>
                <w:bCs/>
                <w:iCs/>
              </w:rPr>
              <w:t>n/a</w:t>
            </w:r>
          </w:p>
        </w:tc>
        <w:tc>
          <w:tcPr>
            <w:tcW w:w="1267" w:type="dxa"/>
            <w:shd w:val="clear" w:color="auto" w:fill="C0C0C0"/>
            <w:vAlign w:val="center"/>
          </w:tcPr>
          <w:p w:rsidR="00E3279A" w:rsidRPr="00F66481" w:rsidRDefault="00E3279A" w:rsidP="00E3279A">
            <w:pPr>
              <w:jc w:val="right"/>
              <w:rPr>
                <w:b/>
                <w:bCs/>
              </w:rPr>
            </w:pPr>
            <w:r>
              <w:rPr>
                <w:b/>
                <w:bCs/>
                <w:iCs/>
              </w:rPr>
              <w:t>n/a</w:t>
            </w:r>
          </w:p>
        </w:tc>
        <w:tc>
          <w:tcPr>
            <w:tcW w:w="1267" w:type="dxa"/>
            <w:shd w:val="clear" w:color="auto" w:fill="C0C0C0"/>
            <w:vAlign w:val="center"/>
          </w:tcPr>
          <w:p w:rsidR="00E3279A" w:rsidRPr="00F66481" w:rsidRDefault="00E3279A" w:rsidP="00E3279A">
            <w:pPr>
              <w:jc w:val="right"/>
              <w:rPr>
                <w:b/>
                <w:bCs/>
              </w:rPr>
            </w:pPr>
            <w:r>
              <w:rPr>
                <w:b/>
                <w:bCs/>
                <w:iCs/>
              </w:rPr>
              <w:t>n/a</w:t>
            </w:r>
          </w:p>
        </w:tc>
      </w:tr>
      <w:tr w:rsidR="00E3279A" w:rsidRPr="007D5748" w:rsidTr="00E3279A">
        <w:trPr>
          <w:trHeight w:val="132"/>
          <w:jc w:val="center"/>
        </w:trPr>
        <w:tc>
          <w:tcPr>
            <w:tcW w:w="4661" w:type="dxa"/>
            <w:noWrap/>
            <w:vAlign w:val="center"/>
          </w:tcPr>
          <w:p w:rsidR="00E3279A" w:rsidRPr="006B04A1" w:rsidRDefault="00E3279A" w:rsidP="00E3279A">
            <w:r w:rsidRPr="006B04A1">
              <w:t xml:space="preserve">v tom: </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pPr>
            <w:r w:rsidRPr="00F66481">
              <w:t>0</w:t>
            </w:r>
          </w:p>
        </w:tc>
        <w:tc>
          <w:tcPr>
            <w:tcW w:w="1267" w:type="dxa"/>
            <w:noWrap/>
            <w:vAlign w:val="center"/>
          </w:tcPr>
          <w:p w:rsidR="00E3279A" w:rsidRPr="00F66481" w:rsidRDefault="00E3279A" w:rsidP="00E3279A">
            <w:pPr>
              <w:jc w:val="right"/>
            </w:pPr>
            <w:r w:rsidRPr="00F66481">
              <w:t>0</w:t>
            </w: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xml:space="preserve">z toho:  </w:t>
            </w:r>
          </w:p>
        </w:tc>
        <w:tc>
          <w:tcPr>
            <w:tcW w:w="1267" w:type="dxa"/>
            <w:noWrap/>
            <w:vAlign w:val="center"/>
          </w:tcPr>
          <w:p w:rsidR="00E3279A" w:rsidRPr="00F66481" w:rsidRDefault="00E3279A" w:rsidP="00E3279A">
            <w:pPr>
              <w:jc w:val="right"/>
              <w:rPr>
                <w:b/>
                <w:bCs/>
                <w:i/>
                <w:iCs/>
              </w:rPr>
            </w:pPr>
          </w:p>
        </w:tc>
        <w:tc>
          <w:tcPr>
            <w:tcW w:w="1267" w:type="dxa"/>
            <w:noWrap/>
            <w:vAlign w:val="center"/>
          </w:tcPr>
          <w:p w:rsidR="00E3279A" w:rsidRPr="00F66481" w:rsidRDefault="00E3279A" w:rsidP="00E3279A">
            <w:pPr>
              <w:jc w:val="right"/>
              <w:rPr>
                <w:b/>
                <w:bCs/>
                <w:i/>
                <w:iCs/>
              </w:rPr>
            </w:pPr>
          </w:p>
        </w:tc>
        <w:tc>
          <w:tcPr>
            <w:tcW w:w="1267" w:type="dxa"/>
            <w:noWrap/>
            <w:vAlign w:val="center"/>
          </w:tcPr>
          <w:p w:rsidR="00E3279A" w:rsidRPr="00F66481" w:rsidRDefault="00E3279A" w:rsidP="00E3279A">
            <w:pPr>
              <w:jc w:val="right"/>
              <w:rPr>
                <w:b/>
                <w:bCs/>
                <w:iCs/>
              </w:rPr>
            </w:pPr>
          </w:p>
        </w:tc>
        <w:tc>
          <w:tcPr>
            <w:tcW w:w="1267" w:type="dxa"/>
            <w:noWrap/>
            <w:vAlign w:val="center"/>
          </w:tcPr>
          <w:p w:rsidR="00E3279A" w:rsidRPr="00F66481" w:rsidRDefault="00E3279A" w:rsidP="00E3279A">
            <w:pPr>
              <w:jc w:val="right"/>
              <w:rPr>
                <w:b/>
                <w:bCs/>
                <w:iCs/>
              </w:rPr>
            </w:pPr>
          </w:p>
        </w:tc>
      </w:tr>
      <w:tr w:rsidR="00E3279A" w:rsidRPr="007D5748" w:rsidTr="00E3279A">
        <w:trPr>
          <w:trHeight w:val="125"/>
          <w:jc w:val="center"/>
        </w:trPr>
        <w:tc>
          <w:tcPr>
            <w:tcW w:w="4661" w:type="dxa"/>
            <w:noWrap/>
            <w:vAlign w:val="center"/>
          </w:tcPr>
          <w:p w:rsidR="00E3279A" w:rsidRPr="006B04A1" w:rsidRDefault="00E3279A" w:rsidP="00E3279A">
            <w:pPr>
              <w:rPr>
                <w:b/>
                <w:bCs/>
                <w:i/>
                <w:iCs/>
              </w:rPr>
            </w:pPr>
            <w:r w:rsidRPr="006B04A1">
              <w:rPr>
                <w:b/>
                <w:bCs/>
                <w:i/>
                <w:iCs/>
              </w:rPr>
              <w:t>- vplyv na ŠR</w:t>
            </w:r>
          </w:p>
        </w:tc>
        <w:tc>
          <w:tcPr>
            <w:tcW w:w="1267" w:type="dxa"/>
            <w:noWrap/>
            <w:vAlign w:val="center"/>
          </w:tcPr>
          <w:p w:rsidR="00E3279A" w:rsidRPr="00F66481" w:rsidRDefault="00E3279A" w:rsidP="00E3279A">
            <w:pPr>
              <w:jc w:val="right"/>
              <w:rPr>
                <w:b/>
                <w:bCs/>
                <w:i/>
                <w:iCs/>
              </w:rPr>
            </w:pPr>
            <w:r>
              <w:rPr>
                <w:b/>
                <w:bCs/>
                <w:iCs/>
              </w:rPr>
              <w:t>n/a</w:t>
            </w:r>
          </w:p>
        </w:tc>
        <w:tc>
          <w:tcPr>
            <w:tcW w:w="1267" w:type="dxa"/>
            <w:noWrap/>
            <w:vAlign w:val="center"/>
          </w:tcPr>
          <w:p w:rsidR="00E3279A" w:rsidRPr="00F66481" w:rsidRDefault="00E3279A" w:rsidP="00E3279A">
            <w:pPr>
              <w:jc w:val="right"/>
              <w:rPr>
                <w:b/>
                <w:bCs/>
                <w:i/>
                <w:iCs/>
              </w:rPr>
            </w:pPr>
            <w:r>
              <w:rPr>
                <w:b/>
                <w:bCs/>
                <w:iCs/>
              </w:rPr>
              <w:t>n/a</w:t>
            </w:r>
          </w:p>
        </w:tc>
        <w:tc>
          <w:tcPr>
            <w:tcW w:w="1267" w:type="dxa"/>
            <w:noWrap/>
            <w:vAlign w:val="center"/>
          </w:tcPr>
          <w:p w:rsidR="00E3279A" w:rsidRPr="00F66481" w:rsidRDefault="00E3279A" w:rsidP="00E3279A">
            <w:pPr>
              <w:jc w:val="right"/>
              <w:rPr>
                <w:b/>
                <w:bCs/>
                <w:iCs/>
              </w:rPr>
            </w:pPr>
            <w:r>
              <w:rPr>
                <w:b/>
                <w:bCs/>
                <w:iCs/>
              </w:rPr>
              <w:t>n/a</w:t>
            </w:r>
          </w:p>
        </w:tc>
        <w:tc>
          <w:tcPr>
            <w:tcW w:w="1267" w:type="dxa"/>
            <w:noWrap/>
            <w:vAlign w:val="center"/>
          </w:tcPr>
          <w:p w:rsidR="00E3279A" w:rsidRPr="00F66481" w:rsidRDefault="00E3279A" w:rsidP="00E3279A">
            <w:pPr>
              <w:jc w:val="right"/>
              <w:rPr>
                <w:b/>
                <w:bCs/>
                <w:iCs/>
              </w:rPr>
            </w:pPr>
            <w:r>
              <w:rPr>
                <w:b/>
                <w:bCs/>
                <w:iCs/>
              </w:rPr>
              <w:t>n/a</w:t>
            </w:r>
          </w:p>
        </w:tc>
      </w:tr>
      <w:tr w:rsidR="00E3279A" w:rsidRPr="007D5748" w:rsidTr="00E3279A">
        <w:trPr>
          <w:trHeight w:val="125"/>
          <w:jc w:val="center"/>
        </w:trPr>
        <w:tc>
          <w:tcPr>
            <w:tcW w:w="4661" w:type="dxa"/>
            <w:noWrap/>
            <w:vAlign w:val="center"/>
          </w:tcPr>
          <w:p w:rsidR="00E3279A" w:rsidRPr="006B04A1" w:rsidRDefault="00E3279A" w:rsidP="00E3279A">
            <w:pPr>
              <w:ind w:left="259"/>
              <w:rPr>
                <w:b/>
                <w:bCs/>
                <w:i/>
                <w:iCs/>
              </w:rPr>
            </w:pPr>
            <w:r w:rsidRPr="006B04A1">
              <w:rPr>
                <w:bCs/>
                <w:i/>
                <w:iCs/>
              </w:rPr>
              <w:t>Rozpočtové prostriedky</w:t>
            </w:r>
          </w:p>
        </w:tc>
        <w:tc>
          <w:tcPr>
            <w:tcW w:w="1267" w:type="dxa"/>
            <w:noWrap/>
            <w:vAlign w:val="center"/>
          </w:tcPr>
          <w:p w:rsidR="00E3279A" w:rsidRPr="00F66481" w:rsidRDefault="00E3279A" w:rsidP="00E3279A">
            <w:pPr>
              <w:jc w:val="right"/>
              <w:rPr>
                <w:b/>
                <w:bCs/>
                <w:i/>
                <w:iCs/>
              </w:rPr>
            </w:pPr>
            <w:r>
              <w:rPr>
                <w:b/>
                <w:bCs/>
                <w:iCs/>
              </w:rPr>
              <w:t>n/a</w:t>
            </w:r>
          </w:p>
        </w:tc>
        <w:tc>
          <w:tcPr>
            <w:tcW w:w="1267" w:type="dxa"/>
            <w:noWrap/>
            <w:vAlign w:val="center"/>
          </w:tcPr>
          <w:p w:rsidR="00E3279A" w:rsidRPr="00F66481" w:rsidRDefault="00E3279A" w:rsidP="00E3279A">
            <w:pPr>
              <w:jc w:val="right"/>
              <w:rPr>
                <w:b/>
                <w:bCs/>
                <w:i/>
                <w:iCs/>
              </w:rPr>
            </w:pPr>
            <w:r>
              <w:rPr>
                <w:b/>
                <w:bCs/>
                <w:iCs/>
              </w:rPr>
              <w:t>n/a</w:t>
            </w:r>
          </w:p>
        </w:tc>
        <w:tc>
          <w:tcPr>
            <w:tcW w:w="1267" w:type="dxa"/>
            <w:noWrap/>
            <w:vAlign w:val="center"/>
          </w:tcPr>
          <w:p w:rsidR="00E3279A" w:rsidRPr="00F66481" w:rsidRDefault="00E3279A" w:rsidP="00E3279A">
            <w:pPr>
              <w:jc w:val="right"/>
              <w:rPr>
                <w:b/>
                <w:bCs/>
                <w:iCs/>
              </w:rPr>
            </w:pPr>
            <w:r>
              <w:rPr>
                <w:b/>
                <w:bCs/>
                <w:iCs/>
              </w:rPr>
              <w:t>n/a</w:t>
            </w:r>
          </w:p>
        </w:tc>
        <w:tc>
          <w:tcPr>
            <w:tcW w:w="1267" w:type="dxa"/>
            <w:noWrap/>
            <w:vAlign w:val="center"/>
          </w:tcPr>
          <w:p w:rsidR="00E3279A" w:rsidRPr="00F66481" w:rsidRDefault="00E3279A" w:rsidP="00E3279A">
            <w:pPr>
              <w:jc w:val="right"/>
              <w:rPr>
                <w:b/>
                <w:bCs/>
                <w:iCs/>
              </w:rPr>
            </w:pPr>
            <w:r>
              <w:rPr>
                <w:b/>
                <w:bCs/>
                <w:iCs/>
              </w:rPr>
              <w:t>n/a</w:t>
            </w:r>
          </w:p>
        </w:tc>
      </w:tr>
      <w:tr w:rsidR="00E3279A" w:rsidRPr="007D5748" w:rsidTr="00E3279A">
        <w:trPr>
          <w:trHeight w:val="125"/>
          <w:jc w:val="center"/>
        </w:trPr>
        <w:tc>
          <w:tcPr>
            <w:tcW w:w="4661" w:type="dxa"/>
            <w:noWrap/>
            <w:vAlign w:val="center"/>
          </w:tcPr>
          <w:p w:rsidR="00E3279A" w:rsidRPr="006B04A1" w:rsidRDefault="00E3279A" w:rsidP="00E3279A">
            <w:pPr>
              <w:ind w:left="259"/>
              <w:rPr>
                <w:bCs/>
                <w:i/>
                <w:iCs/>
              </w:rPr>
            </w:pPr>
            <w:r w:rsidRPr="006B04A1">
              <w:rPr>
                <w:bCs/>
                <w:i/>
                <w:iCs/>
              </w:rPr>
              <w:t>EÚ zdroje</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rPr>
                <w:i/>
              </w:rPr>
            </w:pPr>
            <w:r w:rsidRPr="00F66481">
              <w:rPr>
                <w:i/>
              </w:rPr>
              <w:t>0</w:t>
            </w:r>
          </w:p>
        </w:tc>
      </w:tr>
      <w:tr w:rsidR="00E3279A" w:rsidRPr="007D5748" w:rsidTr="00E3279A">
        <w:trPr>
          <w:trHeight w:val="125"/>
          <w:jc w:val="center"/>
        </w:trPr>
        <w:tc>
          <w:tcPr>
            <w:tcW w:w="4661" w:type="dxa"/>
            <w:noWrap/>
            <w:vAlign w:val="center"/>
          </w:tcPr>
          <w:p w:rsidR="00E3279A" w:rsidRPr="006B04A1" w:rsidRDefault="00E3279A" w:rsidP="00E3279A">
            <w:pPr>
              <w:rPr>
                <w:b/>
                <w:bCs/>
                <w:i/>
                <w:iCs/>
              </w:rPr>
            </w:pPr>
            <w:r w:rsidRPr="006B04A1">
              <w:rPr>
                <w:b/>
                <w:bCs/>
                <w:i/>
                <w:iCs/>
              </w:rPr>
              <w:t>- vplyv na obce</w:t>
            </w:r>
          </w:p>
        </w:tc>
        <w:tc>
          <w:tcPr>
            <w:tcW w:w="1267" w:type="dxa"/>
            <w:noWrap/>
            <w:vAlign w:val="center"/>
          </w:tcPr>
          <w:p w:rsidR="00E3279A" w:rsidRPr="00F66481" w:rsidRDefault="00E3279A" w:rsidP="00E3279A">
            <w:pPr>
              <w:jc w:val="right"/>
              <w:rPr>
                <w:b/>
                <w:bCs/>
                <w:i/>
                <w:iCs/>
              </w:rPr>
            </w:pPr>
            <w:r>
              <w:rPr>
                <w:b/>
                <w:bCs/>
                <w:iCs/>
              </w:rPr>
              <w:t>0</w:t>
            </w:r>
          </w:p>
        </w:tc>
        <w:tc>
          <w:tcPr>
            <w:tcW w:w="1267" w:type="dxa"/>
            <w:noWrap/>
            <w:vAlign w:val="center"/>
          </w:tcPr>
          <w:p w:rsidR="00E3279A" w:rsidRPr="00F66481" w:rsidRDefault="00E3279A" w:rsidP="00E3279A">
            <w:pPr>
              <w:jc w:val="right"/>
              <w:rPr>
                <w:b/>
                <w:bCs/>
                <w:i/>
                <w:iCs/>
              </w:rPr>
            </w:pPr>
            <w:r>
              <w:rPr>
                <w:b/>
                <w:bCs/>
                <w:iCs/>
              </w:rPr>
              <w:t>0</w:t>
            </w:r>
          </w:p>
        </w:tc>
        <w:tc>
          <w:tcPr>
            <w:tcW w:w="1267" w:type="dxa"/>
            <w:noWrap/>
            <w:vAlign w:val="center"/>
          </w:tcPr>
          <w:p w:rsidR="00E3279A" w:rsidRPr="00F66481" w:rsidRDefault="00E3279A" w:rsidP="00E3279A">
            <w:pPr>
              <w:jc w:val="right"/>
              <w:rPr>
                <w:b/>
                <w:bCs/>
                <w:iCs/>
              </w:rPr>
            </w:pPr>
            <w:r>
              <w:rPr>
                <w:b/>
                <w:bCs/>
                <w:iCs/>
              </w:rPr>
              <w:t>0</w:t>
            </w:r>
          </w:p>
        </w:tc>
        <w:tc>
          <w:tcPr>
            <w:tcW w:w="1267" w:type="dxa"/>
            <w:noWrap/>
            <w:vAlign w:val="center"/>
          </w:tcPr>
          <w:p w:rsidR="00E3279A" w:rsidRPr="00F66481" w:rsidRDefault="00E3279A" w:rsidP="00E3279A">
            <w:pPr>
              <w:jc w:val="right"/>
              <w:rPr>
                <w:b/>
                <w:bCs/>
                <w:iCs/>
              </w:rPr>
            </w:pPr>
            <w:r>
              <w:rPr>
                <w:b/>
                <w:bCs/>
                <w:iCs/>
              </w:rPr>
              <w:t>0</w:t>
            </w:r>
          </w:p>
        </w:tc>
      </w:tr>
      <w:tr w:rsidR="00E3279A" w:rsidRPr="007D5748" w:rsidTr="00E3279A">
        <w:trPr>
          <w:trHeight w:val="125"/>
          <w:jc w:val="center"/>
        </w:trPr>
        <w:tc>
          <w:tcPr>
            <w:tcW w:w="4661" w:type="dxa"/>
            <w:noWrap/>
            <w:vAlign w:val="center"/>
          </w:tcPr>
          <w:p w:rsidR="00E3279A" w:rsidRPr="006B04A1" w:rsidRDefault="00E3279A" w:rsidP="00E3279A">
            <w:pPr>
              <w:rPr>
                <w:b/>
                <w:bCs/>
                <w:i/>
                <w:iCs/>
              </w:rPr>
            </w:pPr>
            <w:r w:rsidRPr="006B04A1">
              <w:rPr>
                <w:b/>
                <w:bCs/>
                <w:i/>
                <w:iCs/>
              </w:rPr>
              <w:t>- vplyv na vyššie územné celky</w:t>
            </w:r>
          </w:p>
        </w:tc>
        <w:tc>
          <w:tcPr>
            <w:tcW w:w="1267" w:type="dxa"/>
            <w:noWrap/>
            <w:vAlign w:val="center"/>
          </w:tcPr>
          <w:p w:rsidR="00E3279A" w:rsidRPr="00F66481" w:rsidRDefault="00E3279A" w:rsidP="00E3279A">
            <w:pPr>
              <w:jc w:val="right"/>
              <w:rPr>
                <w:b/>
                <w:bCs/>
                <w:i/>
                <w:iCs/>
              </w:rPr>
            </w:pPr>
            <w:r>
              <w:rPr>
                <w:b/>
                <w:bCs/>
                <w:iCs/>
              </w:rPr>
              <w:t>0</w:t>
            </w:r>
          </w:p>
        </w:tc>
        <w:tc>
          <w:tcPr>
            <w:tcW w:w="1267" w:type="dxa"/>
            <w:noWrap/>
            <w:vAlign w:val="center"/>
          </w:tcPr>
          <w:p w:rsidR="00E3279A" w:rsidRPr="00F66481" w:rsidRDefault="00E3279A" w:rsidP="00E3279A">
            <w:pPr>
              <w:jc w:val="right"/>
              <w:rPr>
                <w:b/>
                <w:bCs/>
                <w:i/>
                <w:iCs/>
              </w:rPr>
            </w:pPr>
            <w:r>
              <w:rPr>
                <w:b/>
                <w:bCs/>
                <w:iCs/>
              </w:rPr>
              <w:t>0</w:t>
            </w:r>
          </w:p>
        </w:tc>
        <w:tc>
          <w:tcPr>
            <w:tcW w:w="1267" w:type="dxa"/>
            <w:noWrap/>
            <w:vAlign w:val="center"/>
          </w:tcPr>
          <w:p w:rsidR="00E3279A" w:rsidRPr="00F66481" w:rsidRDefault="00E3279A" w:rsidP="00E3279A">
            <w:pPr>
              <w:jc w:val="right"/>
              <w:rPr>
                <w:b/>
                <w:bCs/>
                <w:iCs/>
              </w:rPr>
            </w:pPr>
            <w:r>
              <w:rPr>
                <w:b/>
                <w:bCs/>
                <w:iCs/>
              </w:rPr>
              <w:t>0</w:t>
            </w:r>
          </w:p>
        </w:tc>
        <w:tc>
          <w:tcPr>
            <w:tcW w:w="1267" w:type="dxa"/>
            <w:noWrap/>
            <w:vAlign w:val="center"/>
          </w:tcPr>
          <w:p w:rsidR="00E3279A" w:rsidRPr="00F66481" w:rsidRDefault="00E3279A" w:rsidP="00E3279A">
            <w:pPr>
              <w:jc w:val="right"/>
              <w:rPr>
                <w:b/>
                <w:bCs/>
                <w:iCs/>
              </w:rPr>
            </w:pPr>
            <w:r>
              <w:rPr>
                <w:b/>
                <w:bCs/>
                <w:iCs/>
              </w:rPr>
              <w:t>0</w:t>
            </w:r>
          </w:p>
        </w:tc>
      </w:tr>
      <w:tr w:rsidR="00E3279A" w:rsidRPr="007D5748" w:rsidTr="00E3279A">
        <w:trPr>
          <w:trHeight w:val="125"/>
          <w:jc w:val="center"/>
        </w:trPr>
        <w:tc>
          <w:tcPr>
            <w:tcW w:w="4661" w:type="dxa"/>
            <w:noWrap/>
            <w:vAlign w:val="center"/>
          </w:tcPr>
          <w:p w:rsidR="00E3279A" w:rsidRPr="006B04A1" w:rsidRDefault="00E3279A" w:rsidP="00E3279A">
            <w:pPr>
              <w:rPr>
                <w:b/>
                <w:bCs/>
                <w:i/>
                <w:iCs/>
              </w:rPr>
            </w:pPr>
            <w:r w:rsidRPr="006B04A1">
              <w:rPr>
                <w:b/>
                <w:bCs/>
                <w:i/>
                <w:iCs/>
              </w:rPr>
              <w:t>- vplyv na ostatné subjekty verejnej správy</w:t>
            </w:r>
          </w:p>
        </w:tc>
        <w:tc>
          <w:tcPr>
            <w:tcW w:w="1267" w:type="dxa"/>
            <w:noWrap/>
            <w:vAlign w:val="center"/>
          </w:tcPr>
          <w:p w:rsidR="00E3279A" w:rsidRPr="00F66481" w:rsidRDefault="00E3279A" w:rsidP="00E3279A">
            <w:pPr>
              <w:jc w:val="right"/>
              <w:rPr>
                <w:b/>
                <w:bCs/>
                <w:i/>
                <w:iCs/>
              </w:rPr>
            </w:pPr>
            <w:r>
              <w:rPr>
                <w:b/>
                <w:bCs/>
                <w:iCs/>
              </w:rPr>
              <w:t>0</w:t>
            </w:r>
          </w:p>
        </w:tc>
        <w:tc>
          <w:tcPr>
            <w:tcW w:w="1267" w:type="dxa"/>
            <w:noWrap/>
            <w:vAlign w:val="center"/>
          </w:tcPr>
          <w:p w:rsidR="00E3279A" w:rsidRPr="00F66481" w:rsidRDefault="00E3279A" w:rsidP="00E3279A">
            <w:pPr>
              <w:jc w:val="right"/>
              <w:rPr>
                <w:b/>
                <w:bCs/>
                <w:i/>
                <w:iCs/>
              </w:rPr>
            </w:pPr>
            <w:r>
              <w:rPr>
                <w:b/>
                <w:bCs/>
                <w:iCs/>
              </w:rPr>
              <w:t>0</w:t>
            </w:r>
          </w:p>
        </w:tc>
        <w:tc>
          <w:tcPr>
            <w:tcW w:w="1267" w:type="dxa"/>
            <w:noWrap/>
            <w:vAlign w:val="center"/>
          </w:tcPr>
          <w:p w:rsidR="00E3279A" w:rsidRPr="00F66481" w:rsidRDefault="00E3279A" w:rsidP="00E3279A">
            <w:pPr>
              <w:jc w:val="right"/>
              <w:rPr>
                <w:b/>
                <w:bCs/>
                <w:iCs/>
              </w:rPr>
            </w:pPr>
            <w:r>
              <w:rPr>
                <w:b/>
                <w:bCs/>
                <w:iCs/>
              </w:rPr>
              <w:t>0</w:t>
            </w:r>
          </w:p>
        </w:tc>
        <w:tc>
          <w:tcPr>
            <w:tcW w:w="1267" w:type="dxa"/>
            <w:noWrap/>
            <w:vAlign w:val="center"/>
          </w:tcPr>
          <w:p w:rsidR="00E3279A" w:rsidRPr="00F66481" w:rsidRDefault="00E3279A" w:rsidP="00E3279A">
            <w:pPr>
              <w:jc w:val="right"/>
              <w:rPr>
                <w:b/>
                <w:bCs/>
                <w:iCs/>
              </w:rPr>
            </w:pPr>
            <w:r>
              <w:rPr>
                <w:b/>
                <w:bCs/>
                <w:iCs/>
              </w:rPr>
              <w:t>0</w:t>
            </w:r>
          </w:p>
        </w:tc>
      </w:tr>
      <w:tr w:rsidR="00E3279A" w:rsidRPr="007D5748" w:rsidTr="00E3279A">
        <w:trPr>
          <w:trHeight w:val="125"/>
          <w:jc w:val="center"/>
        </w:trPr>
        <w:tc>
          <w:tcPr>
            <w:tcW w:w="4661" w:type="dxa"/>
            <w:shd w:val="clear" w:color="auto" w:fill="C0C0C0"/>
            <w:noWrap/>
            <w:vAlign w:val="center"/>
          </w:tcPr>
          <w:p w:rsidR="00E3279A" w:rsidRPr="006B04A1" w:rsidRDefault="00E3279A" w:rsidP="00E3279A">
            <w:pPr>
              <w:rPr>
                <w:b/>
                <w:bCs/>
              </w:rPr>
            </w:pPr>
            <w:r w:rsidRPr="006B04A1">
              <w:rPr>
                <w:b/>
                <w:bCs/>
              </w:rPr>
              <w:t>Výdavky verejnej správy celkom</w:t>
            </w:r>
          </w:p>
        </w:tc>
        <w:tc>
          <w:tcPr>
            <w:tcW w:w="1267" w:type="dxa"/>
            <w:shd w:val="clear" w:color="auto" w:fill="C0C0C0"/>
            <w:noWrap/>
            <w:vAlign w:val="center"/>
          </w:tcPr>
          <w:p w:rsidR="00E3279A" w:rsidRPr="00F66481" w:rsidRDefault="00E3279A" w:rsidP="00E3279A">
            <w:pPr>
              <w:jc w:val="right"/>
              <w:rPr>
                <w:b/>
                <w:bCs/>
              </w:rPr>
            </w:pPr>
            <w:r w:rsidRPr="00F66481">
              <w:rPr>
                <w:b/>
                <w:bCs/>
              </w:rPr>
              <w:t>0</w:t>
            </w:r>
          </w:p>
        </w:tc>
        <w:tc>
          <w:tcPr>
            <w:tcW w:w="1267" w:type="dxa"/>
            <w:shd w:val="clear" w:color="auto" w:fill="C0C0C0"/>
            <w:noWrap/>
            <w:vAlign w:val="center"/>
          </w:tcPr>
          <w:p w:rsidR="00E3279A" w:rsidRPr="00F66481" w:rsidRDefault="00E3279A" w:rsidP="00E3279A">
            <w:pPr>
              <w:jc w:val="right"/>
              <w:rPr>
                <w:b/>
                <w:bCs/>
              </w:rPr>
            </w:pPr>
            <w:r w:rsidRPr="00F66481">
              <w:rPr>
                <w:b/>
                <w:bCs/>
              </w:rPr>
              <w:t>0</w:t>
            </w:r>
          </w:p>
        </w:tc>
        <w:tc>
          <w:tcPr>
            <w:tcW w:w="1267" w:type="dxa"/>
            <w:shd w:val="clear" w:color="auto" w:fill="C0C0C0"/>
            <w:noWrap/>
            <w:vAlign w:val="center"/>
          </w:tcPr>
          <w:p w:rsidR="00E3279A" w:rsidRPr="00F66481" w:rsidRDefault="00E3279A" w:rsidP="00E3279A">
            <w:pPr>
              <w:jc w:val="right"/>
              <w:rPr>
                <w:b/>
                <w:bCs/>
              </w:rPr>
            </w:pPr>
            <w:r w:rsidRPr="00F66481">
              <w:rPr>
                <w:b/>
                <w:bCs/>
              </w:rPr>
              <w:t>0</w:t>
            </w:r>
          </w:p>
        </w:tc>
        <w:tc>
          <w:tcPr>
            <w:tcW w:w="1267" w:type="dxa"/>
            <w:shd w:val="clear" w:color="auto" w:fill="C0C0C0"/>
            <w:noWrap/>
            <w:vAlign w:val="center"/>
          </w:tcPr>
          <w:p w:rsidR="00E3279A" w:rsidRPr="00F66481" w:rsidRDefault="00E3279A" w:rsidP="00E3279A">
            <w:pPr>
              <w:jc w:val="right"/>
              <w:rPr>
                <w:b/>
                <w:bCs/>
              </w:rPr>
            </w:pPr>
            <w:r w:rsidRPr="00F66481">
              <w:rPr>
                <w:b/>
                <w:bCs/>
              </w:rPr>
              <w:t>0</w:t>
            </w:r>
          </w:p>
        </w:tc>
      </w:tr>
      <w:tr w:rsidR="00E3279A" w:rsidRPr="007D5748" w:rsidTr="00E3279A">
        <w:trPr>
          <w:trHeight w:val="70"/>
          <w:jc w:val="center"/>
        </w:trPr>
        <w:tc>
          <w:tcPr>
            <w:tcW w:w="4661" w:type="dxa"/>
            <w:noWrap/>
            <w:vAlign w:val="center"/>
          </w:tcPr>
          <w:p w:rsidR="00E3279A" w:rsidRPr="006B04A1" w:rsidRDefault="00E3279A" w:rsidP="00E3279A">
            <w:r w:rsidRPr="006B04A1">
              <w:t xml:space="preserve">v tom: </w:t>
            </w:r>
          </w:p>
        </w:tc>
        <w:tc>
          <w:tcPr>
            <w:tcW w:w="1267" w:type="dxa"/>
            <w:noWrap/>
            <w:vAlign w:val="center"/>
          </w:tcPr>
          <w:p w:rsidR="00E3279A" w:rsidRPr="006B04A1" w:rsidRDefault="00E3279A" w:rsidP="00E3279A">
            <w:pPr>
              <w:jc w:val="right"/>
            </w:pPr>
            <w:r>
              <w:t>0</w:t>
            </w:r>
          </w:p>
        </w:tc>
        <w:tc>
          <w:tcPr>
            <w:tcW w:w="1267" w:type="dxa"/>
            <w:noWrap/>
            <w:vAlign w:val="center"/>
          </w:tcPr>
          <w:p w:rsidR="00E3279A" w:rsidRPr="006B04A1" w:rsidRDefault="00E3279A" w:rsidP="00E3279A">
            <w:pPr>
              <w:jc w:val="right"/>
            </w:pPr>
            <w:r>
              <w:t>0</w:t>
            </w:r>
          </w:p>
        </w:tc>
        <w:tc>
          <w:tcPr>
            <w:tcW w:w="1267" w:type="dxa"/>
            <w:noWrap/>
            <w:vAlign w:val="center"/>
          </w:tcPr>
          <w:p w:rsidR="00E3279A" w:rsidRPr="00F66481" w:rsidRDefault="00E3279A" w:rsidP="00E3279A">
            <w:pPr>
              <w:jc w:val="right"/>
            </w:pPr>
            <w:r w:rsidRPr="00F66481">
              <w:t>0</w:t>
            </w:r>
          </w:p>
        </w:tc>
        <w:tc>
          <w:tcPr>
            <w:tcW w:w="1267" w:type="dxa"/>
            <w:noWrap/>
            <w:vAlign w:val="center"/>
          </w:tcPr>
          <w:p w:rsidR="00E3279A" w:rsidRPr="00F66481" w:rsidRDefault="00E3279A" w:rsidP="00E3279A">
            <w:pPr>
              <w:jc w:val="right"/>
            </w:pPr>
            <w:r w:rsidRPr="00F66481">
              <w:t>0</w:t>
            </w: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xml:space="preserve">z toho: </w:t>
            </w:r>
          </w:p>
        </w:tc>
        <w:tc>
          <w:tcPr>
            <w:tcW w:w="1267" w:type="dxa"/>
            <w:noWrap/>
            <w:vAlign w:val="center"/>
          </w:tcPr>
          <w:p w:rsidR="00E3279A" w:rsidRPr="006B04A1" w:rsidRDefault="00E3279A" w:rsidP="00E3279A">
            <w:pPr>
              <w:jc w:val="right"/>
              <w:rPr>
                <w:b/>
                <w:bCs/>
                <w:iCs/>
              </w:rPr>
            </w:pPr>
          </w:p>
        </w:tc>
        <w:tc>
          <w:tcPr>
            <w:tcW w:w="1267" w:type="dxa"/>
            <w:noWrap/>
            <w:vAlign w:val="center"/>
          </w:tcPr>
          <w:p w:rsidR="00E3279A" w:rsidRPr="006B04A1" w:rsidRDefault="00E3279A" w:rsidP="00E3279A">
            <w:pPr>
              <w:jc w:val="right"/>
              <w:rPr>
                <w:b/>
                <w:bCs/>
                <w:iCs/>
              </w:rPr>
            </w:pPr>
          </w:p>
        </w:tc>
        <w:tc>
          <w:tcPr>
            <w:tcW w:w="1267" w:type="dxa"/>
            <w:noWrap/>
            <w:vAlign w:val="center"/>
          </w:tcPr>
          <w:p w:rsidR="00E3279A" w:rsidRPr="00F66481" w:rsidRDefault="00E3279A" w:rsidP="00E3279A">
            <w:pPr>
              <w:jc w:val="right"/>
              <w:rPr>
                <w:b/>
                <w:bCs/>
                <w:iCs/>
              </w:rPr>
            </w:pPr>
          </w:p>
        </w:tc>
        <w:tc>
          <w:tcPr>
            <w:tcW w:w="1267" w:type="dxa"/>
            <w:noWrap/>
            <w:vAlign w:val="center"/>
          </w:tcPr>
          <w:p w:rsidR="00E3279A" w:rsidRPr="00F66481" w:rsidRDefault="00E3279A" w:rsidP="00E3279A">
            <w:pPr>
              <w:jc w:val="right"/>
              <w:rPr>
                <w:b/>
                <w:bCs/>
                <w:iCs/>
              </w:rPr>
            </w:pP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vplyv na ŠR</w:t>
            </w:r>
          </w:p>
        </w:tc>
        <w:tc>
          <w:tcPr>
            <w:tcW w:w="1267" w:type="dxa"/>
            <w:noWrap/>
            <w:vAlign w:val="center"/>
          </w:tcPr>
          <w:p w:rsidR="00E3279A" w:rsidRPr="00F66481" w:rsidRDefault="00E3279A" w:rsidP="00E3279A">
            <w:pPr>
              <w:jc w:val="right"/>
              <w:rPr>
                <w:b/>
                <w:bCs/>
                <w:i/>
              </w:rPr>
            </w:pPr>
            <w:r w:rsidRPr="00F66481">
              <w:rPr>
                <w:b/>
                <w:bCs/>
              </w:rPr>
              <w:t>0</w:t>
            </w:r>
          </w:p>
        </w:tc>
        <w:tc>
          <w:tcPr>
            <w:tcW w:w="1267" w:type="dxa"/>
            <w:noWrap/>
            <w:vAlign w:val="center"/>
          </w:tcPr>
          <w:p w:rsidR="00E3279A" w:rsidRPr="00F66481" w:rsidRDefault="00E3279A" w:rsidP="00E3279A">
            <w:pPr>
              <w:jc w:val="right"/>
              <w:rPr>
                <w:b/>
                <w:bCs/>
                <w:i/>
              </w:rPr>
            </w:pPr>
            <w:r w:rsidRPr="00F66481">
              <w:rPr>
                <w:b/>
                <w:bCs/>
              </w:rPr>
              <w:t>0</w:t>
            </w:r>
          </w:p>
        </w:tc>
        <w:tc>
          <w:tcPr>
            <w:tcW w:w="1267" w:type="dxa"/>
            <w:noWrap/>
            <w:vAlign w:val="center"/>
          </w:tcPr>
          <w:p w:rsidR="00E3279A" w:rsidRPr="00F66481" w:rsidRDefault="00E3279A" w:rsidP="00E3279A">
            <w:pPr>
              <w:jc w:val="right"/>
              <w:rPr>
                <w:b/>
                <w:bCs/>
                <w:i/>
              </w:rPr>
            </w:pPr>
            <w:r w:rsidRPr="00F66481">
              <w:rPr>
                <w:b/>
                <w:bCs/>
              </w:rPr>
              <w:t>0</w:t>
            </w:r>
          </w:p>
        </w:tc>
        <w:tc>
          <w:tcPr>
            <w:tcW w:w="1267" w:type="dxa"/>
            <w:noWrap/>
            <w:vAlign w:val="center"/>
          </w:tcPr>
          <w:p w:rsidR="00E3279A" w:rsidRPr="00F66481" w:rsidRDefault="00E3279A" w:rsidP="00E3279A">
            <w:pPr>
              <w:jc w:val="right"/>
              <w:rPr>
                <w:b/>
                <w:bCs/>
                <w:i/>
              </w:rPr>
            </w:pPr>
            <w:r w:rsidRPr="00F66481">
              <w:rPr>
                <w:b/>
                <w:bCs/>
              </w:rPr>
              <w:t>0</w:t>
            </w:r>
          </w:p>
        </w:tc>
      </w:tr>
      <w:tr w:rsidR="00E3279A" w:rsidRPr="007D5748" w:rsidTr="00E3279A">
        <w:trPr>
          <w:trHeight w:val="70"/>
          <w:jc w:val="center"/>
        </w:trPr>
        <w:tc>
          <w:tcPr>
            <w:tcW w:w="4661" w:type="dxa"/>
            <w:noWrap/>
            <w:vAlign w:val="center"/>
          </w:tcPr>
          <w:p w:rsidR="00E3279A" w:rsidRPr="006B04A1" w:rsidRDefault="00E3279A" w:rsidP="00E3279A">
            <w:pPr>
              <w:ind w:left="259"/>
              <w:rPr>
                <w:b/>
                <w:bCs/>
                <w:i/>
                <w:iCs/>
              </w:rPr>
            </w:pPr>
            <w:r w:rsidRPr="006B04A1">
              <w:rPr>
                <w:bCs/>
                <w:i/>
                <w:iCs/>
              </w:rPr>
              <w:t>Rozpočtové prostriedky</w:t>
            </w:r>
          </w:p>
        </w:tc>
        <w:tc>
          <w:tcPr>
            <w:tcW w:w="1267" w:type="dxa"/>
            <w:noWrap/>
            <w:vAlign w:val="center"/>
          </w:tcPr>
          <w:p w:rsidR="00E3279A" w:rsidRPr="00F66481" w:rsidRDefault="00E3279A" w:rsidP="00E3279A">
            <w:pPr>
              <w:jc w:val="right"/>
              <w:rPr>
                <w:bCs/>
                <w:i/>
              </w:rPr>
            </w:pPr>
            <w:r w:rsidRPr="00F66481">
              <w:rPr>
                <w:bCs/>
                <w:i/>
              </w:rPr>
              <w:t>0</w:t>
            </w:r>
          </w:p>
        </w:tc>
        <w:tc>
          <w:tcPr>
            <w:tcW w:w="1267" w:type="dxa"/>
            <w:noWrap/>
            <w:vAlign w:val="center"/>
          </w:tcPr>
          <w:p w:rsidR="00E3279A" w:rsidRPr="00F66481" w:rsidRDefault="00E3279A" w:rsidP="00E3279A">
            <w:pPr>
              <w:jc w:val="right"/>
              <w:rPr>
                <w:bCs/>
                <w:i/>
              </w:rPr>
            </w:pPr>
            <w:r w:rsidRPr="00F66481">
              <w:rPr>
                <w:bCs/>
                <w:i/>
              </w:rPr>
              <w:t>0</w:t>
            </w:r>
          </w:p>
        </w:tc>
        <w:tc>
          <w:tcPr>
            <w:tcW w:w="1267" w:type="dxa"/>
            <w:noWrap/>
            <w:vAlign w:val="center"/>
          </w:tcPr>
          <w:p w:rsidR="00E3279A" w:rsidRPr="00F66481" w:rsidRDefault="00E3279A" w:rsidP="00E3279A">
            <w:pPr>
              <w:jc w:val="right"/>
              <w:rPr>
                <w:bCs/>
                <w:i/>
              </w:rPr>
            </w:pPr>
            <w:r w:rsidRPr="00F66481">
              <w:rPr>
                <w:bCs/>
                <w:i/>
              </w:rPr>
              <w:t>0</w:t>
            </w:r>
          </w:p>
        </w:tc>
        <w:tc>
          <w:tcPr>
            <w:tcW w:w="1267" w:type="dxa"/>
            <w:noWrap/>
            <w:vAlign w:val="center"/>
          </w:tcPr>
          <w:p w:rsidR="00E3279A" w:rsidRPr="00F66481" w:rsidRDefault="00E3279A" w:rsidP="00E3279A">
            <w:pPr>
              <w:jc w:val="right"/>
              <w:rPr>
                <w:bCs/>
                <w:i/>
              </w:rPr>
            </w:pPr>
            <w:r w:rsidRPr="00F66481">
              <w:rPr>
                <w:bCs/>
                <w:i/>
              </w:rPr>
              <w:t>0</w:t>
            </w:r>
          </w:p>
        </w:tc>
      </w:tr>
      <w:tr w:rsidR="00E3279A" w:rsidRPr="007D5748" w:rsidTr="00E3279A">
        <w:trPr>
          <w:trHeight w:val="70"/>
          <w:jc w:val="center"/>
        </w:trPr>
        <w:tc>
          <w:tcPr>
            <w:tcW w:w="4661" w:type="dxa"/>
            <w:noWrap/>
            <w:vAlign w:val="center"/>
          </w:tcPr>
          <w:p w:rsidR="00E3279A" w:rsidRPr="006B04A1" w:rsidRDefault="00E3279A" w:rsidP="00E3279A">
            <w:pPr>
              <w:rPr>
                <w:bCs/>
                <w:i/>
                <w:iCs/>
              </w:rPr>
            </w:pPr>
            <w:r w:rsidRPr="006B04A1">
              <w:rPr>
                <w:bCs/>
                <w:i/>
                <w:iCs/>
              </w:rPr>
              <w:t xml:space="preserve">    EÚ zdroje</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pPr>
            <w:r w:rsidRPr="00F66481">
              <w:t>0</w:t>
            </w:r>
          </w:p>
        </w:tc>
        <w:tc>
          <w:tcPr>
            <w:tcW w:w="1267" w:type="dxa"/>
            <w:noWrap/>
            <w:vAlign w:val="center"/>
          </w:tcPr>
          <w:p w:rsidR="00E3279A" w:rsidRPr="00F66481" w:rsidRDefault="00E3279A" w:rsidP="00E3279A">
            <w:pPr>
              <w:jc w:val="right"/>
            </w:pPr>
            <w:r w:rsidRPr="00F66481">
              <w:t>0</w:t>
            </w:r>
          </w:p>
        </w:tc>
      </w:tr>
      <w:tr w:rsidR="00E3279A" w:rsidRPr="007D5748" w:rsidTr="00E3279A">
        <w:trPr>
          <w:trHeight w:val="70"/>
          <w:jc w:val="center"/>
        </w:trPr>
        <w:tc>
          <w:tcPr>
            <w:tcW w:w="4661" w:type="dxa"/>
            <w:noWrap/>
            <w:vAlign w:val="center"/>
          </w:tcPr>
          <w:p w:rsidR="00E3279A" w:rsidRPr="006B04A1" w:rsidRDefault="00E3279A" w:rsidP="00E3279A">
            <w:pPr>
              <w:rPr>
                <w:bCs/>
                <w:i/>
                <w:iCs/>
              </w:rPr>
            </w:pPr>
            <w:r w:rsidRPr="006B04A1">
              <w:rPr>
                <w:bCs/>
                <w:i/>
                <w:iCs/>
              </w:rPr>
              <w:t xml:space="preserve">    spolufinancovanie</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pPr>
            <w:r w:rsidRPr="00F66481">
              <w:t>0</w:t>
            </w:r>
          </w:p>
        </w:tc>
        <w:tc>
          <w:tcPr>
            <w:tcW w:w="1267" w:type="dxa"/>
            <w:noWrap/>
            <w:vAlign w:val="center"/>
          </w:tcPr>
          <w:p w:rsidR="00E3279A" w:rsidRPr="00F66481" w:rsidRDefault="00E3279A" w:rsidP="00E3279A">
            <w:pPr>
              <w:jc w:val="right"/>
            </w:pPr>
            <w:r w:rsidRPr="00F66481">
              <w:t>0</w:t>
            </w:r>
          </w:p>
        </w:tc>
      </w:tr>
      <w:tr w:rsidR="00E3279A" w:rsidRPr="007D5748" w:rsidTr="00E3279A">
        <w:trPr>
          <w:trHeight w:val="125"/>
          <w:jc w:val="center"/>
        </w:trPr>
        <w:tc>
          <w:tcPr>
            <w:tcW w:w="4661" w:type="dxa"/>
            <w:noWrap/>
            <w:vAlign w:val="center"/>
          </w:tcPr>
          <w:p w:rsidR="00E3279A" w:rsidRPr="006B04A1" w:rsidRDefault="00E3279A" w:rsidP="00E3279A">
            <w:pPr>
              <w:rPr>
                <w:b/>
                <w:bCs/>
                <w:i/>
                <w:iCs/>
              </w:rPr>
            </w:pPr>
            <w:r w:rsidRPr="006B04A1">
              <w:rPr>
                <w:b/>
                <w:bCs/>
                <w:i/>
                <w:iCs/>
              </w:rPr>
              <w:t>- vplyv na obce</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Cs/>
              </w:rPr>
            </w:pPr>
            <w:r w:rsidRPr="00F66481">
              <w:rPr>
                <w:b/>
                <w:bCs/>
                <w:iCs/>
              </w:rPr>
              <w:t>0</w:t>
            </w:r>
          </w:p>
        </w:tc>
        <w:tc>
          <w:tcPr>
            <w:tcW w:w="1267" w:type="dxa"/>
            <w:noWrap/>
            <w:vAlign w:val="center"/>
          </w:tcPr>
          <w:p w:rsidR="00E3279A" w:rsidRPr="00F66481" w:rsidRDefault="00E3279A" w:rsidP="00E3279A">
            <w:pPr>
              <w:jc w:val="right"/>
              <w:rPr>
                <w:b/>
                <w:bCs/>
                <w:iCs/>
              </w:rPr>
            </w:pPr>
            <w:r w:rsidRPr="00F66481">
              <w:rPr>
                <w:b/>
                <w:bCs/>
                <w:iCs/>
              </w:rPr>
              <w:t>0</w:t>
            </w:r>
          </w:p>
        </w:tc>
      </w:tr>
      <w:tr w:rsidR="00E3279A" w:rsidRPr="007D5748" w:rsidTr="00E3279A">
        <w:trPr>
          <w:trHeight w:val="125"/>
          <w:jc w:val="center"/>
        </w:trPr>
        <w:tc>
          <w:tcPr>
            <w:tcW w:w="4661" w:type="dxa"/>
            <w:noWrap/>
            <w:vAlign w:val="center"/>
          </w:tcPr>
          <w:p w:rsidR="00E3279A" w:rsidRPr="006B04A1" w:rsidRDefault="00E3279A" w:rsidP="00E3279A">
            <w:pPr>
              <w:rPr>
                <w:b/>
                <w:bCs/>
                <w:i/>
                <w:iCs/>
              </w:rPr>
            </w:pPr>
            <w:r w:rsidRPr="006B04A1">
              <w:rPr>
                <w:b/>
                <w:bCs/>
                <w:i/>
                <w:iCs/>
              </w:rPr>
              <w:t>- vplyv na vyššie územné celky</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Cs/>
              </w:rPr>
            </w:pPr>
            <w:r w:rsidRPr="00F66481">
              <w:rPr>
                <w:b/>
                <w:bCs/>
                <w:iCs/>
              </w:rPr>
              <w:t>0</w:t>
            </w:r>
          </w:p>
        </w:tc>
        <w:tc>
          <w:tcPr>
            <w:tcW w:w="1267" w:type="dxa"/>
            <w:noWrap/>
            <w:vAlign w:val="center"/>
          </w:tcPr>
          <w:p w:rsidR="00E3279A" w:rsidRPr="00F66481" w:rsidRDefault="00E3279A" w:rsidP="00E3279A">
            <w:pPr>
              <w:jc w:val="right"/>
              <w:rPr>
                <w:b/>
                <w:bCs/>
                <w:iCs/>
              </w:rPr>
            </w:pPr>
            <w:r w:rsidRPr="00F66481">
              <w:rPr>
                <w:b/>
                <w:bCs/>
                <w:iCs/>
              </w:rPr>
              <w:t>0</w:t>
            </w:r>
          </w:p>
        </w:tc>
      </w:tr>
      <w:tr w:rsidR="00E3279A" w:rsidRPr="007D5748" w:rsidTr="00E3279A">
        <w:trPr>
          <w:trHeight w:val="70"/>
          <w:jc w:val="center"/>
        </w:trPr>
        <w:tc>
          <w:tcPr>
            <w:tcW w:w="4661" w:type="dxa"/>
            <w:noWrap/>
            <w:vAlign w:val="center"/>
          </w:tcPr>
          <w:p w:rsidR="00E3279A" w:rsidRPr="006B04A1" w:rsidRDefault="00E3279A" w:rsidP="00E3279A">
            <w:pPr>
              <w:rPr>
                <w:b/>
                <w:bCs/>
              </w:rPr>
            </w:pPr>
            <w:r w:rsidRPr="006B04A1">
              <w:rPr>
                <w:b/>
                <w:bCs/>
                <w:i/>
                <w:iCs/>
              </w:rPr>
              <w:t>- vplyv na ostatné subjekty verejnej správy</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Cs/>
              </w:rPr>
            </w:pPr>
            <w:r w:rsidRPr="00F66481">
              <w:rPr>
                <w:b/>
                <w:bCs/>
                <w:iCs/>
              </w:rPr>
              <w:t>0</w:t>
            </w:r>
          </w:p>
        </w:tc>
        <w:tc>
          <w:tcPr>
            <w:tcW w:w="1267" w:type="dxa"/>
            <w:noWrap/>
            <w:vAlign w:val="center"/>
          </w:tcPr>
          <w:p w:rsidR="00E3279A" w:rsidRPr="00F66481" w:rsidRDefault="00E3279A" w:rsidP="00E3279A">
            <w:pPr>
              <w:jc w:val="right"/>
              <w:rPr>
                <w:b/>
                <w:bCs/>
                <w:iCs/>
              </w:rPr>
            </w:pPr>
            <w:r w:rsidRPr="00F66481">
              <w:rPr>
                <w:b/>
                <w:bCs/>
                <w:iCs/>
              </w:rPr>
              <w:t>0</w:t>
            </w:r>
          </w:p>
        </w:tc>
      </w:tr>
      <w:tr w:rsidR="00E3279A" w:rsidRPr="007D5748" w:rsidTr="00E3279A">
        <w:trPr>
          <w:trHeight w:val="70"/>
          <w:jc w:val="center"/>
        </w:trPr>
        <w:tc>
          <w:tcPr>
            <w:tcW w:w="4661" w:type="dxa"/>
            <w:shd w:val="clear" w:color="auto" w:fill="BFBFBF" w:themeFill="background1" w:themeFillShade="BF"/>
            <w:noWrap/>
            <w:vAlign w:val="center"/>
          </w:tcPr>
          <w:p w:rsidR="00E3279A" w:rsidRPr="006B04A1" w:rsidRDefault="00E3279A" w:rsidP="00E3279A">
            <w:pPr>
              <w:rPr>
                <w:b/>
                <w:bCs/>
              </w:rPr>
            </w:pPr>
            <w:r w:rsidRPr="006B04A1">
              <w:rPr>
                <w:b/>
                <w:bCs/>
              </w:rPr>
              <w:t xml:space="preserve">Vplyv na počet zamestnancov </w:t>
            </w:r>
          </w:p>
        </w:tc>
        <w:tc>
          <w:tcPr>
            <w:tcW w:w="1267" w:type="dxa"/>
            <w:shd w:val="clear" w:color="auto" w:fill="BFBFBF" w:themeFill="background1" w:themeFillShade="BF"/>
            <w:noWrap/>
            <w:vAlign w:val="center"/>
          </w:tcPr>
          <w:p w:rsidR="00E3279A" w:rsidRPr="00F66481" w:rsidRDefault="00E3279A" w:rsidP="00E3279A">
            <w:pPr>
              <w:jc w:val="right"/>
              <w:rPr>
                <w:b/>
                <w:bCs/>
              </w:rPr>
            </w:pPr>
            <w:r w:rsidRPr="00F66481">
              <w:rPr>
                <w:b/>
                <w:bCs/>
              </w:rPr>
              <w:t>0</w:t>
            </w:r>
          </w:p>
        </w:tc>
        <w:tc>
          <w:tcPr>
            <w:tcW w:w="1267" w:type="dxa"/>
            <w:shd w:val="clear" w:color="auto" w:fill="BFBFBF" w:themeFill="background1" w:themeFillShade="BF"/>
            <w:noWrap/>
            <w:vAlign w:val="center"/>
          </w:tcPr>
          <w:p w:rsidR="00E3279A" w:rsidRPr="00F66481" w:rsidRDefault="00E3279A" w:rsidP="00E3279A">
            <w:pPr>
              <w:jc w:val="right"/>
              <w:rPr>
                <w:b/>
                <w:bCs/>
              </w:rPr>
            </w:pPr>
            <w:r w:rsidRPr="00F66481">
              <w:rPr>
                <w:b/>
                <w:bCs/>
              </w:rPr>
              <w:t>0</w:t>
            </w:r>
          </w:p>
        </w:tc>
        <w:tc>
          <w:tcPr>
            <w:tcW w:w="1267" w:type="dxa"/>
            <w:shd w:val="clear" w:color="auto" w:fill="BFBFBF" w:themeFill="background1" w:themeFillShade="BF"/>
            <w:noWrap/>
            <w:vAlign w:val="center"/>
          </w:tcPr>
          <w:p w:rsidR="00E3279A" w:rsidRPr="00F66481" w:rsidRDefault="00E3279A" w:rsidP="00E3279A">
            <w:pPr>
              <w:jc w:val="right"/>
              <w:rPr>
                <w:b/>
                <w:bCs/>
              </w:rPr>
            </w:pPr>
            <w:r w:rsidRPr="00F66481">
              <w:rPr>
                <w:b/>
                <w:bCs/>
              </w:rPr>
              <w:t>0</w:t>
            </w:r>
          </w:p>
        </w:tc>
        <w:tc>
          <w:tcPr>
            <w:tcW w:w="1267" w:type="dxa"/>
            <w:shd w:val="clear" w:color="auto" w:fill="BFBFBF" w:themeFill="background1" w:themeFillShade="BF"/>
            <w:noWrap/>
            <w:vAlign w:val="center"/>
          </w:tcPr>
          <w:p w:rsidR="00E3279A" w:rsidRPr="00F66481" w:rsidRDefault="00E3279A" w:rsidP="00E3279A">
            <w:pPr>
              <w:jc w:val="right"/>
              <w:rPr>
                <w:b/>
                <w:bCs/>
              </w:rPr>
            </w:pPr>
            <w:r w:rsidRPr="00F66481">
              <w:rPr>
                <w:b/>
                <w:bCs/>
              </w:rPr>
              <w:t>0</w:t>
            </w: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vplyv na ŠR</w:t>
            </w:r>
          </w:p>
        </w:tc>
        <w:tc>
          <w:tcPr>
            <w:tcW w:w="1267" w:type="dxa"/>
            <w:noWrap/>
            <w:vAlign w:val="center"/>
          </w:tcPr>
          <w:p w:rsidR="00E3279A" w:rsidRPr="00F66481" w:rsidRDefault="00E3279A" w:rsidP="00E3279A">
            <w:pPr>
              <w:jc w:val="right"/>
              <w:rPr>
                <w:b/>
                <w:bCs/>
                <w:i/>
                <w:iCs/>
              </w:rPr>
            </w:pPr>
            <w:r w:rsidRPr="00F66481">
              <w:rPr>
                <w:b/>
                <w:bCs/>
              </w:rPr>
              <w:t>0</w:t>
            </w:r>
          </w:p>
        </w:tc>
        <w:tc>
          <w:tcPr>
            <w:tcW w:w="1267" w:type="dxa"/>
            <w:noWrap/>
            <w:vAlign w:val="center"/>
          </w:tcPr>
          <w:p w:rsidR="00E3279A" w:rsidRPr="00F66481" w:rsidRDefault="00E3279A" w:rsidP="00E3279A">
            <w:pPr>
              <w:jc w:val="right"/>
              <w:rPr>
                <w:b/>
                <w:bCs/>
                <w:i/>
                <w:iCs/>
              </w:rPr>
            </w:pPr>
            <w:r w:rsidRPr="00F66481">
              <w:rPr>
                <w:b/>
                <w:bCs/>
              </w:rPr>
              <w:t>0</w:t>
            </w:r>
          </w:p>
        </w:tc>
        <w:tc>
          <w:tcPr>
            <w:tcW w:w="1267" w:type="dxa"/>
            <w:noWrap/>
            <w:vAlign w:val="center"/>
          </w:tcPr>
          <w:p w:rsidR="00E3279A" w:rsidRPr="00F66481" w:rsidRDefault="00E3279A" w:rsidP="00E3279A">
            <w:pPr>
              <w:jc w:val="right"/>
              <w:rPr>
                <w:b/>
                <w:bCs/>
                <w:i/>
                <w:iCs/>
              </w:rPr>
            </w:pPr>
            <w:r w:rsidRPr="00F66481">
              <w:rPr>
                <w:b/>
                <w:bCs/>
              </w:rPr>
              <w:t>0</w:t>
            </w:r>
          </w:p>
        </w:tc>
        <w:tc>
          <w:tcPr>
            <w:tcW w:w="1267" w:type="dxa"/>
            <w:noWrap/>
            <w:vAlign w:val="center"/>
          </w:tcPr>
          <w:p w:rsidR="00E3279A" w:rsidRPr="00F66481" w:rsidRDefault="00E3279A" w:rsidP="00E3279A">
            <w:pPr>
              <w:jc w:val="right"/>
              <w:rPr>
                <w:b/>
                <w:bCs/>
                <w:i/>
                <w:iCs/>
              </w:rPr>
            </w:pPr>
            <w:r w:rsidRPr="00F66481">
              <w:rPr>
                <w:b/>
                <w:bCs/>
              </w:rPr>
              <w:t>0</w:t>
            </w: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vplyv na obce</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vplyv na vyššie územné celky</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vplyv na ostatné subjekty verejnej správy</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r>
      <w:tr w:rsidR="00E3279A" w:rsidRPr="007D5748" w:rsidTr="00E3279A">
        <w:trPr>
          <w:trHeight w:val="70"/>
          <w:jc w:val="center"/>
        </w:trPr>
        <w:tc>
          <w:tcPr>
            <w:tcW w:w="4661" w:type="dxa"/>
            <w:shd w:val="clear" w:color="auto" w:fill="BFBFBF" w:themeFill="background1" w:themeFillShade="BF"/>
            <w:noWrap/>
            <w:vAlign w:val="center"/>
          </w:tcPr>
          <w:p w:rsidR="00E3279A" w:rsidRPr="006B04A1" w:rsidRDefault="00E3279A" w:rsidP="00E3279A">
            <w:pPr>
              <w:rPr>
                <w:b/>
              </w:rPr>
            </w:pPr>
            <w:r w:rsidRPr="006B04A1">
              <w:rPr>
                <w:b/>
              </w:rPr>
              <w:t>Vplyv na mzdové výdavky</w:t>
            </w:r>
          </w:p>
        </w:tc>
        <w:tc>
          <w:tcPr>
            <w:tcW w:w="1267" w:type="dxa"/>
            <w:shd w:val="clear" w:color="auto" w:fill="BFBFBF" w:themeFill="background1" w:themeFillShade="BF"/>
            <w:noWrap/>
            <w:vAlign w:val="center"/>
          </w:tcPr>
          <w:p w:rsidR="00E3279A" w:rsidRPr="00F66481" w:rsidRDefault="00E3279A" w:rsidP="00E3279A">
            <w:pPr>
              <w:jc w:val="right"/>
              <w:rPr>
                <w:b/>
              </w:rPr>
            </w:pPr>
            <w:r w:rsidRPr="00F66481">
              <w:rPr>
                <w:b/>
                <w:bCs/>
              </w:rPr>
              <w:t>0</w:t>
            </w:r>
          </w:p>
        </w:tc>
        <w:tc>
          <w:tcPr>
            <w:tcW w:w="1267" w:type="dxa"/>
            <w:shd w:val="clear" w:color="auto" w:fill="BFBFBF" w:themeFill="background1" w:themeFillShade="BF"/>
            <w:noWrap/>
            <w:vAlign w:val="center"/>
          </w:tcPr>
          <w:p w:rsidR="00E3279A" w:rsidRPr="00F66481" w:rsidRDefault="00E3279A" w:rsidP="00E3279A">
            <w:pPr>
              <w:jc w:val="right"/>
              <w:rPr>
                <w:b/>
              </w:rPr>
            </w:pPr>
            <w:r w:rsidRPr="00F66481">
              <w:rPr>
                <w:b/>
                <w:bCs/>
              </w:rPr>
              <w:t>0</w:t>
            </w:r>
          </w:p>
        </w:tc>
        <w:tc>
          <w:tcPr>
            <w:tcW w:w="1267" w:type="dxa"/>
            <w:shd w:val="clear" w:color="auto" w:fill="BFBFBF" w:themeFill="background1" w:themeFillShade="BF"/>
            <w:noWrap/>
            <w:vAlign w:val="center"/>
          </w:tcPr>
          <w:p w:rsidR="00E3279A" w:rsidRPr="00F66481" w:rsidRDefault="00E3279A" w:rsidP="00E3279A">
            <w:pPr>
              <w:jc w:val="right"/>
              <w:rPr>
                <w:b/>
              </w:rPr>
            </w:pPr>
            <w:r w:rsidRPr="00F66481">
              <w:rPr>
                <w:b/>
                <w:bCs/>
              </w:rPr>
              <w:t>0</w:t>
            </w:r>
          </w:p>
        </w:tc>
        <w:tc>
          <w:tcPr>
            <w:tcW w:w="1267" w:type="dxa"/>
            <w:shd w:val="clear" w:color="auto" w:fill="BFBFBF" w:themeFill="background1" w:themeFillShade="BF"/>
            <w:noWrap/>
            <w:vAlign w:val="center"/>
          </w:tcPr>
          <w:p w:rsidR="00E3279A" w:rsidRPr="00F66481" w:rsidRDefault="00E3279A" w:rsidP="00E3279A">
            <w:pPr>
              <w:jc w:val="right"/>
              <w:rPr>
                <w:b/>
              </w:rPr>
            </w:pPr>
            <w:r w:rsidRPr="00F66481">
              <w:rPr>
                <w:b/>
                <w:bCs/>
              </w:rPr>
              <w:t>0</w:t>
            </w: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vplyv na ŠR</w:t>
            </w:r>
          </w:p>
        </w:tc>
        <w:tc>
          <w:tcPr>
            <w:tcW w:w="1267" w:type="dxa"/>
            <w:noWrap/>
            <w:vAlign w:val="center"/>
          </w:tcPr>
          <w:p w:rsidR="00E3279A" w:rsidRPr="00F66481" w:rsidRDefault="00E3279A" w:rsidP="00E3279A">
            <w:pPr>
              <w:jc w:val="right"/>
              <w:rPr>
                <w:b/>
                <w:bCs/>
                <w:i/>
                <w:iCs/>
              </w:rPr>
            </w:pPr>
            <w:r w:rsidRPr="00F66481">
              <w:rPr>
                <w:b/>
                <w:bCs/>
              </w:rPr>
              <w:t>0</w:t>
            </w:r>
          </w:p>
        </w:tc>
        <w:tc>
          <w:tcPr>
            <w:tcW w:w="1267" w:type="dxa"/>
            <w:noWrap/>
            <w:vAlign w:val="center"/>
          </w:tcPr>
          <w:p w:rsidR="00E3279A" w:rsidRPr="00F66481" w:rsidRDefault="00E3279A" w:rsidP="00E3279A">
            <w:pPr>
              <w:jc w:val="right"/>
              <w:rPr>
                <w:b/>
                <w:bCs/>
                <w:i/>
                <w:iCs/>
              </w:rPr>
            </w:pPr>
            <w:r w:rsidRPr="00F66481">
              <w:rPr>
                <w:b/>
                <w:bCs/>
              </w:rPr>
              <w:t>0</w:t>
            </w:r>
          </w:p>
        </w:tc>
        <w:tc>
          <w:tcPr>
            <w:tcW w:w="1267" w:type="dxa"/>
            <w:noWrap/>
            <w:vAlign w:val="center"/>
          </w:tcPr>
          <w:p w:rsidR="00E3279A" w:rsidRPr="00F66481" w:rsidRDefault="00E3279A" w:rsidP="00E3279A">
            <w:pPr>
              <w:jc w:val="right"/>
              <w:rPr>
                <w:b/>
                <w:bCs/>
                <w:i/>
                <w:iCs/>
              </w:rPr>
            </w:pPr>
            <w:r w:rsidRPr="00F66481">
              <w:rPr>
                <w:b/>
                <w:bCs/>
              </w:rPr>
              <w:t>0</w:t>
            </w:r>
          </w:p>
        </w:tc>
        <w:tc>
          <w:tcPr>
            <w:tcW w:w="1267" w:type="dxa"/>
            <w:noWrap/>
            <w:vAlign w:val="center"/>
          </w:tcPr>
          <w:p w:rsidR="00E3279A" w:rsidRPr="00F66481" w:rsidRDefault="00E3279A" w:rsidP="00E3279A">
            <w:pPr>
              <w:jc w:val="right"/>
              <w:rPr>
                <w:b/>
                <w:bCs/>
                <w:i/>
                <w:iCs/>
              </w:rPr>
            </w:pPr>
            <w:r w:rsidRPr="00F66481">
              <w:rPr>
                <w:b/>
                <w:bCs/>
              </w:rPr>
              <w:t>0</w:t>
            </w: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vplyv na obce</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r>
      <w:tr w:rsidR="00E3279A" w:rsidRPr="007D5748" w:rsidTr="00E3279A">
        <w:trPr>
          <w:trHeight w:val="70"/>
          <w:jc w:val="center"/>
        </w:trPr>
        <w:tc>
          <w:tcPr>
            <w:tcW w:w="4661" w:type="dxa"/>
            <w:noWrap/>
            <w:vAlign w:val="center"/>
          </w:tcPr>
          <w:p w:rsidR="00E3279A" w:rsidRPr="006B04A1" w:rsidRDefault="00E3279A" w:rsidP="00E3279A">
            <w:pPr>
              <w:rPr>
                <w:b/>
                <w:bCs/>
                <w:i/>
                <w:iCs/>
              </w:rPr>
            </w:pPr>
            <w:r w:rsidRPr="006B04A1">
              <w:rPr>
                <w:b/>
                <w:bCs/>
                <w:i/>
                <w:iCs/>
              </w:rPr>
              <w:t>- vplyv na vyššie územné celky</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r>
      <w:tr w:rsidR="00E3279A" w:rsidRPr="007D5748" w:rsidTr="00E3279A">
        <w:trPr>
          <w:trHeight w:val="70"/>
          <w:jc w:val="center"/>
        </w:trPr>
        <w:tc>
          <w:tcPr>
            <w:tcW w:w="4661" w:type="dxa"/>
            <w:noWrap/>
            <w:vAlign w:val="center"/>
          </w:tcPr>
          <w:p w:rsidR="00E3279A" w:rsidRPr="006B04A1" w:rsidRDefault="00E3279A" w:rsidP="00E3279A">
            <w:pPr>
              <w:rPr>
                <w:b/>
                <w:bCs/>
              </w:rPr>
            </w:pPr>
            <w:r w:rsidRPr="006B04A1">
              <w:rPr>
                <w:b/>
                <w:bCs/>
                <w:i/>
                <w:iCs/>
              </w:rPr>
              <w:t>- vplyv na ostatné subjekty verejnej správy</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c>
          <w:tcPr>
            <w:tcW w:w="1267" w:type="dxa"/>
            <w:noWrap/>
            <w:vAlign w:val="center"/>
          </w:tcPr>
          <w:p w:rsidR="00E3279A" w:rsidRPr="00F66481" w:rsidRDefault="00E3279A" w:rsidP="00E3279A">
            <w:pPr>
              <w:jc w:val="right"/>
              <w:rPr>
                <w:b/>
                <w:bCs/>
                <w:i/>
                <w:iCs/>
              </w:rPr>
            </w:pPr>
            <w:r w:rsidRPr="00F66481">
              <w:rPr>
                <w:b/>
                <w:bCs/>
                <w:i/>
                <w:iCs/>
              </w:rPr>
              <w:t>0</w:t>
            </w:r>
          </w:p>
        </w:tc>
      </w:tr>
      <w:tr w:rsidR="00E3279A" w:rsidRPr="007D5748" w:rsidTr="00E3279A">
        <w:trPr>
          <w:trHeight w:val="70"/>
          <w:jc w:val="center"/>
        </w:trPr>
        <w:tc>
          <w:tcPr>
            <w:tcW w:w="4661" w:type="dxa"/>
            <w:shd w:val="clear" w:color="auto" w:fill="C0C0C0"/>
            <w:noWrap/>
            <w:vAlign w:val="center"/>
          </w:tcPr>
          <w:p w:rsidR="00E3279A" w:rsidRPr="006B04A1" w:rsidRDefault="00E3279A" w:rsidP="00E3279A">
            <w:pPr>
              <w:rPr>
                <w:b/>
                <w:bCs/>
              </w:rPr>
            </w:pPr>
            <w:r w:rsidRPr="006B04A1">
              <w:rPr>
                <w:b/>
                <w:bCs/>
              </w:rPr>
              <w:t>Financovanie zabezpečené v rozpočte</w:t>
            </w:r>
          </w:p>
        </w:tc>
        <w:tc>
          <w:tcPr>
            <w:tcW w:w="1267" w:type="dxa"/>
            <w:shd w:val="clear" w:color="auto" w:fill="C0C0C0"/>
            <w:noWrap/>
            <w:vAlign w:val="center"/>
          </w:tcPr>
          <w:p w:rsidR="00E3279A" w:rsidRPr="00F66481" w:rsidRDefault="00E3279A" w:rsidP="00E3279A">
            <w:pPr>
              <w:jc w:val="right"/>
              <w:rPr>
                <w:b/>
                <w:bCs/>
              </w:rPr>
            </w:pPr>
            <w:r>
              <w:rPr>
                <w:b/>
                <w:bCs/>
                <w:iCs/>
              </w:rPr>
              <w:t>n/a</w:t>
            </w:r>
          </w:p>
        </w:tc>
        <w:tc>
          <w:tcPr>
            <w:tcW w:w="1267" w:type="dxa"/>
            <w:shd w:val="clear" w:color="auto" w:fill="C0C0C0"/>
            <w:noWrap/>
            <w:vAlign w:val="center"/>
          </w:tcPr>
          <w:p w:rsidR="00E3279A" w:rsidRPr="00F66481" w:rsidRDefault="00E3279A" w:rsidP="00E3279A">
            <w:pPr>
              <w:jc w:val="right"/>
              <w:rPr>
                <w:b/>
                <w:bCs/>
              </w:rPr>
            </w:pPr>
            <w:r>
              <w:rPr>
                <w:b/>
                <w:bCs/>
                <w:iCs/>
              </w:rPr>
              <w:t>n/a</w:t>
            </w:r>
          </w:p>
        </w:tc>
        <w:tc>
          <w:tcPr>
            <w:tcW w:w="1267" w:type="dxa"/>
            <w:shd w:val="clear" w:color="auto" w:fill="C0C0C0"/>
            <w:noWrap/>
            <w:vAlign w:val="center"/>
          </w:tcPr>
          <w:p w:rsidR="00E3279A" w:rsidRPr="00F66481" w:rsidRDefault="00E3279A" w:rsidP="00E3279A">
            <w:pPr>
              <w:jc w:val="right"/>
              <w:rPr>
                <w:b/>
                <w:bCs/>
              </w:rPr>
            </w:pPr>
            <w:r>
              <w:rPr>
                <w:b/>
                <w:bCs/>
                <w:iCs/>
              </w:rPr>
              <w:t>n/a</w:t>
            </w:r>
          </w:p>
        </w:tc>
        <w:tc>
          <w:tcPr>
            <w:tcW w:w="1267" w:type="dxa"/>
            <w:shd w:val="clear" w:color="auto" w:fill="C0C0C0"/>
            <w:noWrap/>
            <w:vAlign w:val="center"/>
          </w:tcPr>
          <w:p w:rsidR="00E3279A" w:rsidRPr="00F66481" w:rsidRDefault="00E3279A" w:rsidP="00E3279A">
            <w:pPr>
              <w:jc w:val="right"/>
              <w:rPr>
                <w:b/>
                <w:bCs/>
              </w:rPr>
            </w:pPr>
            <w:r>
              <w:rPr>
                <w:b/>
                <w:bCs/>
                <w:iCs/>
              </w:rPr>
              <w:t>n/a</w:t>
            </w:r>
          </w:p>
        </w:tc>
      </w:tr>
      <w:tr w:rsidR="00E3279A" w:rsidRPr="007D5748" w:rsidTr="00E3279A">
        <w:trPr>
          <w:trHeight w:val="70"/>
          <w:jc w:val="center"/>
        </w:trPr>
        <w:tc>
          <w:tcPr>
            <w:tcW w:w="4661" w:type="dxa"/>
            <w:noWrap/>
            <w:vAlign w:val="center"/>
          </w:tcPr>
          <w:p w:rsidR="00E3279A" w:rsidRPr="006B04A1" w:rsidRDefault="00E3279A" w:rsidP="00E3279A">
            <w:r w:rsidRPr="006B04A1">
              <w:t xml:space="preserve">v tom: </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rPr>
                <w:i/>
              </w:rPr>
            </w:pPr>
            <w:r w:rsidRPr="00F66481">
              <w:rPr>
                <w:i/>
              </w:rPr>
              <w:t>0</w:t>
            </w:r>
          </w:p>
        </w:tc>
        <w:tc>
          <w:tcPr>
            <w:tcW w:w="1267" w:type="dxa"/>
            <w:noWrap/>
            <w:vAlign w:val="center"/>
          </w:tcPr>
          <w:p w:rsidR="00E3279A" w:rsidRPr="00F66481" w:rsidRDefault="00E3279A" w:rsidP="00E3279A">
            <w:pPr>
              <w:jc w:val="right"/>
              <w:rPr>
                <w:i/>
              </w:rPr>
            </w:pPr>
            <w:r w:rsidRPr="00F66481">
              <w:rPr>
                <w:i/>
              </w:rPr>
              <w:t>0</w:t>
            </w:r>
          </w:p>
        </w:tc>
      </w:tr>
      <w:tr w:rsidR="00E3279A" w:rsidRPr="007D5748" w:rsidTr="00E3279A">
        <w:trPr>
          <w:trHeight w:val="70"/>
          <w:jc w:val="center"/>
        </w:trPr>
        <w:tc>
          <w:tcPr>
            <w:tcW w:w="4661" w:type="dxa"/>
            <w:shd w:val="clear" w:color="auto" w:fill="BFBFBF" w:themeFill="background1" w:themeFillShade="BF"/>
            <w:noWrap/>
            <w:vAlign w:val="center"/>
          </w:tcPr>
          <w:p w:rsidR="00E3279A" w:rsidRPr="006B04A1" w:rsidRDefault="00E3279A" w:rsidP="00E3279A">
            <w:pPr>
              <w:rPr>
                <w:b/>
              </w:rPr>
            </w:pPr>
            <w:r w:rsidRPr="006B04A1">
              <w:rPr>
                <w:b/>
              </w:rPr>
              <w:t>Iné ako rozpočtové zdroje</w:t>
            </w:r>
          </w:p>
        </w:tc>
        <w:tc>
          <w:tcPr>
            <w:tcW w:w="1267" w:type="dxa"/>
            <w:shd w:val="clear" w:color="auto" w:fill="BFBFBF" w:themeFill="background1" w:themeFillShade="BF"/>
            <w:noWrap/>
            <w:vAlign w:val="center"/>
          </w:tcPr>
          <w:p w:rsidR="00E3279A" w:rsidRPr="006B04A1" w:rsidRDefault="00E3279A" w:rsidP="00E3279A">
            <w:pPr>
              <w:jc w:val="right"/>
              <w:rPr>
                <w:b/>
                <w:bCs/>
              </w:rPr>
            </w:pPr>
            <w:r w:rsidRPr="006B04A1">
              <w:rPr>
                <w:b/>
                <w:bCs/>
              </w:rPr>
              <w:t>0</w:t>
            </w:r>
          </w:p>
        </w:tc>
        <w:tc>
          <w:tcPr>
            <w:tcW w:w="1267" w:type="dxa"/>
            <w:shd w:val="clear" w:color="auto" w:fill="BFBFBF" w:themeFill="background1" w:themeFillShade="BF"/>
            <w:noWrap/>
            <w:vAlign w:val="center"/>
          </w:tcPr>
          <w:p w:rsidR="00E3279A" w:rsidRPr="006B04A1" w:rsidRDefault="00E3279A" w:rsidP="00E3279A">
            <w:pPr>
              <w:jc w:val="right"/>
              <w:rPr>
                <w:b/>
                <w:bCs/>
              </w:rPr>
            </w:pPr>
            <w:r w:rsidRPr="006B04A1">
              <w:rPr>
                <w:b/>
                <w:bCs/>
              </w:rPr>
              <w:t>0</w:t>
            </w:r>
          </w:p>
        </w:tc>
        <w:tc>
          <w:tcPr>
            <w:tcW w:w="1267" w:type="dxa"/>
            <w:shd w:val="clear" w:color="auto" w:fill="BFBFBF" w:themeFill="background1" w:themeFillShade="BF"/>
            <w:noWrap/>
            <w:vAlign w:val="center"/>
          </w:tcPr>
          <w:p w:rsidR="00E3279A" w:rsidRPr="006B04A1" w:rsidRDefault="00E3279A" w:rsidP="00E3279A">
            <w:pPr>
              <w:jc w:val="right"/>
              <w:rPr>
                <w:b/>
                <w:bCs/>
              </w:rPr>
            </w:pPr>
            <w:r w:rsidRPr="006B04A1">
              <w:rPr>
                <w:b/>
                <w:bCs/>
              </w:rPr>
              <w:t>0</w:t>
            </w:r>
          </w:p>
        </w:tc>
        <w:tc>
          <w:tcPr>
            <w:tcW w:w="1267" w:type="dxa"/>
            <w:shd w:val="clear" w:color="auto" w:fill="BFBFBF" w:themeFill="background1" w:themeFillShade="BF"/>
            <w:noWrap/>
            <w:vAlign w:val="center"/>
          </w:tcPr>
          <w:p w:rsidR="00E3279A" w:rsidRPr="006B04A1" w:rsidRDefault="00E3279A" w:rsidP="00E3279A">
            <w:pPr>
              <w:jc w:val="right"/>
              <w:rPr>
                <w:b/>
                <w:bCs/>
              </w:rPr>
            </w:pPr>
            <w:r w:rsidRPr="006B04A1">
              <w:rPr>
                <w:b/>
                <w:bCs/>
              </w:rPr>
              <w:t>0</w:t>
            </w:r>
          </w:p>
        </w:tc>
      </w:tr>
      <w:tr w:rsidR="00E3279A" w:rsidRPr="007D5748" w:rsidTr="00E3279A">
        <w:trPr>
          <w:trHeight w:val="70"/>
          <w:jc w:val="center"/>
        </w:trPr>
        <w:tc>
          <w:tcPr>
            <w:tcW w:w="4661" w:type="dxa"/>
            <w:shd w:val="clear" w:color="auto" w:fill="A6A6A6" w:themeFill="background1" w:themeFillShade="A6"/>
            <w:noWrap/>
            <w:vAlign w:val="center"/>
          </w:tcPr>
          <w:p w:rsidR="00E3279A" w:rsidRPr="006B04A1" w:rsidRDefault="00E3279A" w:rsidP="00E3279A">
            <w:pPr>
              <w:rPr>
                <w:b/>
                <w:bCs/>
              </w:rPr>
            </w:pPr>
            <w:r w:rsidRPr="006B04A1">
              <w:rPr>
                <w:b/>
                <w:bCs/>
              </w:rPr>
              <w:t>Rozpočtovo nekrytý vplyv / úspora</w:t>
            </w:r>
          </w:p>
        </w:tc>
        <w:tc>
          <w:tcPr>
            <w:tcW w:w="1267" w:type="dxa"/>
            <w:shd w:val="clear" w:color="auto" w:fill="A6A6A6" w:themeFill="background1" w:themeFillShade="A6"/>
            <w:noWrap/>
            <w:vAlign w:val="center"/>
          </w:tcPr>
          <w:p w:rsidR="00E3279A" w:rsidRPr="00F66481" w:rsidRDefault="00E3279A" w:rsidP="00E3279A">
            <w:pPr>
              <w:jc w:val="right"/>
              <w:rPr>
                <w:b/>
                <w:bCs/>
              </w:rPr>
            </w:pPr>
            <w:r>
              <w:rPr>
                <w:b/>
                <w:bCs/>
                <w:iCs/>
              </w:rPr>
              <w:t>n/a</w:t>
            </w:r>
          </w:p>
        </w:tc>
        <w:tc>
          <w:tcPr>
            <w:tcW w:w="1267" w:type="dxa"/>
            <w:shd w:val="clear" w:color="auto" w:fill="A6A6A6" w:themeFill="background1" w:themeFillShade="A6"/>
            <w:noWrap/>
            <w:vAlign w:val="center"/>
          </w:tcPr>
          <w:p w:rsidR="00E3279A" w:rsidRPr="00F66481" w:rsidRDefault="00E3279A" w:rsidP="00E3279A">
            <w:pPr>
              <w:jc w:val="right"/>
              <w:rPr>
                <w:b/>
                <w:bCs/>
              </w:rPr>
            </w:pPr>
            <w:r>
              <w:rPr>
                <w:b/>
                <w:bCs/>
                <w:iCs/>
              </w:rPr>
              <w:t>n/a</w:t>
            </w:r>
          </w:p>
        </w:tc>
        <w:tc>
          <w:tcPr>
            <w:tcW w:w="1267" w:type="dxa"/>
            <w:shd w:val="clear" w:color="auto" w:fill="A6A6A6" w:themeFill="background1" w:themeFillShade="A6"/>
            <w:noWrap/>
            <w:vAlign w:val="center"/>
          </w:tcPr>
          <w:p w:rsidR="00E3279A" w:rsidRPr="00F66481" w:rsidRDefault="00E3279A" w:rsidP="00E3279A">
            <w:pPr>
              <w:jc w:val="right"/>
              <w:rPr>
                <w:b/>
                <w:bCs/>
              </w:rPr>
            </w:pPr>
            <w:r>
              <w:rPr>
                <w:b/>
                <w:bCs/>
                <w:iCs/>
              </w:rPr>
              <w:t>n/a</w:t>
            </w:r>
          </w:p>
        </w:tc>
        <w:tc>
          <w:tcPr>
            <w:tcW w:w="1267" w:type="dxa"/>
            <w:shd w:val="clear" w:color="auto" w:fill="A6A6A6" w:themeFill="background1" w:themeFillShade="A6"/>
            <w:noWrap/>
            <w:vAlign w:val="center"/>
          </w:tcPr>
          <w:p w:rsidR="00E3279A" w:rsidRPr="00F66481" w:rsidRDefault="00E3279A" w:rsidP="00E3279A">
            <w:pPr>
              <w:jc w:val="right"/>
              <w:rPr>
                <w:b/>
                <w:bCs/>
              </w:rPr>
            </w:pPr>
            <w:r>
              <w:rPr>
                <w:b/>
                <w:bCs/>
                <w:iCs/>
              </w:rPr>
              <w:t>n/a</w:t>
            </w:r>
          </w:p>
        </w:tc>
      </w:tr>
      <w:bookmarkEnd w:id="0"/>
    </w:tbl>
    <w:p w:rsidR="00E3279A" w:rsidRDefault="00E3279A" w:rsidP="00E3279A">
      <w:pPr>
        <w:jc w:val="both"/>
        <w:rPr>
          <w:b/>
          <w:bCs/>
        </w:rPr>
      </w:pPr>
    </w:p>
    <w:p w:rsidR="00E3279A" w:rsidRDefault="00E3279A" w:rsidP="00E3279A">
      <w:pPr>
        <w:jc w:val="both"/>
        <w:rPr>
          <w:b/>
          <w:bCs/>
        </w:rPr>
      </w:pPr>
      <w:r w:rsidRPr="007D5748">
        <w:rPr>
          <w:b/>
          <w:bCs/>
        </w:rPr>
        <w:t>2.1.1. Financovanie návrhu - Návrh na riešenie úbytku príjmov alebo zvýšených výdavkov podľa § 33 ods. 1 zákona č. 523/2004 Z. z. o rozpočtových pravidlách verejnej správy:</w:t>
      </w:r>
    </w:p>
    <w:p w:rsidR="00E3279A" w:rsidRPr="007D5748" w:rsidRDefault="00E3279A" w:rsidP="00E3279A">
      <w:pPr>
        <w:jc w:val="both"/>
        <w:rPr>
          <w:b/>
          <w:bCs/>
        </w:rPr>
      </w:pP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
          <w:bCs/>
        </w:rPr>
      </w:pPr>
      <w:r w:rsidRPr="004D1948">
        <w:rPr>
          <w:b/>
          <w:bCs/>
        </w:rPr>
        <w:t>Prijatie navrhovan</w:t>
      </w:r>
      <w:r>
        <w:rPr>
          <w:b/>
          <w:bCs/>
        </w:rPr>
        <w:t xml:space="preserve">ej novely </w:t>
      </w:r>
      <w:r w:rsidRPr="004D1948">
        <w:rPr>
          <w:b/>
          <w:bCs/>
        </w:rPr>
        <w:t xml:space="preserve">zákona o kybernetickej bezpečnosti zakladá </w:t>
      </w: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Cs/>
        </w:rPr>
      </w:pP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Cs/>
        </w:rPr>
      </w:pPr>
      <w:r w:rsidRPr="004D1948">
        <w:rPr>
          <w:bCs/>
        </w:rPr>
        <w:t xml:space="preserve">- </w:t>
      </w:r>
      <w:r w:rsidRPr="004D1948">
        <w:rPr>
          <w:b/>
          <w:bCs/>
        </w:rPr>
        <w:t xml:space="preserve">pozitívny vplyv. </w:t>
      </w: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Cs/>
        </w:rPr>
      </w:pPr>
      <w:r w:rsidRPr="004D1948">
        <w:rPr>
          <w:bCs/>
        </w:rPr>
        <w:lastRenderedPageBreak/>
        <w:t xml:space="preserve">     Pozitívny vplyv na príjmovú časť verejných financií bude mať výber pokút podľa sadzieb </w:t>
      </w:r>
      <w:r>
        <w:rPr>
          <w:bCs/>
        </w:rPr>
        <w:t>u</w:t>
      </w:r>
      <w:r w:rsidRPr="004D1948">
        <w:rPr>
          <w:bCs/>
        </w:rPr>
        <w:t xml:space="preserve">stanovených </w:t>
      </w:r>
      <w:r>
        <w:rPr>
          <w:bCs/>
        </w:rPr>
        <w:t xml:space="preserve">návrhom </w:t>
      </w:r>
      <w:r w:rsidRPr="004D1948">
        <w:rPr>
          <w:bCs/>
        </w:rPr>
        <w:t>zákon</w:t>
      </w:r>
      <w:r>
        <w:rPr>
          <w:bCs/>
        </w:rPr>
        <w:t>a.</w:t>
      </w:r>
      <w:r w:rsidRPr="004D1948">
        <w:rPr>
          <w:bCs/>
        </w:rPr>
        <w:t xml:space="preserve"> Prípadný pozitívny vplyv na príjmovú časť verejných financií bude mať tiež výber správnych poplatkov za konanie súvisiace s certifikáciou kybernetickej bezpečnosti. </w:t>
      </w: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
          <w:bCs/>
        </w:rPr>
      </w:pP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Cs/>
        </w:rPr>
      </w:pPr>
      <w:r w:rsidRPr="004D1948">
        <w:rPr>
          <w:bCs/>
        </w:rPr>
        <w:t xml:space="preserve">     Ako pozitívny vplyv návrh</w:t>
      </w:r>
      <w:r>
        <w:rPr>
          <w:bCs/>
        </w:rPr>
        <w:t xml:space="preserve"> </w:t>
      </w:r>
      <w:r w:rsidRPr="004D1948">
        <w:rPr>
          <w:bCs/>
        </w:rPr>
        <w:t xml:space="preserve">zákona vníma aj predpokladá, že dôjde k zlúčeniu požiadaviek z hľadiska potreby prijatia a hodnotenia bezpečnostných opatrení vo vzťahu k zabezpečeniu kybernetickej bezpečnosti pod </w:t>
      </w:r>
      <w:r>
        <w:rPr>
          <w:bCs/>
        </w:rPr>
        <w:t>z</w:t>
      </w:r>
      <w:r w:rsidRPr="004D1948">
        <w:rPr>
          <w:bCs/>
        </w:rPr>
        <w:t xml:space="preserve">ákon č. 69/2018 Z. z. o kybernetickej bezpečnosti </w:t>
      </w:r>
      <w:r>
        <w:rPr>
          <w:bCs/>
        </w:rPr>
        <w:t xml:space="preserve">a </w:t>
      </w:r>
      <w:r w:rsidRPr="004D1948">
        <w:rPr>
          <w:bCs/>
        </w:rPr>
        <w:t xml:space="preserve">o zmene a doplnení niektorých zákonov, čím dôjde k zjednoteniu a zastrešeniu úpravy, ktorá je pokrytá aj </w:t>
      </w:r>
      <w:r>
        <w:rPr>
          <w:bCs/>
        </w:rPr>
        <w:t>z</w:t>
      </w:r>
      <w:r w:rsidRPr="005A3CF1">
        <w:rPr>
          <w:bCs/>
        </w:rPr>
        <w:t>ákon</w:t>
      </w:r>
      <w:r>
        <w:rPr>
          <w:bCs/>
        </w:rPr>
        <w:t>om</w:t>
      </w:r>
      <w:r w:rsidRPr="005A3CF1">
        <w:rPr>
          <w:bCs/>
        </w:rPr>
        <w:t xml:space="preserve"> č. 95/2019 Z. z. o informačných technológiách vo verejnej správe a o zmene a doplnení niektorých zákonov v znení zákona č. 134/2020 Z. z</w:t>
      </w:r>
      <w:r>
        <w:rPr>
          <w:bCs/>
        </w:rPr>
        <w:t xml:space="preserve">. </w:t>
      </w:r>
      <w:r w:rsidRPr="004D1948">
        <w:rPr>
          <w:bCs/>
        </w:rPr>
        <w:t xml:space="preserve">a </w:t>
      </w:r>
      <w:r>
        <w:rPr>
          <w:bCs/>
        </w:rPr>
        <w:t>z</w:t>
      </w:r>
      <w:r w:rsidRPr="004D1948">
        <w:rPr>
          <w:bCs/>
        </w:rPr>
        <w:t>ákon</w:t>
      </w:r>
      <w:r>
        <w:rPr>
          <w:bCs/>
        </w:rPr>
        <w:t>om</w:t>
      </w:r>
      <w:r w:rsidRPr="004D1948">
        <w:rPr>
          <w:bCs/>
        </w:rPr>
        <w:t xml:space="preserve"> č. 351/2011 Z. z. o elektronických komunikáciách v znení neskorších predpisov.</w:t>
      </w: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Cs/>
        </w:rPr>
      </w:pP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Cs/>
        </w:rPr>
      </w:pPr>
      <w:r w:rsidRPr="004D1948">
        <w:rPr>
          <w:bCs/>
        </w:rPr>
        <w:t xml:space="preserve">      Keďže ide o inštitúty v zmysle novo navrhovanej právnej úpravy nie je v súčasnosti možné konkrétne vyčísliť výšku predpokladaného pozitívneho vplyvu na príjmovú časť verejných financií.  </w:t>
      </w: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
          <w:bCs/>
        </w:rPr>
      </w:pP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
          <w:bCs/>
        </w:rPr>
      </w:pPr>
      <w:r w:rsidRPr="004D1948">
        <w:rPr>
          <w:b/>
          <w:bCs/>
        </w:rPr>
        <w:t xml:space="preserve">- negatívne vplyvy na rozpočet sa nepredpokladajú. </w:t>
      </w: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
          <w:bCs/>
        </w:rPr>
      </w:pPr>
    </w:p>
    <w:p w:rsidR="00E3279A" w:rsidRPr="004D1948" w:rsidRDefault="00E3279A" w:rsidP="00E3279A">
      <w:pPr>
        <w:pBdr>
          <w:top w:val="single" w:sz="4" w:space="1" w:color="auto"/>
          <w:left w:val="single" w:sz="4" w:space="4" w:color="auto"/>
          <w:bottom w:val="single" w:sz="4" w:space="0" w:color="auto"/>
          <w:right w:val="single" w:sz="4" w:space="4" w:color="auto"/>
        </w:pBdr>
        <w:tabs>
          <w:tab w:val="left" w:pos="2685"/>
        </w:tabs>
        <w:jc w:val="both"/>
        <w:rPr>
          <w:bCs/>
        </w:rPr>
      </w:pPr>
      <w:r>
        <w:rPr>
          <w:bCs/>
        </w:rPr>
        <w:t xml:space="preserve">       V súčasnosti neboli zaregistrované negatívne dopady </w:t>
      </w:r>
      <w:r w:rsidRPr="004D1948">
        <w:rPr>
          <w:bCs/>
        </w:rPr>
        <w:t>na rozpočet verejnej správy,</w:t>
      </w:r>
      <w:r>
        <w:rPr>
          <w:bCs/>
        </w:rPr>
        <w:t xml:space="preserve"> </w:t>
      </w:r>
      <w:r w:rsidRPr="004D1948">
        <w:rPr>
          <w:bCs/>
        </w:rPr>
        <w:t>na zamestnanosť vo verejnej správe</w:t>
      </w:r>
      <w:r>
        <w:rPr>
          <w:bCs/>
        </w:rPr>
        <w:t>,</w:t>
      </w:r>
      <w:r w:rsidRPr="004D1948">
        <w:rPr>
          <w:bCs/>
        </w:rPr>
        <w:t xml:space="preserve"> a</w:t>
      </w:r>
      <w:r>
        <w:rPr>
          <w:bCs/>
        </w:rPr>
        <w:t>ko aj na samotné</w:t>
      </w:r>
      <w:r w:rsidRPr="004D1948">
        <w:rPr>
          <w:bCs/>
        </w:rPr>
        <w:t xml:space="preserve"> financovanie návrhu</w:t>
      </w:r>
      <w:r>
        <w:rPr>
          <w:bCs/>
        </w:rPr>
        <w:t xml:space="preserve">. </w:t>
      </w:r>
      <w:r w:rsidRPr="004D1948">
        <w:rPr>
          <w:bCs/>
        </w:rPr>
        <w:t>Financovanie predmetných výdavkov bude zabezpečené v rámci limitov rozpočtu verejnej správy na príslušné rozpočtové roky.</w:t>
      </w:r>
    </w:p>
    <w:p w:rsidR="00E3279A" w:rsidRPr="007D5748" w:rsidRDefault="00E3279A" w:rsidP="00E3279A">
      <w:pPr>
        <w:pBdr>
          <w:top w:val="single" w:sz="4" w:space="1" w:color="auto"/>
          <w:left w:val="single" w:sz="4" w:space="4" w:color="auto"/>
          <w:bottom w:val="single" w:sz="4" w:space="0" w:color="auto"/>
          <w:right w:val="single" w:sz="4" w:space="4" w:color="auto"/>
        </w:pBdr>
        <w:tabs>
          <w:tab w:val="left" w:pos="2685"/>
        </w:tabs>
        <w:jc w:val="both"/>
        <w:rPr>
          <w:b/>
          <w:bCs/>
        </w:rPr>
      </w:pPr>
    </w:p>
    <w:p w:rsidR="00E3279A" w:rsidRDefault="00E3279A" w:rsidP="00E3279A">
      <w:pPr>
        <w:rPr>
          <w:b/>
          <w:bCs/>
        </w:rPr>
      </w:pPr>
    </w:p>
    <w:p w:rsidR="00E3279A" w:rsidRPr="007D5748" w:rsidRDefault="00E3279A" w:rsidP="00E3279A">
      <w:pPr>
        <w:rPr>
          <w:b/>
          <w:bCs/>
        </w:rPr>
      </w:pPr>
      <w:r w:rsidRPr="007D5748">
        <w:rPr>
          <w:b/>
          <w:bCs/>
        </w:rPr>
        <w:t>2.2. Popis a charakteristika návrhu</w:t>
      </w:r>
    </w:p>
    <w:p w:rsidR="00E3279A" w:rsidRPr="007D5748" w:rsidRDefault="00E3279A" w:rsidP="00E3279A"/>
    <w:p w:rsidR="00E3279A" w:rsidRPr="007D5748" w:rsidRDefault="00E3279A" w:rsidP="00E3279A">
      <w:pPr>
        <w:jc w:val="both"/>
        <w:rPr>
          <w:b/>
          <w:bCs/>
        </w:rPr>
      </w:pPr>
      <w:r w:rsidRPr="007D5748">
        <w:rPr>
          <w:b/>
          <w:bCs/>
        </w:rPr>
        <w:t>2.2.1. Popis návrhu:</w:t>
      </w:r>
    </w:p>
    <w:p w:rsidR="00E3279A" w:rsidRPr="007D5748" w:rsidRDefault="00E3279A" w:rsidP="00E3279A">
      <w:pPr>
        <w:jc w:val="both"/>
        <w:rPr>
          <w:b/>
          <w:bCs/>
        </w:rPr>
      </w:pPr>
    </w:p>
    <w:p w:rsidR="00E3279A" w:rsidRPr="005A3CF1" w:rsidRDefault="00E3279A" w:rsidP="00E3279A">
      <w:pPr>
        <w:jc w:val="both"/>
      </w:pPr>
      <w:r w:rsidRPr="005A3CF1">
        <w:t>Návrh zákona vytvára funkčný legislatívny rámec, nevyhnutný pre efektívnu realizáciu kľúčových opatrení pre bezpečnosť národného kybernetického priestoru, ktorý transponuje priority a požiadavky, ktoré boli vytvorené na úrovni Európskej únie a prijaté všeobecným konsenzom Smernicou Európskeho parlamentu a Rady (EÚ) 2016/1148 zo 6. júla 2016 o opatreniach na zabezpečenie vysokej spoločnej úrovne bezpečnosti sietí a informačných systémov v Únii. Vychádzajúc zo skúseností z aplikačnej praxe je cieľom návrhu zákona posilniť legislatívnu úpravu v oblasti kybernetickej bezpečnosti, pričom sa zameriava na posilnenie právomocí príslušných vnútroštátnych orgánov, precizovanie niektorých definícií, úprav</w:t>
      </w:r>
      <w:r>
        <w:t>u</w:t>
      </w:r>
      <w:r w:rsidRPr="005A3CF1">
        <w:t xml:space="preserve"> procesného postupu pri certifikácii kybernetickej bezpečnosti, ktorá vyplýva z 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Návrh zákona zavádza inštitút blokovania, upravuje sa postavenie audítora kybernetickej bezpečnosti. V prílohe č. 1 sa precizuje prevádzkovateľ služieb v podsektore Letecká doprava, upravuje sa sektor Digitálna infraštruktúra a zo sektora Verejná správa sa vypúšťa podsektor spravodajské služby v rozsahu Slovenská informačná služba a Vojenské spravodajstvo.</w:t>
      </w:r>
    </w:p>
    <w:p w:rsidR="00E3279A" w:rsidRDefault="00E3279A" w:rsidP="00E3279A">
      <w:pPr>
        <w:jc w:val="both"/>
      </w:pPr>
    </w:p>
    <w:p w:rsidR="00E3279A" w:rsidRPr="007D5748" w:rsidRDefault="00E3279A" w:rsidP="00E3279A">
      <w:pPr>
        <w:rPr>
          <w:b/>
          <w:bCs/>
        </w:rPr>
      </w:pPr>
      <w:r w:rsidRPr="007D5748">
        <w:rPr>
          <w:b/>
          <w:bCs/>
        </w:rPr>
        <w:t>2.2.2. Charakteristika návrhu:</w:t>
      </w:r>
    </w:p>
    <w:p w:rsidR="00E3279A" w:rsidRPr="007D5748" w:rsidRDefault="00E3279A" w:rsidP="00E3279A"/>
    <w:p w:rsidR="00E3279A" w:rsidRPr="007D5748" w:rsidRDefault="00E3279A" w:rsidP="00E3279A">
      <w:r w:rsidRPr="007D5748">
        <w:rPr>
          <w:b/>
          <w:bdr w:val="single" w:sz="4" w:space="0" w:color="auto"/>
        </w:rPr>
        <w:t xml:space="preserve">     </w:t>
      </w:r>
      <w:r w:rsidRPr="007D5748">
        <w:rPr>
          <w:b/>
        </w:rPr>
        <w:t xml:space="preserve">  </w:t>
      </w:r>
      <w:r w:rsidRPr="007D5748">
        <w:t>zmena sadzby</w:t>
      </w:r>
    </w:p>
    <w:p w:rsidR="00E3279A" w:rsidRPr="007D5748" w:rsidRDefault="00E3279A" w:rsidP="00E3279A">
      <w:r w:rsidRPr="007D5748">
        <w:rPr>
          <w:bdr w:val="single" w:sz="4" w:space="0" w:color="auto"/>
        </w:rPr>
        <w:lastRenderedPageBreak/>
        <w:t xml:space="preserve">     </w:t>
      </w:r>
      <w:r w:rsidRPr="007D5748">
        <w:t xml:space="preserve">  zmena v nároku</w:t>
      </w:r>
    </w:p>
    <w:p w:rsidR="00E3279A" w:rsidRPr="007D5748" w:rsidRDefault="00E3279A" w:rsidP="00E3279A">
      <w:r>
        <w:rPr>
          <w:bdr w:val="single" w:sz="4" w:space="0" w:color="auto"/>
        </w:rPr>
        <w:t xml:space="preserve">    </w:t>
      </w:r>
      <w:r w:rsidRPr="007D5748">
        <w:rPr>
          <w:bdr w:val="single" w:sz="4" w:space="0" w:color="auto"/>
        </w:rPr>
        <w:t xml:space="preserve"> </w:t>
      </w:r>
      <w:r w:rsidRPr="007D5748">
        <w:t xml:space="preserve">  nová služba alebo nariadenie (alebo ich zrušenie)</w:t>
      </w:r>
    </w:p>
    <w:p w:rsidR="00E3279A" w:rsidRPr="007D5748" w:rsidRDefault="00E3279A" w:rsidP="00E3279A">
      <w:r w:rsidRPr="007D5748">
        <w:rPr>
          <w:bdr w:val="single" w:sz="4" w:space="0" w:color="auto"/>
        </w:rPr>
        <w:t xml:space="preserve"> </w:t>
      </w:r>
      <w:r>
        <w:rPr>
          <w:bdr w:val="single" w:sz="4" w:space="0" w:color="auto"/>
        </w:rPr>
        <w:t>x</w:t>
      </w:r>
      <w:r w:rsidRPr="007D5748">
        <w:rPr>
          <w:bdr w:val="single" w:sz="4" w:space="0" w:color="auto"/>
        </w:rPr>
        <w:t xml:space="preserve">  </w:t>
      </w:r>
      <w:r w:rsidRPr="007D5748">
        <w:t xml:space="preserve">  kombinovaný návrh</w:t>
      </w:r>
    </w:p>
    <w:p w:rsidR="00E3279A" w:rsidRPr="007D5748" w:rsidRDefault="00E3279A" w:rsidP="00E3279A">
      <w:r w:rsidRPr="007D5748">
        <w:rPr>
          <w:bdr w:val="single" w:sz="4" w:space="0" w:color="auto"/>
        </w:rPr>
        <w:t xml:space="preserve">  </w:t>
      </w:r>
      <w:r>
        <w:rPr>
          <w:bdr w:val="single" w:sz="4" w:space="0" w:color="auto"/>
        </w:rPr>
        <w:t xml:space="preserve">  </w:t>
      </w:r>
      <w:r w:rsidRPr="007D5748">
        <w:rPr>
          <w:bdr w:val="single" w:sz="4" w:space="0" w:color="auto"/>
        </w:rPr>
        <w:t xml:space="preserve"> </w:t>
      </w:r>
      <w:r w:rsidRPr="007D5748">
        <w:t xml:space="preserve">  iné </w:t>
      </w:r>
    </w:p>
    <w:p w:rsidR="00E3279A" w:rsidRPr="007D5748" w:rsidRDefault="00E3279A" w:rsidP="00E3279A"/>
    <w:p w:rsidR="00E3279A" w:rsidRPr="007D5748" w:rsidRDefault="00E3279A" w:rsidP="00E3279A">
      <w:r w:rsidRPr="007D5748">
        <w:rPr>
          <w:b/>
          <w:bCs/>
        </w:rPr>
        <w:t>2.2.3. Predpoklady vývoja objemu aktivít:</w:t>
      </w:r>
    </w:p>
    <w:p w:rsidR="00E3279A" w:rsidRPr="007D5748" w:rsidRDefault="00E3279A" w:rsidP="00E3279A"/>
    <w:p w:rsidR="00E3279A" w:rsidRPr="007D5748" w:rsidRDefault="00E3279A" w:rsidP="00E3279A">
      <w:pPr>
        <w:ind w:firstLine="708"/>
        <w:jc w:val="both"/>
      </w:pPr>
      <w:r w:rsidRPr="007D5748">
        <w:t>Jasne popíšte, v prípade potreby použite nižšie uvedenú tabuľku. Uveďte aj odhady základov daní a/alebo poplatkov, ak sa ich táto zmena týka.</w:t>
      </w:r>
    </w:p>
    <w:p w:rsidR="00E3279A" w:rsidRPr="007D5748" w:rsidRDefault="00E3279A" w:rsidP="00E3279A">
      <w:pPr>
        <w:jc w:val="right"/>
        <w:rPr>
          <w:sz w:val="20"/>
          <w:szCs w:val="20"/>
        </w:rPr>
      </w:pPr>
      <w:r w:rsidRPr="007D5748">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E3279A" w:rsidRPr="007D5748" w:rsidTr="00E3279A">
        <w:trPr>
          <w:cantSplit/>
          <w:trHeight w:val="70"/>
        </w:trPr>
        <w:tc>
          <w:tcPr>
            <w:tcW w:w="4530" w:type="dxa"/>
            <w:vMerge w:val="restart"/>
            <w:shd w:val="clear" w:color="auto" w:fill="BFBFBF" w:themeFill="background1" w:themeFillShade="BF"/>
            <w:vAlign w:val="center"/>
          </w:tcPr>
          <w:p w:rsidR="00E3279A" w:rsidRPr="007D5748" w:rsidRDefault="00E3279A" w:rsidP="00E3279A">
            <w:pPr>
              <w:autoSpaceDE w:val="0"/>
              <w:autoSpaceDN w:val="0"/>
              <w:adjustRightInd w:val="0"/>
              <w:jc w:val="center"/>
              <w:rPr>
                <w:b/>
                <w:bCs/>
              </w:rPr>
            </w:pPr>
            <w:r w:rsidRPr="007D5748">
              <w:rPr>
                <w:b/>
                <w:bCs/>
              </w:rPr>
              <w:t>Objem aktivít</w:t>
            </w:r>
          </w:p>
        </w:tc>
        <w:tc>
          <w:tcPr>
            <w:tcW w:w="1134" w:type="dxa"/>
            <w:gridSpan w:val="4"/>
            <w:shd w:val="clear" w:color="auto" w:fill="BFBFBF" w:themeFill="background1" w:themeFillShade="BF"/>
            <w:vAlign w:val="center"/>
          </w:tcPr>
          <w:p w:rsidR="00E3279A" w:rsidRPr="007D5748" w:rsidRDefault="00E3279A" w:rsidP="00E3279A">
            <w:pPr>
              <w:autoSpaceDE w:val="0"/>
              <w:autoSpaceDN w:val="0"/>
              <w:adjustRightInd w:val="0"/>
              <w:jc w:val="center"/>
              <w:rPr>
                <w:b/>
                <w:bCs/>
              </w:rPr>
            </w:pPr>
            <w:r w:rsidRPr="007D5748">
              <w:rPr>
                <w:b/>
                <w:bCs/>
              </w:rPr>
              <w:t>Odhadované objemy</w:t>
            </w:r>
          </w:p>
        </w:tc>
      </w:tr>
      <w:tr w:rsidR="00E3279A" w:rsidRPr="007D5748" w:rsidTr="00E3279A">
        <w:trPr>
          <w:cantSplit/>
          <w:trHeight w:val="70"/>
        </w:trPr>
        <w:tc>
          <w:tcPr>
            <w:tcW w:w="4530" w:type="dxa"/>
            <w:vMerge/>
            <w:shd w:val="clear" w:color="auto" w:fill="BFBFBF" w:themeFill="background1" w:themeFillShade="BF"/>
          </w:tcPr>
          <w:p w:rsidR="00E3279A" w:rsidRPr="007D5748" w:rsidRDefault="00E3279A" w:rsidP="00E3279A">
            <w:pPr>
              <w:autoSpaceDE w:val="0"/>
              <w:autoSpaceDN w:val="0"/>
              <w:adjustRightInd w:val="0"/>
              <w:jc w:val="center"/>
              <w:rPr>
                <w:b/>
                <w:bCs/>
              </w:rPr>
            </w:pPr>
          </w:p>
        </w:tc>
        <w:tc>
          <w:tcPr>
            <w:tcW w:w="1134" w:type="dxa"/>
            <w:shd w:val="clear" w:color="auto" w:fill="BFBFBF" w:themeFill="background1" w:themeFillShade="BF"/>
            <w:vAlign w:val="center"/>
          </w:tcPr>
          <w:p w:rsidR="00E3279A" w:rsidRPr="007D5748" w:rsidRDefault="00E3279A" w:rsidP="00E3279A">
            <w:pPr>
              <w:autoSpaceDE w:val="0"/>
              <w:autoSpaceDN w:val="0"/>
              <w:adjustRightInd w:val="0"/>
              <w:jc w:val="center"/>
              <w:rPr>
                <w:b/>
                <w:bCs/>
              </w:rPr>
            </w:pPr>
            <w:r w:rsidRPr="007D5748">
              <w:rPr>
                <w:b/>
                <w:bCs/>
              </w:rPr>
              <w:t>r</w:t>
            </w:r>
          </w:p>
        </w:tc>
        <w:tc>
          <w:tcPr>
            <w:tcW w:w="1134" w:type="dxa"/>
            <w:shd w:val="clear" w:color="auto" w:fill="BFBFBF" w:themeFill="background1" w:themeFillShade="BF"/>
            <w:vAlign w:val="center"/>
          </w:tcPr>
          <w:p w:rsidR="00E3279A" w:rsidRPr="007D5748" w:rsidRDefault="00E3279A" w:rsidP="00E3279A">
            <w:pPr>
              <w:autoSpaceDE w:val="0"/>
              <w:autoSpaceDN w:val="0"/>
              <w:adjustRightInd w:val="0"/>
              <w:jc w:val="center"/>
              <w:rPr>
                <w:b/>
                <w:bCs/>
              </w:rPr>
            </w:pPr>
            <w:r w:rsidRPr="007D5748">
              <w:rPr>
                <w:b/>
                <w:bCs/>
              </w:rPr>
              <w:t>r + 1</w:t>
            </w:r>
          </w:p>
        </w:tc>
        <w:tc>
          <w:tcPr>
            <w:tcW w:w="1134" w:type="dxa"/>
            <w:shd w:val="clear" w:color="auto" w:fill="BFBFBF" w:themeFill="background1" w:themeFillShade="BF"/>
            <w:vAlign w:val="center"/>
          </w:tcPr>
          <w:p w:rsidR="00E3279A" w:rsidRPr="007D5748" w:rsidRDefault="00E3279A" w:rsidP="00E3279A">
            <w:pPr>
              <w:autoSpaceDE w:val="0"/>
              <w:autoSpaceDN w:val="0"/>
              <w:adjustRightInd w:val="0"/>
              <w:jc w:val="center"/>
              <w:rPr>
                <w:b/>
                <w:bCs/>
              </w:rPr>
            </w:pPr>
            <w:r w:rsidRPr="007D5748">
              <w:rPr>
                <w:b/>
                <w:bCs/>
              </w:rPr>
              <w:t>r + 2</w:t>
            </w:r>
          </w:p>
        </w:tc>
        <w:tc>
          <w:tcPr>
            <w:tcW w:w="1134" w:type="dxa"/>
            <w:shd w:val="clear" w:color="auto" w:fill="BFBFBF" w:themeFill="background1" w:themeFillShade="BF"/>
            <w:vAlign w:val="center"/>
          </w:tcPr>
          <w:p w:rsidR="00E3279A" w:rsidRPr="007D5748" w:rsidRDefault="00E3279A" w:rsidP="00E3279A">
            <w:pPr>
              <w:autoSpaceDE w:val="0"/>
              <w:autoSpaceDN w:val="0"/>
              <w:adjustRightInd w:val="0"/>
              <w:jc w:val="center"/>
              <w:rPr>
                <w:b/>
                <w:bCs/>
              </w:rPr>
            </w:pPr>
            <w:r w:rsidRPr="007D5748">
              <w:rPr>
                <w:b/>
                <w:bCs/>
              </w:rPr>
              <w:t>r + 3</w:t>
            </w:r>
          </w:p>
        </w:tc>
      </w:tr>
      <w:tr w:rsidR="00E3279A" w:rsidRPr="007D5748" w:rsidTr="00E3279A">
        <w:trPr>
          <w:trHeight w:val="70"/>
        </w:trPr>
        <w:tc>
          <w:tcPr>
            <w:tcW w:w="4530" w:type="dxa"/>
          </w:tcPr>
          <w:p w:rsidR="00E3279A" w:rsidRPr="007D5748" w:rsidRDefault="00E3279A" w:rsidP="00E3279A">
            <w:pPr>
              <w:autoSpaceDE w:val="0"/>
              <w:autoSpaceDN w:val="0"/>
              <w:adjustRightInd w:val="0"/>
              <w:rPr>
                <w:color w:val="000000"/>
              </w:rPr>
            </w:pPr>
            <w:r w:rsidRPr="007D5748">
              <w:rPr>
                <w:color w:val="000000"/>
              </w:rPr>
              <w:t>Indikátor ABC</w:t>
            </w:r>
          </w:p>
        </w:tc>
        <w:tc>
          <w:tcPr>
            <w:tcW w:w="1134" w:type="dxa"/>
          </w:tcPr>
          <w:p w:rsidR="00E3279A" w:rsidRPr="007D5748" w:rsidRDefault="00E3279A" w:rsidP="00E3279A">
            <w:pPr>
              <w:autoSpaceDE w:val="0"/>
              <w:autoSpaceDN w:val="0"/>
              <w:adjustRightInd w:val="0"/>
              <w:jc w:val="right"/>
              <w:rPr>
                <w:color w:val="000000"/>
              </w:rPr>
            </w:pPr>
          </w:p>
        </w:tc>
        <w:tc>
          <w:tcPr>
            <w:tcW w:w="1134" w:type="dxa"/>
          </w:tcPr>
          <w:p w:rsidR="00E3279A" w:rsidRPr="007D5748" w:rsidRDefault="00E3279A" w:rsidP="00E3279A">
            <w:pPr>
              <w:autoSpaceDE w:val="0"/>
              <w:autoSpaceDN w:val="0"/>
              <w:adjustRightInd w:val="0"/>
              <w:jc w:val="right"/>
              <w:rPr>
                <w:color w:val="000000"/>
              </w:rPr>
            </w:pPr>
          </w:p>
        </w:tc>
        <w:tc>
          <w:tcPr>
            <w:tcW w:w="1134" w:type="dxa"/>
          </w:tcPr>
          <w:p w:rsidR="00E3279A" w:rsidRPr="007D5748" w:rsidRDefault="00E3279A" w:rsidP="00E3279A">
            <w:pPr>
              <w:autoSpaceDE w:val="0"/>
              <w:autoSpaceDN w:val="0"/>
              <w:adjustRightInd w:val="0"/>
              <w:jc w:val="right"/>
              <w:rPr>
                <w:color w:val="000000"/>
              </w:rPr>
            </w:pPr>
          </w:p>
        </w:tc>
        <w:tc>
          <w:tcPr>
            <w:tcW w:w="1134" w:type="dxa"/>
          </w:tcPr>
          <w:p w:rsidR="00E3279A" w:rsidRPr="007D5748" w:rsidRDefault="00E3279A" w:rsidP="00E3279A">
            <w:pPr>
              <w:autoSpaceDE w:val="0"/>
              <w:autoSpaceDN w:val="0"/>
              <w:adjustRightInd w:val="0"/>
              <w:jc w:val="right"/>
              <w:rPr>
                <w:color w:val="000000"/>
              </w:rPr>
            </w:pPr>
          </w:p>
        </w:tc>
      </w:tr>
      <w:tr w:rsidR="00E3279A" w:rsidRPr="007D5748" w:rsidTr="00E3279A">
        <w:trPr>
          <w:trHeight w:val="70"/>
        </w:trPr>
        <w:tc>
          <w:tcPr>
            <w:tcW w:w="4530" w:type="dxa"/>
          </w:tcPr>
          <w:p w:rsidR="00E3279A" w:rsidRPr="007D5748" w:rsidRDefault="00E3279A" w:rsidP="00E3279A">
            <w:pPr>
              <w:autoSpaceDE w:val="0"/>
              <w:autoSpaceDN w:val="0"/>
              <w:adjustRightInd w:val="0"/>
              <w:rPr>
                <w:color w:val="000000"/>
              </w:rPr>
            </w:pPr>
            <w:r w:rsidRPr="007D5748">
              <w:rPr>
                <w:color w:val="000000"/>
              </w:rPr>
              <w:t>Indikátor KLM</w:t>
            </w:r>
          </w:p>
        </w:tc>
        <w:tc>
          <w:tcPr>
            <w:tcW w:w="1134" w:type="dxa"/>
          </w:tcPr>
          <w:p w:rsidR="00E3279A" w:rsidRPr="007D5748" w:rsidRDefault="00E3279A" w:rsidP="00E3279A">
            <w:pPr>
              <w:autoSpaceDE w:val="0"/>
              <w:autoSpaceDN w:val="0"/>
              <w:adjustRightInd w:val="0"/>
              <w:jc w:val="right"/>
              <w:rPr>
                <w:color w:val="000000"/>
              </w:rPr>
            </w:pPr>
          </w:p>
        </w:tc>
        <w:tc>
          <w:tcPr>
            <w:tcW w:w="1134" w:type="dxa"/>
          </w:tcPr>
          <w:p w:rsidR="00E3279A" w:rsidRPr="007D5748" w:rsidRDefault="00E3279A" w:rsidP="00E3279A">
            <w:pPr>
              <w:autoSpaceDE w:val="0"/>
              <w:autoSpaceDN w:val="0"/>
              <w:adjustRightInd w:val="0"/>
              <w:jc w:val="right"/>
              <w:rPr>
                <w:color w:val="000000"/>
              </w:rPr>
            </w:pPr>
          </w:p>
        </w:tc>
        <w:tc>
          <w:tcPr>
            <w:tcW w:w="1134" w:type="dxa"/>
          </w:tcPr>
          <w:p w:rsidR="00E3279A" w:rsidRPr="007D5748" w:rsidRDefault="00E3279A" w:rsidP="00E3279A">
            <w:pPr>
              <w:autoSpaceDE w:val="0"/>
              <w:autoSpaceDN w:val="0"/>
              <w:adjustRightInd w:val="0"/>
              <w:jc w:val="right"/>
              <w:rPr>
                <w:color w:val="000000"/>
              </w:rPr>
            </w:pPr>
          </w:p>
        </w:tc>
        <w:tc>
          <w:tcPr>
            <w:tcW w:w="1134" w:type="dxa"/>
          </w:tcPr>
          <w:p w:rsidR="00E3279A" w:rsidRPr="007D5748" w:rsidRDefault="00E3279A" w:rsidP="00E3279A">
            <w:pPr>
              <w:autoSpaceDE w:val="0"/>
              <w:autoSpaceDN w:val="0"/>
              <w:adjustRightInd w:val="0"/>
              <w:jc w:val="right"/>
              <w:rPr>
                <w:color w:val="000000"/>
              </w:rPr>
            </w:pPr>
          </w:p>
        </w:tc>
      </w:tr>
      <w:tr w:rsidR="00E3279A" w:rsidRPr="007D5748" w:rsidTr="00E3279A">
        <w:trPr>
          <w:trHeight w:val="70"/>
        </w:trPr>
        <w:tc>
          <w:tcPr>
            <w:tcW w:w="4530" w:type="dxa"/>
          </w:tcPr>
          <w:p w:rsidR="00E3279A" w:rsidRPr="007D5748" w:rsidRDefault="00E3279A" w:rsidP="00E3279A">
            <w:pPr>
              <w:autoSpaceDE w:val="0"/>
              <w:autoSpaceDN w:val="0"/>
              <w:adjustRightInd w:val="0"/>
              <w:rPr>
                <w:color w:val="000000"/>
              </w:rPr>
            </w:pPr>
            <w:r w:rsidRPr="007D5748">
              <w:rPr>
                <w:color w:val="000000"/>
              </w:rPr>
              <w:t>Indikátor XYZ</w:t>
            </w:r>
          </w:p>
        </w:tc>
        <w:tc>
          <w:tcPr>
            <w:tcW w:w="1134" w:type="dxa"/>
          </w:tcPr>
          <w:p w:rsidR="00E3279A" w:rsidRPr="007D5748" w:rsidRDefault="00E3279A" w:rsidP="00E3279A">
            <w:pPr>
              <w:autoSpaceDE w:val="0"/>
              <w:autoSpaceDN w:val="0"/>
              <w:adjustRightInd w:val="0"/>
              <w:jc w:val="right"/>
              <w:rPr>
                <w:color w:val="000000"/>
              </w:rPr>
            </w:pPr>
          </w:p>
        </w:tc>
        <w:tc>
          <w:tcPr>
            <w:tcW w:w="1134" w:type="dxa"/>
          </w:tcPr>
          <w:p w:rsidR="00E3279A" w:rsidRPr="007D5748" w:rsidRDefault="00E3279A" w:rsidP="00E3279A">
            <w:pPr>
              <w:autoSpaceDE w:val="0"/>
              <w:autoSpaceDN w:val="0"/>
              <w:adjustRightInd w:val="0"/>
              <w:jc w:val="right"/>
              <w:rPr>
                <w:color w:val="000000"/>
              </w:rPr>
            </w:pPr>
          </w:p>
        </w:tc>
        <w:tc>
          <w:tcPr>
            <w:tcW w:w="1134" w:type="dxa"/>
          </w:tcPr>
          <w:p w:rsidR="00E3279A" w:rsidRPr="007D5748" w:rsidRDefault="00E3279A" w:rsidP="00E3279A">
            <w:pPr>
              <w:autoSpaceDE w:val="0"/>
              <w:autoSpaceDN w:val="0"/>
              <w:adjustRightInd w:val="0"/>
              <w:jc w:val="right"/>
              <w:rPr>
                <w:color w:val="000000"/>
              </w:rPr>
            </w:pPr>
          </w:p>
        </w:tc>
        <w:tc>
          <w:tcPr>
            <w:tcW w:w="1134" w:type="dxa"/>
          </w:tcPr>
          <w:p w:rsidR="00E3279A" w:rsidRPr="007D5748" w:rsidRDefault="00E3279A" w:rsidP="00E3279A">
            <w:pPr>
              <w:autoSpaceDE w:val="0"/>
              <w:autoSpaceDN w:val="0"/>
              <w:adjustRightInd w:val="0"/>
              <w:jc w:val="right"/>
              <w:rPr>
                <w:color w:val="000000"/>
              </w:rPr>
            </w:pPr>
          </w:p>
        </w:tc>
      </w:tr>
    </w:tbl>
    <w:p w:rsidR="00E3279A" w:rsidRPr="007D5748" w:rsidRDefault="00E3279A" w:rsidP="00E3279A"/>
    <w:p w:rsidR="00E3279A" w:rsidRPr="007D5748" w:rsidRDefault="00E3279A" w:rsidP="00E3279A">
      <w:pPr>
        <w:rPr>
          <w:b/>
          <w:bCs/>
        </w:rPr>
      </w:pPr>
      <w:r w:rsidRPr="007D5748">
        <w:rPr>
          <w:b/>
          <w:bCs/>
        </w:rPr>
        <w:t>2.2.4. Výpočty vplyvov na verejné financie</w:t>
      </w:r>
    </w:p>
    <w:p w:rsidR="00E3279A" w:rsidRDefault="00E3279A" w:rsidP="00E3279A">
      <w:pPr>
        <w:pStyle w:val="Normlnywebov"/>
        <w:jc w:val="both"/>
        <w:rPr>
          <w:bCs/>
        </w:rPr>
      </w:pPr>
      <w:r w:rsidRPr="000A350F">
        <w:t xml:space="preserve">Predmetný návrh zákona </w:t>
      </w:r>
      <w:r>
        <w:t>má</w:t>
      </w:r>
      <w:r w:rsidRPr="00611B2B">
        <w:t xml:space="preserve"> pozitívny vplyv</w:t>
      </w:r>
      <w:r>
        <w:t xml:space="preserve"> na rozpočet verejnej správy. Zavádza sa inštitút dobrovoľnej certifikácie produktov, služieb a procesov. Certifikácia kybernetickej bezpečnosti zohráva významnú úlohu pri posilňovaní dôvery v produkty, služby a procesy, ako aj ich bezpečnosti. Na p</w:t>
      </w:r>
      <w:r>
        <w:rPr>
          <w:bCs/>
        </w:rPr>
        <w:t xml:space="preserve">ríjmovú časť verejných financií bude mať pozitívny vplyv výber správnych poplatkov za konanie o certifikácií (navrhovaný správny poplatok 1000 eur). Suma predstavuje náklady na technické zabezpečenie, mzdové a prevádzkové náklady spojené s výkonom certifikácie. </w:t>
      </w:r>
      <w:r>
        <w:t xml:space="preserve">Pre európsky hospodársky priestor v súčasnej dobe ešte nejestvuje záväzná certifikačná schéma pre posudzovanie zhody výrobkov, postupov alebo služieb v kybernetickej bezpečnosti, </w:t>
      </w:r>
      <w:proofErr w:type="spellStart"/>
      <w:r>
        <w:t>t.j</w:t>
      </w:r>
      <w:proofErr w:type="spellEnd"/>
      <w:r>
        <w:t xml:space="preserve">. neexistujú formalizované požiadavky na systém certifikácie, vzťahujúce sa na určené produkty, na ktoré sa aplikujú rovnaké určené požiadavky, technické špecifikácie,  osobitné pravidlá a postupy. Napriek tomu, že v Európskej agentúre pre kybernetickú bezpečnosť (ENISA) prebiehajú intenzívne práce na príprave takejto certifikačnej schémy, zatiaľ v členských štátoch EÚ nie je žiaden subjekt akreditovaný na posudzovanie zhody (certifikáciu) výrobkov, postupov alebo služieb v oblasti kybernetickej bezpečnosti. Prijatie európskej certifikačnej schémy sa predpokladá o dva až tri roky. </w:t>
      </w:r>
      <w:r>
        <w:rPr>
          <w:bCs/>
        </w:rPr>
        <w:t>Keďže ide o inštitút v zmysle novo navrhovanej právnej úpravy, nie je v súčasnosti možné konkrétne vyčísliť výšku predpokladaného pozitívneho vplyvu na príjmovú časť verejných financií.</w:t>
      </w:r>
    </w:p>
    <w:p w:rsidR="00E3279A" w:rsidRDefault="00E3279A" w:rsidP="00E3279A">
      <w:pPr>
        <w:pStyle w:val="Normlnywebov"/>
        <w:jc w:val="both"/>
        <w:rPr>
          <w:bCs/>
        </w:rPr>
      </w:pPr>
      <w:r>
        <w:rPr>
          <w:bCs/>
        </w:rPr>
        <w:t>Návrh zákona bude môže mať eventuálne v konečnom dôsledku aj znížené nároky na rozpočet orgánov verejnej moci, ktoré nebudú musieť podľa návrhu zákona plniť úlohy jednotky CSIRT.  Plnenie týchto úloh bolo do dnešného dňa zabezpečované úradom pre povinné subjekty, ktoré síce mali povinnosť zriadiť si jednotku CSIRT, avšak využívali legálnu možnosť realizácie tejto povinnosti prostredníctvom úradu. V tomto smere sa však dá konštatovať, že na tieto subjekty uvedená zmena nebude mať žiadne finančné vplyvy oproti terajšiemu stavu. V zákone je však ponechaná možnosť využiť inú akreditovanú jednotku CSIRT iného ústredného orgánu. Pred zabezpečením plnia úloh jednotiek CSIRT na iný ústredný orgán sa vykoná analýza nákladovosti. E</w:t>
      </w:r>
      <w:r w:rsidRPr="00272467">
        <w:rPr>
          <w:bCs/>
        </w:rPr>
        <w:t>konomické porovnanie relevantných alternatív bude spracované v budúcnosti, pred presunom plnenia úloh, nie plošne</w:t>
      </w:r>
      <w:r>
        <w:rPr>
          <w:bCs/>
        </w:rPr>
        <w:t xml:space="preserve">. Rovnako je možné, aby si orgán verejnej moci akreditoval vlastnú jednotku CSIRT. Náklady s tým spojené si každý orgán verejnej moci vyčísli na príslušný rozpočtový rok vo vlastnej kapitole. </w:t>
      </w:r>
    </w:p>
    <w:p w:rsidR="00E3279A" w:rsidRDefault="00E3279A" w:rsidP="00E3279A">
      <w:pPr>
        <w:pStyle w:val="Normlnywebov"/>
        <w:jc w:val="both"/>
      </w:pPr>
      <w:r>
        <w:lastRenderedPageBreak/>
        <w:t xml:space="preserve">Bez negatívnych vplyvov na verejné financie návrh zákona zavádza inštitút blokovania v rámci riešenia kybernetického bezpečnostného incidentu. Návrh zákona nezakladá sociálne vplyvy a vplyvy na životné prostredie. Taktiež sa nepredpokladajú vplyvy v dôsledku precizovania pojmov a úpravy niektorých sektorov. </w:t>
      </w:r>
    </w:p>
    <w:p w:rsidR="00E3279A" w:rsidRPr="004A4923" w:rsidRDefault="00E3279A" w:rsidP="00E3279A">
      <w:pPr>
        <w:tabs>
          <w:tab w:val="left" w:pos="2685"/>
        </w:tabs>
        <w:jc w:val="both"/>
        <w:rPr>
          <w:bCs/>
        </w:rPr>
      </w:pPr>
      <w:r>
        <w:rPr>
          <w:bCs/>
        </w:rPr>
        <w:t>N</w:t>
      </w:r>
      <w:r w:rsidRPr="004A4923">
        <w:rPr>
          <w:bCs/>
        </w:rPr>
        <w:t xml:space="preserve">ávrh zákona predpokladá, že dôjde k zlúčeniu požiadaviek z hľadiska potreby prijatia a hodnotenia bezpečnostných opatrení vo vzťahu k zabezpečeniu kybernetickej bezpečnosti pod </w:t>
      </w:r>
      <w:r>
        <w:rPr>
          <w:bCs/>
        </w:rPr>
        <w:t>z</w:t>
      </w:r>
      <w:r w:rsidRPr="004A4923">
        <w:rPr>
          <w:bCs/>
        </w:rPr>
        <w:t>ákon č. 69/2018 Z. z. o kybernetickej bezpečnosti  o zmene a doplnení niektorých zákonov, čím dôjde k zjednoteniu a zastrešen</w:t>
      </w:r>
      <w:r>
        <w:rPr>
          <w:bCs/>
        </w:rPr>
        <w:t xml:space="preserve">iu úpravy, ktorá je pokrytá aj </w:t>
      </w:r>
      <w:r w:rsidRPr="000B0DE6">
        <w:rPr>
          <w:bCs/>
        </w:rPr>
        <w:t>zákonom č. 95/2019 Z. z. o informačných technológiách vo verejnej správe a o zmene a doplnení niektorých zákonov v znení zákona č. 134/2020 Z. z. a zákonom č. 351/2011 Z. z. o elektronických komunikáciá</w:t>
      </w:r>
      <w:r>
        <w:rPr>
          <w:bCs/>
        </w:rPr>
        <w:t xml:space="preserve">ch v znení neskorších predpisov na základe uvedeného indikujeme len pozitívny vplyv. V prípade, ak vznikne potreba na navýšenie finančných zdrojov, tieto si príslušný orgán vyčísli na príslušný rozpočtový rok v rámci vlastnej kapitoly. </w:t>
      </w:r>
    </w:p>
    <w:p w:rsidR="00E3279A" w:rsidRPr="004A4923" w:rsidRDefault="00E3279A" w:rsidP="00E3279A">
      <w:pPr>
        <w:tabs>
          <w:tab w:val="left" w:pos="2685"/>
        </w:tabs>
        <w:jc w:val="both"/>
        <w:rPr>
          <w:bCs/>
        </w:rPr>
      </w:pPr>
    </w:p>
    <w:p w:rsidR="00E3279A" w:rsidRPr="004A4923" w:rsidRDefault="00E3279A" w:rsidP="00E3279A">
      <w:pPr>
        <w:tabs>
          <w:tab w:val="left" w:pos="2685"/>
        </w:tabs>
        <w:jc w:val="both"/>
        <w:rPr>
          <w:bCs/>
        </w:rPr>
      </w:pPr>
      <w:r w:rsidRPr="004A4923">
        <w:rPr>
          <w:bCs/>
        </w:rPr>
        <w:t xml:space="preserve">Keďže ide o inštitúty v zmysle novo navrhovanej právnej úpravy nie je v súčasnosti možné konkrétne vyčísliť výšku  predpokladaného pozitívneho vplyvu na príjmovú časť verejných financií.  </w:t>
      </w:r>
    </w:p>
    <w:p w:rsidR="00E3279A" w:rsidRPr="004A4923" w:rsidRDefault="00E3279A" w:rsidP="00E3279A">
      <w:pPr>
        <w:tabs>
          <w:tab w:val="left" w:pos="2685"/>
        </w:tabs>
        <w:jc w:val="both"/>
        <w:rPr>
          <w:b/>
          <w:bCs/>
        </w:rPr>
      </w:pPr>
    </w:p>
    <w:p w:rsidR="00E3279A" w:rsidRPr="004A4923" w:rsidRDefault="00E3279A" w:rsidP="00E3279A">
      <w:pPr>
        <w:tabs>
          <w:tab w:val="left" w:pos="2685"/>
        </w:tabs>
        <w:jc w:val="both"/>
        <w:rPr>
          <w:b/>
          <w:bCs/>
        </w:rPr>
      </w:pPr>
      <w:r w:rsidRPr="004A4923">
        <w:rPr>
          <w:b/>
          <w:bCs/>
        </w:rPr>
        <w:t xml:space="preserve">- negatívne vplyvy na rozpočet sa nepredpokladajú. </w:t>
      </w:r>
    </w:p>
    <w:p w:rsidR="00E3279A" w:rsidRPr="004A4923" w:rsidRDefault="00E3279A" w:rsidP="00E3279A">
      <w:pPr>
        <w:tabs>
          <w:tab w:val="num" w:pos="1080"/>
        </w:tabs>
        <w:jc w:val="both"/>
      </w:pPr>
    </w:p>
    <w:p w:rsidR="00E3279A" w:rsidRDefault="00E3279A" w:rsidP="00E3279A">
      <w:pPr>
        <w:tabs>
          <w:tab w:val="num" w:pos="1080"/>
        </w:tabs>
        <w:jc w:val="both"/>
        <w:sectPr w:rsidR="00E3279A" w:rsidSect="00E3279A">
          <w:headerReference w:type="even"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4A4923">
        <w:t>Financovanie predmetných výdavkov bude zabezpečené v rámci limitov rozpočtu verejnej správy na príslušné rozpočtové roky.</w:t>
      </w:r>
    </w:p>
    <w:p w:rsidR="00E3279A" w:rsidRPr="007D5748" w:rsidRDefault="00E3279A" w:rsidP="00E3279A">
      <w:pPr>
        <w:tabs>
          <w:tab w:val="num" w:pos="1080"/>
        </w:tabs>
        <w:jc w:val="right"/>
        <w:rPr>
          <w:bCs/>
        </w:rPr>
      </w:pPr>
      <w:r w:rsidRPr="007D5748">
        <w:rPr>
          <w:bCs/>
        </w:rPr>
        <w:lastRenderedPageBreak/>
        <w:t xml:space="preserve">Tabuľka č. 3 </w:t>
      </w:r>
    </w:p>
    <w:p w:rsidR="00E3279A" w:rsidRPr="007D5748" w:rsidRDefault="00E3279A" w:rsidP="00E3279A">
      <w:pPr>
        <w:tabs>
          <w:tab w:val="num" w:pos="1080"/>
        </w:tabs>
        <w:jc w:val="both"/>
        <w:rPr>
          <w:bCs/>
          <w:szCs w:val="20"/>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E3279A" w:rsidRPr="001C1142" w:rsidTr="00E3279A">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3279A" w:rsidRPr="001C1142" w:rsidRDefault="00E3279A" w:rsidP="00E3279A">
            <w:pPr>
              <w:jc w:val="center"/>
              <w:rPr>
                <w:b/>
                <w:bCs/>
              </w:rPr>
            </w:pPr>
            <w:r w:rsidRPr="001C1142">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3279A" w:rsidRPr="001C1142" w:rsidRDefault="00E3279A" w:rsidP="00E3279A">
            <w:pPr>
              <w:jc w:val="center"/>
              <w:rPr>
                <w:b/>
                <w:bCs/>
              </w:rPr>
            </w:pPr>
            <w:r w:rsidRPr="001C1142">
              <w:rPr>
                <w:b/>
                <w:bCs/>
              </w:rPr>
              <w:t>poznámka</w:t>
            </w:r>
          </w:p>
        </w:tc>
      </w:tr>
      <w:tr w:rsidR="00E3279A" w:rsidRPr="001C1142" w:rsidTr="00E3279A">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E3279A" w:rsidRPr="001C1142" w:rsidRDefault="00E3279A" w:rsidP="00E3279A">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2023</w:t>
            </w:r>
          </w:p>
        </w:tc>
        <w:tc>
          <w:tcPr>
            <w:tcW w:w="3000" w:type="dxa"/>
            <w:vMerge/>
            <w:tcBorders>
              <w:top w:val="single" w:sz="4" w:space="0" w:color="auto"/>
              <w:left w:val="single" w:sz="4" w:space="0" w:color="auto"/>
              <w:bottom w:val="single" w:sz="4" w:space="0" w:color="auto"/>
              <w:right w:val="single" w:sz="4" w:space="0" w:color="auto"/>
            </w:tcBorders>
            <w:vAlign w:val="center"/>
          </w:tcPr>
          <w:p w:rsidR="00E3279A" w:rsidRPr="001C1142" w:rsidRDefault="00E3279A" w:rsidP="00E3279A">
            <w:pPr>
              <w:rPr>
                <w:b/>
                <w:bCs/>
                <w:color w:val="FFFFFF"/>
              </w:rPr>
            </w:pPr>
          </w:p>
        </w:tc>
      </w:tr>
      <w:tr w:rsidR="00E3279A" w:rsidRPr="001C1142" w:rsidTr="00E3279A">
        <w:trPr>
          <w:trHeight w:val="255"/>
        </w:trPr>
        <w:tc>
          <w:tcPr>
            <w:tcW w:w="4950" w:type="dxa"/>
            <w:tcBorders>
              <w:top w:val="nil"/>
              <w:left w:val="single" w:sz="4" w:space="0" w:color="auto"/>
              <w:bottom w:val="single" w:sz="4" w:space="0" w:color="auto"/>
              <w:right w:val="single" w:sz="4" w:space="0" w:color="auto"/>
            </w:tcBorders>
          </w:tcPr>
          <w:p w:rsidR="00E3279A" w:rsidRPr="001C1142" w:rsidRDefault="00E3279A" w:rsidP="00E3279A">
            <w:pPr>
              <w:rPr>
                <w:b/>
                <w:bCs/>
                <w:vertAlign w:val="superscript"/>
              </w:rPr>
            </w:pPr>
            <w:r w:rsidRPr="001C1142">
              <w:rPr>
                <w:b/>
                <w:bCs/>
              </w:rPr>
              <w:t>Daňové príjmy (100)</w:t>
            </w:r>
            <w:r w:rsidRPr="001C1142">
              <w:rPr>
                <w:b/>
                <w:bCs/>
                <w:vertAlign w:val="superscript"/>
              </w:rPr>
              <w:t>1</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0</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0</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0</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0</w:t>
            </w:r>
          </w:p>
        </w:tc>
        <w:tc>
          <w:tcPr>
            <w:tcW w:w="300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4950" w:type="dxa"/>
            <w:tcBorders>
              <w:top w:val="nil"/>
              <w:left w:val="single" w:sz="4" w:space="0" w:color="auto"/>
              <w:bottom w:val="single" w:sz="4" w:space="0" w:color="auto"/>
              <w:right w:val="single" w:sz="4" w:space="0" w:color="auto"/>
            </w:tcBorders>
          </w:tcPr>
          <w:p w:rsidR="00E3279A" w:rsidRPr="001C1142" w:rsidRDefault="00E3279A" w:rsidP="00E3279A">
            <w:pPr>
              <w:rPr>
                <w:b/>
                <w:bCs/>
              </w:rPr>
            </w:pPr>
            <w:r w:rsidRPr="001C1142">
              <w:rPr>
                <w:b/>
                <w:bCs/>
              </w:rPr>
              <w:t>Nedaňové príjmy (200)</w:t>
            </w:r>
            <w:r w:rsidRPr="001C1142">
              <w:rPr>
                <w:b/>
                <w:bCs/>
                <w:vertAlign w:val="superscript"/>
              </w:rPr>
              <w:t>1</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0</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0</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0</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0</w:t>
            </w:r>
          </w:p>
        </w:tc>
        <w:tc>
          <w:tcPr>
            <w:tcW w:w="300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4950" w:type="dxa"/>
            <w:tcBorders>
              <w:top w:val="nil"/>
              <w:left w:val="single" w:sz="4" w:space="0" w:color="auto"/>
              <w:bottom w:val="single" w:sz="4" w:space="0" w:color="auto"/>
              <w:right w:val="single" w:sz="4" w:space="0" w:color="auto"/>
            </w:tcBorders>
          </w:tcPr>
          <w:p w:rsidR="00E3279A" w:rsidRPr="001C1142" w:rsidRDefault="00E3279A" w:rsidP="00E3279A">
            <w:pPr>
              <w:rPr>
                <w:b/>
                <w:bCs/>
              </w:rPr>
            </w:pPr>
            <w:r w:rsidRPr="001C1142">
              <w:rPr>
                <w:b/>
                <w:bCs/>
              </w:rPr>
              <w:t>Granty a transfery (300)</w:t>
            </w:r>
            <w:r w:rsidRPr="001C1142">
              <w:rPr>
                <w:b/>
                <w:bCs/>
                <w:vertAlign w:val="superscript"/>
              </w:rPr>
              <w:t>1</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1500"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300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4950" w:type="dxa"/>
            <w:tcBorders>
              <w:top w:val="nil"/>
              <w:left w:val="single" w:sz="4" w:space="0" w:color="auto"/>
              <w:bottom w:val="single" w:sz="4" w:space="0" w:color="auto"/>
              <w:right w:val="single" w:sz="4" w:space="0" w:color="auto"/>
            </w:tcBorders>
          </w:tcPr>
          <w:p w:rsidR="00E3279A" w:rsidRPr="001C1142" w:rsidRDefault="00E3279A" w:rsidP="00E3279A">
            <w:pPr>
              <w:rPr>
                <w:b/>
                <w:bCs/>
              </w:rPr>
            </w:pPr>
            <w:r w:rsidRPr="001C1142">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rPr>
            </w:pPr>
            <w:r w:rsidRPr="001C1142">
              <w:rPr>
                <w:b/>
                <w:bCs/>
              </w:rPr>
              <w:t>- </w:t>
            </w:r>
          </w:p>
        </w:tc>
        <w:tc>
          <w:tcPr>
            <w:tcW w:w="150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rPr>
            </w:pPr>
            <w:r w:rsidRPr="001C1142">
              <w:rPr>
                <w:b/>
                <w:bCs/>
              </w:rPr>
              <w:t> -</w:t>
            </w:r>
          </w:p>
        </w:tc>
        <w:tc>
          <w:tcPr>
            <w:tcW w:w="150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rPr>
            </w:pPr>
            <w:r w:rsidRPr="001C1142">
              <w:rPr>
                <w:b/>
                <w:bCs/>
              </w:rPr>
              <w:t> -</w:t>
            </w:r>
          </w:p>
        </w:tc>
        <w:tc>
          <w:tcPr>
            <w:tcW w:w="150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rPr>
            </w:pPr>
            <w:r w:rsidRPr="001C1142">
              <w:rPr>
                <w:b/>
                <w:bCs/>
              </w:rPr>
              <w:t> -</w:t>
            </w:r>
          </w:p>
        </w:tc>
        <w:tc>
          <w:tcPr>
            <w:tcW w:w="300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4950" w:type="dxa"/>
            <w:tcBorders>
              <w:top w:val="nil"/>
              <w:left w:val="single" w:sz="4" w:space="0" w:color="auto"/>
              <w:bottom w:val="single" w:sz="4" w:space="0" w:color="auto"/>
              <w:right w:val="single" w:sz="4" w:space="0" w:color="auto"/>
            </w:tcBorders>
          </w:tcPr>
          <w:p w:rsidR="00E3279A" w:rsidRPr="001C1142" w:rsidRDefault="00E3279A" w:rsidP="00E3279A">
            <w:pPr>
              <w:rPr>
                <w:b/>
                <w:bCs/>
              </w:rPr>
            </w:pPr>
            <w:r w:rsidRPr="001C1142">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rPr>
            </w:pPr>
            <w:r w:rsidRPr="001C1142">
              <w:rPr>
                <w:b/>
                <w:bCs/>
              </w:rPr>
              <w:t>- </w:t>
            </w:r>
          </w:p>
        </w:tc>
        <w:tc>
          <w:tcPr>
            <w:tcW w:w="150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rPr>
            </w:pPr>
            <w:r w:rsidRPr="001C1142">
              <w:rPr>
                <w:b/>
                <w:bCs/>
              </w:rPr>
              <w:t> -</w:t>
            </w:r>
          </w:p>
        </w:tc>
        <w:tc>
          <w:tcPr>
            <w:tcW w:w="150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rPr>
            </w:pPr>
            <w:r w:rsidRPr="001C1142">
              <w:rPr>
                <w:b/>
                <w:bCs/>
              </w:rPr>
              <w:t>- </w:t>
            </w:r>
          </w:p>
        </w:tc>
        <w:tc>
          <w:tcPr>
            <w:tcW w:w="150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rPr>
            </w:pPr>
            <w:r w:rsidRPr="001C1142">
              <w:rPr>
                <w:b/>
                <w:bCs/>
              </w:rPr>
              <w:t> -</w:t>
            </w:r>
          </w:p>
        </w:tc>
        <w:tc>
          <w:tcPr>
            <w:tcW w:w="300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E3279A" w:rsidRPr="001C1142" w:rsidRDefault="00E3279A" w:rsidP="00E3279A">
            <w:pPr>
              <w:rPr>
                <w:b/>
                <w:bCs/>
              </w:rPr>
            </w:pPr>
            <w:r w:rsidRPr="001C1142">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E3279A" w:rsidRPr="001C1142" w:rsidRDefault="00E3279A" w:rsidP="00E3279A">
            <w:r w:rsidRPr="001C1142">
              <w:t> </w:t>
            </w:r>
          </w:p>
        </w:tc>
      </w:tr>
    </w:tbl>
    <w:p w:rsidR="00E3279A" w:rsidRPr="001C1142" w:rsidRDefault="00E3279A" w:rsidP="00E3279A">
      <w:pPr>
        <w:tabs>
          <w:tab w:val="num" w:pos="1080"/>
        </w:tabs>
        <w:jc w:val="both"/>
        <w:rPr>
          <w:bCs/>
          <w:sz w:val="20"/>
          <w:szCs w:val="20"/>
        </w:rPr>
      </w:pPr>
      <w:r w:rsidRPr="001C1142">
        <w:rPr>
          <w:bCs/>
          <w:sz w:val="20"/>
          <w:szCs w:val="20"/>
        </w:rPr>
        <w:t>1 –  príjmy rozpísať až do položiek platnej ekonomickej klasifikácie</w:t>
      </w:r>
    </w:p>
    <w:p w:rsidR="00E3279A" w:rsidRPr="001C1142" w:rsidRDefault="00E3279A" w:rsidP="00E3279A">
      <w:pPr>
        <w:tabs>
          <w:tab w:val="num" w:pos="1080"/>
        </w:tabs>
        <w:jc w:val="both"/>
        <w:rPr>
          <w:bCs/>
          <w:szCs w:val="20"/>
        </w:rPr>
      </w:pPr>
    </w:p>
    <w:p w:rsidR="00E3279A" w:rsidRPr="001C1142" w:rsidRDefault="00E3279A" w:rsidP="00E3279A">
      <w:pPr>
        <w:tabs>
          <w:tab w:val="num" w:pos="1080"/>
        </w:tabs>
        <w:jc w:val="both"/>
        <w:rPr>
          <w:b/>
          <w:bCs/>
          <w:szCs w:val="20"/>
        </w:rPr>
      </w:pPr>
      <w:r w:rsidRPr="001C1142">
        <w:rPr>
          <w:b/>
          <w:bCs/>
          <w:szCs w:val="20"/>
        </w:rPr>
        <w:t>Poznámka:</w:t>
      </w:r>
    </w:p>
    <w:p w:rsidR="00E3279A" w:rsidRPr="001C1142" w:rsidRDefault="00E3279A" w:rsidP="00E3279A">
      <w:pPr>
        <w:tabs>
          <w:tab w:val="num" w:pos="1080"/>
        </w:tabs>
        <w:jc w:val="both"/>
        <w:rPr>
          <w:bCs/>
          <w:szCs w:val="20"/>
        </w:rPr>
      </w:pPr>
      <w:r w:rsidRPr="001C1142">
        <w:rPr>
          <w:bCs/>
          <w:szCs w:val="20"/>
        </w:rPr>
        <w:t>Ak sa vplyv týka viacerých subjektov verejnej správy, vypĺňa sa samostatná tabuľka za každý subjekt.</w:t>
      </w:r>
    </w:p>
    <w:p w:rsidR="00E3279A" w:rsidRPr="001C1142" w:rsidRDefault="00E3279A" w:rsidP="00E3279A">
      <w:pPr>
        <w:tabs>
          <w:tab w:val="num" w:pos="1080"/>
        </w:tabs>
        <w:ind w:right="-578"/>
        <w:jc w:val="right"/>
        <w:rPr>
          <w:bCs/>
        </w:rPr>
      </w:pPr>
      <w:r w:rsidRPr="001C1142">
        <w:rPr>
          <w:bCs/>
        </w:rPr>
        <w:t xml:space="preserve"> </w:t>
      </w: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578"/>
        <w:jc w:val="right"/>
        <w:rPr>
          <w:bCs/>
        </w:rPr>
      </w:pPr>
    </w:p>
    <w:p w:rsidR="00E3279A" w:rsidRPr="001C1142" w:rsidRDefault="00E3279A" w:rsidP="00E3279A">
      <w:pPr>
        <w:tabs>
          <w:tab w:val="num" w:pos="1080"/>
        </w:tabs>
        <w:ind w:right="-32"/>
        <w:jc w:val="right"/>
        <w:rPr>
          <w:bCs/>
        </w:rPr>
      </w:pPr>
      <w:r w:rsidRPr="001C1142">
        <w:rPr>
          <w:bCs/>
        </w:rPr>
        <w:lastRenderedPageBreak/>
        <w:t xml:space="preserve">Tabuľka č. 4 </w:t>
      </w:r>
    </w:p>
    <w:p w:rsidR="00E3279A" w:rsidRPr="001C1142" w:rsidRDefault="00E3279A" w:rsidP="00E3279A">
      <w:pPr>
        <w:tabs>
          <w:tab w:val="num" w:pos="1080"/>
        </w:tabs>
        <w:jc w:val="both"/>
        <w:rPr>
          <w:bCs/>
          <w:szCs w:val="20"/>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E3279A" w:rsidRPr="001C1142" w:rsidTr="00E3279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3279A" w:rsidRPr="001C1142" w:rsidRDefault="00E3279A" w:rsidP="00E3279A">
            <w:pPr>
              <w:jc w:val="center"/>
              <w:rPr>
                <w:b/>
                <w:bCs/>
                <w:sz w:val="20"/>
                <w:szCs w:val="20"/>
              </w:rPr>
            </w:pPr>
            <w:r w:rsidRPr="001C1142">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sz w:val="20"/>
                <w:szCs w:val="20"/>
              </w:rPr>
            </w:pPr>
            <w:r w:rsidRPr="001C1142">
              <w:rPr>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3279A" w:rsidRPr="001C1142" w:rsidRDefault="00E3279A" w:rsidP="00E3279A">
            <w:pPr>
              <w:jc w:val="center"/>
              <w:rPr>
                <w:b/>
                <w:bCs/>
              </w:rPr>
            </w:pPr>
            <w:r w:rsidRPr="001C1142">
              <w:rPr>
                <w:b/>
                <w:bCs/>
              </w:rPr>
              <w:t>poznámka</w:t>
            </w:r>
          </w:p>
        </w:tc>
      </w:tr>
      <w:tr w:rsidR="00E3279A" w:rsidRPr="001C1142" w:rsidTr="00E3279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3279A" w:rsidRPr="001C1142" w:rsidRDefault="00E3279A" w:rsidP="00E3279A">
            <w:pPr>
              <w:rPr>
                <w:b/>
                <w:bCs/>
                <w:color w:val="FFFFFF"/>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sz w:val="20"/>
                <w:szCs w:val="20"/>
              </w:rPr>
            </w:pPr>
            <w:r w:rsidRPr="001C1142">
              <w:rPr>
                <w:b/>
                <w:bCs/>
                <w:sz w:val="20"/>
                <w:szCs w:val="20"/>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sz w:val="20"/>
                <w:szCs w:val="20"/>
              </w:rPr>
            </w:pPr>
            <w:r w:rsidRPr="001C1142">
              <w:rPr>
                <w:b/>
                <w:bCs/>
                <w:sz w:val="20"/>
                <w:szCs w:val="20"/>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sz w:val="20"/>
                <w:szCs w:val="20"/>
              </w:rPr>
            </w:pPr>
            <w:r w:rsidRPr="001C1142">
              <w:rPr>
                <w:b/>
                <w:bCs/>
                <w:sz w:val="20"/>
                <w:szCs w:val="20"/>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sz w:val="20"/>
                <w:szCs w:val="20"/>
              </w:rPr>
            </w:pPr>
            <w:r w:rsidRPr="001C1142">
              <w:rPr>
                <w:b/>
                <w:bCs/>
                <w:sz w:val="20"/>
                <w:szCs w:val="20"/>
              </w:rPr>
              <w:t>2023</w:t>
            </w:r>
          </w:p>
        </w:tc>
        <w:tc>
          <w:tcPr>
            <w:tcW w:w="2220" w:type="dxa"/>
            <w:vMerge/>
            <w:tcBorders>
              <w:top w:val="single" w:sz="4" w:space="0" w:color="auto"/>
              <w:left w:val="single" w:sz="4" w:space="0" w:color="auto"/>
              <w:bottom w:val="single" w:sz="4" w:space="0" w:color="auto"/>
              <w:right w:val="single" w:sz="4" w:space="0" w:color="auto"/>
            </w:tcBorders>
            <w:vAlign w:val="center"/>
          </w:tcPr>
          <w:p w:rsidR="00E3279A" w:rsidRPr="001C1142" w:rsidRDefault="00E3279A" w:rsidP="00E3279A">
            <w:pPr>
              <w:rPr>
                <w:b/>
                <w:bCs/>
                <w:color w:val="FFFFFF"/>
              </w:rPr>
            </w:pPr>
          </w:p>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tcPr>
          <w:p w:rsidR="00E3279A" w:rsidRPr="001C1142" w:rsidRDefault="00E3279A" w:rsidP="00E3279A">
            <w:pPr>
              <w:rPr>
                <w:b/>
                <w:bCs/>
                <w:sz w:val="20"/>
                <w:szCs w:val="20"/>
              </w:rPr>
            </w:pPr>
            <w:r w:rsidRPr="001C1142">
              <w:rPr>
                <w:b/>
                <w:bCs/>
                <w:sz w:val="20"/>
                <w:szCs w:val="20"/>
              </w:rPr>
              <w:t>Bežné výdavky (600)</w:t>
            </w: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b/>
                <w:bCs/>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b/>
                <w:bCs/>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b/>
                <w:bCs/>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b/>
                <w:bCs/>
                <w:sz w:val="20"/>
                <w:szCs w:val="20"/>
              </w:rPr>
            </w:pP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tcPr>
          <w:p w:rsidR="00E3279A" w:rsidRPr="001C1142" w:rsidRDefault="00E3279A" w:rsidP="00E3279A">
            <w:pPr>
              <w:rPr>
                <w:sz w:val="20"/>
                <w:szCs w:val="20"/>
              </w:rPr>
            </w:pPr>
            <w:r w:rsidRPr="001C1142">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E3279A" w:rsidRPr="001C1142" w:rsidRDefault="00E3279A" w:rsidP="00E3279A">
            <w:pPr>
              <w:jc w:val="center"/>
              <w:rPr>
                <w:sz w:val="20"/>
                <w:szCs w:val="20"/>
              </w:rPr>
            </w:pPr>
            <w:r w:rsidRPr="001C1142">
              <w:rPr>
                <w:sz w:val="20"/>
                <w:szCs w:val="20"/>
              </w:rPr>
              <w:t>0</w:t>
            </w:r>
          </w:p>
        </w:tc>
        <w:tc>
          <w:tcPr>
            <w:tcW w:w="1540" w:type="dxa"/>
            <w:tcBorders>
              <w:top w:val="nil"/>
              <w:left w:val="nil"/>
              <w:bottom w:val="single" w:sz="4" w:space="0" w:color="auto"/>
              <w:right w:val="single" w:sz="4" w:space="0" w:color="auto"/>
            </w:tcBorders>
          </w:tcPr>
          <w:p w:rsidR="00E3279A" w:rsidRPr="001C1142" w:rsidRDefault="00E3279A" w:rsidP="00E3279A">
            <w:pPr>
              <w:jc w:val="center"/>
              <w:rPr>
                <w:sz w:val="20"/>
                <w:szCs w:val="20"/>
              </w:rPr>
            </w:pPr>
            <w:r w:rsidRPr="001C1142">
              <w:rPr>
                <w:sz w:val="20"/>
                <w:szCs w:val="20"/>
              </w:rPr>
              <w:t>0</w:t>
            </w:r>
          </w:p>
        </w:tc>
        <w:tc>
          <w:tcPr>
            <w:tcW w:w="1540" w:type="dxa"/>
            <w:tcBorders>
              <w:top w:val="nil"/>
              <w:left w:val="nil"/>
              <w:bottom w:val="single" w:sz="4" w:space="0" w:color="auto"/>
              <w:right w:val="single" w:sz="4" w:space="0" w:color="auto"/>
            </w:tcBorders>
          </w:tcPr>
          <w:p w:rsidR="00E3279A" w:rsidRPr="001C1142" w:rsidRDefault="00E3279A" w:rsidP="00E3279A">
            <w:pPr>
              <w:jc w:val="center"/>
              <w:rPr>
                <w:sz w:val="20"/>
                <w:szCs w:val="20"/>
              </w:rPr>
            </w:pPr>
            <w:r w:rsidRPr="001C1142">
              <w:rPr>
                <w:sz w:val="20"/>
                <w:szCs w:val="20"/>
              </w:rPr>
              <w:t>0</w:t>
            </w:r>
          </w:p>
        </w:tc>
        <w:tc>
          <w:tcPr>
            <w:tcW w:w="1540" w:type="dxa"/>
            <w:tcBorders>
              <w:top w:val="nil"/>
              <w:left w:val="nil"/>
              <w:bottom w:val="single" w:sz="4" w:space="0" w:color="auto"/>
              <w:right w:val="single" w:sz="4" w:space="0" w:color="auto"/>
            </w:tcBorders>
          </w:tcPr>
          <w:p w:rsidR="00E3279A" w:rsidRPr="001C1142" w:rsidRDefault="00E3279A" w:rsidP="00E3279A">
            <w:pPr>
              <w:jc w:val="center"/>
              <w:rPr>
                <w:sz w:val="20"/>
                <w:szCs w:val="20"/>
              </w:rPr>
            </w:pPr>
            <w:r w:rsidRPr="001C1142">
              <w:rPr>
                <w:sz w:val="20"/>
                <w:szCs w:val="20"/>
              </w:rPr>
              <w:t>0</w:t>
            </w: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tcPr>
          <w:p w:rsidR="00E3279A" w:rsidRPr="001C1142" w:rsidRDefault="00E3279A" w:rsidP="00E3279A">
            <w:pPr>
              <w:rPr>
                <w:sz w:val="20"/>
                <w:szCs w:val="20"/>
                <w:vertAlign w:val="superscript"/>
              </w:rPr>
            </w:pPr>
            <w:r w:rsidRPr="001C1142">
              <w:rPr>
                <w:sz w:val="20"/>
                <w:szCs w:val="20"/>
              </w:rPr>
              <w:t xml:space="preserve">  Poistné a príspevok do poisťovní (620)</w:t>
            </w:r>
          </w:p>
        </w:tc>
        <w:tc>
          <w:tcPr>
            <w:tcW w:w="1540" w:type="dxa"/>
            <w:tcBorders>
              <w:top w:val="nil"/>
              <w:left w:val="nil"/>
              <w:bottom w:val="single" w:sz="4" w:space="0" w:color="auto"/>
              <w:right w:val="single" w:sz="4" w:space="0" w:color="auto"/>
            </w:tcBorders>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tcPr>
          <w:p w:rsidR="00E3279A" w:rsidRPr="001C1142" w:rsidRDefault="00E3279A" w:rsidP="00E3279A">
            <w:pPr>
              <w:jc w:val="center"/>
              <w:rPr>
                <w:sz w:val="20"/>
                <w:szCs w:val="20"/>
              </w:rPr>
            </w:pP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tcPr>
          <w:p w:rsidR="00E3279A" w:rsidRPr="001C1142" w:rsidRDefault="00E3279A" w:rsidP="00E3279A">
            <w:pPr>
              <w:rPr>
                <w:sz w:val="20"/>
                <w:szCs w:val="20"/>
              </w:rPr>
            </w:pPr>
            <w:r w:rsidRPr="001C1142">
              <w:rPr>
                <w:sz w:val="20"/>
                <w:szCs w:val="20"/>
              </w:rPr>
              <w:t xml:space="preserve">  Tovary a služby (630)</w:t>
            </w:r>
            <w:r w:rsidRPr="001C1142">
              <w:rPr>
                <w:sz w:val="20"/>
                <w:szCs w:val="20"/>
                <w:vertAlign w:val="superscript"/>
              </w:rPr>
              <w:t>2</w:t>
            </w:r>
            <w:r w:rsidRPr="001C1142">
              <w:rPr>
                <w:sz w:val="20"/>
                <w:szCs w:val="20"/>
              </w:rPr>
              <w:t xml:space="preserve"> </w:t>
            </w: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tcPr>
          <w:p w:rsidR="00E3279A" w:rsidRPr="001C1142" w:rsidRDefault="00E3279A" w:rsidP="00E3279A">
            <w:pPr>
              <w:rPr>
                <w:sz w:val="20"/>
                <w:szCs w:val="20"/>
              </w:rPr>
            </w:pPr>
            <w:r w:rsidRPr="001C1142">
              <w:rPr>
                <w:sz w:val="20"/>
                <w:szCs w:val="20"/>
              </w:rPr>
              <w:t xml:space="preserve">  Bežné transfery (640)</w:t>
            </w:r>
            <w:r w:rsidRPr="001C1142">
              <w:rPr>
                <w:sz w:val="20"/>
                <w:szCs w:val="20"/>
                <w:vertAlign w:val="superscript"/>
              </w:rPr>
              <w:t>2</w:t>
            </w: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vAlign w:val="center"/>
          </w:tcPr>
          <w:p w:rsidR="00E3279A" w:rsidRPr="001C1142" w:rsidRDefault="00E3279A" w:rsidP="00E3279A">
            <w:pPr>
              <w:rPr>
                <w:sz w:val="20"/>
                <w:szCs w:val="20"/>
              </w:rPr>
            </w:pPr>
            <w:r w:rsidRPr="001C1142">
              <w:rPr>
                <w:sz w:val="20"/>
                <w:szCs w:val="20"/>
              </w:rPr>
              <w:t xml:space="preserve">  Splácanie úrokov a ostatné platby súvisiace s </w:t>
            </w:r>
            <w:r w:rsidRPr="001C1142">
              <w:t xml:space="preserve"> </w:t>
            </w:r>
            <w:r w:rsidRPr="001C1142">
              <w:rPr>
                <w:sz w:val="20"/>
                <w:szCs w:val="20"/>
              </w:rPr>
              <w:t>úverom, pôžičkou, návratnou finančnou výpomocou a finančným prenájmom (650)</w:t>
            </w:r>
            <w:r w:rsidRPr="001C1142">
              <w:rPr>
                <w:sz w:val="20"/>
                <w:szCs w:val="20"/>
                <w:vertAlign w:val="superscript"/>
              </w:rPr>
              <w:t>2</w:t>
            </w: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tcPr>
          <w:p w:rsidR="00E3279A" w:rsidRPr="001C1142" w:rsidRDefault="00E3279A" w:rsidP="00E3279A">
            <w:pPr>
              <w:rPr>
                <w:b/>
                <w:bCs/>
                <w:sz w:val="20"/>
                <w:szCs w:val="20"/>
              </w:rPr>
            </w:pPr>
            <w:r w:rsidRPr="001C1142">
              <w:rPr>
                <w:b/>
                <w:bCs/>
                <w:sz w:val="20"/>
                <w:szCs w:val="20"/>
              </w:rPr>
              <w:t>Kapitálové výdavky (700)</w:t>
            </w: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b/>
                <w:bCs/>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b/>
                <w:bCs/>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b/>
                <w:bCs/>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b/>
                <w:bCs/>
                <w:sz w:val="20"/>
                <w:szCs w:val="20"/>
              </w:rPr>
            </w:pP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tcPr>
          <w:p w:rsidR="00E3279A" w:rsidRPr="001C1142" w:rsidRDefault="00E3279A" w:rsidP="00E3279A">
            <w:pPr>
              <w:rPr>
                <w:sz w:val="20"/>
                <w:szCs w:val="20"/>
              </w:rPr>
            </w:pPr>
            <w:r w:rsidRPr="001C1142">
              <w:rPr>
                <w:sz w:val="20"/>
                <w:szCs w:val="20"/>
              </w:rPr>
              <w:t xml:space="preserve">  Obstarávanie kapitálových aktív (710)</w:t>
            </w:r>
            <w:r w:rsidRPr="001C1142">
              <w:rPr>
                <w:sz w:val="20"/>
                <w:szCs w:val="20"/>
                <w:vertAlign w:val="superscript"/>
              </w:rPr>
              <w:t>2</w:t>
            </w:r>
            <w:r w:rsidRPr="001C1142">
              <w:rPr>
                <w:sz w:val="20"/>
                <w:szCs w:val="20"/>
              </w:rPr>
              <w:t xml:space="preserve">  - 711</w:t>
            </w: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tcPr>
          <w:p w:rsidR="00E3279A" w:rsidRPr="001C1142" w:rsidRDefault="00E3279A" w:rsidP="00E3279A">
            <w:pPr>
              <w:rPr>
                <w:sz w:val="20"/>
                <w:szCs w:val="20"/>
              </w:rPr>
            </w:pPr>
            <w:r w:rsidRPr="001C1142">
              <w:rPr>
                <w:sz w:val="20"/>
                <w:szCs w:val="20"/>
              </w:rPr>
              <w:t xml:space="preserve">  Kapitálové transfery (720)</w:t>
            </w:r>
            <w:r w:rsidRPr="001C1142">
              <w:rPr>
                <w:sz w:val="20"/>
                <w:szCs w:val="20"/>
                <w:vertAlign w:val="superscript"/>
              </w:rPr>
              <w:t>2</w:t>
            </w: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1540" w:type="dxa"/>
            <w:tcBorders>
              <w:top w:val="nil"/>
              <w:left w:val="nil"/>
              <w:bottom w:val="single" w:sz="4" w:space="0" w:color="auto"/>
              <w:right w:val="single" w:sz="4" w:space="0" w:color="auto"/>
            </w:tcBorders>
            <w:vAlign w:val="center"/>
          </w:tcPr>
          <w:p w:rsidR="00E3279A" w:rsidRPr="001C1142" w:rsidRDefault="00E3279A" w:rsidP="00E3279A">
            <w:pPr>
              <w:jc w:val="center"/>
              <w:rPr>
                <w:sz w:val="20"/>
                <w:szCs w:val="20"/>
              </w:rPr>
            </w:pP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7070" w:type="dxa"/>
            <w:tcBorders>
              <w:top w:val="nil"/>
              <w:left w:val="single" w:sz="4" w:space="0" w:color="auto"/>
              <w:bottom w:val="single" w:sz="4" w:space="0" w:color="auto"/>
              <w:right w:val="single" w:sz="4" w:space="0" w:color="auto"/>
            </w:tcBorders>
          </w:tcPr>
          <w:p w:rsidR="00E3279A" w:rsidRPr="001C1142" w:rsidRDefault="00E3279A" w:rsidP="00E3279A">
            <w:pPr>
              <w:rPr>
                <w:b/>
                <w:bCs/>
                <w:sz w:val="20"/>
                <w:szCs w:val="20"/>
              </w:rPr>
            </w:pPr>
            <w:r w:rsidRPr="001C1142">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sz w:val="20"/>
                <w:szCs w:val="20"/>
              </w:rPr>
            </w:pPr>
            <w:r w:rsidRPr="001C1142">
              <w:rPr>
                <w:b/>
                <w:bCs/>
                <w:sz w:val="20"/>
                <w:szCs w:val="20"/>
              </w:rPr>
              <w:t> </w:t>
            </w:r>
          </w:p>
        </w:tc>
        <w:tc>
          <w:tcPr>
            <w:tcW w:w="154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sz w:val="20"/>
                <w:szCs w:val="20"/>
              </w:rPr>
            </w:pPr>
          </w:p>
        </w:tc>
        <w:tc>
          <w:tcPr>
            <w:tcW w:w="154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sz w:val="20"/>
                <w:szCs w:val="20"/>
              </w:rPr>
            </w:pPr>
            <w:r w:rsidRPr="001C1142">
              <w:rPr>
                <w:b/>
                <w:bCs/>
                <w:sz w:val="20"/>
                <w:szCs w:val="20"/>
              </w:rPr>
              <w:t> </w:t>
            </w:r>
          </w:p>
        </w:tc>
        <w:tc>
          <w:tcPr>
            <w:tcW w:w="1540" w:type="dxa"/>
            <w:tcBorders>
              <w:top w:val="nil"/>
              <w:left w:val="nil"/>
              <w:bottom w:val="single" w:sz="4" w:space="0" w:color="auto"/>
              <w:right w:val="single" w:sz="4" w:space="0" w:color="auto"/>
            </w:tcBorders>
            <w:shd w:val="clear" w:color="auto" w:fill="FFFF99"/>
          </w:tcPr>
          <w:p w:rsidR="00E3279A" w:rsidRPr="001C1142" w:rsidRDefault="00E3279A" w:rsidP="00E3279A">
            <w:pPr>
              <w:jc w:val="center"/>
              <w:rPr>
                <w:b/>
                <w:bCs/>
                <w:sz w:val="20"/>
                <w:szCs w:val="20"/>
              </w:rPr>
            </w:pPr>
            <w:r w:rsidRPr="001C1142">
              <w:rPr>
                <w:b/>
                <w:bCs/>
                <w:sz w:val="20"/>
                <w:szCs w:val="20"/>
              </w:rPr>
              <w:t> </w:t>
            </w:r>
          </w:p>
        </w:tc>
        <w:tc>
          <w:tcPr>
            <w:tcW w:w="2220" w:type="dxa"/>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3279A" w:rsidRPr="001C1142" w:rsidRDefault="00E3279A" w:rsidP="00E3279A">
            <w:pPr>
              <w:rPr>
                <w:b/>
                <w:bCs/>
                <w:sz w:val="20"/>
                <w:szCs w:val="20"/>
              </w:rPr>
            </w:pPr>
            <w:r w:rsidRPr="001C1142">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sz w:val="20"/>
                <w:szCs w:val="20"/>
              </w:rPr>
            </w:pPr>
            <w:r w:rsidRPr="001C1142">
              <w:rPr>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sz w:val="20"/>
                <w:szCs w:val="20"/>
              </w:rPr>
            </w:pPr>
            <w:r w:rsidRPr="001C1142">
              <w:rPr>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sz w:val="20"/>
                <w:szCs w:val="20"/>
              </w:rPr>
            </w:pPr>
            <w:r w:rsidRPr="001C1142">
              <w:rPr>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sz w:val="20"/>
                <w:szCs w:val="20"/>
              </w:rPr>
            </w:pPr>
            <w:r w:rsidRPr="001C1142">
              <w:rPr>
                <w:sz w:val="20"/>
                <w:szCs w:val="2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3279A" w:rsidRPr="001C1142" w:rsidRDefault="00E3279A" w:rsidP="00E3279A">
            <w:r w:rsidRPr="001C1142">
              <w:t> </w:t>
            </w:r>
          </w:p>
        </w:tc>
      </w:tr>
    </w:tbl>
    <w:p w:rsidR="00E3279A" w:rsidRPr="001C1142" w:rsidRDefault="00E3279A" w:rsidP="00E3279A">
      <w:pPr>
        <w:tabs>
          <w:tab w:val="num" w:pos="1080"/>
        </w:tabs>
        <w:ind w:left="-900"/>
        <w:jc w:val="both"/>
        <w:rPr>
          <w:bCs/>
          <w:sz w:val="20"/>
          <w:szCs w:val="20"/>
        </w:rPr>
      </w:pPr>
      <w:r w:rsidRPr="001C1142">
        <w:rPr>
          <w:bCs/>
          <w:sz w:val="20"/>
          <w:szCs w:val="20"/>
        </w:rPr>
        <w:t>2 –  výdavky rozpísať až do položiek platnej ekonomickej klasifikácie</w:t>
      </w:r>
    </w:p>
    <w:p w:rsidR="00E3279A" w:rsidRPr="001C1142" w:rsidRDefault="00E3279A" w:rsidP="00E3279A">
      <w:pPr>
        <w:tabs>
          <w:tab w:val="num" w:pos="1080"/>
        </w:tabs>
        <w:ind w:left="-900"/>
        <w:jc w:val="both"/>
        <w:rPr>
          <w:bCs/>
          <w:szCs w:val="20"/>
        </w:rPr>
      </w:pPr>
    </w:p>
    <w:p w:rsidR="00E3279A" w:rsidRPr="001C1142" w:rsidRDefault="00E3279A" w:rsidP="00E3279A">
      <w:pPr>
        <w:tabs>
          <w:tab w:val="num" w:pos="1080"/>
        </w:tabs>
        <w:ind w:left="-900"/>
        <w:jc w:val="both"/>
        <w:rPr>
          <w:b/>
          <w:bCs/>
          <w:sz w:val="20"/>
          <w:szCs w:val="20"/>
        </w:rPr>
      </w:pPr>
      <w:r w:rsidRPr="001C1142">
        <w:rPr>
          <w:b/>
          <w:bCs/>
          <w:szCs w:val="20"/>
        </w:rPr>
        <w:t>Poznámka:</w:t>
      </w:r>
    </w:p>
    <w:p w:rsidR="00E3279A" w:rsidRPr="001C1142" w:rsidRDefault="00E3279A" w:rsidP="00E3279A">
      <w:pPr>
        <w:tabs>
          <w:tab w:val="num" w:pos="1080"/>
        </w:tabs>
        <w:ind w:left="-900"/>
        <w:jc w:val="both"/>
        <w:rPr>
          <w:bCs/>
          <w:sz w:val="20"/>
          <w:szCs w:val="20"/>
        </w:rPr>
      </w:pPr>
      <w:r w:rsidRPr="001C1142">
        <w:rPr>
          <w:bCs/>
          <w:szCs w:val="20"/>
        </w:rPr>
        <w:t>Ak sa vplyv týka viacerých subjektov verejnej správy, vypĺňa sa samostatná tabuľka za každý subjekt.</w:t>
      </w: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ind w:left="-900"/>
        <w:jc w:val="both"/>
        <w:rPr>
          <w:bCs/>
          <w:sz w:val="20"/>
          <w:szCs w:val="20"/>
        </w:rPr>
      </w:pPr>
    </w:p>
    <w:p w:rsidR="00E3279A" w:rsidRPr="001C1142" w:rsidRDefault="00E3279A" w:rsidP="00E3279A">
      <w:pPr>
        <w:tabs>
          <w:tab w:val="num" w:pos="1080"/>
        </w:tabs>
        <w:jc w:val="right"/>
        <w:rPr>
          <w:bCs/>
        </w:rPr>
      </w:pPr>
      <w:r w:rsidRPr="001C1142">
        <w:rPr>
          <w:bCs/>
        </w:rPr>
        <w:t xml:space="preserve">                 Tabuľka č. 5 </w:t>
      </w:r>
    </w:p>
    <w:p w:rsidR="00E3279A" w:rsidRPr="001C1142" w:rsidRDefault="00E3279A" w:rsidP="00E3279A">
      <w:pPr>
        <w:tabs>
          <w:tab w:val="num" w:pos="1080"/>
        </w:tabs>
        <w:jc w:val="both"/>
        <w:rPr>
          <w:bCs/>
          <w:szCs w:val="20"/>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375"/>
        <w:gridCol w:w="323"/>
        <w:gridCol w:w="1722"/>
        <w:gridCol w:w="630"/>
        <w:gridCol w:w="990"/>
      </w:tblGrid>
      <w:tr w:rsidR="00E3279A" w:rsidRPr="001C1142" w:rsidTr="00E3279A">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3279A" w:rsidRPr="001C1142" w:rsidRDefault="00E3279A" w:rsidP="00E3279A">
            <w:pPr>
              <w:jc w:val="center"/>
              <w:rPr>
                <w:b/>
                <w:bCs/>
              </w:rPr>
            </w:pPr>
            <w:r w:rsidRPr="001C1142">
              <w:rPr>
                <w:b/>
                <w:bCs/>
              </w:rPr>
              <w:t>Zamestnanosť</w:t>
            </w:r>
          </w:p>
        </w:tc>
        <w:tc>
          <w:tcPr>
            <w:tcW w:w="7626" w:type="dxa"/>
            <w:gridSpan w:val="6"/>
            <w:tcBorders>
              <w:top w:val="single" w:sz="4" w:space="0" w:color="auto"/>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3279A" w:rsidRPr="001C1142" w:rsidRDefault="00E3279A" w:rsidP="00E3279A">
            <w:pPr>
              <w:jc w:val="center"/>
              <w:rPr>
                <w:b/>
                <w:bCs/>
              </w:rPr>
            </w:pPr>
            <w:r w:rsidRPr="001C1142">
              <w:rPr>
                <w:b/>
                <w:bCs/>
              </w:rPr>
              <w:t>poznámka</w:t>
            </w:r>
          </w:p>
        </w:tc>
      </w:tr>
      <w:tr w:rsidR="00E3279A" w:rsidRPr="001C1142" w:rsidTr="00E3279A">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3279A" w:rsidRPr="001C1142" w:rsidRDefault="00E3279A" w:rsidP="00E3279A">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2020</w:t>
            </w:r>
          </w:p>
        </w:tc>
        <w:tc>
          <w:tcPr>
            <w:tcW w:w="1788"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2021</w:t>
            </w:r>
          </w:p>
        </w:tc>
        <w:tc>
          <w:tcPr>
            <w:tcW w:w="2095" w:type="dxa"/>
            <w:gridSpan w:val="2"/>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2022</w:t>
            </w:r>
          </w:p>
        </w:tc>
        <w:tc>
          <w:tcPr>
            <w:tcW w:w="2045" w:type="dxa"/>
            <w:gridSpan w:val="2"/>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2023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3279A" w:rsidRPr="001C1142" w:rsidRDefault="00E3279A" w:rsidP="00E3279A">
            <w:pPr>
              <w:rPr>
                <w:b/>
                <w:bCs/>
                <w:color w:val="FFFFFF"/>
              </w:rPr>
            </w:pPr>
          </w:p>
        </w:tc>
      </w:tr>
      <w:tr w:rsidR="00E3279A" w:rsidRPr="001C1142" w:rsidTr="00E3279A">
        <w:trPr>
          <w:trHeight w:val="255"/>
        </w:trPr>
        <w:tc>
          <w:tcPr>
            <w:tcW w:w="6188" w:type="dxa"/>
            <w:tcBorders>
              <w:top w:val="nil"/>
              <w:left w:val="single" w:sz="4" w:space="0" w:color="auto"/>
              <w:bottom w:val="single" w:sz="4" w:space="0" w:color="auto"/>
              <w:right w:val="single" w:sz="4" w:space="0" w:color="auto"/>
            </w:tcBorders>
          </w:tcPr>
          <w:p w:rsidR="00E3279A" w:rsidRPr="001C1142" w:rsidRDefault="00E3279A" w:rsidP="00E3279A">
            <w:pPr>
              <w:rPr>
                <w:b/>
                <w:bCs/>
              </w:rPr>
            </w:pPr>
            <w:r w:rsidRPr="001C1142">
              <w:rPr>
                <w:b/>
                <w:bCs/>
              </w:rPr>
              <w:t>Počet zamestnancov celkom</w:t>
            </w:r>
          </w:p>
        </w:tc>
        <w:tc>
          <w:tcPr>
            <w:tcW w:w="169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78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9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4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620" w:type="dxa"/>
            <w:gridSpan w:val="2"/>
            <w:vMerge w:val="restart"/>
            <w:tcBorders>
              <w:top w:val="nil"/>
              <w:left w:val="nil"/>
              <w:right w:val="single" w:sz="4" w:space="0" w:color="auto"/>
            </w:tcBorders>
            <w:noWrap/>
          </w:tcPr>
          <w:p w:rsidR="00E3279A" w:rsidRPr="001C1142" w:rsidRDefault="00E3279A" w:rsidP="00E3279A">
            <w:pPr>
              <w:rPr>
                <w:sz w:val="20"/>
                <w:szCs w:val="20"/>
              </w:rPr>
            </w:pPr>
          </w:p>
        </w:tc>
      </w:tr>
      <w:tr w:rsidR="00E3279A" w:rsidRPr="001C1142" w:rsidTr="00E3279A">
        <w:trPr>
          <w:trHeight w:val="255"/>
        </w:trPr>
        <w:tc>
          <w:tcPr>
            <w:tcW w:w="6188" w:type="dxa"/>
            <w:tcBorders>
              <w:top w:val="nil"/>
              <w:left w:val="single" w:sz="4" w:space="0" w:color="auto"/>
              <w:bottom w:val="single" w:sz="4" w:space="0" w:color="auto"/>
              <w:right w:val="single" w:sz="4" w:space="0" w:color="auto"/>
            </w:tcBorders>
          </w:tcPr>
          <w:p w:rsidR="00E3279A" w:rsidRPr="001C1142" w:rsidRDefault="00E3279A" w:rsidP="00E3279A">
            <w:pPr>
              <w:rPr>
                <w:b/>
                <w:bCs/>
              </w:rPr>
            </w:pPr>
            <w:r w:rsidRPr="001C1142">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788" w:type="dxa"/>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95" w:type="dxa"/>
            <w:gridSpan w:val="2"/>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45" w:type="dxa"/>
            <w:gridSpan w:val="2"/>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620" w:type="dxa"/>
            <w:gridSpan w:val="2"/>
            <w:vMerge/>
            <w:tcBorders>
              <w:left w:val="nil"/>
              <w:right w:val="single" w:sz="4" w:space="0" w:color="auto"/>
            </w:tcBorders>
            <w:noWrap/>
            <w:vAlign w:val="bottom"/>
          </w:tcPr>
          <w:p w:rsidR="00E3279A" w:rsidRPr="001C1142" w:rsidRDefault="00E3279A" w:rsidP="00E3279A"/>
        </w:tc>
      </w:tr>
      <w:tr w:rsidR="00E3279A" w:rsidRPr="001C1142" w:rsidTr="00E3279A">
        <w:trPr>
          <w:trHeight w:val="255"/>
        </w:trPr>
        <w:tc>
          <w:tcPr>
            <w:tcW w:w="6188" w:type="dxa"/>
            <w:tcBorders>
              <w:top w:val="nil"/>
              <w:left w:val="single" w:sz="4" w:space="0" w:color="auto"/>
              <w:bottom w:val="single" w:sz="4" w:space="0" w:color="auto"/>
              <w:right w:val="single" w:sz="4" w:space="0" w:color="auto"/>
            </w:tcBorders>
          </w:tcPr>
          <w:p w:rsidR="00E3279A" w:rsidRPr="001C1142" w:rsidRDefault="00E3279A" w:rsidP="00E3279A">
            <w:pPr>
              <w:rPr>
                <w:b/>
                <w:bCs/>
              </w:rPr>
            </w:pPr>
            <w:r w:rsidRPr="001C1142">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788" w:type="dxa"/>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95" w:type="dxa"/>
            <w:gridSpan w:val="2"/>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45" w:type="dxa"/>
            <w:gridSpan w:val="2"/>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620" w:type="dxa"/>
            <w:gridSpan w:val="2"/>
            <w:vMerge/>
            <w:tcBorders>
              <w:left w:val="nil"/>
              <w:right w:val="single" w:sz="4" w:space="0" w:color="auto"/>
            </w:tcBorders>
            <w:noWrap/>
            <w:vAlign w:val="bottom"/>
          </w:tcPr>
          <w:p w:rsidR="00E3279A" w:rsidRPr="001C1142" w:rsidRDefault="00E3279A" w:rsidP="00E3279A"/>
        </w:tc>
      </w:tr>
      <w:tr w:rsidR="00E3279A" w:rsidRPr="001C1142" w:rsidTr="00E3279A">
        <w:trPr>
          <w:trHeight w:val="255"/>
        </w:trPr>
        <w:tc>
          <w:tcPr>
            <w:tcW w:w="6188" w:type="dxa"/>
            <w:tcBorders>
              <w:top w:val="nil"/>
              <w:left w:val="single" w:sz="4" w:space="0" w:color="auto"/>
              <w:bottom w:val="single" w:sz="4" w:space="0" w:color="auto"/>
              <w:right w:val="single" w:sz="4" w:space="0" w:color="auto"/>
            </w:tcBorders>
          </w:tcPr>
          <w:p w:rsidR="00E3279A" w:rsidRPr="001C1142" w:rsidRDefault="00E3279A" w:rsidP="00E3279A">
            <w:r w:rsidRPr="001C1142">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788" w:type="dxa"/>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95" w:type="dxa"/>
            <w:gridSpan w:val="2"/>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45" w:type="dxa"/>
            <w:gridSpan w:val="2"/>
            <w:tcBorders>
              <w:top w:val="single" w:sz="4" w:space="0" w:color="auto"/>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620" w:type="dxa"/>
            <w:gridSpan w:val="2"/>
            <w:vMerge/>
            <w:tcBorders>
              <w:left w:val="nil"/>
              <w:bottom w:val="single" w:sz="4" w:space="0" w:color="auto"/>
              <w:right w:val="single" w:sz="4" w:space="0" w:color="auto"/>
            </w:tcBorders>
            <w:noWrap/>
            <w:vAlign w:val="bottom"/>
          </w:tcPr>
          <w:p w:rsidR="00E3279A" w:rsidRPr="001C1142" w:rsidRDefault="00E3279A" w:rsidP="00E3279A"/>
        </w:tc>
      </w:tr>
      <w:tr w:rsidR="00E3279A" w:rsidRPr="001C1142" w:rsidTr="00E3279A">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E3279A" w:rsidRPr="001C1142" w:rsidRDefault="00E3279A" w:rsidP="00E3279A">
            <w:pPr>
              <w:rPr>
                <w:b/>
                <w:bCs/>
              </w:rPr>
            </w:pPr>
            <w:r w:rsidRPr="001C1142">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x</w:t>
            </w:r>
          </w:p>
        </w:tc>
        <w:tc>
          <w:tcPr>
            <w:tcW w:w="1788" w:type="dxa"/>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x</w:t>
            </w:r>
          </w:p>
        </w:tc>
        <w:tc>
          <w:tcPr>
            <w:tcW w:w="2095" w:type="dxa"/>
            <w:gridSpan w:val="2"/>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x</w:t>
            </w:r>
          </w:p>
        </w:tc>
        <w:tc>
          <w:tcPr>
            <w:tcW w:w="2045" w:type="dxa"/>
            <w:gridSpan w:val="2"/>
            <w:tcBorders>
              <w:top w:val="nil"/>
              <w:left w:val="nil"/>
              <w:bottom w:val="single" w:sz="4" w:space="0" w:color="auto"/>
              <w:right w:val="single" w:sz="4" w:space="0" w:color="auto"/>
            </w:tcBorders>
            <w:shd w:val="clear" w:color="auto" w:fill="BFBFBF" w:themeFill="background1" w:themeFillShade="BF"/>
          </w:tcPr>
          <w:p w:rsidR="00E3279A" w:rsidRPr="001C1142" w:rsidRDefault="00E3279A" w:rsidP="00E3279A">
            <w:pPr>
              <w:jc w:val="center"/>
              <w:rPr>
                <w:b/>
                <w:bCs/>
              </w:rPr>
            </w:pPr>
            <w:r w:rsidRPr="001C1142">
              <w:rPr>
                <w:b/>
                <w:bCs/>
              </w:rPr>
              <w:t>x</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E3279A" w:rsidRPr="001C1142" w:rsidRDefault="00E3279A" w:rsidP="00E3279A">
            <w:pPr>
              <w:rPr>
                <w:b/>
                <w:bCs/>
              </w:rPr>
            </w:pPr>
            <w:r w:rsidRPr="001C1142">
              <w:rPr>
                <w:b/>
                <w:bCs/>
              </w:rPr>
              <w:t> </w:t>
            </w:r>
          </w:p>
        </w:tc>
      </w:tr>
      <w:tr w:rsidR="00E3279A" w:rsidRPr="001C1142" w:rsidTr="00E3279A">
        <w:trPr>
          <w:trHeight w:val="255"/>
        </w:trPr>
        <w:tc>
          <w:tcPr>
            <w:tcW w:w="6188" w:type="dxa"/>
            <w:tcBorders>
              <w:top w:val="nil"/>
              <w:left w:val="single" w:sz="4" w:space="0" w:color="auto"/>
              <w:bottom w:val="single" w:sz="4" w:space="0" w:color="auto"/>
              <w:right w:val="single" w:sz="4" w:space="0" w:color="auto"/>
            </w:tcBorders>
          </w:tcPr>
          <w:p w:rsidR="00E3279A" w:rsidRPr="001C1142" w:rsidRDefault="00E3279A" w:rsidP="00E3279A">
            <w:pPr>
              <w:rPr>
                <w:b/>
                <w:bCs/>
              </w:rPr>
            </w:pPr>
            <w:r w:rsidRPr="001C1142">
              <w:rPr>
                <w:b/>
                <w:bCs/>
              </w:rPr>
              <w:t>Mzdy, platy, služobné príjmy a ostatné osobné vyrovnania (610)</w:t>
            </w:r>
          </w:p>
        </w:tc>
        <w:tc>
          <w:tcPr>
            <w:tcW w:w="169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78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9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4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620" w:type="dxa"/>
            <w:gridSpan w:val="2"/>
            <w:tcBorders>
              <w:top w:val="nil"/>
              <w:left w:val="nil"/>
              <w:bottom w:val="single" w:sz="4" w:space="0" w:color="auto"/>
              <w:right w:val="single" w:sz="4" w:space="0" w:color="auto"/>
            </w:tcBorders>
            <w:noWrap/>
            <w:vAlign w:val="bottom"/>
          </w:tcPr>
          <w:p w:rsidR="00E3279A" w:rsidRPr="001C1142" w:rsidRDefault="00E3279A" w:rsidP="00E3279A">
            <w:pPr>
              <w:rPr>
                <w:b/>
                <w:bCs/>
              </w:rPr>
            </w:pPr>
            <w:r w:rsidRPr="001C1142">
              <w:rPr>
                <w:b/>
                <w:bCs/>
              </w:rPr>
              <w:t> </w:t>
            </w:r>
          </w:p>
        </w:tc>
      </w:tr>
      <w:tr w:rsidR="00E3279A" w:rsidRPr="001C1142" w:rsidTr="00E3279A">
        <w:trPr>
          <w:trHeight w:val="255"/>
        </w:trPr>
        <w:tc>
          <w:tcPr>
            <w:tcW w:w="6188" w:type="dxa"/>
            <w:tcBorders>
              <w:top w:val="nil"/>
              <w:left w:val="single" w:sz="4" w:space="0" w:color="auto"/>
              <w:bottom w:val="single" w:sz="4" w:space="0" w:color="auto"/>
              <w:right w:val="single" w:sz="4" w:space="0" w:color="auto"/>
            </w:tcBorders>
          </w:tcPr>
          <w:p w:rsidR="00E3279A" w:rsidRPr="001C1142" w:rsidRDefault="00E3279A" w:rsidP="00E3279A">
            <w:r w:rsidRPr="001C1142">
              <w:rPr>
                <w:b/>
                <w:bCs/>
              </w:rPr>
              <w:t xml:space="preserve">   z toho vplyv na ŠR</w:t>
            </w:r>
          </w:p>
        </w:tc>
        <w:tc>
          <w:tcPr>
            <w:tcW w:w="169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78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9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204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x</w:t>
            </w:r>
          </w:p>
        </w:tc>
        <w:tc>
          <w:tcPr>
            <w:tcW w:w="1620" w:type="dxa"/>
            <w:gridSpan w:val="2"/>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6188" w:type="dxa"/>
            <w:tcBorders>
              <w:top w:val="nil"/>
              <w:left w:val="single" w:sz="4" w:space="0" w:color="auto"/>
              <w:bottom w:val="single" w:sz="4" w:space="0" w:color="auto"/>
              <w:right w:val="single" w:sz="4" w:space="0" w:color="auto"/>
            </w:tcBorders>
          </w:tcPr>
          <w:p w:rsidR="00E3279A" w:rsidRPr="001C1142" w:rsidRDefault="00E3279A" w:rsidP="00E3279A">
            <w:pPr>
              <w:rPr>
                <w:b/>
                <w:bCs/>
              </w:rPr>
            </w:pPr>
            <w:r w:rsidRPr="001C1142">
              <w:rPr>
                <w:b/>
                <w:bCs/>
              </w:rPr>
              <w:t>Poistné a príspevok do poisťovní (620)</w:t>
            </w:r>
          </w:p>
        </w:tc>
        <w:tc>
          <w:tcPr>
            <w:tcW w:w="169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178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209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204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1620" w:type="dxa"/>
            <w:gridSpan w:val="2"/>
            <w:tcBorders>
              <w:top w:val="nil"/>
              <w:left w:val="nil"/>
              <w:bottom w:val="single" w:sz="4" w:space="0" w:color="auto"/>
              <w:right w:val="single" w:sz="4" w:space="0" w:color="auto"/>
            </w:tcBorders>
            <w:noWrap/>
            <w:vAlign w:val="bottom"/>
          </w:tcPr>
          <w:p w:rsidR="00E3279A" w:rsidRPr="001C1142" w:rsidRDefault="00E3279A" w:rsidP="00E3279A">
            <w:pPr>
              <w:rPr>
                <w:b/>
                <w:bCs/>
              </w:rPr>
            </w:pPr>
            <w:r w:rsidRPr="001C1142">
              <w:rPr>
                <w:b/>
                <w:bCs/>
              </w:rPr>
              <w:t> </w:t>
            </w:r>
          </w:p>
        </w:tc>
      </w:tr>
      <w:tr w:rsidR="00E3279A" w:rsidRPr="001C1142" w:rsidTr="00E3279A">
        <w:trPr>
          <w:trHeight w:val="255"/>
        </w:trPr>
        <w:tc>
          <w:tcPr>
            <w:tcW w:w="6188" w:type="dxa"/>
            <w:tcBorders>
              <w:top w:val="nil"/>
              <w:left w:val="single" w:sz="4" w:space="0" w:color="auto"/>
              <w:bottom w:val="single" w:sz="4" w:space="0" w:color="auto"/>
              <w:right w:val="single" w:sz="4" w:space="0" w:color="auto"/>
            </w:tcBorders>
          </w:tcPr>
          <w:p w:rsidR="00E3279A" w:rsidRPr="001C1142" w:rsidRDefault="00E3279A" w:rsidP="00E3279A">
            <w:r w:rsidRPr="001C1142">
              <w:rPr>
                <w:b/>
                <w:bCs/>
              </w:rPr>
              <w:t xml:space="preserve">   z toho vplyv na ŠR</w:t>
            </w:r>
          </w:p>
        </w:tc>
        <w:tc>
          <w:tcPr>
            <w:tcW w:w="169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1788" w:type="dxa"/>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209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2045" w:type="dxa"/>
            <w:gridSpan w:val="2"/>
            <w:tcBorders>
              <w:top w:val="nil"/>
              <w:left w:val="nil"/>
              <w:bottom w:val="single" w:sz="4" w:space="0" w:color="auto"/>
              <w:right w:val="single" w:sz="4" w:space="0" w:color="auto"/>
            </w:tcBorders>
          </w:tcPr>
          <w:p w:rsidR="00E3279A" w:rsidRPr="001C1142" w:rsidRDefault="00E3279A" w:rsidP="00E3279A">
            <w:pPr>
              <w:jc w:val="center"/>
              <w:rPr>
                <w:b/>
                <w:bCs/>
              </w:rPr>
            </w:pPr>
            <w:r w:rsidRPr="001C1142">
              <w:rPr>
                <w:b/>
                <w:bCs/>
              </w:rPr>
              <w:t>-</w:t>
            </w:r>
          </w:p>
        </w:tc>
        <w:tc>
          <w:tcPr>
            <w:tcW w:w="1620" w:type="dxa"/>
            <w:gridSpan w:val="2"/>
            <w:tcBorders>
              <w:top w:val="nil"/>
              <w:left w:val="nil"/>
              <w:bottom w:val="single" w:sz="4" w:space="0" w:color="auto"/>
              <w:right w:val="single" w:sz="4" w:space="0" w:color="auto"/>
            </w:tcBorders>
            <w:noWrap/>
            <w:vAlign w:val="bottom"/>
          </w:tcPr>
          <w:p w:rsidR="00E3279A" w:rsidRPr="001C1142" w:rsidRDefault="00E3279A" w:rsidP="00E3279A">
            <w:r w:rsidRPr="001C1142">
              <w:t> </w:t>
            </w:r>
          </w:p>
        </w:tc>
      </w:tr>
      <w:tr w:rsidR="00E3279A" w:rsidRPr="001C1142" w:rsidTr="00E3279A">
        <w:trPr>
          <w:trHeight w:val="255"/>
        </w:trPr>
        <w:tc>
          <w:tcPr>
            <w:tcW w:w="6188" w:type="dxa"/>
            <w:tcBorders>
              <w:top w:val="nil"/>
              <w:left w:val="nil"/>
              <w:bottom w:val="nil"/>
              <w:right w:val="nil"/>
            </w:tcBorders>
            <w:noWrap/>
            <w:vAlign w:val="bottom"/>
          </w:tcPr>
          <w:p w:rsidR="00E3279A" w:rsidRPr="001C1142" w:rsidRDefault="00E3279A" w:rsidP="00E3279A"/>
        </w:tc>
        <w:tc>
          <w:tcPr>
            <w:tcW w:w="1698" w:type="dxa"/>
            <w:tcBorders>
              <w:top w:val="nil"/>
              <w:left w:val="nil"/>
              <w:bottom w:val="nil"/>
              <w:right w:val="nil"/>
            </w:tcBorders>
            <w:noWrap/>
            <w:vAlign w:val="bottom"/>
          </w:tcPr>
          <w:p w:rsidR="00E3279A" w:rsidRPr="001C1142" w:rsidRDefault="00E3279A" w:rsidP="00E3279A"/>
        </w:tc>
        <w:tc>
          <w:tcPr>
            <w:tcW w:w="1788" w:type="dxa"/>
            <w:tcBorders>
              <w:top w:val="nil"/>
              <w:left w:val="nil"/>
              <w:bottom w:val="nil"/>
              <w:right w:val="nil"/>
            </w:tcBorders>
            <w:noWrap/>
            <w:vAlign w:val="bottom"/>
          </w:tcPr>
          <w:p w:rsidR="00E3279A" w:rsidRPr="001C1142" w:rsidRDefault="00E3279A" w:rsidP="00E3279A"/>
        </w:tc>
        <w:tc>
          <w:tcPr>
            <w:tcW w:w="2095" w:type="dxa"/>
            <w:gridSpan w:val="2"/>
            <w:tcBorders>
              <w:top w:val="nil"/>
              <w:left w:val="nil"/>
              <w:bottom w:val="nil"/>
              <w:right w:val="nil"/>
            </w:tcBorders>
            <w:noWrap/>
            <w:vAlign w:val="bottom"/>
          </w:tcPr>
          <w:p w:rsidR="00E3279A" w:rsidRPr="001C1142" w:rsidRDefault="00E3279A" w:rsidP="00E3279A"/>
        </w:tc>
        <w:tc>
          <w:tcPr>
            <w:tcW w:w="2045" w:type="dxa"/>
            <w:gridSpan w:val="2"/>
            <w:tcBorders>
              <w:top w:val="nil"/>
              <w:left w:val="nil"/>
              <w:bottom w:val="nil"/>
              <w:right w:val="nil"/>
            </w:tcBorders>
            <w:noWrap/>
            <w:vAlign w:val="bottom"/>
          </w:tcPr>
          <w:p w:rsidR="00E3279A" w:rsidRPr="001C1142" w:rsidRDefault="00E3279A" w:rsidP="00E3279A"/>
        </w:tc>
        <w:tc>
          <w:tcPr>
            <w:tcW w:w="1620" w:type="dxa"/>
            <w:gridSpan w:val="2"/>
            <w:tcBorders>
              <w:top w:val="nil"/>
              <w:left w:val="nil"/>
              <w:bottom w:val="nil"/>
              <w:right w:val="nil"/>
            </w:tcBorders>
            <w:noWrap/>
            <w:vAlign w:val="bottom"/>
          </w:tcPr>
          <w:p w:rsidR="00E3279A" w:rsidRPr="001C1142" w:rsidRDefault="00E3279A" w:rsidP="00E3279A"/>
        </w:tc>
      </w:tr>
      <w:tr w:rsidR="00E3279A" w:rsidRPr="001C1142" w:rsidTr="00E3279A">
        <w:trPr>
          <w:trHeight w:val="255"/>
        </w:trPr>
        <w:tc>
          <w:tcPr>
            <w:tcW w:w="6188" w:type="dxa"/>
            <w:tcBorders>
              <w:top w:val="nil"/>
              <w:left w:val="nil"/>
              <w:bottom w:val="nil"/>
              <w:right w:val="nil"/>
            </w:tcBorders>
          </w:tcPr>
          <w:p w:rsidR="00E3279A" w:rsidRPr="001C1142" w:rsidRDefault="00E3279A" w:rsidP="00E3279A">
            <w:pPr>
              <w:rPr>
                <w:b/>
                <w:bCs/>
              </w:rPr>
            </w:pPr>
            <w:r w:rsidRPr="001C1142">
              <w:rPr>
                <w:b/>
                <w:bCs/>
              </w:rPr>
              <w:t>Poznámky:</w:t>
            </w:r>
          </w:p>
        </w:tc>
        <w:tc>
          <w:tcPr>
            <w:tcW w:w="1698" w:type="dxa"/>
            <w:tcBorders>
              <w:top w:val="nil"/>
              <w:left w:val="nil"/>
              <w:bottom w:val="nil"/>
              <w:right w:val="nil"/>
            </w:tcBorders>
            <w:noWrap/>
            <w:vAlign w:val="bottom"/>
          </w:tcPr>
          <w:p w:rsidR="00E3279A" w:rsidRPr="001C1142" w:rsidRDefault="00E3279A" w:rsidP="00E3279A"/>
        </w:tc>
        <w:tc>
          <w:tcPr>
            <w:tcW w:w="1788" w:type="dxa"/>
            <w:tcBorders>
              <w:top w:val="nil"/>
              <w:left w:val="nil"/>
              <w:bottom w:val="nil"/>
              <w:right w:val="nil"/>
            </w:tcBorders>
            <w:noWrap/>
            <w:vAlign w:val="bottom"/>
          </w:tcPr>
          <w:p w:rsidR="00E3279A" w:rsidRPr="001C1142" w:rsidRDefault="00E3279A" w:rsidP="00E3279A"/>
        </w:tc>
        <w:tc>
          <w:tcPr>
            <w:tcW w:w="2095" w:type="dxa"/>
            <w:gridSpan w:val="2"/>
            <w:tcBorders>
              <w:top w:val="nil"/>
              <w:left w:val="nil"/>
              <w:bottom w:val="nil"/>
              <w:right w:val="nil"/>
            </w:tcBorders>
            <w:noWrap/>
            <w:vAlign w:val="bottom"/>
          </w:tcPr>
          <w:p w:rsidR="00E3279A" w:rsidRPr="001C1142" w:rsidRDefault="00E3279A" w:rsidP="00E3279A"/>
        </w:tc>
        <w:tc>
          <w:tcPr>
            <w:tcW w:w="2045" w:type="dxa"/>
            <w:gridSpan w:val="2"/>
            <w:tcBorders>
              <w:top w:val="nil"/>
              <w:left w:val="nil"/>
              <w:bottom w:val="nil"/>
              <w:right w:val="nil"/>
            </w:tcBorders>
            <w:noWrap/>
            <w:vAlign w:val="bottom"/>
          </w:tcPr>
          <w:p w:rsidR="00E3279A" w:rsidRPr="001C1142" w:rsidRDefault="00E3279A" w:rsidP="00E3279A"/>
        </w:tc>
        <w:tc>
          <w:tcPr>
            <w:tcW w:w="1620" w:type="dxa"/>
            <w:gridSpan w:val="2"/>
            <w:tcBorders>
              <w:top w:val="nil"/>
              <w:left w:val="nil"/>
              <w:bottom w:val="nil"/>
              <w:right w:val="nil"/>
            </w:tcBorders>
            <w:noWrap/>
            <w:vAlign w:val="bottom"/>
          </w:tcPr>
          <w:p w:rsidR="00E3279A" w:rsidRPr="001C1142" w:rsidRDefault="00E3279A" w:rsidP="00E3279A"/>
        </w:tc>
      </w:tr>
      <w:tr w:rsidR="00E3279A" w:rsidRPr="001C1142" w:rsidTr="00E3279A">
        <w:trPr>
          <w:trHeight w:val="255"/>
        </w:trPr>
        <w:tc>
          <w:tcPr>
            <w:tcW w:w="13814" w:type="dxa"/>
            <w:gridSpan w:val="7"/>
            <w:tcBorders>
              <w:top w:val="nil"/>
              <w:left w:val="nil"/>
              <w:bottom w:val="nil"/>
              <w:right w:val="nil"/>
            </w:tcBorders>
            <w:noWrap/>
          </w:tcPr>
          <w:p w:rsidR="00E3279A" w:rsidRPr="001C1142" w:rsidRDefault="00E3279A" w:rsidP="00E3279A">
            <w:pPr>
              <w:tabs>
                <w:tab w:val="num" w:pos="1080"/>
              </w:tabs>
              <w:jc w:val="both"/>
              <w:rPr>
                <w:bCs/>
                <w:szCs w:val="20"/>
              </w:rPr>
            </w:pPr>
            <w:r w:rsidRPr="001C1142">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E3279A" w:rsidRPr="001C1142" w:rsidRDefault="00E3279A" w:rsidP="00E3279A">
            <w:r w:rsidRPr="001C1142">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E3279A" w:rsidRPr="001C1142" w:rsidRDefault="00E3279A" w:rsidP="00E3279A"/>
        </w:tc>
      </w:tr>
      <w:tr w:rsidR="00E3279A" w:rsidRPr="007D5748" w:rsidTr="00E3279A">
        <w:trPr>
          <w:trHeight w:val="255"/>
        </w:trPr>
        <w:tc>
          <w:tcPr>
            <w:tcW w:w="10394" w:type="dxa"/>
            <w:gridSpan w:val="4"/>
            <w:tcBorders>
              <w:top w:val="nil"/>
              <w:left w:val="nil"/>
              <w:bottom w:val="nil"/>
              <w:right w:val="nil"/>
            </w:tcBorders>
            <w:noWrap/>
            <w:vAlign w:val="bottom"/>
          </w:tcPr>
          <w:p w:rsidR="00E3279A" w:rsidRPr="007D5748" w:rsidRDefault="00E3279A" w:rsidP="00E3279A">
            <w:r w:rsidRPr="001C1142">
              <w:t>Kategórie 610 a 620 sú z tejto prílohy prenášané do príslušných kategórií prílohy „výdavky“.</w:t>
            </w:r>
          </w:p>
        </w:tc>
        <w:tc>
          <w:tcPr>
            <w:tcW w:w="1698" w:type="dxa"/>
            <w:gridSpan w:val="2"/>
            <w:tcBorders>
              <w:top w:val="nil"/>
              <w:left w:val="nil"/>
              <w:bottom w:val="nil"/>
              <w:right w:val="nil"/>
            </w:tcBorders>
            <w:noWrap/>
            <w:vAlign w:val="bottom"/>
          </w:tcPr>
          <w:p w:rsidR="00E3279A" w:rsidRPr="007D5748" w:rsidRDefault="00E3279A" w:rsidP="00E3279A"/>
        </w:tc>
        <w:tc>
          <w:tcPr>
            <w:tcW w:w="2352" w:type="dxa"/>
            <w:gridSpan w:val="2"/>
            <w:tcBorders>
              <w:top w:val="nil"/>
              <w:left w:val="nil"/>
              <w:bottom w:val="nil"/>
              <w:right w:val="nil"/>
            </w:tcBorders>
            <w:noWrap/>
            <w:vAlign w:val="bottom"/>
          </w:tcPr>
          <w:p w:rsidR="00E3279A" w:rsidRPr="007D5748" w:rsidRDefault="00E3279A" w:rsidP="00E3279A"/>
        </w:tc>
        <w:tc>
          <w:tcPr>
            <w:tcW w:w="990" w:type="dxa"/>
            <w:tcBorders>
              <w:top w:val="nil"/>
              <w:left w:val="nil"/>
              <w:bottom w:val="nil"/>
              <w:right w:val="nil"/>
            </w:tcBorders>
            <w:noWrap/>
            <w:vAlign w:val="bottom"/>
          </w:tcPr>
          <w:p w:rsidR="00E3279A" w:rsidRPr="007D5748" w:rsidRDefault="00E3279A" w:rsidP="00E3279A"/>
        </w:tc>
      </w:tr>
    </w:tbl>
    <w:p w:rsidR="00E3279A" w:rsidRDefault="00E3279A" w:rsidP="00E3279A">
      <w:pPr>
        <w:jc w:val="center"/>
        <w:sectPr w:rsidR="00E3279A" w:rsidSect="00687BAE">
          <w:footerReference w:type="default" r:id="rId18"/>
          <w:pgSz w:w="16838" w:h="11906" w:orient="landscape"/>
          <w:pgMar w:top="1417" w:right="1417" w:bottom="1417" w:left="1417" w:header="708" w:footer="708" w:gutter="0"/>
          <w:cols w:space="708"/>
          <w:docGrid w:linePitch="360"/>
        </w:sectPr>
      </w:pPr>
    </w:p>
    <w:tbl>
      <w:tblPr>
        <w:tblStyle w:val="Mriekatabuky"/>
        <w:tblW w:w="0" w:type="auto"/>
        <w:tblLook w:val="04A0" w:firstRow="1" w:lastRow="0" w:firstColumn="1" w:lastColumn="0" w:noHBand="0" w:noVBand="1"/>
      </w:tblPr>
      <w:tblGrid>
        <w:gridCol w:w="9062"/>
      </w:tblGrid>
      <w:tr w:rsidR="00E3279A" w:rsidRPr="00F04CCD" w:rsidTr="00E3279A">
        <w:trPr>
          <w:trHeight w:val="567"/>
        </w:trPr>
        <w:tc>
          <w:tcPr>
            <w:tcW w:w="9062" w:type="dxa"/>
            <w:shd w:val="clear" w:color="auto" w:fill="D9D9D9" w:themeFill="background1" w:themeFillShade="D9"/>
          </w:tcPr>
          <w:p w:rsidR="00E3279A" w:rsidRPr="00042C66" w:rsidRDefault="00E3279A" w:rsidP="00E3279A">
            <w:pPr>
              <w:jc w:val="center"/>
              <w:rPr>
                <w:b/>
              </w:rPr>
            </w:pPr>
            <w:r w:rsidRPr="008A1252">
              <w:rPr>
                <w:b/>
                <w:sz w:val="28"/>
              </w:rPr>
              <w:lastRenderedPageBreak/>
              <w:t xml:space="preserve">Analýza </w:t>
            </w:r>
            <w:r>
              <w:rPr>
                <w:b/>
                <w:sz w:val="28"/>
              </w:rPr>
              <w:t>v</w:t>
            </w:r>
            <w:r w:rsidRPr="00042C66">
              <w:rPr>
                <w:b/>
                <w:sz w:val="28"/>
              </w:rPr>
              <w:t>plyv</w:t>
            </w:r>
            <w:r>
              <w:rPr>
                <w:b/>
                <w:sz w:val="28"/>
              </w:rPr>
              <w:t>ov</w:t>
            </w:r>
            <w:r w:rsidRPr="00042C66">
              <w:rPr>
                <w:b/>
                <w:sz w:val="28"/>
              </w:rPr>
              <w:t xml:space="preserve"> na podnikateľské prostredie </w:t>
            </w:r>
          </w:p>
          <w:p w:rsidR="00E3279A" w:rsidRPr="00F04CCD" w:rsidRDefault="00E3279A" w:rsidP="00E3279A">
            <w:pPr>
              <w:jc w:val="center"/>
              <w:rPr>
                <w:b/>
              </w:rPr>
            </w:pPr>
            <w:r w:rsidRPr="00042C66">
              <w:rPr>
                <w:b/>
              </w:rPr>
              <w:t xml:space="preserve">(vrátane </w:t>
            </w:r>
            <w:r>
              <w:rPr>
                <w:b/>
              </w:rPr>
              <w:t xml:space="preserve">testu </w:t>
            </w:r>
            <w:r w:rsidRPr="00042C66">
              <w:rPr>
                <w:b/>
              </w:rPr>
              <w:t>MSP)</w:t>
            </w:r>
          </w:p>
        </w:tc>
      </w:tr>
      <w:tr w:rsidR="00E3279A" w:rsidRPr="00042C66" w:rsidTr="00E3279A">
        <w:trPr>
          <w:trHeight w:val="567"/>
        </w:trPr>
        <w:tc>
          <w:tcPr>
            <w:tcW w:w="9062" w:type="dxa"/>
            <w:shd w:val="clear" w:color="auto" w:fill="D9D9D9" w:themeFill="background1" w:themeFillShade="D9"/>
          </w:tcPr>
          <w:p w:rsidR="00E3279A" w:rsidRPr="00042C66" w:rsidRDefault="00E3279A" w:rsidP="00E3279A">
            <w:pPr>
              <w:rPr>
                <w:b/>
              </w:rPr>
            </w:pPr>
            <w:r w:rsidRPr="00042C66">
              <w:rPr>
                <w:b/>
              </w:rPr>
              <w:t>Materiál bude mať vplyv s ohľadom na veľkostnú kategóriu podnikov:</w:t>
            </w:r>
          </w:p>
        </w:tc>
      </w:tr>
      <w:tr w:rsidR="00E3279A" w:rsidRPr="00F04CCD" w:rsidTr="00E3279A">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90"/>
            </w:tblGrid>
            <w:tr w:rsidR="00E3279A" w:rsidRPr="00F04CCD" w:rsidTr="00E3279A">
              <w:sdt>
                <w:sdtPr>
                  <w:id w:val="43339831"/>
                  <w14:checkbox>
                    <w14:checked w14:val="0"/>
                    <w14:checkedState w14:val="2612" w14:font="MS Gothic"/>
                    <w14:uncheckedState w14:val="2610" w14:font="MS Gothic"/>
                  </w14:checkbox>
                </w:sdtPr>
                <w:sdtContent>
                  <w:tc>
                    <w:tcPr>
                      <w:tcW w:w="436" w:type="dxa"/>
                    </w:tcPr>
                    <w:p w:rsidR="00E3279A" w:rsidRPr="00F04CCD" w:rsidRDefault="00E3279A" w:rsidP="00E3279A">
                      <w:pPr>
                        <w:jc w:val="center"/>
                      </w:pPr>
                      <w:r w:rsidRPr="00F04CCD">
                        <w:rPr>
                          <w:rFonts w:ascii="MS Mincho" w:eastAsia="MS Mincho" w:hAnsi="MS Mincho" w:cs="MS Mincho" w:hint="eastAsia"/>
                        </w:rPr>
                        <w:t>☐</w:t>
                      </w:r>
                    </w:p>
                  </w:tc>
                </w:sdtContent>
              </w:sdt>
              <w:tc>
                <w:tcPr>
                  <w:tcW w:w="8545" w:type="dxa"/>
                </w:tcPr>
                <w:p w:rsidR="00E3279A" w:rsidRPr="00F04CCD" w:rsidRDefault="00E3279A" w:rsidP="00E3279A">
                  <w:pPr>
                    <w:rPr>
                      <w:b/>
                    </w:rPr>
                  </w:pPr>
                  <w:r w:rsidRPr="00F04CCD">
                    <w:rPr>
                      <w:b/>
                    </w:rPr>
                    <w:t xml:space="preserve">iba na MSP (0 - 249 zamestnancov) </w:t>
                  </w:r>
                </w:p>
              </w:tc>
            </w:tr>
            <w:tr w:rsidR="00E3279A" w:rsidRPr="00F04CCD" w:rsidTr="00E3279A">
              <w:sdt>
                <w:sdtPr>
                  <w:id w:val="-79453833"/>
                  <w14:checkbox>
                    <w14:checked w14:val="1"/>
                    <w14:checkedState w14:val="2612" w14:font="MS Gothic"/>
                    <w14:uncheckedState w14:val="2610" w14:font="MS Gothic"/>
                  </w14:checkbox>
                </w:sdtPr>
                <w:sdtContent>
                  <w:tc>
                    <w:tcPr>
                      <w:tcW w:w="436" w:type="dxa"/>
                    </w:tcPr>
                    <w:p w:rsidR="00E3279A" w:rsidRPr="00F04CCD" w:rsidRDefault="00E3279A" w:rsidP="00E3279A">
                      <w:pPr>
                        <w:jc w:val="center"/>
                      </w:pPr>
                      <w:r>
                        <w:rPr>
                          <w:rFonts w:ascii="MS Gothic" w:eastAsia="MS Gothic" w:hAnsi="MS Gothic" w:hint="eastAsia"/>
                        </w:rPr>
                        <w:t>☒</w:t>
                      </w:r>
                    </w:p>
                  </w:tc>
                </w:sdtContent>
              </w:sdt>
              <w:tc>
                <w:tcPr>
                  <w:tcW w:w="8545" w:type="dxa"/>
                </w:tcPr>
                <w:p w:rsidR="00E3279A" w:rsidRPr="00F04CCD" w:rsidRDefault="00E3279A" w:rsidP="00E3279A">
                  <w:pPr>
                    <w:rPr>
                      <w:b/>
                    </w:rPr>
                  </w:pPr>
                  <w:r w:rsidRPr="00F04CCD">
                    <w:rPr>
                      <w:b/>
                    </w:rPr>
                    <w:t>iba na veľké podniky (250 a viac zamestnancov)</w:t>
                  </w:r>
                </w:p>
              </w:tc>
            </w:tr>
            <w:tr w:rsidR="00E3279A" w:rsidRPr="00F04CCD" w:rsidTr="00E3279A">
              <w:sdt>
                <w:sdtPr>
                  <w:id w:val="1290634502"/>
                  <w14:checkbox>
                    <w14:checked w14:val="0"/>
                    <w14:checkedState w14:val="2612" w14:font="MS Gothic"/>
                    <w14:uncheckedState w14:val="2610" w14:font="MS Gothic"/>
                  </w14:checkbox>
                </w:sdtPr>
                <w:sdtContent>
                  <w:tc>
                    <w:tcPr>
                      <w:tcW w:w="436" w:type="dxa"/>
                    </w:tcPr>
                    <w:p w:rsidR="00E3279A" w:rsidRPr="00F04CCD" w:rsidRDefault="00E3279A" w:rsidP="00E3279A">
                      <w:pPr>
                        <w:jc w:val="center"/>
                      </w:pPr>
                      <w:r>
                        <w:rPr>
                          <w:rFonts w:ascii="MS Gothic" w:eastAsia="MS Gothic" w:hAnsi="MS Gothic" w:hint="eastAsia"/>
                        </w:rPr>
                        <w:t>☐</w:t>
                      </w:r>
                    </w:p>
                  </w:tc>
                </w:sdtContent>
              </w:sdt>
              <w:tc>
                <w:tcPr>
                  <w:tcW w:w="8545" w:type="dxa"/>
                </w:tcPr>
                <w:p w:rsidR="00E3279A" w:rsidRPr="00F04CCD" w:rsidRDefault="00E3279A" w:rsidP="00E3279A">
                  <w:r w:rsidRPr="00F04CCD">
                    <w:rPr>
                      <w:b/>
                    </w:rPr>
                    <w:t xml:space="preserve">na všetky </w:t>
                  </w:r>
                  <w:r>
                    <w:rPr>
                      <w:b/>
                    </w:rPr>
                    <w:t>kategórie</w:t>
                  </w:r>
                  <w:r w:rsidRPr="00F04CCD">
                    <w:rPr>
                      <w:b/>
                    </w:rPr>
                    <w:t xml:space="preserve"> podnikov</w:t>
                  </w:r>
                </w:p>
              </w:tc>
            </w:tr>
          </w:tbl>
          <w:p w:rsidR="00E3279A" w:rsidRPr="00F04CCD" w:rsidRDefault="00E3279A" w:rsidP="00E3279A">
            <w:pPr>
              <w:rPr>
                <w:b/>
              </w:rPr>
            </w:pPr>
          </w:p>
        </w:tc>
      </w:tr>
      <w:tr w:rsidR="00E3279A" w:rsidRPr="00F04CCD" w:rsidTr="00E3279A">
        <w:tc>
          <w:tcPr>
            <w:tcW w:w="9062" w:type="dxa"/>
            <w:shd w:val="clear" w:color="auto" w:fill="D9D9D9" w:themeFill="background1" w:themeFillShade="D9"/>
          </w:tcPr>
          <w:p w:rsidR="00E3279A" w:rsidRPr="00042C66" w:rsidRDefault="00E3279A" w:rsidP="00E3279A">
            <w:pPr>
              <w:rPr>
                <w:b/>
              </w:rPr>
            </w:pPr>
            <w:r>
              <w:rPr>
                <w:b/>
              </w:rPr>
              <w:t>3</w:t>
            </w:r>
            <w:r w:rsidRPr="00042C66">
              <w:rPr>
                <w:b/>
              </w:rPr>
              <w:t>.1 Dotknuté podnikateľské subjekty</w:t>
            </w:r>
          </w:p>
          <w:p w:rsidR="00E3279A" w:rsidRPr="00F04CCD" w:rsidRDefault="00E3279A" w:rsidP="00E3279A">
            <w:pPr>
              <w:ind w:left="284"/>
              <w:rPr>
                <w:b/>
              </w:rPr>
            </w:pPr>
            <w:r w:rsidRPr="00042C66">
              <w:t xml:space="preserve"> - </w:t>
            </w:r>
            <w:r w:rsidRPr="00042C66">
              <w:rPr>
                <w:b/>
              </w:rPr>
              <w:t>z toho MSP</w:t>
            </w:r>
          </w:p>
        </w:tc>
      </w:tr>
      <w:tr w:rsidR="00E3279A" w:rsidRPr="00F04CCD" w:rsidTr="00E3279A">
        <w:tc>
          <w:tcPr>
            <w:tcW w:w="9062" w:type="dxa"/>
            <w:tcBorders>
              <w:bottom w:val="single" w:sz="4" w:space="0" w:color="auto"/>
            </w:tcBorders>
          </w:tcPr>
          <w:p w:rsidR="00E3279A" w:rsidRPr="00F04CCD" w:rsidRDefault="00E3279A" w:rsidP="00E3279A">
            <w:pPr>
              <w:rPr>
                <w:i/>
              </w:rPr>
            </w:pPr>
            <w:r w:rsidRPr="00F04CCD">
              <w:rPr>
                <w:i/>
              </w:rPr>
              <w:t>Uveďte, aké podnikateľské subjekty budú predkladaným návrhom ovplyvnené.</w:t>
            </w:r>
          </w:p>
          <w:p w:rsidR="00E3279A" w:rsidRPr="00F04CCD" w:rsidRDefault="00E3279A" w:rsidP="00E3279A">
            <w:pPr>
              <w:rPr>
                <w:i/>
              </w:rPr>
            </w:pPr>
            <w:r w:rsidRPr="00F04CCD">
              <w:rPr>
                <w:i/>
              </w:rPr>
              <w:t>Aký je ich počet?</w:t>
            </w:r>
          </w:p>
        </w:tc>
      </w:tr>
      <w:tr w:rsidR="00E3279A" w:rsidRPr="007546C5" w:rsidTr="00E3279A">
        <w:trPr>
          <w:trHeight w:val="1104"/>
        </w:trPr>
        <w:tc>
          <w:tcPr>
            <w:tcW w:w="9062" w:type="dxa"/>
            <w:tcBorders>
              <w:bottom w:val="single" w:sz="4" w:space="0" w:color="auto"/>
            </w:tcBorders>
          </w:tcPr>
          <w:p w:rsidR="00E3279A" w:rsidRPr="007546C5" w:rsidRDefault="00E3279A" w:rsidP="00E3279A">
            <w:pPr>
              <w:jc w:val="both"/>
            </w:pPr>
            <w:r w:rsidRPr="001810D0">
              <w:t>Predkladaný návrh zákona nepredpokladá priamy vplyv na žiadne kategórie podnikateľských subjektov. Prevádzkovatelia základných služieb môžu byť ovplyvnení rozhodnutím úradu z dôvodov bezpečnostného záujmu SR zakázať poskytovanie produktu, procesu alebo služby, to však nepredpokladá priamy vplyv na podnikateľské prostredie.</w:t>
            </w:r>
          </w:p>
        </w:tc>
      </w:tr>
      <w:tr w:rsidR="00E3279A" w:rsidRPr="00F04CCD" w:rsidTr="00E3279A">
        <w:trPr>
          <w:trHeight w:val="339"/>
        </w:trPr>
        <w:tc>
          <w:tcPr>
            <w:tcW w:w="9062" w:type="dxa"/>
            <w:tcBorders>
              <w:bottom w:val="single" w:sz="4" w:space="0" w:color="auto"/>
            </w:tcBorders>
            <w:shd w:val="clear" w:color="auto" w:fill="D9D9D9" w:themeFill="background1" w:themeFillShade="D9"/>
          </w:tcPr>
          <w:p w:rsidR="00E3279A" w:rsidRPr="00042C66" w:rsidRDefault="00E3279A" w:rsidP="00E3279A">
            <w:pPr>
              <w:rPr>
                <w:b/>
              </w:rPr>
            </w:pPr>
            <w:r>
              <w:rPr>
                <w:b/>
              </w:rPr>
              <w:t>3</w:t>
            </w:r>
            <w:r w:rsidRPr="00042C66">
              <w:rPr>
                <w:b/>
              </w:rPr>
              <w:t>.2 Vyhodnotenie konzultácií</w:t>
            </w:r>
          </w:p>
          <w:p w:rsidR="00E3279A" w:rsidRPr="00F04CCD" w:rsidRDefault="00E3279A" w:rsidP="00E3279A">
            <w:pPr>
              <w:rPr>
                <w:b/>
              </w:rPr>
            </w:pPr>
            <w:r w:rsidRPr="00042C66">
              <w:t xml:space="preserve">       - </w:t>
            </w:r>
            <w:r w:rsidRPr="00042C66">
              <w:rPr>
                <w:b/>
              </w:rPr>
              <w:t>z toho MSP</w:t>
            </w:r>
          </w:p>
        </w:tc>
      </w:tr>
      <w:tr w:rsidR="00E3279A" w:rsidRPr="000D2622" w:rsidTr="00E3279A">
        <w:trPr>
          <w:trHeight w:val="557"/>
        </w:trPr>
        <w:tc>
          <w:tcPr>
            <w:tcW w:w="9062" w:type="dxa"/>
            <w:tcBorders>
              <w:bottom w:val="single" w:sz="4" w:space="0" w:color="auto"/>
            </w:tcBorders>
            <w:shd w:val="clear" w:color="auto" w:fill="auto"/>
          </w:tcPr>
          <w:p w:rsidR="00E3279A" w:rsidRPr="00F04CCD" w:rsidRDefault="00E3279A" w:rsidP="00E3279A">
            <w:pPr>
              <w:rPr>
                <w:i/>
              </w:rPr>
            </w:pPr>
            <w:r w:rsidRPr="00F04CCD">
              <w:rPr>
                <w:i/>
              </w:rPr>
              <w:t>Uveďte, akou formou (verejné alebo cielené konzultácie a prečo)</w:t>
            </w:r>
            <w:r>
              <w:rPr>
                <w:i/>
              </w:rPr>
              <w:t xml:space="preserve"> a </w:t>
            </w:r>
            <w:r w:rsidRPr="00F04CCD">
              <w:rPr>
                <w:i/>
              </w:rPr>
              <w:t>s kým bol návrh konzultovaný.</w:t>
            </w:r>
          </w:p>
          <w:p w:rsidR="00E3279A" w:rsidRPr="00F04CCD" w:rsidRDefault="00E3279A" w:rsidP="00E3279A">
            <w:pPr>
              <w:rPr>
                <w:i/>
              </w:rPr>
            </w:pPr>
            <w:r w:rsidRPr="00F04CCD">
              <w:rPr>
                <w:i/>
              </w:rPr>
              <w:t>Ako dlho trvali konzultácie?</w:t>
            </w:r>
          </w:p>
          <w:p w:rsidR="00E3279A" w:rsidRPr="000D2622" w:rsidRDefault="00E3279A" w:rsidP="00E3279A">
            <w:pPr>
              <w:rPr>
                <w:i/>
              </w:rPr>
            </w:pPr>
            <w:r w:rsidRPr="00F04CCD">
              <w:rPr>
                <w:i/>
              </w:rPr>
              <w:t xml:space="preserve">Uveďte hlavné body konzultácií a výsledky konzultácií. </w:t>
            </w:r>
          </w:p>
        </w:tc>
      </w:tr>
      <w:tr w:rsidR="00E3279A" w:rsidRPr="00BC68CC" w:rsidTr="00E3279A">
        <w:trPr>
          <w:trHeight w:val="883"/>
        </w:trPr>
        <w:tc>
          <w:tcPr>
            <w:tcW w:w="9062" w:type="dxa"/>
            <w:tcBorders>
              <w:bottom w:val="single" w:sz="4" w:space="0" w:color="auto"/>
            </w:tcBorders>
            <w:shd w:val="clear" w:color="auto" w:fill="auto"/>
          </w:tcPr>
          <w:p w:rsidR="00E3279A" w:rsidRPr="00814EAC" w:rsidRDefault="00E3279A" w:rsidP="00E3279A">
            <w:pPr>
              <w:jc w:val="both"/>
            </w:pPr>
            <w:r w:rsidRPr="00814EAC">
              <w:t>Verejnosť bola o príprave návrhu zákona, ktorým sa mení a dopĺňa zákon č. 69/2018 Z. z. o kybernetickej bezpečnosti a o zmene a doplnení niektorých zákonov v znení neskorších</w:t>
            </w:r>
            <w:r w:rsidR="00D61A8B">
              <w:t xml:space="preserve"> </w:t>
            </w:r>
            <w:r w:rsidR="00D61A8B" w:rsidRPr="00814EAC">
              <w:t>predpisov</w:t>
            </w:r>
            <w:r w:rsidR="00D61A8B">
              <w:t xml:space="preserve"> a ktorým sa menia a dopĺňajú niektoré zákony</w:t>
            </w:r>
            <w:r w:rsidRPr="00814EAC">
              <w:t xml:space="preserve"> informovaná Predbežnou informáciou uverejnenou v informačnom systéme verejnej správy Slov-Lex (PI/2020/136) od 10.7.2020 do 23.7.2020.</w:t>
            </w:r>
          </w:p>
          <w:p w:rsidR="00E3279A" w:rsidRPr="00814EAC" w:rsidRDefault="00E3279A" w:rsidP="00E3279A">
            <w:pPr>
              <w:jc w:val="both"/>
            </w:pPr>
            <w:r w:rsidRPr="00814EAC">
              <w:t>K predbežnej informácii prostredníctvom systému Slov-Lex neboli uplatnené žiadne zásadné pripomienky.</w:t>
            </w:r>
          </w:p>
          <w:p w:rsidR="00E3279A" w:rsidRPr="00814EAC" w:rsidRDefault="00E3279A" w:rsidP="00E3279A">
            <w:pPr>
              <w:jc w:val="both"/>
            </w:pPr>
            <w:r w:rsidRPr="00814EAC">
              <w:t>V rámci predbežnej informácie boli k návrhu materiálu uplatnené 2 vyjadrenia – od verejnosti a Advokátskej kancelárie Bukovinský &amp; </w:t>
            </w:r>
            <w:proofErr w:type="spellStart"/>
            <w:r w:rsidRPr="00814EAC">
              <w:t>Chlipala</w:t>
            </w:r>
            <w:proofErr w:type="spellEnd"/>
            <w:r w:rsidRPr="00814EAC">
              <w:t>, </w:t>
            </w:r>
            <w:proofErr w:type="spellStart"/>
            <w:r w:rsidRPr="00814EAC">
              <w:t>s.r.o</w:t>
            </w:r>
            <w:proofErr w:type="spellEnd"/>
            <w:r w:rsidRPr="00814EAC">
              <w:t>.</w:t>
            </w:r>
          </w:p>
          <w:p w:rsidR="00E3279A" w:rsidRPr="00814EAC" w:rsidRDefault="00E3279A" w:rsidP="00E3279A">
            <w:pPr>
              <w:jc w:val="both"/>
            </w:pPr>
            <w:r w:rsidRPr="00814EAC">
              <w:t>Oba subjekty navrhujú zohľadniť v návrhu zákona odporúčania Komisie (EÚ) 2019/534 z 26. marca 2019 o kybernetickej bezpečnosti sietí 5G. Opatrenia vyplývajúce z </w:t>
            </w:r>
            <w:proofErr w:type="spellStart"/>
            <w:r w:rsidRPr="00814EAC">
              <w:t>Toolboxu</w:t>
            </w:r>
            <w:proofErr w:type="spellEnd"/>
            <w:r w:rsidRPr="00814EAC">
              <w:t> by mali členské štáty, vrátane Slovenskej republiky, implementovať v rámci svojich národných spôsobilostí. Ďalšie požiadavky boli vznesené v súvislosti so sektorom „Siete a služby pevných a mobilných elektronických komunikácií“ najmä v kontexte zmeny príslušného vykonávacieho predpisu.</w:t>
            </w:r>
          </w:p>
          <w:p w:rsidR="00E3279A" w:rsidRPr="00814EAC" w:rsidRDefault="00E3279A" w:rsidP="00E3279A">
            <w:pPr>
              <w:jc w:val="both"/>
            </w:pPr>
            <w:r w:rsidRPr="00814EAC">
              <w:t>Predkladaný návrh  zákona bol konzultovaný s podnikateľskými subjektami aj so zástupcami akademickej obce.</w:t>
            </w:r>
          </w:p>
          <w:p w:rsidR="00E3279A" w:rsidRPr="00814EAC" w:rsidRDefault="00E3279A" w:rsidP="00E3279A">
            <w:pPr>
              <w:jc w:val="both"/>
            </w:pPr>
            <w:r w:rsidRPr="00814EAC">
              <w:t>Na základe oznamu o konzultáciách s podnikateľskými subjektami (17. 7. – 13.8.2020) v súlade s Jednotnou metodikou na posudzovanie vybraných vplyvov sa uskutočnili dve stretnutia dňa 5.8.2020 a ďalšie osobitné stretnutie na žiadosť dotknutého subjektu 12.8.2020.</w:t>
            </w:r>
          </w:p>
          <w:p w:rsidR="00E3279A" w:rsidRPr="00BC68CC" w:rsidRDefault="00E3279A" w:rsidP="00E3279A">
            <w:pPr>
              <w:jc w:val="both"/>
            </w:pPr>
          </w:p>
        </w:tc>
      </w:tr>
      <w:tr w:rsidR="00E3279A" w:rsidRPr="00F04CCD" w:rsidTr="00E3279A">
        <w:tc>
          <w:tcPr>
            <w:tcW w:w="9062" w:type="dxa"/>
            <w:shd w:val="clear" w:color="auto" w:fill="D9D9D9" w:themeFill="background1" w:themeFillShade="D9"/>
          </w:tcPr>
          <w:p w:rsidR="00E3279A" w:rsidRPr="00042C66" w:rsidRDefault="00E3279A" w:rsidP="00E3279A">
            <w:pPr>
              <w:rPr>
                <w:b/>
              </w:rPr>
            </w:pPr>
            <w:r>
              <w:rPr>
                <w:b/>
              </w:rPr>
              <w:t>3</w:t>
            </w:r>
            <w:r w:rsidRPr="00042C66">
              <w:rPr>
                <w:b/>
              </w:rPr>
              <w:t>.3 Náklady regulácie</w:t>
            </w:r>
          </w:p>
          <w:p w:rsidR="00E3279A" w:rsidRPr="00F04CCD" w:rsidRDefault="00E3279A" w:rsidP="00E3279A">
            <w:pPr>
              <w:rPr>
                <w:b/>
              </w:rPr>
            </w:pPr>
            <w:r w:rsidRPr="00042C66">
              <w:t xml:space="preserve">      - </w:t>
            </w:r>
            <w:r w:rsidRPr="00042C66">
              <w:rPr>
                <w:b/>
              </w:rPr>
              <w:t>z toho MSP</w:t>
            </w:r>
          </w:p>
        </w:tc>
      </w:tr>
      <w:tr w:rsidR="00E3279A" w:rsidRPr="00F04CCD" w:rsidTr="00E3279A">
        <w:tc>
          <w:tcPr>
            <w:tcW w:w="9062" w:type="dxa"/>
            <w:tcBorders>
              <w:bottom w:val="single" w:sz="4" w:space="0" w:color="auto"/>
            </w:tcBorders>
          </w:tcPr>
          <w:p w:rsidR="00E3279A" w:rsidRPr="00F04CCD" w:rsidRDefault="00E3279A" w:rsidP="00E3279A">
            <w:pPr>
              <w:rPr>
                <w:b/>
                <w:i/>
              </w:rPr>
            </w:pPr>
            <w:r>
              <w:rPr>
                <w:b/>
                <w:i/>
              </w:rPr>
              <w:t>3</w:t>
            </w:r>
            <w:r w:rsidRPr="00F04CCD">
              <w:rPr>
                <w:b/>
                <w:i/>
              </w:rPr>
              <w:t>.3.1 Priame finančné náklady</w:t>
            </w:r>
          </w:p>
          <w:p w:rsidR="00E3279A" w:rsidRPr="00F04CCD" w:rsidRDefault="00E3279A" w:rsidP="00E3279A">
            <w:pPr>
              <w:rPr>
                <w:i/>
              </w:rPr>
            </w:pPr>
            <w:r w:rsidRPr="00F04CCD">
              <w:rPr>
                <w:i/>
              </w:rPr>
              <w:t xml:space="preserve">Dochádza k zvýšeniu/zníženiu priamych finančných nákladov (poplatky, odvody, dane clá...)? Ak áno, popíšte a vyčíslite ich. Uveďte tiež spôsob ich výpočtu. </w:t>
            </w:r>
          </w:p>
        </w:tc>
      </w:tr>
      <w:tr w:rsidR="00E3279A" w:rsidRPr="00CE718A" w:rsidTr="00E3279A">
        <w:tc>
          <w:tcPr>
            <w:tcW w:w="9062" w:type="dxa"/>
            <w:tcBorders>
              <w:bottom w:val="single" w:sz="4" w:space="0" w:color="auto"/>
            </w:tcBorders>
          </w:tcPr>
          <w:p w:rsidR="00E3279A" w:rsidRPr="00CE718A" w:rsidRDefault="00E3279A" w:rsidP="00E3279A">
            <w:pPr>
              <w:tabs>
                <w:tab w:val="left" w:pos="142"/>
              </w:tabs>
              <w:jc w:val="both"/>
            </w:pPr>
            <w:r w:rsidRPr="001810D0">
              <w:lastRenderedPageBreak/>
              <w:t>Predkladaným návrhom zákona sa upravuje fakultatívna možnosť podať návrh na certifikáciu na produkty, služby a procesy certifikované v rámci európskeho systému certifikácie kybernetickej bezpečnosti, v prípade blokovani</w:t>
            </w:r>
            <w:r>
              <w:t>a</w:t>
            </w:r>
            <w:r w:rsidRPr="001810D0">
              <w:t xml:space="preserve"> sa nepredpokladá, že vzniknú nové náklady. V súčasnosti nie je možné kvantifikovať priame finančné náklady.</w:t>
            </w:r>
            <w:r>
              <w:t xml:space="preserve"> </w:t>
            </w:r>
          </w:p>
        </w:tc>
      </w:tr>
      <w:tr w:rsidR="00E3279A" w:rsidRPr="00F04CCD" w:rsidTr="00E3279A">
        <w:tc>
          <w:tcPr>
            <w:tcW w:w="9062" w:type="dxa"/>
            <w:tcBorders>
              <w:bottom w:val="single" w:sz="4" w:space="0" w:color="auto"/>
            </w:tcBorders>
          </w:tcPr>
          <w:p w:rsidR="00E3279A" w:rsidRPr="00F04CCD" w:rsidRDefault="00E3279A" w:rsidP="00E3279A">
            <w:pPr>
              <w:rPr>
                <w:b/>
                <w:i/>
              </w:rPr>
            </w:pPr>
            <w:r>
              <w:rPr>
                <w:b/>
                <w:i/>
              </w:rPr>
              <w:t>3</w:t>
            </w:r>
            <w:r w:rsidRPr="00F04CCD">
              <w:rPr>
                <w:b/>
                <w:i/>
              </w:rPr>
              <w:t>.3.2 Nepriame finančné náklady</w:t>
            </w:r>
          </w:p>
          <w:p w:rsidR="00E3279A" w:rsidRPr="00F04CCD" w:rsidRDefault="00E3279A" w:rsidP="00E3279A">
            <w:pPr>
              <w:rPr>
                <w:i/>
              </w:rPr>
            </w:pPr>
            <w:r w:rsidRPr="00F04CCD">
              <w:rPr>
                <w:i/>
              </w:rPr>
              <w:t xml:space="preserve">Vyžaduje si predkladaný návrh dodatočné náklady na nákup tovarov alebo služieb? </w:t>
            </w:r>
            <w:r>
              <w:rPr>
                <w:i/>
              </w:rPr>
              <w:t xml:space="preserve">Zvyšuje predkladaný návrh náklady súvisiace so zamestnávaním? </w:t>
            </w:r>
            <w:r w:rsidRPr="00F04CCD">
              <w:rPr>
                <w:i/>
              </w:rPr>
              <w:t>Ak áno, popíšte a vyčíslite ich. Uveďte tiež spôsob ich výpočtu.</w:t>
            </w:r>
          </w:p>
        </w:tc>
      </w:tr>
      <w:tr w:rsidR="00E3279A" w:rsidRPr="00F04CCD" w:rsidTr="00E3279A">
        <w:tc>
          <w:tcPr>
            <w:tcW w:w="9062" w:type="dxa"/>
            <w:tcBorders>
              <w:bottom w:val="single" w:sz="4" w:space="0" w:color="auto"/>
            </w:tcBorders>
          </w:tcPr>
          <w:p w:rsidR="00E3279A" w:rsidRPr="00F04CCD" w:rsidRDefault="00E3279A" w:rsidP="00E3279A">
            <w:pPr>
              <w:jc w:val="both"/>
              <w:rPr>
                <w:b/>
                <w:i/>
              </w:rPr>
            </w:pPr>
            <w:r w:rsidRPr="001810D0">
              <w:t xml:space="preserve">Nepredpokladá sa zvýšenie priamych finančných nákladov na nákup tovarov a služieb a nebudú zvýšené predpokladané návrhy nákladov súvisiacich so zamestnávaním. </w:t>
            </w:r>
          </w:p>
        </w:tc>
      </w:tr>
      <w:tr w:rsidR="00E3279A" w:rsidRPr="00F04CCD" w:rsidTr="00E3279A">
        <w:tc>
          <w:tcPr>
            <w:tcW w:w="9062" w:type="dxa"/>
            <w:tcBorders>
              <w:bottom w:val="single" w:sz="4" w:space="0" w:color="auto"/>
            </w:tcBorders>
          </w:tcPr>
          <w:p w:rsidR="00E3279A" w:rsidRPr="00F04CCD" w:rsidRDefault="00E3279A" w:rsidP="00E3279A">
            <w:pPr>
              <w:rPr>
                <w:b/>
                <w:i/>
              </w:rPr>
            </w:pPr>
            <w:r>
              <w:rPr>
                <w:b/>
                <w:i/>
              </w:rPr>
              <w:t>3</w:t>
            </w:r>
            <w:r w:rsidRPr="00F04CCD">
              <w:rPr>
                <w:b/>
                <w:i/>
              </w:rPr>
              <w:t>.3.3 Administratívne náklady</w:t>
            </w:r>
          </w:p>
          <w:p w:rsidR="00E3279A" w:rsidRPr="00F04CCD" w:rsidRDefault="00E3279A" w:rsidP="00E3279A">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E3279A" w:rsidRPr="00DC653C" w:rsidTr="00E3279A">
        <w:tc>
          <w:tcPr>
            <w:tcW w:w="9062" w:type="dxa"/>
            <w:tcBorders>
              <w:bottom w:val="single" w:sz="4" w:space="0" w:color="auto"/>
            </w:tcBorders>
          </w:tcPr>
          <w:p w:rsidR="00E3279A" w:rsidRPr="00DC653C" w:rsidRDefault="00E3279A" w:rsidP="00E3279A">
            <w:pPr>
              <w:jc w:val="both"/>
            </w:pPr>
            <w:r w:rsidRPr="001810D0">
              <w:t xml:space="preserve">Pri otázke súvisiacej s prevádzkovateľmi základných služieb dochádza len k ich diferenciácii, čo znamená, že už identifikovaní prevádzkovatelia základných služieb budú spadať len pod inú kategóriu prevádzkovateľov základných služieb z dôvodu ich bližšej špecifikácie. </w:t>
            </w:r>
          </w:p>
        </w:tc>
      </w:tr>
      <w:tr w:rsidR="00E3279A" w:rsidRPr="001810D0" w:rsidTr="00E3279A">
        <w:trPr>
          <w:trHeight w:val="2318"/>
        </w:trPr>
        <w:tc>
          <w:tcPr>
            <w:tcW w:w="9062" w:type="dxa"/>
            <w:tcBorders>
              <w:bottom w:val="single" w:sz="4" w:space="0" w:color="auto"/>
            </w:tcBorders>
          </w:tcPr>
          <w:p w:rsidR="00E3279A" w:rsidRPr="001810D0" w:rsidRDefault="00E3279A" w:rsidP="00E3279A">
            <w:pPr>
              <w:rPr>
                <w:i/>
              </w:rPr>
            </w:pPr>
            <w:r w:rsidRPr="001810D0">
              <w:rPr>
                <w:b/>
                <w:i/>
              </w:rPr>
              <w:t>3.3.4 Súhrnná tabuľka nákladov regulácie</w:t>
            </w:r>
          </w:p>
          <w:p w:rsidR="00E3279A" w:rsidRPr="001810D0" w:rsidRDefault="00E3279A" w:rsidP="00E3279A">
            <w:pPr>
              <w:rPr>
                <w:i/>
              </w:rPr>
            </w:pPr>
          </w:p>
          <w:tbl>
            <w:tblPr>
              <w:tblStyle w:val="Mriekatabuky"/>
              <w:tblW w:w="0" w:type="auto"/>
              <w:tblLook w:val="04A0" w:firstRow="1" w:lastRow="0" w:firstColumn="1" w:lastColumn="0" w:noHBand="0" w:noVBand="1"/>
            </w:tblPr>
            <w:tblGrid>
              <w:gridCol w:w="2951"/>
              <w:gridCol w:w="2939"/>
              <w:gridCol w:w="2946"/>
            </w:tblGrid>
            <w:tr w:rsidR="00E3279A" w:rsidRPr="001810D0" w:rsidTr="00E3279A">
              <w:tc>
                <w:tcPr>
                  <w:tcW w:w="2993" w:type="dxa"/>
                </w:tcPr>
                <w:p w:rsidR="00E3279A" w:rsidRPr="001810D0" w:rsidRDefault="00E3279A" w:rsidP="00E3279A">
                  <w:pPr>
                    <w:rPr>
                      <w:i/>
                    </w:rPr>
                  </w:pPr>
                </w:p>
              </w:tc>
              <w:tc>
                <w:tcPr>
                  <w:tcW w:w="2994" w:type="dxa"/>
                </w:tcPr>
                <w:p w:rsidR="00E3279A" w:rsidRPr="001810D0" w:rsidRDefault="00E3279A" w:rsidP="00E3279A">
                  <w:pPr>
                    <w:jc w:val="center"/>
                    <w:rPr>
                      <w:i/>
                    </w:rPr>
                  </w:pPr>
                  <w:r w:rsidRPr="001810D0">
                    <w:rPr>
                      <w:i/>
                    </w:rPr>
                    <w:t>Náklady na 1 podnikateľa</w:t>
                  </w:r>
                </w:p>
              </w:tc>
              <w:tc>
                <w:tcPr>
                  <w:tcW w:w="2994" w:type="dxa"/>
                </w:tcPr>
                <w:p w:rsidR="00E3279A" w:rsidRPr="001810D0" w:rsidRDefault="00E3279A" w:rsidP="00E3279A">
                  <w:pPr>
                    <w:jc w:val="center"/>
                    <w:rPr>
                      <w:i/>
                    </w:rPr>
                  </w:pPr>
                  <w:r w:rsidRPr="001810D0">
                    <w:rPr>
                      <w:i/>
                    </w:rPr>
                    <w:t>Náklady na celé podnikateľské prostredie</w:t>
                  </w:r>
                </w:p>
              </w:tc>
            </w:tr>
            <w:tr w:rsidR="00E3279A" w:rsidRPr="001810D0" w:rsidTr="00E3279A">
              <w:tc>
                <w:tcPr>
                  <w:tcW w:w="2993" w:type="dxa"/>
                </w:tcPr>
                <w:p w:rsidR="00E3279A" w:rsidRPr="001810D0" w:rsidRDefault="00E3279A" w:rsidP="00E3279A">
                  <w:pPr>
                    <w:rPr>
                      <w:i/>
                    </w:rPr>
                  </w:pPr>
                  <w:r w:rsidRPr="001810D0">
                    <w:rPr>
                      <w:i/>
                    </w:rPr>
                    <w:t>Priame finančné náklady</w:t>
                  </w:r>
                </w:p>
              </w:tc>
              <w:tc>
                <w:tcPr>
                  <w:tcW w:w="2994" w:type="dxa"/>
                </w:tcPr>
                <w:p w:rsidR="00E3279A" w:rsidRPr="001810D0" w:rsidRDefault="00E3279A" w:rsidP="00E3279A">
                  <w:pPr>
                    <w:jc w:val="center"/>
                    <w:rPr>
                      <w:i/>
                    </w:rPr>
                  </w:pPr>
                  <w:r w:rsidRPr="001810D0">
                    <w:rPr>
                      <w:i/>
                    </w:rPr>
                    <w:t>0</w:t>
                  </w:r>
                </w:p>
              </w:tc>
              <w:tc>
                <w:tcPr>
                  <w:tcW w:w="2994" w:type="dxa"/>
                </w:tcPr>
                <w:p w:rsidR="00E3279A" w:rsidRPr="001810D0" w:rsidRDefault="00E3279A" w:rsidP="00E3279A">
                  <w:pPr>
                    <w:jc w:val="center"/>
                    <w:rPr>
                      <w:i/>
                    </w:rPr>
                  </w:pPr>
                  <w:r w:rsidRPr="001810D0">
                    <w:rPr>
                      <w:i/>
                    </w:rPr>
                    <w:t>0</w:t>
                  </w:r>
                </w:p>
              </w:tc>
            </w:tr>
            <w:tr w:rsidR="00E3279A" w:rsidRPr="001810D0" w:rsidTr="00E3279A">
              <w:tc>
                <w:tcPr>
                  <w:tcW w:w="2993" w:type="dxa"/>
                </w:tcPr>
                <w:p w:rsidR="00E3279A" w:rsidRPr="001810D0" w:rsidRDefault="00E3279A" w:rsidP="00E3279A">
                  <w:pPr>
                    <w:rPr>
                      <w:i/>
                    </w:rPr>
                  </w:pPr>
                  <w:r w:rsidRPr="001810D0">
                    <w:rPr>
                      <w:i/>
                    </w:rPr>
                    <w:t>Nepriame finančné náklady</w:t>
                  </w:r>
                </w:p>
              </w:tc>
              <w:tc>
                <w:tcPr>
                  <w:tcW w:w="2994" w:type="dxa"/>
                </w:tcPr>
                <w:p w:rsidR="00E3279A" w:rsidRPr="001810D0" w:rsidRDefault="00E3279A" w:rsidP="00E3279A">
                  <w:pPr>
                    <w:jc w:val="center"/>
                    <w:rPr>
                      <w:i/>
                    </w:rPr>
                  </w:pPr>
                  <w:r w:rsidRPr="001810D0">
                    <w:rPr>
                      <w:i/>
                    </w:rPr>
                    <w:t>0</w:t>
                  </w:r>
                </w:p>
              </w:tc>
              <w:tc>
                <w:tcPr>
                  <w:tcW w:w="2994" w:type="dxa"/>
                </w:tcPr>
                <w:p w:rsidR="00E3279A" w:rsidRPr="001810D0" w:rsidRDefault="00E3279A" w:rsidP="00E3279A">
                  <w:pPr>
                    <w:jc w:val="center"/>
                    <w:rPr>
                      <w:i/>
                    </w:rPr>
                  </w:pPr>
                  <w:r w:rsidRPr="001810D0">
                    <w:rPr>
                      <w:i/>
                    </w:rPr>
                    <w:t>0</w:t>
                  </w:r>
                </w:p>
              </w:tc>
            </w:tr>
            <w:tr w:rsidR="00E3279A" w:rsidRPr="001810D0" w:rsidTr="00E3279A">
              <w:tc>
                <w:tcPr>
                  <w:tcW w:w="2993" w:type="dxa"/>
                </w:tcPr>
                <w:p w:rsidR="00E3279A" w:rsidRPr="001810D0" w:rsidRDefault="00E3279A" w:rsidP="00E3279A">
                  <w:pPr>
                    <w:rPr>
                      <w:i/>
                    </w:rPr>
                  </w:pPr>
                  <w:r w:rsidRPr="001810D0">
                    <w:rPr>
                      <w:i/>
                    </w:rPr>
                    <w:t>Administratívne náklady</w:t>
                  </w:r>
                </w:p>
              </w:tc>
              <w:tc>
                <w:tcPr>
                  <w:tcW w:w="2994" w:type="dxa"/>
                </w:tcPr>
                <w:p w:rsidR="00E3279A" w:rsidRPr="001810D0" w:rsidRDefault="00E3279A" w:rsidP="00E3279A">
                  <w:pPr>
                    <w:jc w:val="center"/>
                    <w:rPr>
                      <w:i/>
                    </w:rPr>
                  </w:pPr>
                  <w:r w:rsidRPr="001810D0">
                    <w:rPr>
                      <w:i/>
                    </w:rPr>
                    <w:t>0</w:t>
                  </w:r>
                </w:p>
              </w:tc>
              <w:tc>
                <w:tcPr>
                  <w:tcW w:w="2994" w:type="dxa"/>
                </w:tcPr>
                <w:p w:rsidR="00E3279A" w:rsidRPr="001810D0" w:rsidRDefault="00E3279A" w:rsidP="00E3279A">
                  <w:pPr>
                    <w:jc w:val="center"/>
                    <w:rPr>
                      <w:i/>
                    </w:rPr>
                  </w:pPr>
                  <w:r w:rsidRPr="001810D0">
                    <w:rPr>
                      <w:i/>
                    </w:rPr>
                    <w:t>0</w:t>
                  </w:r>
                </w:p>
              </w:tc>
            </w:tr>
            <w:tr w:rsidR="00E3279A" w:rsidRPr="001810D0" w:rsidTr="00E3279A">
              <w:tc>
                <w:tcPr>
                  <w:tcW w:w="2993" w:type="dxa"/>
                </w:tcPr>
                <w:p w:rsidR="00E3279A" w:rsidRPr="001810D0" w:rsidRDefault="00E3279A" w:rsidP="00E3279A">
                  <w:pPr>
                    <w:rPr>
                      <w:b/>
                      <w:i/>
                    </w:rPr>
                  </w:pPr>
                  <w:r w:rsidRPr="001810D0">
                    <w:rPr>
                      <w:b/>
                      <w:i/>
                    </w:rPr>
                    <w:t>Celkové náklady regulácie</w:t>
                  </w:r>
                </w:p>
              </w:tc>
              <w:tc>
                <w:tcPr>
                  <w:tcW w:w="2994" w:type="dxa"/>
                </w:tcPr>
                <w:p w:rsidR="00E3279A" w:rsidRPr="001810D0" w:rsidRDefault="00E3279A" w:rsidP="00E3279A">
                  <w:pPr>
                    <w:jc w:val="center"/>
                    <w:rPr>
                      <w:b/>
                      <w:i/>
                    </w:rPr>
                  </w:pPr>
                  <w:r w:rsidRPr="001810D0">
                    <w:rPr>
                      <w:b/>
                      <w:i/>
                    </w:rPr>
                    <w:t>0</w:t>
                  </w:r>
                </w:p>
              </w:tc>
              <w:tc>
                <w:tcPr>
                  <w:tcW w:w="2994" w:type="dxa"/>
                </w:tcPr>
                <w:p w:rsidR="00E3279A" w:rsidRPr="001810D0" w:rsidRDefault="00E3279A" w:rsidP="00E3279A">
                  <w:pPr>
                    <w:jc w:val="center"/>
                    <w:rPr>
                      <w:b/>
                      <w:i/>
                    </w:rPr>
                  </w:pPr>
                  <w:r w:rsidRPr="001810D0">
                    <w:rPr>
                      <w:b/>
                      <w:i/>
                    </w:rPr>
                    <w:t>0</w:t>
                  </w:r>
                </w:p>
              </w:tc>
            </w:tr>
          </w:tbl>
          <w:p w:rsidR="00E3279A" w:rsidRPr="001810D0" w:rsidRDefault="00E3279A" w:rsidP="00E3279A">
            <w:pPr>
              <w:rPr>
                <w:i/>
              </w:rPr>
            </w:pPr>
          </w:p>
        </w:tc>
      </w:tr>
      <w:tr w:rsidR="00E3279A" w:rsidRPr="001810D0" w:rsidTr="00E3279A">
        <w:tc>
          <w:tcPr>
            <w:tcW w:w="9062" w:type="dxa"/>
            <w:shd w:val="clear" w:color="auto" w:fill="D9D9D9" w:themeFill="background1" w:themeFillShade="D9"/>
          </w:tcPr>
          <w:p w:rsidR="00E3279A" w:rsidRPr="001810D0" w:rsidRDefault="00E3279A" w:rsidP="00E3279A">
            <w:pPr>
              <w:rPr>
                <w:b/>
              </w:rPr>
            </w:pPr>
            <w:r w:rsidRPr="001810D0">
              <w:rPr>
                <w:b/>
              </w:rPr>
              <w:t>3.4 Konkurencieschopnosť a správanie sa podnikov na trhu</w:t>
            </w:r>
          </w:p>
          <w:p w:rsidR="00E3279A" w:rsidRPr="001810D0" w:rsidRDefault="00E3279A" w:rsidP="00E3279A">
            <w:r w:rsidRPr="001810D0">
              <w:rPr>
                <w:b/>
              </w:rPr>
              <w:t xml:space="preserve">       </w:t>
            </w:r>
            <w:r w:rsidRPr="001810D0">
              <w:t xml:space="preserve">- </w:t>
            </w:r>
            <w:r w:rsidRPr="001810D0">
              <w:rPr>
                <w:b/>
              </w:rPr>
              <w:t>z toho MSP</w:t>
            </w:r>
          </w:p>
        </w:tc>
      </w:tr>
      <w:tr w:rsidR="00E3279A" w:rsidRPr="00F04CCD" w:rsidTr="00E3279A">
        <w:tc>
          <w:tcPr>
            <w:tcW w:w="9062" w:type="dxa"/>
            <w:tcBorders>
              <w:bottom w:val="single" w:sz="4" w:space="0" w:color="auto"/>
            </w:tcBorders>
          </w:tcPr>
          <w:p w:rsidR="00E3279A" w:rsidRPr="00F04CCD" w:rsidRDefault="00E3279A" w:rsidP="00E3279A">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 xml:space="preserve">prísnejšiu reguláciu správania sa niektorých podnikov? Bude sa s niektorými podnikmi alebo produktmi zaobchádzať v porovnateľnej situácii rôzne (špeciálne režimy pre </w:t>
            </w:r>
            <w:proofErr w:type="spellStart"/>
            <w:r w:rsidRPr="00F04CCD">
              <w:rPr>
                <w:i/>
              </w:rPr>
              <w:t>mikro</w:t>
            </w:r>
            <w:proofErr w:type="spellEnd"/>
            <w:r w:rsidRPr="00F04CCD">
              <w:rPr>
                <w:i/>
              </w:rPr>
              <w:t>, malé a stredné podniky tzv. MSP)? Ak áno, popíšte.</w:t>
            </w:r>
          </w:p>
          <w:p w:rsidR="00E3279A" w:rsidRPr="00F04CCD" w:rsidRDefault="00E3279A" w:rsidP="00E3279A">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E3279A" w:rsidRPr="00F04CCD" w:rsidRDefault="00E3279A" w:rsidP="00E3279A">
            <w:pPr>
              <w:rPr>
                <w:i/>
              </w:rPr>
            </w:pPr>
            <w:r w:rsidRPr="00F04CCD">
              <w:rPr>
                <w:i/>
              </w:rPr>
              <w:t>Ako ovplyvní cenu alebo dostupnosť základných zdrojov (suroviny, mechanizmy, pracovná sila, energie atď.)?</w:t>
            </w:r>
          </w:p>
          <w:p w:rsidR="00E3279A" w:rsidRPr="00F04CCD" w:rsidRDefault="00E3279A" w:rsidP="00E3279A">
            <w:pPr>
              <w:rPr>
                <w:i/>
              </w:rPr>
            </w:pPr>
            <w:r w:rsidRPr="00F04CCD">
              <w:rPr>
                <w:i/>
              </w:rPr>
              <w:t>Ovplyvňuje prístup k financiám? Ak áno, ako?</w:t>
            </w:r>
          </w:p>
        </w:tc>
      </w:tr>
      <w:tr w:rsidR="00E3279A" w:rsidRPr="005E624C" w:rsidTr="00E3279A">
        <w:trPr>
          <w:trHeight w:val="566"/>
        </w:trPr>
        <w:tc>
          <w:tcPr>
            <w:tcW w:w="9062" w:type="dxa"/>
            <w:tcBorders>
              <w:bottom w:val="single" w:sz="4" w:space="0" w:color="auto"/>
            </w:tcBorders>
          </w:tcPr>
          <w:p w:rsidR="00E3279A" w:rsidRPr="005E624C" w:rsidRDefault="00E3279A" w:rsidP="00E3279A">
            <w:r>
              <w:t xml:space="preserve">Predkladaný návrh zákona môže vytvoriť nový trh v oblasti certifikácie produktov kybernetickej bezpečnosti a môže tak umožniť vstup nových podnikov na trh. </w:t>
            </w:r>
          </w:p>
        </w:tc>
      </w:tr>
      <w:tr w:rsidR="00E3279A" w:rsidRPr="00F04CCD" w:rsidTr="00E3279A">
        <w:tc>
          <w:tcPr>
            <w:tcW w:w="9062" w:type="dxa"/>
            <w:shd w:val="clear" w:color="auto" w:fill="D9D9D9" w:themeFill="background1" w:themeFillShade="D9"/>
          </w:tcPr>
          <w:p w:rsidR="00E3279A" w:rsidRPr="00042C66" w:rsidRDefault="00E3279A" w:rsidP="00E3279A">
            <w:pPr>
              <w:rPr>
                <w:b/>
              </w:rPr>
            </w:pPr>
            <w:r>
              <w:rPr>
                <w:b/>
              </w:rPr>
              <w:t>3</w:t>
            </w:r>
            <w:r w:rsidRPr="00042C66">
              <w:rPr>
                <w:b/>
              </w:rPr>
              <w:t xml:space="preserve">.5 Inovácie </w:t>
            </w:r>
          </w:p>
          <w:p w:rsidR="00E3279A" w:rsidRPr="00F04CCD" w:rsidRDefault="00E3279A" w:rsidP="00E3279A">
            <w:pPr>
              <w:rPr>
                <w:b/>
              </w:rPr>
            </w:pPr>
            <w:r w:rsidRPr="00042C66">
              <w:t xml:space="preserve">       - </w:t>
            </w:r>
            <w:r w:rsidRPr="00042C66">
              <w:rPr>
                <w:b/>
              </w:rPr>
              <w:t>z toho MSP</w:t>
            </w:r>
          </w:p>
        </w:tc>
      </w:tr>
      <w:tr w:rsidR="00E3279A" w:rsidRPr="00F04CCD" w:rsidTr="00E3279A">
        <w:tc>
          <w:tcPr>
            <w:tcW w:w="9062" w:type="dxa"/>
          </w:tcPr>
          <w:p w:rsidR="00E3279A" w:rsidRPr="00F04CCD" w:rsidRDefault="00E3279A" w:rsidP="00E3279A">
            <w:pPr>
              <w:rPr>
                <w:i/>
              </w:rPr>
            </w:pPr>
            <w:r w:rsidRPr="00F04CCD">
              <w:rPr>
                <w:i/>
              </w:rPr>
              <w:t>Uveďte, ako podporuje navrhovaná zmena inovácie.</w:t>
            </w:r>
          </w:p>
          <w:p w:rsidR="00E3279A" w:rsidRPr="00F04CCD" w:rsidRDefault="00E3279A" w:rsidP="00E3279A">
            <w:pPr>
              <w:rPr>
                <w:i/>
              </w:rPr>
            </w:pPr>
            <w:r w:rsidRPr="00F04CCD">
              <w:rPr>
                <w:i/>
              </w:rPr>
              <w:t>Zjednodušuje uvedenie alebo rozšírenie nových výrobných metód, technológií a výrobkov na trh?</w:t>
            </w:r>
          </w:p>
          <w:p w:rsidR="00E3279A" w:rsidRPr="00F04CCD" w:rsidRDefault="00E3279A" w:rsidP="00E3279A">
            <w:pPr>
              <w:rPr>
                <w:i/>
              </w:rPr>
            </w:pPr>
            <w:r w:rsidRPr="00F04CCD">
              <w:rPr>
                <w:i/>
              </w:rPr>
              <w:t xml:space="preserve">Uveďte, ako vplýva navrhovaná zmena na </w:t>
            </w:r>
            <w:r>
              <w:rPr>
                <w:i/>
              </w:rPr>
              <w:t xml:space="preserve">jednotlivé </w:t>
            </w:r>
            <w:r w:rsidRPr="00F04CCD">
              <w:rPr>
                <w:i/>
              </w:rPr>
              <w:t>práva duševného vlastníctva (</w:t>
            </w:r>
            <w:r>
              <w:rPr>
                <w:i/>
              </w:rPr>
              <w:t xml:space="preserve">napr. </w:t>
            </w:r>
            <w:r w:rsidRPr="00F04CCD">
              <w:rPr>
                <w:i/>
              </w:rPr>
              <w:t xml:space="preserve">patenty, ochranné známky, </w:t>
            </w:r>
            <w:r>
              <w:rPr>
                <w:i/>
              </w:rPr>
              <w:t>autorské práva</w:t>
            </w:r>
            <w:r w:rsidRPr="00F04CCD">
              <w:rPr>
                <w:i/>
              </w:rPr>
              <w:t>, vlastníctvo know-how).</w:t>
            </w:r>
          </w:p>
          <w:p w:rsidR="00E3279A" w:rsidRDefault="00E3279A" w:rsidP="00E3279A">
            <w:pPr>
              <w:rPr>
                <w:i/>
              </w:rPr>
            </w:pPr>
            <w:r w:rsidRPr="00F04CCD">
              <w:rPr>
                <w:i/>
              </w:rPr>
              <w:lastRenderedPageBreak/>
              <w:t>Podporuje vyššiu efektivitu výroby/využívania zdrojov? Ak áno, ako?</w:t>
            </w:r>
          </w:p>
          <w:p w:rsidR="00E3279A" w:rsidRPr="00F04CCD" w:rsidRDefault="00E3279A" w:rsidP="00E3279A">
            <w:r w:rsidRPr="00154881">
              <w:rPr>
                <w:i/>
              </w:rPr>
              <w:t>Vytvorí zmena nové pracovné miesta pre zamestnancov výskumu a vývoja v</w:t>
            </w:r>
            <w:r>
              <w:rPr>
                <w:i/>
              </w:rPr>
              <w:t> </w:t>
            </w:r>
            <w:r w:rsidRPr="00154881">
              <w:rPr>
                <w:i/>
              </w:rPr>
              <w:t>SR</w:t>
            </w:r>
            <w:r>
              <w:rPr>
                <w:i/>
              </w:rPr>
              <w:t>?</w:t>
            </w:r>
          </w:p>
        </w:tc>
      </w:tr>
      <w:tr w:rsidR="00E3279A" w:rsidRPr="005E624C" w:rsidTr="00E3279A">
        <w:trPr>
          <w:trHeight w:val="883"/>
        </w:trPr>
        <w:tc>
          <w:tcPr>
            <w:tcW w:w="9062" w:type="dxa"/>
          </w:tcPr>
          <w:p w:rsidR="00E3279A" w:rsidRPr="005E624C" w:rsidRDefault="00E3279A" w:rsidP="00E3279A">
            <w:pPr>
              <w:jc w:val="both"/>
            </w:pPr>
            <w:r w:rsidRPr="001810D0">
              <w:lastRenderedPageBreak/>
              <w:t>Predkladaný návrh zákona zjednoduší uvádzanie niektorých výrobkov na trh (s certifikátom kybernetickej bezpečnosti). Návrh zákona tiež prispeje k informatizácii a digitalizácii, čím sa zvýši efektivita výroby a využívania zdrojov. Tieto vplyvy však v súčasnosti nie je možné kvantifikovať.</w:t>
            </w:r>
          </w:p>
        </w:tc>
      </w:tr>
    </w:tbl>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Pr="00117A7E" w:rsidRDefault="00E3279A" w:rsidP="00E3279A">
      <w:pPr>
        <w:jc w:val="center"/>
        <w:rPr>
          <w:b/>
          <w:caps/>
          <w:spacing w:val="30"/>
          <w:sz w:val="25"/>
          <w:szCs w:val="25"/>
        </w:rPr>
      </w:pPr>
      <w:r w:rsidRPr="00117A7E">
        <w:rPr>
          <w:b/>
          <w:caps/>
          <w:spacing w:val="30"/>
          <w:sz w:val="25"/>
          <w:szCs w:val="25"/>
        </w:rPr>
        <w:t>Doložka zlučiteľnosti</w:t>
      </w:r>
    </w:p>
    <w:p w:rsidR="00E3279A" w:rsidRPr="00117A7E" w:rsidRDefault="00E3279A" w:rsidP="00E3279A">
      <w:pPr>
        <w:jc w:val="center"/>
        <w:rPr>
          <w:b/>
          <w:sz w:val="25"/>
          <w:szCs w:val="25"/>
        </w:rPr>
      </w:pPr>
      <w:r>
        <w:rPr>
          <w:b/>
          <w:sz w:val="25"/>
          <w:szCs w:val="25"/>
        </w:rPr>
        <w:t xml:space="preserve">návrhu </w:t>
      </w:r>
      <w:r w:rsidRPr="00117A7E">
        <w:rPr>
          <w:b/>
          <w:sz w:val="25"/>
          <w:szCs w:val="25"/>
        </w:rPr>
        <w:t>právneho predpisu s právom Európskej únie</w:t>
      </w:r>
    </w:p>
    <w:p w:rsidR="00E3279A" w:rsidRPr="00117A7E" w:rsidRDefault="00E3279A" w:rsidP="00E3279A">
      <w:pPr>
        <w:jc w:val="center"/>
        <w:rPr>
          <w:b/>
          <w:sz w:val="25"/>
          <w:szCs w:val="25"/>
        </w:rPr>
      </w:pPr>
    </w:p>
    <w:p w:rsidR="00E3279A" w:rsidRPr="00117A7E" w:rsidRDefault="00E3279A" w:rsidP="00E3279A">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E3279A" w:rsidRPr="00117A7E" w:rsidTr="00E3279A">
        <w:tc>
          <w:tcPr>
            <w:tcW w:w="404" w:type="dxa"/>
          </w:tcPr>
          <w:p w:rsidR="00E3279A" w:rsidRPr="00117A7E" w:rsidRDefault="00E3279A" w:rsidP="00E3279A">
            <w:pPr>
              <w:tabs>
                <w:tab w:val="left" w:pos="360"/>
              </w:tabs>
              <w:rPr>
                <w:b/>
                <w:sz w:val="25"/>
                <w:szCs w:val="25"/>
              </w:rPr>
            </w:pPr>
            <w:r w:rsidRPr="00117A7E">
              <w:rPr>
                <w:b/>
                <w:sz w:val="25"/>
                <w:szCs w:val="25"/>
              </w:rPr>
              <w:t>1.</w:t>
            </w:r>
          </w:p>
        </w:tc>
        <w:tc>
          <w:tcPr>
            <w:tcW w:w="9627" w:type="dxa"/>
          </w:tcPr>
          <w:p w:rsidR="00E3279A" w:rsidRPr="00117A7E" w:rsidRDefault="00E3279A" w:rsidP="00E3279A">
            <w:pPr>
              <w:tabs>
                <w:tab w:val="left" w:pos="360"/>
              </w:tabs>
              <w:rPr>
                <w:sz w:val="25"/>
                <w:szCs w:val="25"/>
              </w:rPr>
            </w:pPr>
            <w:r w:rsidRPr="00117A7E">
              <w:rPr>
                <w:b/>
                <w:sz w:val="25"/>
                <w:szCs w:val="25"/>
              </w:rPr>
              <w:t xml:space="preserve">Predkladateľ </w:t>
            </w:r>
            <w:r>
              <w:rPr>
                <w:b/>
                <w:sz w:val="25"/>
                <w:szCs w:val="25"/>
              </w:rPr>
              <w:t xml:space="preserve">návrhu </w:t>
            </w:r>
            <w:r w:rsidRPr="00117A7E">
              <w:rPr>
                <w:b/>
                <w:sz w:val="25"/>
                <w:szCs w:val="25"/>
              </w:rPr>
              <w:t>právneho predpisu:</w:t>
            </w:r>
            <w:r w:rsidRPr="00117A7E">
              <w:rPr>
                <w:sz w:val="25"/>
                <w:szCs w:val="25"/>
              </w:rPr>
              <w:t xml:space="preserve"> </w:t>
            </w:r>
            <w:r>
              <w:rPr>
                <w:sz w:val="25"/>
                <w:szCs w:val="25"/>
              </w:rPr>
              <w:fldChar w:fldCharType="begin"/>
            </w:r>
            <w:r>
              <w:rPr>
                <w:sz w:val="25"/>
                <w:szCs w:val="25"/>
              </w:rPr>
              <w:instrText xml:space="preserve"> DOCPROPERTY  FSC#SKEDITIONSLOVLEX@103.510:zodpinstitucia  \* MERGEFORMAT </w:instrText>
            </w:r>
            <w:r>
              <w:rPr>
                <w:sz w:val="25"/>
                <w:szCs w:val="25"/>
              </w:rPr>
              <w:fldChar w:fldCharType="separate"/>
            </w:r>
            <w:r>
              <w:rPr>
                <w:sz w:val="25"/>
                <w:szCs w:val="25"/>
              </w:rPr>
              <w:t xml:space="preserve">Národný bezpečnostný úrad </w:t>
            </w:r>
            <w:r>
              <w:rPr>
                <w:sz w:val="25"/>
                <w:szCs w:val="25"/>
              </w:rPr>
              <w:fldChar w:fldCharType="end"/>
            </w:r>
          </w:p>
        </w:tc>
      </w:tr>
      <w:tr w:rsidR="00E3279A" w:rsidRPr="00117A7E" w:rsidTr="00E3279A">
        <w:tc>
          <w:tcPr>
            <w:tcW w:w="404" w:type="dxa"/>
          </w:tcPr>
          <w:p w:rsidR="00E3279A" w:rsidRPr="00117A7E" w:rsidRDefault="00E3279A" w:rsidP="00E3279A">
            <w:pPr>
              <w:tabs>
                <w:tab w:val="left" w:pos="360"/>
              </w:tabs>
              <w:rPr>
                <w:sz w:val="25"/>
                <w:szCs w:val="25"/>
              </w:rPr>
            </w:pPr>
          </w:p>
        </w:tc>
        <w:tc>
          <w:tcPr>
            <w:tcW w:w="9627" w:type="dxa"/>
          </w:tcPr>
          <w:p w:rsidR="00E3279A" w:rsidRPr="00117A7E" w:rsidRDefault="00E3279A" w:rsidP="00E3279A">
            <w:pPr>
              <w:tabs>
                <w:tab w:val="left" w:pos="360"/>
              </w:tabs>
              <w:rPr>
                <w:sz w:val="25"/>
                <w:szCs w:val="25"/>
              </w:rPr>
            </w:pPr>
          </w:p>
        </w:tc>
      </w:tr>
      <w:tr w:rsidR="00E3279A" w:rsidRPr="00117A7E" w:rsidTr="00E3279A">
        <w:tc>
          <w:tcPr>
            <w:tcW w:w="404" w:type="dxa"/>
          </w:tcPr>
          <w:p w:rsidR="00E3279A" w:rsidRPr="00117A7E" w:rsidRDefault="00E3279A" w:rsidP="00E3279A">
            <w:pPr>
              <w:tabs>
                <w:tab w:val="left" w:pos="360"/>
              </w:tabs>
              <w:rPr>
                <w:b/>
                <w:sz w:val="25"/>
                <w:szCs w:val="25"/>
              </w:rPr>
            </w:pPr>
            <w:r w:rsidRPr="00117A7E">
              <w:rPr>
                <w:b/>
                <w:sz w:val="25"/>
                <w:szCs w:val="25"/>
              </w:rPr>
              <w:t>2.</w:t>
            </w:r>
          </w:p>
        </w:tc>
        <w:tc>
          <w:tcPr>
            <w:tcW w:w="9627" w:type="dxa"/>
          </w:tcPr>
          <w:p w:rsidR="00E3279A" w:rsidRPr="00117A7E" w:rsidRDefault="00E3279A" w:rsidP="00E3279A">
            <w:pPr>
              <w:tabs>
                <w:tab w:val="left" w:pos="360"/>
              </w:tabs>
              <w:rPr>
                <w:sz w:val="25"/>
                <w:szCs w:val="25"/>
              </w:rPr>
            </w:pPr>
            <w:r w:rsidRPr="00117A7E">
              <w:rPr>
                <w:b/>
                <w:sz w:val="25"/>
                <w:szCs w:val="25"/>
              </w:rPr>
              <w:t>Názov návrhu právneho predpisu:</w:t>
            </w:r>
            <w:r w:rsidRPr="00117A7E">
              <w:rPr>
                <w:sz w:val="25"/>
                <w:szCs w:val="25"/>
              </w:rPr>
              <w:t xml:space="preserve"> </w:t>
            </w:r>
            <w:r>
              <w:rPr>
                <w:sz w:val="25"/>
                <w:szCs w:val="25"/>
              </w:rPr>
              <w:fldChar w:fldCharType="begin"/>
            </w:r>
            <w:r>
              <w:rPr>
                <w:sz w:val="25"/>
                <w:szCs w:val="25"/>
              </w:rPr>
              <w:instrText xml:space="preserve"> DOCPROPERTY  FSC#SKEDITIONSLOVLEX@103.510:plnynazovpredpis  \* MERGEFORMAT </w:instrText>
            </w:r>
            <w:r>
              <w:rPr>
                <w:sz w:val="25"/>
                <w:szCs w:val="25"/>
              </w:rPr>
              <w:fldChar w:fldCharType="separate"/>
            </w:r>
            <w:r>
              <w:rPr>
                <w:sz w:val="25"/>
                <w:szCs w:val="25"/>
              </w:rPr>
              <w:t xml:space="preserve"> Zákon, ktorým sa mení a dopĺňa zákon č. 69/2018 Z. z. o kybernetickej bezpečnosti a o zmene a doplnení niektorých zákonov a ktorým sa menia a dopĺňajú niektoré zákony</w:t>
            </w:r>
            <w:r>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FSC#SKEDITIONSLOVLEX@103.510:plnynazovpredpis1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FSC#SKEDITIONSLOVLEX@103.510:plnynazovpredpis2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FSC#SKEDITIONSLOVLEX@103.510:plnynazovpredpis3  \* MERGEFORMAT </w:instrText>
            </w:r>
            <w:r w:rsidRPr="00117A7E">
              <w:rPr>
                <w:sz w:val="25"/>
                <w:szCs w:val="25"/>
              </w:rPr>
              <w:fldChar w:fldCharType="end"/>
            </w:r>
          </w:p>
        </w:tc>
      </w:tr>
      <w:tr w:rsidR="00E3279A" w:rsidRPr="00117A7E" w:rsidTr="00E3279A">
        <w:tc>
          <w:tcPr>
            <w:tcW w:w="404" w:type="dxa"/>
          </w:tcPr>
          <w:p w:rsidR="00E3279A" w:rsidRPr="00117A7E" w:rsidRDefault="00E3279A" w:rsidP="00E3279A">
            <w:pPr>
              <w:tabs>
                <w:tab w:val="left" w:pos="360"/>
              </w:tabs>
              <w:rPr>
                <w:sz w:val="25"/>
                <w:szCs w:val="25"/>
              </w:rPr>
            </w:pPr>
          </w:p>
        </w:tc>
        <w:tc>
          <w:tcPr>
            <w:tcW w:w="9627" w:type="dxa"/>
          </w:tcPr>
          <w:p w:rsidR="00E3279A" w:rsidRPr="00117A7E" w:rsidRDefault="00E3279A" w:rsidP="00E3279A">
            <w:pPr>
              <w:tabs>
                <w:tab w:val="left" w:pos="360"/>
              </w:tabs>
              <w:rPr>
                <w:sz w:val="25"/>
                <w:szCs w:val="25"/>
              </w:rPr>
            </w:pPr>
          </w:p>
        </w:tc>
      </w:tr>
      <w:tr w:rsidR="00E3279A" w:rsidRPr="00117A7E" w:rsidTr="00E3279A">
        <w:tc>
          <w:tcPr>
            <w:tcW w:w="404" w:type="dxa"/>
          </w:tcPr>
          <w:p w:rsidR="00E3279A" w:rsidRPr="00117A7E" w:rsidRDefault="00E3279A" w:rsidP="00E3279A">
            <w:pPr>
              <w:tabs>
                <w:tab w:val="left" w:pos="360"/>
              </w:tabs>
              <w:rPr>
                <w:b/>
                <w:sz w:val="25"/>
                <w:szCs w:val="25"/>
              </w:rPr>
            </w:pPr>
            <w:r w:rsidRPr="00117A7E">
              <w:rPr>
                <w:b/>
                <w:sz w:val="25"/>
                <w:szCs w:val="25"/>
              </w:rPr>
              <w:t>3.</w:t>
            </w:r>
          </w:p>
        </w:tc>
        <w:tc>
          <w:tcPr>
            <w:tcW w:w="9627" w:type="dxa"/>
          </w:tcPr>
          <w:p w:rsidR="00E3279A" w:rsidRPr="00117A7E" w:rsidRDefault="00E3279A" w:rsidP="00E3279A">
            <w:pPr>
              <w:tabs>
                <w:tab w:val="left" w:pos="360"/>
              </w:tabs>
              <w:rPr>
                <w:b/>
                <w:sz w:val="25"/>
                <w:szCs w:val="25"/>
              </w:rPr>
            </w:pPr>
            <w:r w:rsidRPr="00117A7E">
              <w:rPr>
                <w:b/>
                <w:sz w:val="25"/>
                <w:szCs w:val="25"/>
              </w:rPr>
              <w:t>Problematika návrhu právneho predpisu:</w:t>
            </w:r>
          </w:p>
          <w:p w:rsidR="00E3279A" w:rsidRPr="00117A7E" w:rsidRDefault="00E3279A" w:rsidP="00E3279A">
            <w:pPr>
              <w:tabs>
                <w:tab w:val="left" w:pos="360"/>
              </w:tabs>
              <w:rPr>
                <w:sz w:val="25"/>
                <w:szCs w:val="25"/>
              </w:rPr>
            </w:pPr>
          </w:p>
        </w:tc>
      </w:tr>
      <w:tr w:rsidR="00E3279A" w:rsidRPr="00117A7E" w:rsidTr="00E3279A">
        <w:tc>
          <w:tcPr>
            <w:tcW w:w="404" w:type="dxa"/>
          </w:tcPr>
          <w:p w:rsidR="00E3279A" w:rsidRPr="00117A7E" w:rsidRDefault="00E3279A" w:rsidP="00E3279A">
            <w:pPr>
              <w:tabs>
                <w:tab w:val="left" w:pos="360"/>
              </w:tabs>
            </w:pPr>
          </w:p>
        </w:tc>
        <w:tc>
          <w:tcPr>
            <w:tcW w:w="9627" w:type="dxa"/>
          </w:tcPr>
          <w:p w:rsidR="00E3279A" w:rsidRPr="00117A7E" w:rsidRDefault="00E3279A" w:rsidP="00E3279A">
            <w:pPr>
              <w:pStyle w:val="Odsekzoznamu"/>
              <w:widowControl w:val="0"/>
              <w:numPr>
                <w:ilvl w:val="0"/>
                <w:numId w:val="7"/>
              </w:numPr>
              <w:tabs>
                <w:tab w:val="left" w:pos="360"/>
              </w:tabs>
              <w:autoSpaceDE w:val="0"/>
              <w:autoSpaceDN w:val="0"/>
              <w:adjustRightInd w:val="0"/>
              <w:spacing w:after="0" w:line="240" w:lineRule="auto"/>
            </w:pPr>
            <w:r>
              <w:rPr>
                <w:rFonts w:ascii="Times" w:hAnsi="Times" w:cs="Times"/>
                <w:sz w:val="25"/>
                <w:szCs w:val="25"/>
              </w:rPr>
              <w:t>je upravený v práve Európskej únie</w:t>
            </w:r>
          </w:p>
          <w:p w:rsidR="00E3279A" w:rsidRDefault="00E3279A" w:rsidP="00E3279A">
            <w:pPr>
              <w:rPr>
                <w:rFonts w:ascii="Times" w:hAnsi="Times" w:cs="Times"/>
                <w:sz w:val="25"/>
                <w:szCs w:val="25"/>
              </w:rPr>
            </w:pPr>
            <w:r>
              <w:rPr>
                <w:rFonts w:ascii="Times" w:hAnsi="Times" w:cs="Times"/>
                <w:sz w:val="25"/>
                <w:szCs w:val="25"/>
              </w:rPr>
              <w:br/>
            </w:r>
            <w:r>
              <w:rPr>
                <w:rFonts w:ascii="Times" w:hAnsi="Times" w:cs="Times"/>
                <w:i/>
                <w:iCs/>
                <w:sz w:val="25"/>
                <w:szCs w:val="25"/>
              </w:rPr>
              <w:t xml:space="preserve">- primárnom </w:t>
            </w:r>
            <w:r>
              <w:rPr>
                <w:rFonts w:ascii="Times" w:hAnsi="Times" w:cs="Times"/>
                <w:sz w:val="25"/>
                <w:szCs w:val="25"/>
              </w:rPr>
              <w:br/>
            </w:r>
            <w:r>
              <w:rPr>
                <w:rFonts w:ascii="Times" w:hAnsi="Times" w:cs="Times"/>
                <w:sz w:val="25"/>
                <w:szCs w:val="25"/>
              </w:rPr>
              <w:br/>
              <w:t>Čl. 114 Zmluvy o fungovaní Európskej únie</w:t>
            </w:r>
          </w:p>
          <w:p w:rsidR="00E3279A" w:rsidRPr="00117A7E" w:rsidRDefault="00E3279A" w:rsidP="00E3279A">
            <w:pPr>
              <w:pStyle w:val="Odsekzoznamu"/>
              <w:tabs>
                <w:tab w:val="left" w:pos="360"/>
              </w:tabs>
              <w:ind w:left="360"/>
            </w:pPr>
          </w:p>
          <w:p w:rsidR="00E3279A" w:rsidRDefault="00E3279A" w:rsidP="00E3279A">
            <w:pPr>
              <w:rPr>
                <w:rFonts w:ascii="Times" w:hAnsi="Times" w:cs="Times"/>
                <w:sz w:val="25"/>
                <w:szCs w:val="25"/>
              </w:rPr>
            </w:pPr>
            <w:r>
              <w:rPr>
                <w:rFonts w:ascii="Times" w:hAnsi="Times" w:cs="Times"/>
                <w:i/>
                <w:iCs/>
                <w:sz w:val="25"/>
                <w:szCs w:val="25"/>
              </w:rPr>
              <w:t xml:space="preserve">- sekundárnom </w:t>
            </w:r>
            <w:r>
              <w:rPr>
                <w:rFonts w:ascii="Times" w:hAnsi="Times" w:cs="Times"/>
                <w:sz w:val="25"/>
                <w:szCs w:val="25"/>
              </w:rPr>
              <w:br/>
            </w:r>
            <w:r>
              <w:rPr>
                <w:rFonts w:ascii="Times" w:hAnsi="Times" w:cs="Times"/>
                <w:sz w:val="25"/>
                <w:szCs w:val="25"/>
              </w:rPr>
              <w:br/>
              <w:t>Smernica Európskeho parlamentu a Rady (EÚ) 2016/1148 zo 6. júla 2016 o opatreniach na zabezpečenie vysokej spoločnej úrovne bezpečností sietí a informačných systémov v Únii (Ú. v. EÚ L 194, 19.7.2016),Nariadenie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 151, 7.6.2019),</w:t>
            </w:r>
          </w:p>
          <w:p w:rsidR="00E3279A" w:rsidRPr="00117A7E" w:rsidRDefault="00E3279A" w:rsidP="00E3279A">
            <w:pPr>
              <w:pStyle w:val="Odsekzoznamu"/>
              <w:tabs>
                <w:tab w:val="left" w:pos="360"/>
              </w:tabs>
              <w:ind w:left="360"/>
            </w:pPr>
          </w:p>
          <w:p w:rsidR="00E3279A" w:rsidRPr="00117A7E" w:rsidRDefault="00E3279A" w:rsidP="00E3279A">
            <w:pPr>
              <w:pStyle w:val="Odsekzoznamu"/>
              <w:tabs>
                <w:tab w:val="left" w:pos="360"/>
              </w:tabs>
              <w:ind w:left="360"/>
            </w:pPr>
          </w:p>
          <w:p w:rsidR="00E3279A" w:rsidRPr="00117A7E" w:rsidRDefault="00E3279A" w:rsidP="00E3279A">
            <w:pPr>
              <w:pStyle w:val="Odsekzoznamu"/>
              <w:tabs>
                <w:tab w:val="left" w:pos="360"/>
              </w:tabs>
              <w:ind w:left="360"/>
            </w:pPr>
            <w:r>
              <w:rPr>
                <w:rFonts w:ascii="Times" w:hAnsi="Times" w:cs="Times"/>
                <w:i/>
                <w:iCs/>
                <w:sz w:val="25"/>
                <w:szCs w:val="25"/>
              </w:rPr>
              <w:t>- v judikatúre Súdneho dvora Európskej únie</w:t>
            </w:r>
          </w:p>
          <w:p w:rsidR="00E3279A" w:rsidRPr="00117A7E" w:rsidRDefault="00E3279A" w:rsidP="00E3279A">
            <w:pPr>
              <w:pStyle w:val="Odsekzoznamu"/>
              <w:tabs>
                <w:tab w:val="left" w:pos="360"/>
              </w:tabs>
              <w:ind w:left="360"/>
            </w:pPr>
          </w:p>
        </w:tc>
      </w:tr>
      <w:tr w:rsidR="00E3279A" w:rsidRPr="00117A7E" w:rsidTr="00E3279A">
        <w:tc>
          <w:tcPr>
            <w:tcW w:w="404" w:type="dxa"/>
          </w:tcPr>
          <w:p w:rsidR="00E3279A" w:rsidRPr="00117A7E" w:rsidRDefault="00E3279A" w:rsidP="00E3279A">
            <w:pPr>
              <w:tabs>
                <w:tab w:val="left" w:pos="360"/>
              </w:tabs>
            </w:pPr>
          </w:p>
        </w:tc>
        <w:tc>
          <w:tcPr>
            <w:tcW w:w="9627" w:type="dxa"/>
          </w:tcPr>
          <w:p w:rsidR="00E3279A" w:rsidRPr="00117A7E" w:rsidRDefault="00E3279A" w:rsidP="00E3279A">
            <w:pPr>
              <w:pStyle w:val="Odsekzoznamu"/>
              <w:widowControl w:val="0"/>
              <w:numPr>
                <w:ilvl w:val="0"/>
                <w:numId w:val="7"/>
              </w:numPr>
              <w:tabs>
                <w:tab w:val="left" w:pos="360"/>
              </w:tabs>
              <w:autoSpaceDE w:val="0"/>
              <w:autoSpaceDN w:val="0"/>
              <w:adjustRightInd w:val="0"/>
              <w:spacing w:after="0" w:line="240" w:lineRule="auto"/>
            </w:pPr>
          </w:p>
          <w:p w:rsidR="00E3279A" w:rsidRDefault="00E3279A" w:rsidP="00E3279A">
            <w:pPr>
              <w:rPr>
                <w:rFonts w:ascii="Times" w:hAnsi="Times" w:cs="Times"/>
                <w:sz w:val="25"/>
                <w:szCs w:val="25"/>
              </w:rPr>
            </w:pPr>
            <w:r>
              <w:rPr>
                <w:rFonts w:ascii="Times" w:hAnsi="Times" w:cs="Times"/>
                <w:sz w:val="25"/>
                <w:szCs w:val="25"/>
              </w:rPr>
              <w:br/>
              <w:t>V súčasnosti nie je upravené v judikatúre Súdneho dvora Európskej únie</w:t>
            </w:r>
          </w:p>
          <w:p w:rsidR="00E3279A" w:rsidRPr="00117A7E" w:rsidRDefault="00E3279A" w:rsidP="00E3279A">
            <w:pPr>
              <w:pStyle w:val="Odsekzoznamu"/>
              <w:tabs>
                <w:tab w:val="left" w:pos="360"/>
              </w:tabs>
              <w:ind w:left="360"/>
            </w:pPr>
          </w:p>
        </w:tc>
      </w:tr>
      <w:tr w:rsidR="00E3279A" w:rsidRPr="00117A7E" w:rsidTr="00E3279A">
        <w:tc>
          <w:tcPr>
            <w:tcW w:w="404" w:type="dxa"/>
          </w:tcPr>
          <w:p w:rsidR="00E3279A" w:rsidRPr="00117A7E" w:rsidRDefault="00E3279A" w:rsidP="00E3279A">
            <w:pPr>
              <w:tabs>
                <w:tab w:val="left" w:pos="360"/>
              </w:tabs>
              <w:rPr>
                <w:b/>
              </w:rPr>
            </w:pPr>
          </w:p>
        </w:tc>
        <w:tc>
          <w:tcPr>
            <w:tcW w:w="9627" w:type="dxa"/>
          </w:tcPr>
          <w:p w:rsidR="00E3279A" w:rsidRPr="00117A7E" w:rsidRDefault="00E3279A" w:rsidP="00E3279A">
            <w:pPr>
              <w:tabs>
                <w:tab w:val="left" w:pos="360"/>
              </w:tabs>
            </w:pPr>
          </w:p>
        </w:tc>
      </w:tr>
    </w:tbl>
    <w:p w:rsidR="00E3279A" w:rsidRPr="00117A7E" w:rsidRDefault="00E3279A" w:rsidP="00E3279A">
      <w:pPr>
        <w:tabs>
          <w:tab w:val="left" w:pos="360"/>
        </w:tabs>
      </w:pPr>
    </w:p>
    <w:p w:rsidR="00E3279A" w:rsidRDefault="00E3279A" w:rsidP="00E3279A">
      <w:pPr>
        <w:tabs>
          <w:tab w:val="left" w:pos="360"/>
        </w:tabs>
        <w:jc w:val="both"/>
      </w:pPr>
    </w:p>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E3279A" w:rsidTr="00E3279A">
        <w:trPr>
          <w:jc w:val="center"/>
        </w:trPr>
        <w:tc>
          <w:tcPr>
            <w:tcW w:w="250" w:type="pct"/>
            <w:tcBorders>
              <w:top w:val="nil"/>
              <w:left w:val="nil"/>
              <w:bottom w:val="nil"/>
              <w:right w:val="nil"/>
            </w:tcBorders>
            <w:hideMark/>
          </w:tcPr>
          <w:p w:rsidR="00E3279A" w:rsidRDefault="00E3279A" w:rsidP="00E3279A">
            <w:pPr>
              <w:rPr>
                <w:rFonts w:ascii="Times" w:hAnsi="Times" w:cs="Times"/>
                <w:b/>
                <w:bCs/>
                <w:sz w:val="25"/>
                <w:szCs w:val="25"/>
              </w:rPr>
            </w:pPr>
            <w:r>
              <w:rPr>
                <w:rFonts w:ascii="Times" w:hAnsi="Times" w:cs="Times"/>
                <w:b/>
                <w:bCs/>
                <w:sz w:val="25"/>
                <w:szCs w:val="25"/>
              </w:rPr>
              <w:t>4.</w:t>
            </w:r>
          </w:p>
        </w:tc>
        <w:tc>
          <w:tcPr>
            <w:tcW w:w="4750" w:type="pct"/>
            <w:gridSpan w:val="2"/>
            <w:tcBorders>
              <w:top w:val="nil"/>
              <w:left w:val="nil"/>
              <w:bottom w:val="nil"/>
              <w:right w:val="nil"/>
            </w:tcBorders>
            <w:vAlign w:val="center"/>
            <w:hideMark/>
          </w:tcPr>
          <w:p w:rsidR="00E3279A" w:rsidRDefault="00E3279A" w:rsidP="00E3279A">
            <w:pPr>
              <w:spacing w:after="250"/>
              <w:rPr>
                <w:rFonts w:ascii="Times" w:hAnsi="Times" w:cs="Times"/>
                <w:b/>
                <w:bCs/>
                <w:sz w:val="25"/>
                <w:szCs w:val="25"/>
              </w:rPr>
            </w:pPr>
            <w:r>
              <w:rPr>
                <w:rFonts w:ascii="Times" w:hAnsi="Times" w:cs="Times"/>
                <w:b/>
                <w:bCs/>
                <w:sz w:val="25"/>
                <w:szCs w:val="25"/>
              </w:rPr>
              <w:t>Záväzky Slovenskej republiky vo vzťahu k Európskej únii:</w:t>
            </w:r>
          </w:p>
        </w:tc>
      </w:tr>
      <w:tr w:rsidR="00E3279A" w:rsidTr="00E3279A">
        <w:trPr>
          <w:jc w:val="center"/>
        </w:trPr>
        <w:tc>
          <w:tcPr>
            <w:tcW w:w="0" w:type="auto"/>
            <w:tcBorders>
              <w:top w:val="nil"/>
              <w:left w:val="nil"/>
              <w:bottom w:val="nil"/>
              <w:right w:val="nil"/>
            </w:tcBorders>
            <w:hideMark/>
          </w:tcPr>
          <w:p w:rsidR="00E3279A" w:rsidRDefault="00E3279A" w:rsidP="00E3279A">
            <w:pPr>
              <w:spacing w:after="250"/>
              <w:rPr>
                <w:rFonts w:ascii="Times" w:hAnsi="Times" w:cs="Times"/>
                <w:b/>
                <w:bCs/>
                <w:sz w:val="25"/>
                <w:szCs w:val="25"/>
              </w:rPr>
            </w:pPr>
          </w:p>
        </w:tc>
        <w:tc>
          <w:tcPr>
            <w:tcW w:w="150" w:type="pct"/>
            <w:tcBorders>
              <w:top w:val="nil"/>
              <w:left w:val="nil"/>
              <w:bottom w:val="nil"/>
              <w:right w:val="nil"/>
            </w:tcBorders>
            <w:hideMark/>
          </w:tcPr>
          <w:p w:rsidR="00E3279A" w:rsidRDefault="00E3279A" w:rsidP="00E3279A">
            <w:pPr>
              <w:rPr>
                <w:rFonts w:ascii="Times" w:hAnsi="Times" w:cs="Times"/>
                <w:sz w:val="25"/>
                <w:szCs w:val="25"/>
              </w:rPr>
            </w:pPr>
            <w:r>
              <w:rPr>
                <w:rFonts w:ascii="Times" w:hAnsi="Times" w:cs="Times"/>
                <w:sz w:val="25"/>
                <w:szCs w:val="25"/>
              </w:rPr>
              <w:t>a)</w:t>
            </w:r>
          </w:p>
        </w:tc>
        <w:tc>
          <w:tcPr>
            <w:tcW w:w="0" w:type="auto"/>
            <w:tcBorders>
              <w:top w:val="nil"/>
              <w:left w:val="nil"/>
              <w:bottom w:val="nil"/>
              <w:right w:val="nil"/>
            </w:tcBorders>
            <w:vAlign w:val="center"/>
            <w:hideMark/>
          </w:tcPr>
          <w:p w:rsidR="00E3279A" w:rsidRDefault="00E3279A" w:rsidP="00E3279A">
            <w:pPr>
              <w:spacing w:after="250"/>
              <w:rPr>
                <w:rFonts w:ascii="Times" w:hAnsi="Times" w:cs="Times"/>
                <w:sz w:val="25"/>
                <w:szCs w:val="25"/>
              </w:rPr>
            </w:pPr>
            <w:r>
              <w:rPr>
                <w:rFonts w:ascii="Times" w:hAnsi="Times" w:cs="Times"/>
                <w:sz w:val="25"/>
                <w:szCs w:val="25"/>
              </w:rPr>
              <w:t>lehota na prebratie smernice alebo lehota na implementáciu nariadenia alebo rozhodnutia</w:t>
            </w:r>
          </w:p>
        </w:tc>
      </w:tr>
      <w:tr w:rsidR="00E3279A" w:rsidTr="00E3279A">
        <w:trPr>
          <w:jc w:val="center"/>
        </w:trPr>
        <w:tc>
          <w:tcPr>
            <w:tcW w:w="0" w:type="auto"/>
            <w:tcBorders>
              <w:top w:val="nil"/>
              <w:left w:val="nil"/>
              <w:bottom w:val="nil"/>
              <w:right w:val="nil"/>
            </w:tcBorders>
            <w:hideMark/>
          </w:tcPr>
          <w:p w:rsidR="00E3279A" w:rsidRDefault="00E3279A" w:rsidP="00E3279A">
            <w:pPr>
              <w:spacing w:after="250"/>
              <w:rPr>
                <w:rFonts w:ascii="Times" w:hAnsi="Times" w:cs="Times"/>
                <w:sz w:val="25"/>
                <w:szCs w:val="25"/>
              </w:rPr>
            </w:pPr>
          </w:p>
        </w:tc>
        <w:tc>
          <w:tcPr>
            <w:tcW w:w="0" w:type="auto"/>
            <w:tcBorders>
              <w:top w:val="nil"/>
              <w:left w:val="nil"/>
              <w:bottom w:val="nil"/>
              <w:right w:val="nil"/>
            </w:tcBorders>
            <w:hideMark/>
          </w:tcPr>
          <w:p w:rsidR="00E3279A" w:rsidRDefault="00E3279A" w:rsidP="00E3279A">
            <w:pPr>
              <w:rPr>
                <w:sz w:val="20"/>
                <w:szCs w:val="20"/>
              </w:rPr>
            </w:pPr>
          </w:p>
        </w:tc>
        <w:tc>
          <w:tcPr>
            <w:tcW w:w="0" w:type="auto"/>
            <w:tcBorders>
              <w:top w:val="nil"/>
              <w:left w:val="nil"/>
              <w:bottom w:val="nil"/>
              <w:right w:val="nil"/>
            </w:tcBorders>
            <w:vAlign w:val="center"/>
            <w:hideMark/>
          </w:tcPr>
          <w:p w:rsidR="00E3279A" w:rsidRDefault="00E3279A" w:rsidP="00E3279A">
            <w:pPr>
              <w:spacing w:after="250"/>
              <w:rPr>
                <w:rFonts w:ascii="Times" w:hAnsi="Times" w:cs="Times"/>
                <w:sz w:val="25"/>
                <w:szCs w:val="25"/>
              </w:rPr>
            </w:pPr>
            <w:r>
              <w:rPr>
                <w:rFonts w:ascii="Times" w:hAnsi="Times" w:cs="Times"/>
                <w:sz w:val="25"/>
                <w:szCs w:val="25"/>
              </w:rPr>
              <w:t xml:space="preserve">V súvislosti s nariadením Európskeho parlamentu a Rady (EÚ) 2019/881 zo 17. apríla 2019 o agentúre ENISA (Agentúra Európskej únie pre kybernetickú </w:t>
            </w:r>
            <w:r>
              <w:rPr>
                <w:rFonts w:ascii="Times" w:hAnsi="Times" w:cs="Times"/>
                <w:sz w:val="25"/>
                <w:szCs w:val="25"/>
              </w:rPr>
              <w:lastRenderedPageBreak/>
              <w:t>bezpečnosť) a o certifikácii kybernetickej bezpečnosti informačných a komunikačných technológií a o zrušení nariadenia (EÚ) č. 526/2013 (akt o kybernetickej bezpečnosti) články 58, 60, 61, 63, 64, a 65 sa uplatňujú od 28. júna 2021.</w:t>
            </w:r>
            <w:r>
              <w:rPr>
                <w:rFonts w:ascii="Times" w:hAnsi="Times" w:cs="Times"/>
                <w:sz w:val="25"/>
                <w:szCs w:val="25"/>
              </w:rPr>
              <w:br/>
            </w:r>
          </w:p>
        </w:tc>
      </w:tr>
      <w:tr w:rsidR="00E3279A" w:rsidTr="00E3279A">
        <w:trPr>
          <w:jc w:val="center"/>
        </w:trPr>
        <w:tc>
          <w:tcPr>
            <w:tcW w:w="0" w:type="auto"/>
            <w:tcBorders>
              <w:top w:val="nil"/>
              <w:left w:val="nil"/>
              <w:bottom w:val="nil"/>
              <w:right w:val="nil"/>
            </w:tcBorders>
            <w:hideMark/>
          </w:tcPr>
          <w:p w:rsidR="00E3279A" w:rsidRDefault="00E3279A" w:rsidP="00E3279A">
            <w:pPr>
              <w:spacing w:after="250"/>
              <w:rPr>
                <w:rFonts w:ascii="Times" w:hAnsi="Times" w:cs="Times"/>
                <w:sz w:val="25"/>
                <w:szCs w:val="25"/>
              </w:rPr>
            </w:pPr>
          </w:p>
        </w:tc>
        <w:tc>
          <w:tcPr>
            <w:tcW w:w="0" w:type="auto"/>
            <w:tcBorders>
              <w:top w:val="nil"/>
              <w:left w:val="nil"/>
              <w:bottom w:val="nil"/>
              <w:right w:val="nil"/>
            </w:tcBorders>
            <w:hideMark/>
          </w:tcPr>
          <w:p w:rsidR="00E3279A" w:rsidRDefault="00E3279A" w:rsidP="00E3279A">
            <w:pPr>
              <w:rPr>
                <w:rFonts w:ascii="Times" w:hAnsi="Times" w:cs="Times"/>
                <w:sz w:val="25"/>
                <w:szCs w:val="25"/>
              </w:rPr>
            </w:pPr>
            <w:r>
              <w:rPr>
                <w:rFonts w:ascii="Times" w:hAnsi="Times" w:cs="Times"/>
                <w:sz w:val="25"/>
                <w:szCs w:val="25"/>
              </w:rPr>
              <w:t>b)</w:t>
            </w:r>
          </w:p>
        </w:tc>
        <w:tc>
          <w:tcPr>
            <w:tcW w:w="0" w:type="auto"/>
            <w:tcBorders>
              <w:top w:val="nil"/>
              <w:left w:val="nil"/>
              <w:bottom w:val="nil"/>
              <w:right w:val="nil"/>
            </w:tcBorders>
            <w:vAlign w:val="center"/>
            <w:hideMark/>
          </w:tcPr>
          <w:p w:rsidR="00E3279A" w:rsidRDefault="00E3279A" w:rsidP="00E3279A">
            <w:pPr>
              <w:spacing w:after="250"/>
              <w:rPr>
                <w:rFonts w:ascii="Times" w:hAnsi="Times" w:cs="Times"/>
                <w:sz w:val="25"/>
                <w:szCs w:val="25"/>
              </w:rPr>
            </w:pPr>
            <w:r>
              <w:rPr>
                <w:rFonts w:ascii="Times" w:hAnsi="Times" w:cs="Times"/>
                <w:sz w:val="25"/>
                <w:szCs w:val="25"/>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E3279A" w:rsidTr="00E3279A">
        <w:trPr>
          <w:jc w:val="center"/>
        </w:trPr>
        <w:tc>
          <w:tcPr>
            <w:tcW w:w="0" w:type="auto"/>
            <w:tcBorders>
              <w:top w:val="nil"/>
              <w:left w:val="nil"/>
              <w:bottom w:val="nil"/>
              <w:right w:val="nil"/>
            </w:tcBorders>
            <w:hideMark/>
          </w:tcPr>
          <w:p w:rsidR="00E3279A" w:rsidRDefault="00E3279A" w:rsidP="00E3279A">
            <w:pPr>
              <w:spacing w:after="250"/>
              <w:rPr>
                <w:rFonts w:ascii="Times" w:hAnsi="Times" w:cs="Times"/>
                <w:sz w:val="25"/>
                <w:szCs w:val="25"/>
              </w:rPr>
            </w:pPr>
          </w:p>
        </w:tc>
        <w:tc>
          <w:tcPr>
            <w:tcW w:w="0" w:type="auto"/>
            <w:tcBorders>
              <w:top w:val="nil"/>
              <w:left w:val="nil"/>
              <w:bottom w:val="nil"/>
              <w:right w:val="nil"/>
            </w:tcBorders>
            <w:hideMark/>
          </w:tcPr>
          <w:p w:rsidR="00E3279A" w:rsidRDefault="00E3279A" w:rsidP="00E3279A">
            <w:pPr>
              <w:rPr>
                <w:sz w:val="20"/>
                <w:szCs w:val="20"/>
              </w:rPr>
            </w:pPr>
          </w:p>
        </w:tc>
        <w:tc>
          <w:tcPr>
            <w:tcW w:w="0" w:type="auto"/>
            <w:tcBorders>
              <w:top w:val="nil"/>
              <w:left w:val="nil"/>
              <w:bottom w:val="nil"/>
              <w:right w:val="nil"/>
            </w:tcBorders>
            <w:vAlign w:val="center"/>
            <w:hideMark/>
          </w:tcPr>
          <w:p w:rsidR="00E3279A" w:rsidRDefault="00E3279A" w:rsidP="00E3279A">
            <w:pPr>
              <w:spacing w:after="250"/>
              <w:rPr>
                <w:rFonts w:ascii="Times" w:hAnsi="Times" w:cs="Times"/>
                <w:sz w:val="25"/>
                <w:szCs w:val="25"/>
              </w:rPr>
            </w:pPr>
            <w:r>
              <w:rPr>
                <w:rFonts w:ascii="Times" w:hAnsi="Times" w:cs="Times"/>
                <w:sz w:val="25"/>
                <w:szCs w:val="25"/>
              </w:rPr>
              <w:t>Voči Slovenskej republike nebolo začaté žiadne z uvedených konaní ani uvedený postup Európskej komisie</w:t>
            </w:r>
            <w:r>
              <w:rPr>
                <w:rFonts w:ascii="Times" w:hAnsi="Times" w:cs="Times"/>
                <w:sz w:val="25"/>
                <w:szCs w:val="25"/>
              </w:rPr>
              <w:br/>
            </w:r>
          </w:p>
        </w:tc>
      </w:tr>
      <w:tr w:rsidR="00E3279A" w:rsidTr="00E3279A">
        <w:trPr>
          <w:jc w:val="center"/>
        </w:trPr>
        <w:tc>
          <w:tcPr>
            <w:tcW w:w="0" w:type="auto"/>
            <w:tcBorders>
              <w:top w:val="nil"/>
              <w:left w:val="nil"/>
              <w:bottom w:val="nil"/>
              <w:right w:val="nil"/>
            </w:tcBorders>
            <w:hideMark/>
          </w:tcPr>
          <w:p w:rsidR="00E3279A" w:rsidRDefault="00E3279A" w:rsidP="00E3279A">
            <w:pPr>
              <w:spacing w:after="250"/>
              <w:rPr>
                <w:rFonts w:ascii="Times" w:hAnsi="Times" w:cs="Times"/>
                <w:sz w:val="25"/>
                <w:szCs w:val="25"/>
              </w:rPr>
            </w:pPr>
          </w:p>
        </w:tc>
        <w:tc>
          <w:tcPr>
            <w:tcW w:w="0" w:type="auto"/>
            <w:tcBorders>
              <w:top w:val="nil"/>
              <w:left w:val="nil"/>
              <w:bottom w:val="nil"/>
              <w:right w:val="nil"/>
            </w:tcBorders>
            <w:hideMark/>
          </w:tcPr>
          <w:p w:rsidR="00E3279A" w:rsidRDefault="00E3279A" w:rsidP="00E3279A">
            <w:pPr>
              <w:rPr>
                <w:rFonts w:ascii="Times" w:hAnsi="Times" w:cs="Times"/>
                <w:sz w:val="25"/>
                <w:szCs w:val="25"/>
              </w:rPr>
            </w:pPr>
            <w:r>
              <w:rPr>
                <w:rFonts w:ascii="Times" w:hAnsi="Times" w:cs="Times"/>
                <w:sz w:val="25"/>
                <w:szCs w:val="25"/>
              </w:rPr>
              <w:t>c)</w:t>
            </w:r>
          </w:p>
        </w:tc>
        <w:tc>
          <w:tcPr>
            <w:tcW w:w="0" w:type="auto"/>
            <w:tcBorders>
              <w:top w:val="nil"/>
              <w:left w:val="nil"/>
              <w:bottom w:val="nil"/>
              <w:right w:val="nil"/>
            </w:tcBorders>
            <w:vAlign w:val="center"/>
            <w:hideMark/>
          </w:tcPr>
          <w:p w:rsidR="00E3279A" w:rsidRDefault="00E3279A" w:rsidP="00E3279A">
            <w:pPr>
              <w:spacing w:after="250"/>
              <w:rPr>
                <w:rFonts w:ascii="Times" w:hAnsi="Times" w:cs="Times"/>
                <w:sz w:val="25"/>
                <w:szCs w:val="25"/>
              </w:rPr>
            </w:pPr>
            <w:r>
              <w:rPr>
                <w:rFonts w:ascii="Times" w:hAnsi="Times" w:cs="Times"/>
                <w:sz w:val="25"/>
                <w:szCs w:val="25"/>
              </w:rPr>
              <w:t>informácia o právnych predpisoch, v ktorých sú preberané smernice už prebraté spolu s uvedením rozsahu tohto prebratia</w:t>
            </w:r>
          </w:p>
        </w:tc>
      </w:tr>
      <w:tr w:rsidR="00E3279A" w:rsidTr="00E3279A">
        <w:trPr>
          <w:jc w:val="center"/>
        </w:trPr>
        <w:tc>
          <w:tcPr>
            <w:tcW w:w="0" w:type="auto"/>
            <w:tcBorders>
              <w:top w:val="nil"/>
              <w:left w:val="nil"/>
              <w:bottom w:val="nil"/>
              <w:right w:val="nil"/>
            </w:tcBorders>
            <w:hideMark/>
          </w:tcPr>
          <w:p w:rsidR="00E3279A" w:rsidRDefault="00E3279A" w:rsidP="00E3279A">
            <w:pPr>
              <w:spacing w:after="250"/>
              <w:rPr>
                <w:rFonts w:ascii="Times" w:hAnsi="Times" w:cs="Times"/>
                <w:sz w:val="25"/>
                <w:szCs w:val="25"/>
              </w:rPr>
            </w:pPr>
          </w:p>
        </w:tc>
        <w:tc>
          <w:tcPr>
            <w:tcW w:w="0" w:type="auto"/>
            <w:tcBorders>
              <w:top w:val="nil"/>
              <w:left w:val="nil"/>
              <w:bottom w:val="nil"/>
              <w:right w:val="nil"/>
            </w:tcBorders>
            <w:hideMark/>
          </w:tcPr>
          <w:p w:rsidR="00E3279A" w:rsidRDefault="00E3279A" w:rsidP="00E3279A">
            <w:pPr>
              <w:rPr>
                <w:sz w:val="20"/>
                <w:szCs w:val="20"/>
              </w:rPr>
            </w:pPr>
          </w:p>
        </w:tc>
        <w:tc>
          <w:tcPr>
            <w:tcW w:w="0" w:type="auto"/>
            <w:tcBorders>
              <w:top w:val="nil"/>
              <w:left w:val="nil"/>
              <w:bottom w:val="nil"/>
              <w:right w:val="nil"/>
            </w:tcBorders>
            <w:vAlign w:val="center"/>
            <w:hideMark/>
          </w:tcPr>
          <w:p w:rsidR="00E3279A" w:rsidRDefault="00E3279A" w:rsidP="00E3279A">
            <w:pPr>
              <w:spacing w:after="250"/>
              <w:rPr>
                <w:rFonts w:ascii="Times" w:hAnsi="Times" w:cs="Times"/>
                <w:sz w:val="25"/>
                <w:szCs w:val="25"/>
              </w:rPr>
            </w:pPr>
            <w:r>
              <w:rPr>
                <w:rFonts w:ascii="Times" w:hAnsi="Times" w:cs="Times"/>
                <w:sz w:val="25"/>
                <w:szCs w:val="25"/>
              </w:rPr>
              <w:t>Smernica Európskeho parlamentu a Rady (EÚ) 2016/1148 zo 6. júla 2016 o opatreniach na zabezpečenie vysokej spoločnej úrovne bezpečností sietí a informačných systémov v Únii, - smernica bola transponovaná do vnútroštátneho práva zákonom č. 69/2018 Z. z. o kybernetickej bezpečnosti a o zmene a doplnení niektorých zákonov, ktorý nadobudol účinnosť dňom 1. apríla 2018 v úplnom rozsahu jej prebratia.</w:t>
            </w:r>
            <w:r>
              <w:rPr>
                <w:rFonts w:ascii="Times" w:hAnsi="Times" w:cs="Times"/>
                <w:sz w:val="25"/>
                <w:szCs w:val="25"/>
              </w:rPr>
              <w:br/>
            </w:r>
          </w:p>
        </w:tc>
      </w:tr>
      <w:tr w:rsidR="00E3279A" w:rsidTr="00E3279A">
        <w:trPr>
          <w:jc w:val="center"/>
        </w:trPr>
        <w:tc>
          <w:tcPr>
            <w:tcW w:w="0" w:type="auto"/>
            <w:tcBorders>
              <w:top w:val="nil"/>
              <w:left w:val="nil"/>
              <w:bottom w:val="nil"/>
              <w:right w:val="nil"/>
            </w:tcBorders>
            <w:hideMark/>
          </w:tcPr>
          <w:p w:rsidR="00E3279A" w:rsidRDefault="00E3279A" w:rsidP="00E3279A">
            <w:pPr>
              <w:rPr>
                <w:rFonts w:ascii="Times" w:hAnsi="Times" w:cs="Times"/>
                <w:b/>
                <w:bCs/>
                <w:sz w:val="25"/>
                <w:szCs w:val="25"/>
              </w:rPr>
            </w:pPr>
            <w:r>
              <w:rPr>
                <w:rFonts w:ascii="Times" w:hAnsi="Times" w:cs="Times"/>
                <w:b/>
                <w:bCs/>
                <w:sz w:val="25"/>
                <w:szCs w:val="25"/>
              </w:rPr>
              <w:t>5.</w:t>
            </w:r>
          </w:p>
        </w:tc>
        <w:tc>
          <w:tcPr>
            <w:tcW w:w="0" w:type="auto"/>
            <w:gridSpan w:val="2"/>
            <w:tcBorders>
              <w:top w:val="nil"/>
              <w:left w:val="nil"/>
              <w:bottom w:val="nil"/>
              <w:right w:val="nil"/>
            </w:tcBorders>
            <w:hideMark/>
          </w:tcPr>
          <w:p w:rsidR="00E3279A" w:rsidRDefault="00E3279A" w:rsidP="00E3279A">
            <w:pPr>
              <w:spacing w:after="250"/>
              <w:rPr>
                <w:rFonts w:ascii="Times" w:hAnsi="Times" w:cs="Times"/>
                <w:b/>
                <w:bCs/>
                <w:sz w:val="25"/>
                <w:szCs w:val="25"/>
              </w:rPr>
            </w:pPr>
            <w:r>
              <w:rPr>
                <w:rFonts w:ascii="Times" w:hAnsi="Times" w:cs="Times"/>
                <w:b/>
                <w:bCs/>
                <w:sz w:val="25"/>
                <w:szCs w:val="25"/>
              </w:rPr>
              <w:t>Stupeň zlučiteľnosti návrhu právneho predpisu s právom Európskej únie:</w:t>
            </w:r>
          </w:p>
        </w:tc>
      </w:tr>
      <w:tr w:rsidR="00E3279A" w:rsidTr="00E3279A">
        <w:trPr>
          <w:jc w:val="center"/>
        </w:trPr>
        <w:tc>
          <w:tcPr>
            <w:tcW w:w="0" w:type="auto"/>
            <w:tcBorders>
              <w:top w:val="nil"/>
              <w:left w:val="nil"/>
              <w:bottom w:val="nil"/>
              <w:right w:val="nil"/>
            </w:tcBorders>
            <w:hideMark/>
          </w:tcPr>
          <w:p w:rsidR="00E3279A" w:rsidRDefault="00E3279A" w:rsidP="00E3279A">
            <w:pPr>
              <w:spacing w:after="250"/>
              <w:rPr>
                <w:rFonts w:ascii="Times" w:hAnsi="Times" w:cs="Times"/>
                <w:b/>
                <w:bCs/>
                <w:sz w:val="25"/>
                <w:szCs w:val="25"/>
              </w:rPr>
            </w:pPr>
          </w:p>
        </w:tc>
        <w:tc>
          <w:tcPr>
            <w:tcW w:w="0" w:type="auto"/>
            <w:tcBorders>
              <w:top w:val="nil"/>
              <w:left w:val="nil"/>
              <w:bottom w:val="nil"/>
              <w:right w:val="nil"/>
            </w:tcBorders>
            <w:hideMark/>
          </w:tcPr>
          <w:p w:rsidR="00E3279A" w:rsidRDefault="00E3279A" w:rsidP="00E3279A">
            <w:pPr>
              <w:rPr>
                <w:sz w:val="20"/>
                <w:szCs w:val="20"/>
              </w:rPr>
            </w:pPr>
          </w:p>
        </w:tc>
        <w:tc>
          <w:tcPr>
            <w:tcW w:w="0" w:type="auto"/>
            <w:tcBorders>
              <w:top w:val="nil"/>
              <w:left w:val="nil"/>
              <w:bottom w:val="nil"/>
              <w:right w:val="nil"/>
            </w:tcBorders>
            <w:vAlign w:val="center"/>
            <w:hideMark/>
          </w:tcPr>
          <w:p w:rsidR="00E3279A" w:rsidRDefault="00E3279A" w:rsidP="00E3279A">
            <w:pPr>
              <w:spacing w:after="250"/>
              <w:rPr>
                <w:rFonts w:ascii="Times" w:hAnsi="Times" w:cs="Times"/>
                <w:sz w:val="25"/>
                <w:szCs w:val="25"/>
              </w:rPr>
            </w:pPr>
            <w:r>
              <w:rPr>
                <w:rFonts w:ascii="Times" w:hAnsi="Times" w:cs="Times"/>
                <w:sz w:val="25"/>
                <w:szCs w:val="25"/>
              </w:rPr>
              <w:t>úplne</w:t>
            </w:r>
          </w:p>
        </w:tc>
      </w:tr>
    </w:tbl>
    <w:p w:rsidR="00E3279A" w:rsidRPr="00117A7E" w:rsidRDefault="00E3279A" w:rsidP="00E3279A">
      <w:pPr>
        <w:tabs>
          <w:tab w:val="left" w:pos="360"/>
        </w:tabs>
        <w:jc w:val="both"/>
      </w:pPr>
    </w:p>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Pr="00112027" w:rsidRDefault="00E3279A" w:rsidP="00E3279A">
      <w:pPr>
        <w:jc w:val="center"/>
        <w:rPr>
          <w:rFonts w:eastAsiaTheme="minorHAnsi"/>
          <w:color w:val="000000" w:themeColor="text1"/>
          <w:lang w:eastAsia="en-US"/>
        </w:rPr>
      </w:pPr>
      <w:r w:rsidRPr="00112027">
        <w:rPr>
          <w:b/>
          <w:bCs/>
          <w:color w:val="000000" w:themeColor="text1"/>
        </w:rPr>
        <w:lastRenderedPageBreak/>
        <w:t>Dôvodová správa</w:t>
      </w:r>
    </w:p>
    <w:p w:rsidR="00E3279A" w:rsidRPr="00112027" w:rsidRDefault="00E3279A" w:rsidP="00E3279A">
      <w:pPr>
        <w:jc w:val="center"/>
        <w:outlineLvl w:val="0"/>
        <w:rPr>
          <w:color w:val="000000" w:themeColor="text1"/>
        </w:rPr>
      </w:pPr>
    </w:p>
    <w:p w:rsidR="00E3279A" w:rsidRPr="00112027" w:rsidRDefault="00E3279A" w:rsidP="00E3279A">
      <w:pPr>
        <w:jc w:val="both"/>
        <w:rPr>
          <w:b/>
          <w:bCs/>
          <w:color w:val="000000" w:themeColor="text1"/>
        </w:rPr>
      </w:pPr>
    </w:p>
    <w:p w:rsidR="00E3279A" w:rsidRPr="00112027" w:rsidRDefault="00E3279A" w:rsidP="00E3279A">
      <w:pPr>
        <w:pStyle w:val="Nadpis5"/>
        <w:spacing w:before="0"/>
        <w:jc w:val="both"/>
        <w:rPr>
          <w:rFonts w:ascii="Times New Roman" w:hAnsi="Times New Roman" w:cs="Times New Roman"/>
          <w:b/>
          <w:color w:val="000000" w:themeColor="text1"/>
        </w:rPr>
      </w:pPr>
      <w:r w:rsidRPr="00112027">
        <w:rPr>
          <w:rFonts w:ascii="Times New Roman" w:hAnsi="Times New Roman" w:cs="Times New Roman"/>
          <w:b/>
          <w:color w:val="000000" w:themeColor="text1"/>
        </w:rPr>
        <w:t>B. Osobitná časť</w:t>
      </w:r>
    </w:p>
    <w:p w:rsidR="00E3279A" w:rsidRPr="00112027" w:rsidRDefault="00E3279A" w:rsidP="00E3279A">
      <w:pPr>
        <w:jc w:val="both"/>
        <w:outlineLvl w:val="0"/>
        <w:rPr>
          <w:color w:val="000000" w:themeColor="text1"/>
        </w:rPr>
      </w:pPr>
    </w:p>
    <w:p w:rsidR="00E3279A" w:rsidRPr="00112027" w:rsidRDefault="00E3279A" w:rsidP="00E3279A">
      <w:pPr>
        <w:rPr>
          <w:color w:val="000000" w:themeColor="text1"/>
        </w:rPr>
      </w:pPr>
      <w:r w:rsidRPr="00112027">
        <w:rPr>
          <w:b/>
          <w:color w:val="000000" w:themeColor="text1"/>
          <w:u w:val="single"/>
        </w:rPr>
        <w:t>K čl. I</w:t>
      </w:r>
    </w:p>
    <w:p w:rsidR="00E3279A" w:rsidRPr="00112027" w:rsidRDefault="00E3279A" w:rsidP="00E3279A">
      <w:pPr>
        <w:jc w:val="both"/>
        <w:rPr>
          <w:b/>
          <w:color w:val="000000" w:themeColor="text1"/>
          <w:u w:val="single"/>
        </w:rPr>
      </w:pPr>
    </w:p>
    <w:p w:rsidR="00E3279A" w:rsidRPr="00112027" w:rsidRDefault="00E3279A" w:rsidP="00E3279A">
      <w:pPr>
        <w:jc w:val="both"/>
        <w:rPr>
          <w:b/>
          <w:color w:val="000000" w:themeColor="text1"/>
        </w:rPr>
      </w:pPr>
      <w:r>
        <w:rPr>
          <w:b/>
          <w:color w:val="000000" w:themeColor="text1"/>
        </w:rPr>
        <w:t>K bodu 1</w:t>
      </w:r>
    </w:p>
    <w:p w:rsidR="00E3279A" w:rsidRPr="00112027" w:rsidRDefault="00E3279A" w:rsidP="00E3279A">
      <w:pPr>
        <w:jc w:val="both"/>
        <w:rPr>
          <w:color w:val="000000" w:themeColor="text1"/>
        </w:rPr>
      </w:pPr>
      <w:r w:rsidRPr="00112027">
        <w:rPr>
          <w:color w:val="000000" w:themeColor="text1"/>
        </w:rPr>
        <w:t xml:space="preserve">V tomto novelizačnom bode ide o negatívne vymedzenie pôsobnosti zákona. Ide o precizovanie výnimky pre sektor bankovníctva, financií, finančných trhov, platobných systémov a systémov zúčtovania cenných papierov, ktorý  je harmonizovaný a striktne regulovaný právom EÚ. Takto nastavené pravidlá v oblasti kybernetickej bezpečnosti tak prevyšujú rámec stanovený smernicou Európskeho parlamentu a Rady (EÚ) 2016/1148 zo 6. júla 2016 o opatreniach na zabezpečenie vysokej spoločnej úrovne bezpečnosti sietí a informačných systémov v Únii (ďalej len „smernica NIS“). </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Pr>
          <w:b/>
          <w:color w:val="000000" w:themeColor="text1"/>
        </w:rPr>
        <w:t>K bodu 2</w:t>
      </w:r>
    </w:p>
    <w:p w:rsidR="00E3279A" w:rsidRPr="00112027" w:rsidRDefault="00E3279A" w:rsidP="00E3279A">
      <w:pPr>
        <w:jc w:val="both"/>
        <w:rPr>
          <w:color w:val="000000" w:themeColor="text1"/>
        </w:rPr>
      </w:pPr>
      <w:r w:rsidRPr="00112027">
        <w:rPr>
          <w:color w:val="000000" w:themeColor="text1"/>
        </w:rPr>
        <w:t xml:space="preserve">Úprava poznámky pod čiarou z dôvodu </w:t>
      </w:r>
      <w:r>
        <w:rPr>
          <w:color w:val="000000" w:themeColor="text1"/>
        </w:rPr>
        <w:t xml:space="preserve">neaktuálnosti predpisu a </w:t>
      </w:r>
      <w:r w:rsidRPr="00112027">
        <w:rPr>
          <w:color w:val="000000" w:themeColor="text1"/>
        </w:rPr>
        <w:t xml:space="preserve">navrhovanej zmeny v normatívnej časti zákona. </w:t>
      </w:r>
    </w:p>
    <w:p w:rsidR="00E3279A" w:rsidRPr="00112027" w:rsidRDefault="00E3279A" w:rsidP="00E3279A">
      <w:pPr>
        <w:jc w:val="both"/>
        <w:rPr>
          <w:color w:val="000000" w:themeColor="text1"/>
          <w:highlight w:val="yellow"/>
        </w:rPr>
      </w:pPr>
    </w:p>
    <w:p w:rsidR="00E3279A" w:rsidRPr="00112027" w:rsidRDefault="00E3279A" w:rsidP="00E3279A">
      <w:pPr>
        <w:jc w:val="both"/>
        <w:rPr>
          <w:b/>
          <w:color w:val="000000" w:themeColor="text1"/>
        </w:rPr>
      </w:pPr>
      <w:r>
        <w:rPr>
          <w:b/>
          <w:color w:val="000000" w:themeColor="text1"/>
        </w:rPr>
        <w:t>K bodu 3</w:t>
      </w:r>
    </w:p>
    <w:p w:rsidR="00E3279A" w:rsidRPr="00112027" w:rsidRDefault="00E3279A" w:rsidP="00E3279A">
      <w:pPr>
        <w:jc w:val="both"/>
        <w:rPr>
          <w:color w:val="000000" w:themeColor="text1"/>
        </w:rPr>
      </w:pPr>
      <w:r w:rsidRPr="00112027">
        <w:rPr>
          <w:color w:val="000000" w:themeColor="text1"/>
        </w:rPr>
        <w:t>Úprava poznámky pod čiarou z dôvodu navrhovanej zmeny v normatívnej časti zákona.</w:t>
      </w:r>
    </w:p>
    <w:p w:rsidR="00E3279A" w:rsidRPr="00112027" w:rsidRDefault="00E3279A" w:rsidP="00E3279A">
      <w:pPr>
        <w:jc w:val="both"/>
        <w:rPr>
          <w:b/>
          <w:color w:val="000000" w:themeColor="text1"/>
          <w:u w:val="single"/>
        </w:rPr>
      </w:pPr>
    </w:p>
    <w:p w:rsidR="00E3279A" w:rsidRPr="00112027" w:rsidRDefault="00E3279A" w:rsidP="00E3279A">
      <w:pPr>
        <w:jc w:val="both"/>
        <w:rPr>
          <w:b/>
          <w:color w:val="000000" w:themeColor="text1"/>
        </w:rPr>
      </w:pPr>
      <w:r>
        <w:rPr>
          <w:b/>
          <w:color w:val="000000" w:themeColor="text1"/>
        </w:rPr>
        <w:t>K bodom  4 a 5</w:t>
      </w:r>
    </w:p>
    <w:p w:rsidR="00E3279A" w:rsidRPr="00112027" w:rsidRDefault="00E3279A" w:rsidP="00E3279A">
      <w:pPr>
        <w:jc w:val="both"/>
        <w:rPr>
          <w:color w:val="000000" w:themeColor="text1"/>
        </w:rPr>
      </w:pPr>
      <w:r w:rsidRPr="00112027">
        <w:rPr>
          <w:color w:val="000000" w:themeColor="text1"/>
        </w:rPr>
        <w:t xml:space="preserve">Súčasne navrhované zmeny pojmov odrážajú požiadavky vyplývajúce z aplikačnej praxe kvôli ich jasnejšiemu a zrozumiteľnejšiemu uchopeniu v návrhu zákona. </w:t>
      </w:r>
    </w:p>
    <w:p w:rsidR="00E3279A" w:rsidRDefault="00E3279A" w:rsidP="00E3279A">
      <w:pPr>
        <w:jc w:val="both"/>
        <w:rPr>
          <w:b/>
          <w:color w:val="000000" w:themeColor="text1"/>
          <w:u w:val="single"/>
        </w:rPr>
      </w:pPr>
    </w:p>
    <w:p w:rsidR="00E3279A" w:rsidRDefault="00E3279A" w:rsidP="00E3279A">
      <w:pPr>
        <w:jc w:val="both"/>
        <w:rPr>
          <w:b/>
          <w:color w:val="000000" w:themeColor="text1"/>
        </w:rPr>
      </w:pPr>
      <w:r>
        <w:rPr>
          <w:b/>
          <w:color w:val="000000" w:themeColor="text1"/>
        </w:rPr>
        <w:t>K bodu 6 a 7</w:t>
      </w:r>
    </w:p>
    <w:p w:rsidR="00E3279A" w:rsidRPr="00FC39B0" w:rsidRDefault="00E3279A" w:rsidP="00E3279A">
      <w:pPr>
        <w:jc w:val="both"/>
        <w:rPr>
          <w:color w:val="000000" w:themeColor="text1"/>
        </w:rPr>
      </w:pPr>
      <w:r w:rsidRPr="00FC39B0">
        <w:rPr>
          <w:color w:val="000000" w:themeColor="text1"/>
        </w:rPr>
        <w:t>Zo zákona sa vypúšťa základná služba, ktorá je informačným systémom verejnej správy. Na tieto služby sa vzťahujú identif</w:t>
      </w:r>
      <w:r>
        <w:rPr>
          <w:color w:val="000000" w:themeColor="text1"/>
        </w:rPr>
        <w:t>ikační kritéria podľa vyhlášky N</w:t>
      </w:r>
      <w:r w:rsidRPr="00FC39B0">
        <w:rPr>
          <w:color w:val="000000" w:themeColor="text1"/>
        </w:rPr>
        <w:t>árodného bezpečnostného úradu č. 164/2018 Z. z.</w:t>
      </w:r>
    </w:p>
    <w:p w:rsidR="00E3279A" w:rsidRDefault="00E3279A" w:rsidP="00E3279A">
      <w:pPr>
        <w:jc w:val="both"/>
        <w:rPr>
          <w:color w:val="000000" w:themeColor="text1"/>
        </w:rPr>
      </w:pPr>
    </w:p>
    <w:p w:rsidR="00E3279A" w:rsidRPr="00FC39B0" w:rsidRDefault="00E3279A" w:rsidP="00E3279A">
      <w:pPr>
        <w:jc w:val="both"/>
        <w:rPr>
          <w:b/>
          <w:color w:val="000000" w:themeColor="text1"/>
        </w:rPr>
      </w:pPr>
      <w:r w:rsidRPr="00FC39B0">
        <w:rPr>
          <w:b/>
          <w:color w:val="000000" w:themeColor="text1"/>
        </w:rPr>
        <w:t xml:space="preserve">K bodu </w:t>
      </w:r>
      <w:r>
        <w:rPr>
          <w:b/>
          <w:color w:val="000000" w:themeColor="text1"/>
        </w:rPr>
        <w:t>8</w:t>
      </w:r>
    </w:p>
    <w:p w:rsidR="00E3279A" w:rsidRDefault="00E3279A" w:rsidP="00E3279A">
      <w:pPr>
        <w:jc w:val="both"/>
        <w:rPr>
          <w:color w:val="000000" w:themeColor="text1"/>
        </w:rPr>
      </w:pPr>
      <w:r>
        <w:rPr>
          <w:color w:val="000000" w:themeColor="text1"/>
        </w:rPr>
        <w:t>Legislatívno-technická úprava.</w:t>
      </w:r>
    </w:p>
    <w:p w:rsidR="00E3279A" w:rsidRPr="00112027" w:rsidRDefault="00E3279A" w:rsidP="00E3279A">
      <w:pPr>
        <w:jc w:val="both"/>
        <w:rPr>
          <w:b/>
          <w:color w:val="000000" w:themeColor="text1"/>
        </w:rPr>
      </w:pPr>
    </w:p>
    <w:p w:rsidR="00E3279A" w:rsidRPr="00112027" w:rsidRDefault="00E3279A" w:rsidP="00E3279A">
      <w:pPr>
        <w:jc w:val="both"/>
        <w:rPr>
          <w:b/>
          <w:color w:val="000000" w:themeColor="text1"/>
        </w:rPr>
      </w:pPr>
      <w:r w:rsidRPr="00112027">
        <w:rPr>
          <w:b/>
          <w:color w:val="000000" w:themeColor="text1"/>
        </w:rPr>
        <w:t xml:space="preserve">K bodu </w:t>
      </w:r>
      <w:r>
        <w:rPr>
          <w:b/>
          <w:color w:val="000000" w:themeColor="text1"/>
        </w:rPr>
        <w:t>9</w:t>
      </w:r>
    </w:p>
    <w:p w:rsidR="00E3279A" w:rsidRPr="00112027" w:rsidRDefault="00E3279A" w:rsidP="00E3279A">
      <w:pPr>
        <w:jc w:val="both"/>
        <w:rPr>
          <w:b/>
          <w:color w:val="000000" w:themeColor="text1"/>
          <w:u w:val="single"/>
        </w:rPr>
      </w:pPr>
      <w:r w:rsidRPr="00112027">
        <w:rPr>
          <w:color w:val="000000" w:themeColor="text1"/>
        </w:rPr>
        <w:t>Ustanovenie sa upravuje v súvislosti s vypustením podsektoru Spravodajské služby, a to Slovenskej informačnej služby a Vojenského spravodajstva z okruhu ústredných orgánov. Predmetná zmena odzrkadľuje ustanovenie článku 1 ods. 6 smernice NIS a súčasne vyplýva z aplikačnej praxe, pretože súčasná úpra</w:t>
      </w:r>
      <w:r>
        <w:rPr>
          <w:color w:val="000000" w:themeColor="text1"/>
        </w:rPr>
        <w:t xml:space="preserve">va sa ukázala ako neefektívna. Tak ako Slovenská informačná služba, ani Vojenské spravodajstvo nedisponuje v rámci svojej regulácie inými subjektami a spravujú len vlastné systémy. Z toho dôvodu nevykonávajú pôsobnosť ústredného orgánu v zmysle zákona. </w:t>
      </w:r>
      <w:bookmarkStart w:id="1" w:name="_GoBack"/>
      <w:bookmarkEnd w:id="1"/>
    </w:p>
    <w:p w:rsidR="00E3279A" w:rsidRPr="00112027" w:rsidRDefault="00E3279A" w:rsidP="00E3279A">
      <w:pPr>
        <w:jc w:val="both"/>
        <w:rPr>
          <w:b/>
          <w:color w:val="000000" w:themeColor="text1"/>
          <w:u w:val="single"/>
        </w:rPr>
      </w:pPr>
    </w:p>
    <w:p w:rsidR="00E3279A" w:rsidRPr="00112027" w:rsidRDefault="00E3279A" w:rsidP="00E3279A">
      <w:pPr>
        <w:jc w:val="both"/>
        <w:rPr>
          <w:b/>
          <w:color w:val="000000" w:themeColor="text1"/>
        </w:rPr>
      </w:pPr>
      <w:r w:rsidRPr="00112027">
        <w:rPr>
          <w:b/>
          <w:color w:val="000000" w:themeColor="text1"/>
        </w:rPr>
        <w:t xml:space="preserve">K bodu </w:t>
      </w:r>
      <w:r>
        <w:rPr>
          <w:b/>
          <w:color w:val="000000" w:themeColor="text1"/>
        </w:rPr>
        <w:t>10</w:t>
      </w:r>
    </w:p>
    <w:p w:rsidR="00E3279A" w:rsidRPr="00112027" w:rsidRDefault="00E3279A" w:rsidP="00E3279A">
      <w:pPr>
        <w:jc w:val="both"/>
        <w:rPr>
          <w:color w:val="000000" w:themeColor="text1"/>
        </w:rPr>
      </w:pPr>
      <w:r w:rsidRPr="00112027">
        <w:rPr>
          <w:color w:val="000000" w:themeColor="text1"/>
        </w:rPr>
        <w:t xml:space="preserve">Zmena navrhovaná v § 5 ods. 1 písm. v) reaguje na požiadavky aplikačnej praxe z dôvodu vyššej miery zrozumiteľnosti a špecifikácie konkrétneho subjektu vykonávajúceho audit. </w:t>
      </w:r>
    </w:p>
    <w:p w:rsidR="00E3279A" w:rsidRPr="00112027" w:rsidRDefault="00E3279A" w:rsidP="00E3279A">
      <w:pPr>
        <w:jc w:val="both"/>
        <w:rPr>
          <w:b/>
          <w:color w:val="000000" w:themeColor="text1"/>
          <w:u w:val="single"/>
        </w:rPr>
      </w:pPr>
    </w:p>
    <w:p w:rsidR="00E3279A" w:rsidRDefault="00E3279A" w:rsidP="00E3279A">
      <w:pPr>
        <w:jc w:val="both"/>
        <w:rPr>
          <w:b/>
          <w:color w:val="000000" w:themeColor="text1"/>
        </w:rPr>
      </w:pPr>
      <w:r w:rsidRPr="00112027">
        <w:rPr>
          <w:b/>
          <w:color w:val="000000" w:themeColor="text1"/>
        </w:rPr>
        <w:t>K bodu 1</w:t>
      </w:r>
      <w:r>
        <w:rPr>
          <w:b/>
          <w:color w:val="000000" w:themeColor="text1"/>
        </w:rPr>
        <w:t>1</w:t>
      </w:r>
    </w:p>
    <w:p w:rsidR="00E3279A" w:rsidRPr="00725C6B" w:rsidRDefault="00E3279A" w:rsidP="00E3279A">
      <w:pPr>
        <w:jc w:val="both"/>
        <w:rPr>
          <w:color w:val="000000" w:themeColor="text1"/>
        </w:rPr>
      </w:pPr>
      <w:r w:rsidRPr="00725C6B">
        <w:rPr>
          <w:color w:val="000000" w:themeColor="text1"/>
        </w:rPr>
        <w:t>Úrad vydané štandardy zverejňuje na svojom webovom sídle.</w:t>
      </w:r>
    </w:p>
    <w:p w:rsidR="00E3279A" w:rsidRDefault="00E3279A" w:rsidP="00E3279A">
      <w:pPr>
        <w:jc w:val="both"/>
        <w:rPr>
          <w:b/>
          <w:color w:val="000000" w:themeColor="text1"/>
        </w:rPr>
      </w:pPr>
    </w:p>
    <w:p w:rsidR="00E3279A" w:rsidRDefault="00E3279A" w:rsidP="00E3279A">
      <w:pPr>
        <w:jc w:val="both"/>
        <w:rPr>
          <w:b/>
          <w:color w:val="000000" w:themeColor="text1"/>
        </w:rPr>
      </w:pPr>
      <w:r>
        <w:rPr>
          <w:b/>
          <w:color w:val="000000" w:themeColor="text1"/>
        </w:rPr>
        <w:t>K bodu 12</w:t>
      </w:r>
    </w:p>
    <w:p w:rsidR="00E3279A" w:rsidRDefault="00E3279A" w:rsidP="00E3279A">
      <w:pPr>
        <w:jc w:val="both"/>
        <w:rPr>
          <w:color w:val="000000" w:themeColor="text1"/>
        </w:rPr>
      </w:pPr>
      <w:r w:rsidRPr="00112027">
        <w:rPr>
          <w:color w:val="000000" w:themeColor="text1"/>
        </w:rPr>
        <w:t>Doplnením ustanovenia § 5 ods. 1 dochádza k </w:t>
      </w:r>
      <w:r>
        <w:rPr>
          <w:color w:val="000000" w:themeColor="text1"/>
        </w:rPr>
        <w:t>úprave</w:t>
      </w:r>
      <w:r w:rsidRPr="00112027">
        <w:rPr>
          <w:color w:val="000000" w:themeColor="text1"/>
        </w:rPr>
        <w:t xml:space="preserve"> právomocí úradu</w:t>
      </w:r>
      <w:r>
        <w:rPr>
          <w:color w:val="000000" w:themeColor="text1"/>
        </w:rPr>
        <w:t>.</w:t>
      </w:r>
      <w:r w:rsidRPr="00112027">
        <w:rPr>
          <w:color w:val="000000" w:themeColor="text1"/>
        </w:rPr>
        <w:t xml:space="preserve"> </w:t>
      </w:r>
      <w:r>
        <w:rPr>
          <w:color w:val="000000" w:themeColor="text1"/>
        </w:rPr>
        <w:t>Zavádza sa legislatívne vymedzenie</w:t>
      </w:r>
      <w:r w:rsidRPr="00112027">
        <w:rPr>
          <w:color w:val="000000" w:themeColor="text1"/>
        </w:rPr>
        <w:t xml:space="preserve"> inštitútu „blokovania“. Rovnako bolo potrebné špecifikovať pôsobnosť úradu v súvislosti s plnením úloh vnútroštátneho orgánu pre certifikáciu kybernetickej bezpečnosti s odkazom na nariadenie (EÚ) č. 2019/881. Ďalej úprava reaguje na potrebu vzniku zoznamu audítorov kybernetickej bezpečnosti a zoznamu právnických osôb, prostredníctvom ktorých je možné realizovať audity kybernetickej bezpečnosti. V zmysle § 29 ods. 6 zákona náklady na audit kybernetickej bezpečnosti znáša prevádzkovateľ základnej služby. Keďže náklady hradia prevádzkovatelia základnej služby, je potrebné zabezpečiť, aby mali k dispozícii dôveryhodný zoznam audítorov, resp. zoznam právnických osôb, prostredníctvom ktorých je možné realizovať audity kybernetickej bezpečnosti. </w:t>
      </w:r>
      <w:r>
        <w:rPr>
          <w:color w:val="000000" w:themeColor="text1"/>
        </w:rPr>
        <w:t xml:space="preserve">Ďalej ustanovenie predstavuje </w:t>
      </w:r>
      <w:r w:rsidRPr="001C7A8D">
        <w:rPr>
          <w:color w:val="000000" w:themeColor="text1"/>
        </w:rPr>
        <w:t xml:space="preserve">implementáciu Európskeho </w:t>
      </w:r>
      <w:proofErr w:type="spellStart"/>
      <w:r w:rsidRPr="001C7A8D">
        <w:rPr>
          <w:color w:val="000000" w:themeColor="text1"/>
        </w:rPr>
        <w:t>toolboxu</w:t>
      </w:r>
      <w:proofErr w:type="spellEnd"/>
      <w:r w:rsidRPr="001C7A8D">
        <w:rPr>
          <w:color w:val="000000" w:themeColor="text1"/>
        </w:rPr>
        <w:t xml:space="preserve"> kybernetickej bezpečnosti 5G sietí (EU </w:t>
      </w:r>
      <w:proofErr w:type="spellStart"/>
      <w:r w:rsidRPr="001C7A8D">
        <w:rPr>
          <w:color w:val="000000" w:themeColor="text1"/>
        </w:rPr>
        <w:t>Toolbox</w:t>
      </w:r>
      <w:proofErr w:type="spellEnd"/>
      <w:r w:rsidRPr="001C7A8D">
        <w:rPr>
          <w:color w:val="000000" w:themeColor="text1"/>
        </w:rPr>
        <w:t>)</w:t>
      </w:r>
      <w:r>
        <w:rPr>
          <w:color w:val="000000" w:themeColor="text1"/>
        </w:rPr>
        <w:t xml:space="preserve"> (</w:t>
      </w:r>
      <w:hyperlink r:id="rId19" w:history="1">
        <w:r w:rsidRPr="00661713">
          <w:rPr>
            <w:rStyle w:val="Hypertextovprepojenie"/>
          </w:rPr>
          <w:t>https://ec.europa.eu/commission/presscorner/detail/en/QANDA_20_127</w:t>
        </w:r>
      </w:hyperlink>
      <w:r>
        <w:rPr>
          <w:color w:val="000000" w:themeColor="text1"/>
        </w:rPr>
        <w:t xml:space="preserve">). </w:t>
      </w:r>
      <w:r w:rsidRPr="001C7A8D">
        <w:rPr>
          <w:color w:val="000000" w:themeColor="text1"/>
        </w:rPr>
        <w:t xml:space="preserve">EU </w:t>
      </w:r>
      <w:proofErr w:type="spellStart"/>
      <w:r w:rsidRPr="001C7A8D">
        <w:rPr>
          <w:color w:val="000000" w:themeColor="text1"/>
        </w:rPr>
        <w:t>Toolbox</w:t>
      </w:r>
      <w:proofErr w:type="spellEnd"/>
      <w:r w:rsidRPr="001C7A8D">
        <w:rPr>
          <w:color w:val="000000" w:themeColor="text1"/>
        </w:rPr>
        <w:t xml:space="preserve"> obsahuje tri typy opatrení</w:t>
      </w:r>
      <w:r>
        <w:rPr>
          <w:color w:val="000000" w:themeColor="text1"/>
        </w:rPr>
        <w:t xml:space="preserve"> -</w:t>
      </w:r>
      <w:r w:rsidRPr="001C7A8D">
        <w:rPr>
          <w:color w:val="000000" w:themeColor="text1"/>
        </w:rPr>
        <w:t>strategické, t</w:t>
      </w:r>
      <w:r>
        <w:rPr>
          <w:color w:val="000000" w:themeColor="text1"/>
        </w:rPr>
        <w:t>echnické a  podporné</w:t>
      </w:r>
      <w:r w:rsidRPr="001C7A8D">
        <w:rPr>
          <w:color w:val="000000" w:themeColor="text1"/>
        </w:rPr>
        <w:t xml:space="preserve"> opatrenia. Samotné strategické opatrenia sa ďalej členia v kontexte adresátov týchto opatrení, a to: právomoci regulačných orgánov, dodávatelia - tretie strany, diverzifikácia dodávateľov – tretích strán a udržateľnosť a rozmanitosť dodávateľského a hodnotového reťazca. Súčasťou strategických opatrení je aj časť posilnenie regulačných právomocí orgánov, konkrétne oprávnenia týchto orgánov v podobe uloženia povinností týkajúcich sa bezpečnosti poskytovateľom 5G, zákaz alebo uloženie konkrétnych požiadaviek, </w:t>
      </w:r>
      <w:r>
        <w:rPr>
          <w:color w:val="000000" w:themeColor="text1"/>
        </w:rPr>
        <w:t xml:space="preserve">a to </w:t>
      </w:r>
      <w:r w:rsidRPr="001C7A8D">
        <w:rPr>
          <w:color w:val="000000" w:themeColor="text1"/>
        </w:rPr>
        <w:t xml:space="preserve">na základe prístupu založenom na </w:t>
      </w:r>
      <w:r>
        <w:rPr>
          <w:color w:val="000000" w:themeColor="text1"/>
        </w:rPr>
        <w:t xml:space="preserve">hodnotení rizika v určitých parametroch (politické, geografické, právne). Ide teda o osobitnú bezpečnostnú reguláciu. Úrad zvolil všeobecnú úpravu namiesto definovania konkrétnej 5G („internet piatej generácie“) pre účely ďalšej praxe. Úrad sa ďalej zaväzuje vypracovávať každoročnú správu o ochrane osobných údajov v spojitosti s kybernetickými bezpečnostnými incidentami a ich riešením. </w:t>
      </w:r>
    </w:p>
    <w:p w:rsidR="00E3279A" w:rsidRPr="00112027" w:rsidRDefault="00E3279A" w:rsidP="00E3279A">
      <w:pPr>
        <w:jc w:val="both"/>
        <w:rPr>
          <w:color w:val="000000" w:themeColor="text1"/>
        </w:rPr>
      </w:pPr>
    </w:p>
    <w:p w:rsidR="00E3279A" w:rsidRPr="00106044" w:rsidRDefault="00E3279A" w:rsidP="00E3279A">
      <w:pPr>
        <w:jc w:val="both"/>
        <w:rPr>
          <w:b/>
          <w:color w:val="000000" w:themeColor="text1"/>
        </w:rPr>
      </w:pPr>
      <w:r w:rsidRPr="00112027">
        <w:rPr>
          <w:b/>
          <w:color w:val="000000" w:themeColor="text1"/>
        </w:rPr>
        <w:t>K bodu 1</w:t>
      </w:r>
      <w:r>
        <w:rPr>
          <w:b/>
          <w:color w:val="000000" w:themeColor="text1"/>
        </w:rPr>
        <w:t>3</w:t>
      </w:r>
    </w:p>
    <w:p w:rsidR="00E3279A" w:rsidRPr="00112027" w:rsidRDefault="00E3279A" w:rsidP="00E3279A">
      <w:pPr>
        <w:jc w:val="both"/>
        <w:rPr>
          <w:color w:val="000000" w:themeColor="text1"/>
        </w:rPr>
      </w:pPr>
      <w:r w:rsidRPr="00112027">
        <w:rPr>
          <w:color w:val="000000" w:themeColor="text1"/>
        </w:rPr>
        <w:t>V tomto novelizačnom bode sa stanovu</w:t>
      </w:r>
      <w:r>
        <w:rPr>
          <w:color w:val="000000" w:themeColor="text1"/>
        </w:rPr>
        <w:t>je v súlade s nariadením (EÚ) č.</w:t>
      </w:r>
      <w:r w:rsidRPr="00112027">
        <w:rPr>
          <w:color w:val="000000" w:themeColor="text1"/>
        </w:rPr>
        <w:t xml:space="preserve"> 2019/881, že vnútroštátnym orgánom pre certifikáciu kybernetickej bezpečnosti na území Slovenskej republiky je úrad. Zároveň sa stanovuje, že certifikačný orgán úradu bude spĺňať požiadavky na orgán posudzovania zhody podľa nariadenia Euró</w:t>
      </w:r>
      <w:r>
        <w:rPr>
          <w:color w:val="000000" w:themeColor="text1"/>
        </w:rPr>
        <w:t>pskeho parlamentu a Rady (ES)</w:t>
      </w:r>
      <w:r w:rsidRPr="00112027">
        <w:rPr>
          <w:color w:val="000000" w:themeColor="text1"/>
        </w:rPr>
        <w:t xml:space="preserve"> </w:t>
      </w:r>
      <w:r>
        <w:rPr>
          <w:color w:val="000000" w:themeColor="text1"/>
        </w:rPr>
        <w:t xml:space="preserve">č. </w:t>
      </w:r>
      <w:r w:rsidRPr="00112027">
        <w:rPr>
          <w:color w:val="000000" w:themeColor="text1"/>
        </w:rPr>
        <w:t>765/2008 z 9. júla 2008 , ktorým sa stanovujú požiadavky akreditácie a dohľadu nad trhom v súvislosti s uvádzaním výrobkov na trh a ktorý</w:t>
      </w:r>
      <w:r>
        <w:rPr>
          <w:color w:val="000000" w:themeColor="text1"/>
        </w:rPr>
        <w:t>m sa zrušuje nariadenie (EHS)</w:t>
      </w:r>
      <w:r w:rsidRPr="00112027">
        <w:rPr>
          <w:color w:val="000000" w:themeColor="text1"/>
        </w:rPr>
        <w:t xml:space="preserve"> </w:t>
      </w:r>
      <w:r>
        <w:rPr>
          <w:color w:val="000000" w:themeColor="text1"/>
        </w:rPr>
        <w:t xml:space="preserve">č. </w:t>
      </w:r>
      <w:r w:rsidRPr="00112027">
        <w:rPr>
          <w:color w:val="000000" w:themeColor="text1"/>
        </w:rPr>
        <w:t>339/93 a postavenie certifikačného orgánu, ktorý je verejným subjektom.</w:t>
      </w:r>
    </w:p>
    <w:p w:rsidR="00E3279A" w:rsidRPr="00112027" w:rsidRDefault="00E3279A" w:rsidP="00E3279A">
      <w:pPr>
        <w:jc w:val="both"/>
        <w:rPr>
          <w:color w:val="000000" w:themeColor="text1"/>
        </w:rPr>
      </w:pPr>
      <w:r w:rsidRPr="00112027">
        <w:rPr>
          <w:color w:val="000000" w:themeColor="text1"/>
        </w:rPr>
        <w:t xml:space="preserve">Úrad sa tak v zmysle nariadenia konštituuje ako nezávislý a akreditovaný subjekt zodpovedný za certifikáciu kybernetickej bezpečnosti, na základe čoho bude plniť dôležitú úlohu pri zvyšovaní dôvery v produkty a služby a ich bezpečnosti. Certifikácia slúži na informovanie a uistenie kupujúcich a používateľov o bezpečnostných vlastnostiach produktov a služieb IKT, ktoré nakupujú alebo používajú. V súčasnosti je situácia v oblasti certifikácie kybernetickej bezpečnosti produktov a služieb IKT v EÚ pomerne nevyrovnaná. V prípade neexistencie jednotného systému certifikácie kybernetickej bezpečnosti v celej EÚ musia byť spoločnosti za mnohých okolností certifikované jednotlivo v každom členskom štáte, čo vedie k fragmentácii trhu. Podľa nariadenia zavedenie jedeného alebo viacerých vnútroštátnych orgánov (prípad veľkých štátov) pre certifikáciu kybernetickej bezpečnosti na svojom území prispeje k zvyšovaniu miery harmonizácie práva EÚ pre produkty a služby IKT. Rozdiely medzi normami a postupmi certifikácie kybernetickej bezpečnosti v členských štátoch sa tak v praxi budú potierať a dôjde k zamedzeniu vzniku 28 rôznych bezpečnostných trhov v EÚ, kde by každý z nich mal svoje vlastné technické požiadavky, testovacie metódy a postupy certifikácie kybernetickej bezpečnosti. Určením jednotlivých certifikačných orgánov v členských štátoch zároveň dôjde, a to nielen na úrovni EÚ, k posilneniu oblasti kybernetickej bezpečnosti, kde </w:t>
      </w:r>
      <w:r w:rsidRPr="00112027">
        <w:rPr>
          <w:color w:val="000000" w:themeColor="text1"/>
        </w:rPr>
        <w:lastRenderedPageBreak/>
        <w:t>spoločný postup týchto orgánov môže viesť k efektívnejšiemu vytváraniu a prijímaniu konkrétnych opatrení v danej oblasti. Rozdielne prístupy na národnej úrovni sa tak výrazne eliminujú a prispeje sa tak významnou mierou k prekonávaniu prekážok pri dosahovaní jednotného digitálneho trhu a spomaľovaní pozitívnych účinkov z hľadiska rastu a pracovných miest.</w:t>
      </w:r>
    </w:p>
    <w:p w:rsidR="00E3279A" w:rsidRDefault="00E3279A" w:rsidP="00E3279A">
      <w:pPr>
        <w:jc w:val="both"/>
        <w:rPr>
          <w:color w:val="000000" w:themeColor="text1"/>
        </w:rPr>
      </w:pPr>
      <w:r w:rsidRPr="00112027">
        <w:rPr>
          <w:color w:val="000000" w:themeColor="text1"/>
        </w:rPr>
        <w:t>S ohľadom na potreby aplikačnej praxe nie je vylúčené, aby v rámci členského štátu v riadne odôvodnených prípadoch certifikáciu kybernetickej bezpečnosti podľa nariadenia vykonával iný verejný subjekt, ktorý však musí napĺňať požiadavku uvedenú v článku 58 ods. 5 nariadenia a podmienky ustanovené zákonom č. 505/2009 Z. z. o akreditácii orgánov posudzovania zhody a o zmene a doplnení niektorých zákonov. Takýto verejný subjekt musí hodnoverným spôsobom preukázať spôsobilosti pre splnenia akreditačných požiadaviek, tak aby vnútroštátny akreditačný orgán mohol o tom vydať potvrdenie, že orgán posudzovania zhody spĺňa požiadavky vykonávať špecifické činnosti posudzovania zhody v oblasti kybernetickej bezpečnosti stanovené harmonizovanými normami a v prípade potreby akékoľvek dodatočné požiadavky vrátane tých, ktoré sú stanovené v príslušných sektorových systémoch.</w:t>
      </w:r>
    </w:p>
    <w:p w:rsidR="00E3279A" w:rsidRPr="00112027" w:rsidRDefault="00E3279A" w:rsidP="00E3279A">
      <w:pPr>
        <w:jc w:val="both"/>
        <w:rPr>
          <w:color w:val="000000" w:themeColor="text1"/>
        </w:rPr>
      </w:pPr>
      <w:r w:rsidRPr="00112027">
        <w:rPr>
          <w:color w:val="000000" w:themeColor="text1"/>
        </w:rPr>
        <w:t xml:space="preserve">Ustanovenie identifikuje konania, ktoré predstavujú porušenie tohto zákona v súvislosti s certifikáciou produktov, služieb alebo procesov v rámci Európskeho systému certifikácie kybernetickej bezpečnosti, čo je reakciou na implementačnú povinnosť podľa nariadenie  (EÚ) č. 2019/881. Pri jednotlivých skutkových podstatách sa uvádza konkrétna sadzba pokuty, ktorá je určená ako rozpätie sumy. Pokuty sa realizujú vo vzťahu k  výrobcovi alebo poskytovateľovi za nesplnenie zákonnej povinnosti alebo k opomenutiu takého konania alebo ktorý sa dopustí správneho deliktu podľa zákona. Priestupky a správne delikty </w:t>
      </w:r>
      <w:proofErr w:type="spellStart"/>
      <w:r w:rsidRPr="00112027">
        <w:rPr>
          <w:color w:val="000000" w:themeColor="text1"/>
        </w:rPr>
        <w:t>prejednáva</w:t>
      </w:r>
      <w:proofErr w:type="spellEnd"/>
      <w:r w:rsidRPr="00112027">
        <w:rPr>
          <w:color w:val="000000" w:themeColor="text1"/>
        </w:rPr>
        <w:t xml:space="preserve"> úrad a príjmy z nich sú príjmom štátneho rozpočtu</w:t>
      </w:r>
    </w:p>
    <w:p w:rsidR="00E3279A" w:rsidRPr="00112027" w:rsidRDefault="00E3279A" w:rsidP="00E3279A">
      <w:pPr>
        <w:rPr>
          <w:color w:val="000000" w:themeColor="text1"/>
        </w:rPr>
      </w:pPr>
      <w:r w:rsidRPr="00112027">
        <w:rPr>
          <w:color w:val="000000" w:themeColor="text1"/>
        </w:rPr>
        <w:t> </w:t>
      </w:r>
    </w:p>
    <w:p w:rsidR="00E3279A" w:rsidRPr="00112027" w:rsidRDefault="00E3279A" w:rsidP="00E3279A">
      <w:pPr>
        <w:jc w:val="both"/>
        <w:rPr>
          <w:b/>
          <w:color w:val="000000" w:themeColor="text1"/>
        </w:rPr>
      </w:pPr>
      <w:r w:rsidRPr="00112027">
        <w:rPr>
          <w:b/>
          <w:color w:val="000000" w:themeColor="text1"/>
        </w:rPr>
        <w:t>K bodu 1</w:t>
      </w:r>
      <w:r>
        <w:rPr>
          <w:b/>
          <w:color w:val="000000" w:themeColor="text1"/>
        </w:rPr>
        <w:t>4</w:t>
      </w:r>
    </w:p>
    <w:p w:rsidR="00E3279A" w:rsidRDefault="00E3279A" w:rsidP="00E3279A">
      <w:pPr>
        <w:jc w:val="both"/>
        <w:rPr>
          <w:color w:val="000000" w:themeColor="text1"/>
        </w:rPr>
      </w:pPr>
      <w:r w:rsidRPr="00112027">
        <w:rPr>
          <w:color w:val="000000" w:themeColor="text1"/>
        </w:rPr>
        <w:t>Úrad zriadil Národné centrum kybernetickej bezpečnosti SK-CERT transformáciou Národnej jednotky SK CERT. Vytvorením Národného centra kybernetickej bezpečnosti SK-CERT úrad plní úlohu Akčného plánu realizácie Koncepcie kybernetickej bezpečnosti Slovenskej republiky na roky 2015-2020. Budovanie spôsobilostí Slovenskej republiky v oblasti kybernetickej bezpečnosti je pre úrad najvyššou prioritou. Cieľom Národného centra kybernetickej bezpečnosti SK-CERT bude nielen rozvíjanie spôsobilostí pri riešení kybernetických bezpečnostných incidentov na celonárodnej úrovni, ale aj rozšírenie a zdieľanie vedomostí a skúseností v tejto oblasti a aktívna spolupráca s verejnosťou, profesijnými organizáciami a akademickým sektorom. Národné centrum kybernetickej bezpečnosti SK-CERT zabezpečuje nielen služby spojené s riadením kybernetických bezpečnostných incidentov, odstraňovaním ich následkov a následnou obnovou činnosti informačných systémov v spolupráci s vlastníkmi a prevádzkovateľmi týchto systémov, ale aj výkon analytických činností, výskumu, rozširovania bezpečnostného povedomia a vzdelávania v oblasti kybernetickej bezpečnosti.</w:t>
      </w:r>
    </w:p>
    <w:p w:rsidR="00E3279A" w:rsidRDefault="00E3279A" w:rsidP="00E3279A">
      <w:pPr>
        <w:jc w:val="both"/>
        <w:rPr>
          <w:color w:val="000000" w:themeColor="text1"/>
        </w:rPr>
      </w:pPr>
    </w:p>
    <w:p w:rsidR="00E3279A" w:rsidRDefault="00E3279A" w:rsidP="00E3279A">
      <w:pPr>
        <w:jc w:val="both"/>
        <w:rPr>
          <w:b/>
          <w:color w:val="000000" w:themeColor="text1"/>
        </w:rPr>
      </w:pPr>
      <w:r w:rsidRPr="00FA52B8">
        <w:rPr>
          <w:b/>
          <w:color w:val="000000" w:themeColor="text1"/>
        </w:rPr>
        <w:t>K bodu 1</w:t>
      </w:r>
      <w:r>
        <w:rPr>
          <w:b/>
          <w:color w:val="000000" w:themeColor="text1"/>
        </w:rPr>
        <w:t>5</w:t>
      </w:r>
    </w:p>
    <w:p w:rsidR="00E3279A" w:rsidRPr="00FA52B8" w:rsidRDefault="00E3279A" w:rsidP="00E3279A">
      <w:pPr>
        <w:jc w:val="both"/>
        <w:rPr>
          <w:color w:val="000000" w:themeColor="text1"/>
        </w:rPr>
      </w:pPr>
      <w:r>
        <w:rPr>
          <w:color w:val="000000" w:themeColor="text1"/>
        </w:rPr>
        <w:t>Precizovanie textu.</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Pr>
          <w:b/>
          <w:color w:val="000000" w:themeColor="text1"/>
        </w:rPr>
        <w:t>K bodom 16 a 17</w:t>
      </w:r>
    </w:p>
    <w:p w:rsidR="00E3279A" w:rsidRPr="00112027" w:rsidRDefault="00E3279A" w:rsidP="00E3279A">
      <w:pPr>
        <w:jc w:val="both"/>
        <w:rPr>
          <w:color w:val="000000" w:themeColor="text1"/>
        </w:rPr>
      </w:pPr>
      <w:r w:rsidRPr="00112027">
        <w:rPr>
          <w:color w:val="000000" w:themeColor="text1"/>
        </w:rPr>
        <w:t xml:space="preserve">Navrhované zmeny v § 9 reagujú na požiadavky aplikačnej praxe s ohľadom na </w:t>
      </w:r>
      <w:proofErr w:type="spellStart"/>
      <w:r w:rsidRPr="00112027">
        <w:rPr>
          <w:color w:val="000000" w:themeColor="text1"/>
        </w:rPr>
        <w:t>rigidnosť</w:t>
      </w:r>
      <w:proofErr w:type="spellEnd"/>
      <w:r w:rsidRPr="00112027">
        <w:rPr>
          <w:color w:val="000000" w:themeColor="text1"/>
        </w:rPr>
        <w:t xml:space="preserve"> a neúmerné administratívne a personálne zaťaženie ústredných orgánov v súčasnom znení. Na základe navrhovanej zmeny sa upúšťa od povinnosti zriadiť a prevádzkovať vlastnú akreditovanú jednotku CSIRT</w:t>
      </w:r>
      <w:r>
        <w:rPr>
          <w:color w:val="000000" w:themeColor="text1"/>
        </w:rPr>
        <w:t xml:space="preserve">, </w:t>
      </w:r>
      <w:r w:rsidRPr="00112027">
        <w:rPr>
          <w:color w:val="000000" w:themeColor="text1"/>
        </w:rPr>
        <w:t>naproti tomu na zabezpečenie plnenia úloh súvisiacich s kybernetickou bezpečnosťou ústredný orgán v navrhovanom znení</w:t>
      </w:r>
      <w:r>
        <w:rPr>
          <w:color w:val="000000" w:themeColor="text1"/>
        </w:rPr>
        <w:t xml:space="preserve"> využíva Národnú jednotku CSIRT.</w:t>
      </w:r>
      <w:r w:rsidRPr="00112027">
        <w:rPr>
          <w:color w:val="000000" w:themeColor="text1"/>
        </w:rPr>
        <w:t xml:space="preserve"> Predmetná zmena tak predstavuje ucelenejší a efektívnejší výkon činností v súvislosti </w:t>
      </w:r>
      <w:r w:rsidRPr="00112027">
        <w:rPr>
          <w:color w:val="000000" w:themeColor="text1"/>
        </w:rPr>
        <w:lastRenderedPageBreak/>
        <w:t>s kybernetickou bezpečnosťou na úseku ústredného orgánu</w:t>
      </w:r>
      <w:r>
        <w:rPr>
          <w:color w:val="000000" w:themeColor="text1"/>
        </w:rPr>
        <w:t>, pričom možnosť zriaďovať vlastnú jednotku CSIRT zostáva zachovaná.</w:t>
      </w:r>
      <w:r w:rsidRPr="00112027">
        <w:rPr>
          <w:color w:val="000000" w:themeColor="text1"/>
        </w:rPr>
        <w:t xml:space="preserve">     </w:t>
      </w:r>
    </w:p>
    <w:p w:rsidR="00E3279A" w:rsidRPr="00112027" w:rsidRDefault="00E3279A" w:rsidP="00E3279A">
      <w:pPr>
        <w:jc w:val="both"/>
        <w:rPr>
          <w:b/>
          <w:color w:val="000000" w:themeColor="text1"/>
          <w:u w:val="single"/>
        </w:rPr>
      </w:pPr>
    </w:p>
    <w:p w:rsidR="00E3279A" w:rsidRDefault="00E3279A" w:rsidP="00E3279A">
      <w:pPr>
        <w:jc w:val="both"/>
        <w:rPr>
          <w:b/>
          <w:color w:val="000000" w:themeColor="text1"/>
        </w:rPr>
      </w:pPr>
      <w:r>
        <w:rPr>
          <w:b/>
          <w:color w:val="000000" w:themeColor="text1"/>
        </w:rPr>
        <w:t>K bodom 18 a 19</w:t>
      </w:r>
    </w:p>
    <w:p w:rsidR="00E3279A" w:rsidRDefault="00E3279A" w:rsidP="00E3279A">
      <w:pPr>
        <w:jc w:val="both"/>
        <w:rPr>
          <w:color w:val="000000" w:themeColor="text1"/>
        </w:rPr>
      </w:pPr>
      <w:r w:rsidRPr="003C2994">
        <w:rPr>
          <w:color w:val="000000" w:themeColor="text1"/>
        </w:rPr>
        <w:t>Legislatívno-technická úprava</w:t>
      </w:r>
      <w:r>
        <w:rPr>
          <w:color w:val="000000" w:themeColor="text1"/>
        </w:rPr>
        <w:t xml:space="preserve"> súvisiaca s novým § 10a.</w:t>
      </w:r>
    </w:p>
    <w:p w:rsidR="00E3279A" w:rsidRPr="003C2994" w:rsidRDefault="00E3279A" w:rsidP="00E3279A">
      <w:pPr>
        <w:jc w:val="both"/>
        <w:rPr>
          <w:color w:val="000000" w:themeColor="text1"/>
        </w:rPr>
      </w:pPr>
    </w:p>
    <w:p w:rsidR="00E3279A" w:rsidRPr="003C2994" w:rsidRDefault="00E3279A" w:rsidP="00E3279A">
      <w:pPr>
        <w:jc w:val="both"/>
        <w:rPr>
          <w:b/>
          <w:color w:val="000000" w:themeColor="text1"/>
        </w:rPr>
      </w:pPr>
      <w:r w:rsidRPr="003C2994">
        <w:rPr>
          <w:b/>
          <w:color w:val="000000" w:themeColor="text1"/>
        </w:rPr>
        <w:t xml:space="preserve">K bodu </w:t>
      </w:r>
      <w:r>
        <w:rPr>
          <w:b/>
          <w:color w:val="000000" w:themeColor="text1"/>
        </w:rPr>
        <w:t>20</w:t>
      </w:r>
    </w:p>
    <w:p w:rsidR="00E3279A" w:rsidRDefault="00E3279A" w:rsidP="00E3279A">
      <w:pPr>
        <w:jc w:val="both"/>
        <w:rPr>
          <w:color w:val="000000" w:themeColor="text1"/>
        </w:rPr>
      </w:pPr>
      <w:r>
        <w:rPr>
          <w:color w:val="000000" w:themeColor="text1"/>
        </w:rPr>
        <w:t xml:space="preserve">Navrhovaným ustanovením sa zavádza všeobecná povinnosť poskytovať úradu súčinnosť v rámci kybernetickej bezpečnosti. Prax ukázala, že bez adekvátnych praktických vstupov nie je možné realizovať výstupné činnosti úradu s požadovanou kvalitou tak, aby odzrkadľovali reálny stav. Úrad na zabezpečenie svojej riadnej činnosti potrebuje nevyhnutnú súčinnosť pri získavaní informácií na účely zabezpečovania kybernetickej bezpečnosti. Ide o také informácie, ktoré si úrad nevie zabezpečiť vlastnými prostriedkami a majú slúžiť na účely zákona. Zároveň sa ustanovuje, že subjekt poskytuje informácie na základe odôvodnenej žiadosti. </w:t>
      </w:r>
    </w:p>
    <w:p w:rsidR="00E3279A" w:rsidRPr="00112027" w:rsidRDefault="00E3279A" w:rsidP="00E3279A">
      <w:pPr>
        <w:jc w:val="both"/>
        <w:rPr>
          <w:b/>
          <w:color w:val="000000" w:themeColor="text1"/>
          <w:u w:val="single"/>
        </w:rPr>
      </w:pPr>
    </w:p>
    <w:p w:rsidR="00E3279A" w:rsidRPr="00112027" w:rsidRDefault="00E3279A" w:rsidP="00E3279A">
      <w:pPr>
        <w:jc w:val="both"/>
        <w:rPr>
          <w:b/>
          <w:color w:val="000000" w:themeColor="text1"/>
        </w:rPr>
      </w:pPr>
      <w:r>
        <w:rPr>
          <w:b/>
          <w:color w:val="000000" w:themeColor="text1"/>
        </w:rPr>
        <w:t>K bodu 21 a 22</w:t>
      </w:r>
    </w:p>
    <w:p w:rsidR="00E3279A" w:rsidRPr="00112027" w:rsidRDefault="00E3279A" w:rsidP="00E3279A">
      <w:pPr>
        <w:jc w:val="both"/>
        <w:rPr>
          <w:color w:val="000000" w:themeColor="text1"/>
        </w:rPr>
      </w:pPr>
      <w:r w:rsidRPr="00112027">
        <w:rPr>
          <w:color w:val="000000" w:themeColor="text1"/>
        </w:rPr>
        <w:t xml:space="preserve">Uvedená zmena reaguje na požiadavky aplikačnej praxe s odôvodnením potreby extenzívneho účinku vo vzťahu k subjektu, ktorý môže podať žiadosť o akreditáciu jednotky CSIRT.  </w:t>
      </w:r>
    </w:p>
    <w:p w:rsidR="00E3279A" w:rsidRPr="00112027" w:rsidRDefault="00E3279A" w:rsidP="00E3279A">
      <w:pPr>
        <w:jc w:val="both"/>
        <w:rPr>
          <w:color w:val="000000" w:themeColor="text1"/>
        </w:rPr>
      </w:pPr>
    </w:p>
    <w:p w:rsidR="00E3279A" w:rsidRPr="00112027" w:rsidRDefault="00E3279A" w:rsidP="00E3279A">
      <w:pPr>
        <w:tabs>
          <w:tab w:val="left" w:pos="3405"/>
        </w:tabs>
        <w:jc w:val="both"/>
        <w:rPr>
          <w:b/>
          <w:color w:val="000000" w:themeColor="text1"/>
        </w:rPr>
      </w:pPr>
      <w:r w:rsidRPr="00112027">
        <w:rPr>
          <w:b/>
          <w:color w:val="000000" w:themeColor="text1"/>
        </w:rPr>
        <w:t xml:space="preserve">K bodu </w:t>
      </w:r>
      <w:r>
        <w:rPr>
          <w:b/>
          <w:color w:val="000000" w:themeColor="text1"/>
        </w:rPr>
        <w:t>23</w:t>
      </w:r>
      <w:r w:rsidRPr="00112027">
        <w:rPr>
          <w:b/>
          <w:color w:val="000000" w:themeColor="text1"/>
        </w:rPr>
        <w:tab/>
      </w:r>
    </w:p>
    <w:p w:rsidR="00E3279A" w:rsidRPr="00112027" w:rsidRDefault="00E3279A" w:rsidP="00E3279A">
      <w:pPr>
        <w:jc w:val="both"/>
        <w:rPr>
          <w:color w:val="000000" w:themeColor="text1"/>
        </w:rPr>
      </w:pPr>
      <w:r>
        <w:rPr>
          <w:color w:val="000000" w:themeColor="text1"/>
        </w:rPr>
        <w:t>I</w:t>
      </w:r>
      <w:r w:rsidRPr="00112027">
        <w:rPr>
          <w:color w:val="000000" w:themeColor="text1"/>
        </w:rPr>
        <w:t>de o požiadavku vyplývajúcu z aplikačnej praxe</w:t>
      </w:r>
      <w:r>
        <w:rPr>
          <w:color w:val="000000" w:themeColor="text1"/>
        </w:rPr>
        <w:t xml:space="preserve"> z dôvodu jasného a nespochybniteľné vymedzenia relevantných právnych skutočností.</w:t>
      </w:r>
    </w:p>
    <w:p w:rsidR="00E3279A" w:rsidRPr="00112027" w:rsidRDefault="00E3279A" w:rsidP="00E3279A">
      <w:pPr>
        <w:jc w:val="both"/>
        <w:rPr>
          <w:color w:val="000000" w:themeColor="text1"/>
        </w:rPr>
      </w:pPr>
    </w:p>
    <w:p w:rsidR="00E3279A" w:rsidRDefault="00E3279A" w:rsidP="00E3279A">
      <w:pPr>
        <w:jc w:val="both"/>
        <w:rPr>
          <w:b/>
          <w:color w:val="000000" w:themeColor="text1"/>
        </w:rPr>
      </w:pPr>
      <w:r w:rsidRPr="00112027">
        <w:rPr>
          <w:b/>
          <w:color w:val="000000" w:themeColor="text1"/>
        </w:rPr>
        <w:t xml:space="preserve">K bodu </w:t>
      </w:r>
      <w:r>
        <w:rPr>
          <w:b/>
          <w:color w:val="000000" w:themeColor="text1"/>
        </w:rPr>
        <w:t>24 až 27</w:t>
      </w:r>
    </w:p>
    <w:p w:rsidR="00E3279A" w:rsidRDefault="00E3279A" w:rsidP="00E3279A">
      <w:pPr>
        <w:jc w:val="both"/>
        <w:rPr>
          <w:color w:val="000000" w:themeColor="text1"/>
        </w:rPr>
      </w:pPr>
      <w:r>
        <w:rPr>
          <w:color w:val="000000" w:themeColor="text1"/>
        </w:rPr>
        <w:t>Ide o úpravu vo vzťahu k novej definícii základnej služby. Z definície základnej služby sa vypúšťa základná služba, ktorá je informačným systémom verejnej správy. V uvedenom kontexte je potrebné vykonať príslušné legislatívno-technické úpravy.</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sidRPr="00112027">
        <w:rPr>
          <w:b/>
          <w:color w:val="000000" w:themeColor="text1"/>
        </w:rPr>
        <w:t>K bodu 2</w:t>
      </w:r>
      <w:r>
        <w:rPr>
          <w:b/>
          <w:color w:val="000000" w:themeColor="text1"/>
        </w:rPr>
        <w:t>8</w:t>
      </w:r>
    </w:p>
    <w:p w:rsidR="00E3279A" w:rsidRPr="00112027" w:rsidRDefault="00E3279A" w:rsidP="00E3279A">
      <w:pPr>
        <w:jc w:val="both"/>
        <w:rPr>
          <w:color w:val="000000" w:themeColor="text1"/>
        </w:rPr>
      </w:pPr>
      <w:r w:rsidRPr="00112027">
        <w:rPr>
          <w:color w:val="000000" w:themeColor="text1"/>
        </w:rPr>
        <w:t>Podľa § 19 ods. 1 sa upravuje predĺženie lehoty z pôvodných šesť na dvanásť mesiacov na prijatie a dodržiavanie bezpečnostných opatrení v spravovaných a prevádzkovaných sieťach a informačných systémoch a vedenie príslušnej dokumentácie o uvedenom, pričom lehota plynie prevádzkovateľovi základnej služby od doručenia oznámenia o jeho zaradení do registra prevádzkovateľov základných služieb. Navrhovaná zmena vyplynula z požiadaviek aplikačnej praxe.</w:t>
      </w:r>
    </w:p>
    <w:p w:rsidR="00E3279A" w:rsidRPr="00112027" w:rsidRDefault="00E3279A" w:rsidP="00E3279A">
      <w:pPr>
        <w:jc w:val="both"/>
        <w:rPr>
          <w:b/>
          <w:color w:val="000000" w:themeColor="text1"/>
        </w:rPr>
      </w:pPr>
    </w:p>
    <w:p w:rsidR="00E3279A" w:rsidRPr="00112027" w:rsidRDefault="00E3279A" w:rsidP="00E3279A">
      <w:pPr>
        <w:jc w:val="both"/>
        <w:rPr>
          <w:b/>
          <w:color w:val="000000" w:themeColor="text1"/>
        </w:rPr>
      </w:pPr>
      <w:r w:rsidRPr="00112027">
        <w:rPr>
          <w:b/>
          <w:color w:val="000000" w:themeColor="text1"/>
        </w:rPr>
        <w:t>K bodu 2</w:t>
      </w:r>
      <w:r>
        <w:rPr>
          <w:b/>
          <w:color w:val="000000" w:themeColor="text1"/>
        </w:rPr>
        <w:t>9</w:t>
      </w:r>
    </w:p>
    <w:p w:rsidR="00E3279A" w:rsidRPr="00112027" w:rsidRDefault="00E3279A" w:rsidP="00E3279A">
      <w:pPr>
        <w:jc w:val="both"/>
        <w:rPr>
          <w:color w:val="000000" w:themeColor="text1"/>
        </w:rPr>
      </w:pPr>
      <w:r w:rsidRPr="00112027">
        <w:rPr>
          <w:color w:val="000000" w:themeColor="text1"/>
        </w:rPr>
        <w:t xml:space="preserve">Upravuje sa povinnosť prevádzkovateľov základných služieb požadovať od dodávateľa služieb na výkon činností, ktoré priamo súvisia s prevádzkou sietí a informačných systémov pre prevádzkovateľa základnej služby, dodatočné bezpečnostné opatrenia v súlade s požiadavkami tohto zákona. Táto povinnosť má byť vykonaná prostredníctvom zmluvných záväzkov, dohôd o zabezpečení plnenia povinností podľa tohto zákona. </w:t>
      </w:r>
    </w:p>
    <w:p w:rsidR="00E3279A" w:rsidRPr="00112027" w:rsidRDefault="00E3279A" w:rsidP="00E3279A">
      <w:pPr>
        <w:jc w:val="both"/>
        <w:rPr>
          <w:color w:val="000000" w:themeColor="text1"/>
        </w:rPr>
      </w:pPr>
      <w:r w:rsidRPr="00112027">
        <w:rPr>
          <w:color w:val="000000" w:themeColor="text1"/>
        </w:rPr>
        <w:t xml:space="preserve">Pri uzatvorení zmluvy s treťou stranou podľa § 19 ods. 2 sa analyzujú riziká, zmyslom ktorých je koordinovať využívanie zdrojov a monitorovať, kontrolovať a minimalizovať pravdepodobnosť a dopad kybernetických incidentov, ktoré by mohli ohroziť samotné hodnotenie rizika. Hodnotenia rizika môže poskytnúť cenné informácie na vypracovanie, vykonanie a vyhodnotenie stratégie. Vyhodnotenie rizika sa tak týka určenia a porozumenia významu úrovne rizika.  </w:t>
      </w:r>
    </w:p>
    <w:p w:rsidR="00E3279A" w:rsidRPr="00112027" w:rsidRDefault="00E3279A" w:rsidP="00E3279A">
      <w:pPr>
        <w:jc w:val="both"/>
        <w:rPr>
          <w:color w:val="000000" w:themeColor="text1"/>
        </w:rPr>
      </w:pPr>
      <w:r w:rsidRPr="00112027">
        <w:rPr>
          <w:color w:val="000000" w:themeColor="text1"/>
        </w:rPr>
        <w:t xml:space="preserve">Uvedené ustanovenie odseku 3 zároveň reaguje na možné prípady duplicity, kedy v situácii, ak by bol zmluvnou stranou samotný prevádzkovateľ základnej služby alebo poskytovateľ </w:t>
      </w:r>
      <w:r w:rsidRPr="00112027">
        <w:rPr>
          <w:color w:val="000000" w:themeColor="text1"/>
        </w:rPr>
        <w:lastRenderedPageBreak/>
        <w:t>digitálnej služby, by došlo k neprimeranej požiadavke v súvislosti so zabezpečením plnenia bezpečnostných opatrení a notifikačných povinností, ktoré sú tieto subjekty už</w:t>
      </w:r>
      <w:r w:rsidRPr="00112027" w:rsidDel="00CC67B9">
        <w:rPr>
          <w:color w:val="000000" w:themeColor="text1"/>
        </w:rPr>
        <w:t xml:space="preserve"> </w:t>
      </w:r>
      <w:r w:rsidRPr="00112027">
        <w:rPr>
          <w:color w:val="000000" w:themeColor="text1"/>
        </w:rPr>
        <w:t>povinné plniť podľa tohto zákona.</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sidRPr="00112027">
        <w:rPr>
          <w:b/>
          <w:color w:val="000000" w:themeColor="text1"/>
        </w:rPr>
        <w:t xml:space="preserve">K bodu </w:t>
      </w:r>
      <w:r>
        <w:rPr>
          <w:b/>
          <w:color w:val="000000" w:themeColor="text1"/>
        </w:rPr>
        <w:t>30</w:t>
      </w:r>
    </w:p>
    <w:p w:rsidR="00E3279A" w:rsidRPr="00112027" w:rsidRDefault="00E3279A" w:rsidP="00E3279A">
      <w:pPr>
        <w:jc w:val="both"/>
        <w:rPr>
          <w:color w:val="000000" w:themeColor="text1"/>
        </w:rPr>
      </w:pPr>
      <w:r w:rsidRPr="00112027">
        <w:rPr>
          <w:color w:val="000000" w:themeColor="text1"/>
        </w:rPr>
        <w:t>Legislatívno-technická úprava vyplývajúca z aplikačnej praxe.</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sidRPr="00112027">
        <w:rPr>
          <w:b/>
          <w:color w:val="000000" w:themeColor="text1"/>
        </w:rPr>
        <w:t xml:space="preserve">K bodu </w:t>
      </w:r>
      <w:r>
        <w:rPr>
          <w:b/>
          <w:color w:val="000000" w:themeColor="text1"/>
        </w:rPr>
        <w:t xml:space="preserve">31 </w:t>
      </w:r>
    </w:p>
    <w:p w:rsidR="00E3279A" w:rsidRDefault="00E3279A" w:rsidP="00E3279A">
      <w:pPr>
        <w:jc w:val="both"/>
        <w:rPr>
          <w:color w:val="000000" w:themeColor="text1"/>
        </w:rPr>
      </w:pPr>
      <w:r w:rsidRPr="00112027">
        <w:rPr>
          <w:color w:val="000000" w:themeColor="text1"/>
        </w:rPr>
        <w:t xml:space="preserve">Úprava </w:t>
      </w:r>
      <w:r>
        <w:rPr>
          <w:color w:val="000000" w:themeColor="text1"/>
        </w:rPr>
        <w:t>t</w:t>
      </w:r>
      <w:r w:rsidRPr="00112027">
        <w:rPr>
          <w:color w:val="000000" w:themeColor="text1"/>
        </w:rPr>
        <w:t xml:space="preserve">extu vyplýva z aplikačnej praxe a potreby jasnejšej a zrozumiteľnejšej špecifikácie oblastí pre prijímanie bezpečnostných opatrení, ktoré sú vymedzené všeobecne a ich splnenie je možné dosiahnuť rôznymi technologickými prostriedkami. Subjekty, ktoré majú povinnosť aplikovať tieto bezpečnostné opatrenia si môžu zvoliť vlastný konkrétny spôsob realizácie týchto bezpečnostných opatrení. Táto premisa zodpovedá princípu technickej neutrality zákona o kybernetickej bezpečnosti. Ďalej sa zavádzajú oblasti ako komunikačná bezpečnosť, šifrovanie a riadenie súladu a súčasne dochádza k jasnejšiemu vymedzeniu názvu niektorých oblastí oproti súčasnej úprave v zákone. </w:t>
      </w:r>
    </w:p>
    <w:p w:rsidR="00E3279A" w:rsidRPr="00112027" w:rsidRDefault="00E3279A" w:rsidP="00E3279A">
      <w:pPr>
        <w:jc w:val="both"/>
        <w:rPr>
          <w:b/>
          <w:color w:val="000000" w:themeColor="text1"/>
        </w:rPr>
      </w:pPr>
    </w:p>
    <w:p w:rsidR="00E3279A" w:rsidRPr="00112027" w:rsidRDefault="00E3279A" w:rsidP="00E3279A">
      <w:pPr>
        <w:jc w:val="both"/>
        <w:rPr>
          <w:b/>
          <w:color w:val="000000" w:themeColor="text1"/>
        </w:rPr>
      </w:pPr>
      <w:r w:rsidRPr="00112027">
        <w:rPr>
          <w:b/>
          <w:color w:val="000000" w:themeColor="text1"/>
        </w:rPr>
        <w:t xml:space="preserve">K bodu </w:t>
      </w:r>
      <w:r>
        <w:rPr>
          <w:b/>
          <w:color w:val="000000" w:themeColor="text1"/>
        </w:rPr>
        <w:t>32</w:t>
      </w:r>
    </w:p>
    <w:p w:rsidR="00E3279A" w:rsidRPr="00112027" w:rsidRDefault="00E3279A" w:rsidP="00E3279A">
      <w:pPr>
        <w:jc w:val="both"/>
        <w:rPr>
          <w:color w:val="000000" w:themeColor="text1"/>
        </w:rPr>
      </w:pPr>
      <w:r w:rsidRPr="00112027">
        <w:rPr>
          <w:color w:val="000000" w:themeColor="text1"/>
        </w:rPr>
        <w:t xml:space="preserve">Bezpečnostnou úlohou manažéra kybernetickej bezpečnosti je zodpovednosť za organizovanie systému riadenia kybernetickej bezpečnosti. Cieľom tohto prístupu je obmedziť škody, ktoré by mohli vzniknúť v dôsledku chýb, omylov alebo neoprávneného použitia sietí a informačných systémov. Táto úloha je úplne kľúčová pre správne nastavenie fungovania systému riadenia kybernetickej bezpečnosti. Manažér kybernetickej bezpečnosti má povinnosť informovať vrcholový manažment o činnostiach vyplývajúcich z výkonu úlohy, teda najmä o stave systému riadenia kybernetickej bezpečnosti. Ide o požiadavku, ktorá má viesť k uľahčeniu presadzovania konceptu riadenia kybernetickej bezpečnosti a vedie k dobrej informovanosti vrcholového manažmentu. Na výkon činnosti manažéra kybernetickej bezpečnosti sa predpokladá preukázanie odbornej spôsobilosti v súlade s osobitným predpisom vydaným úradom. Doteraz postavenie manažéra kybernetickej bezpečnosti upravovala vyhláška Národného bezpečnostného úradu č. 362/2018 Z. z., ktorou sa ustanovuje obsah bezpečnostných opatrení, obsah a štruktúra bezpečnostnej dokumentácie a rozsah všeobecných bezpečnostných opatrení. </w:t>
      </w:r>
    </w:p>
    <w:p w:rsidR="00E3279A" w:rsidRPr="00112027" w:rsidRDefault="00E3279A" w:rsidP="00E3279A">
      <w:pPr>
        <w:jc w:val="both"/>
        <w:rPr>
          <w:b/>
          <w:color w:val="000000" w:themeColor="text1"/>
        </w:rPr>
      </w:pPr>
    </w:p>
    <w:p w:rsidR="00E3279A" w:rsidRDefault="00E3279A" w:rsidP="00E3279A">
      <w:pPr>
        <w:jc w:val="both"/>
        <w:rPr>
          <w:b/>
          <w:color w:val="000000" w:themeColor="text1"/>
        </w:rPr>
      </w:pPr>
      <w:r>
        <w:rPr>
          <w:b/>
          <w:color w:val="000000" w:themeColor="text1"/>
        </w:rPr>
        <w:t>K bodu 33</w:t>
      </w:r>
    </w:p>
    <w:p w:rsidR="00E3279A" w:rsidRPr="004E5A80" w:rsidRDefault="00E3279A" w:rsidP="00E3279A">
      <w:pPr>
        <w:jc w:val="both"/>
        <w:rPr>
          <w:color w:val="000000" w:themeColor="text1"/>
        </w:rPr>
      </w:pPr>
      <w:r w:rsidRPr="004E5A80">
        <w:rPr>
          <w:color w:val="000000" w:themeColor="text1"/>
        </w:rPr>
        <w:t>Ustanovenie výslovne zavádza povinnosť realizovať bezpečnostné opatrenia na základe analýzy r</w:t>
      </w:r>
      <w:r>
        <w:rPr>
          <w:color w:val="000000" w:themeColor="text1"/>
        </w:rPr>
        <w:t xml:space="preserve">izík. Analýza rizík je postavená na predpovedi pravdepodobnosti vzniku škodlivej udalosti a je základným východiskom pri realizovaní a nastavovaní bezpečnosti ako takej. V rámci ustanovenia dochádza k zosúladeniu odporúčaní a aktov EÚ v oblasti bezpečnosti sietí s národnou úpravou, ktorá momentálne absentuje vo vzťahu najmä k diskutovaným „5G sieťam“.  </w:t>
      </w:r>
    </w:p>
    <w:p w:rsidR="00E3279A" w:rsidRDefault="00E3279A" w:rsidP="00E3279A">
      <w:pPr>
        <w:jc w:val="both"/>
        <w:rPr>
          <w:b/>
          <w:color w:val="000000" w:themeColor="text1"/>
        </w:rPr>
      </w:pPr>
    </w:p>
    <w:p w:rsidR="00E3279A" w:rsidRDefault="00E3279A" w:rsidP="00E3279A">
      <w:pPr>
        <w:jc w:val="both"/>
        <w:rPr>
          <w:b/>
          <w:color w:val="000000" w:themeColor="text1"/>
        </w:rPr>
      </w:pPr>
      <w:r w:rsidRPr="00112027">
        <w:rPr>
          <w:b/>
          <w:color w:val="000000" w:themeColor="text1"/>
        </w:rPr>
        <w:t>K</w:t>
      </w:r>
      <w:r>
        <w:rPr>
          <w:b/>
          <w:color w:val="000000" w:themeColor="text1"/>
        </w:rPr>
        <w:t> </w:t>
      </w:r>
      <w:r w:rsidRPr="00112027">
        <w:rPr>
          <w:b/>
          <w:color w:val="000000" w:themeColor="text1"/>
        </w:rPr>
        <w:t>bod</w:t>
      </w:r>
      <w:r>
        <w:rPr>
          <w:b/>
          <w:color w:val="000000" w:themeColor="text1"/>
        </w:rPr>
        <w:t>u 34</w:t>
      </w:r>
    </w:p>
    <w:p w:rsidR="00E3279A" w:rsidRDefault="00E3279A" w:rsidP="00E3279A">
      <w:pPr>
        <w:jc w:val="both"/>
        <w:rPr>
          <w:color w:val="000000" w:themeColor="text1"/>
        </w:rPr>
      </w:pPr>
      <w:r w:rsidRPr="004F1DEC">
        <w:rPr>
          <w:color w:val="000000" w:themeColor="text1"/>
        </w:rPr>
        <w:t xml:space="preserve">Z dôvodu postupnej harmonizácie bezpečnostných opatrení pre prevádzkovateľov základných služieb, ktorí sú regulovaní v rámci iných zákonov, ako aj pri absencii bezpečnostných opatrení v niektorých segmentoch, úrad zvolil legislatívnu oporu pre aplikovanie týchto bezpečnostných opatrení bez potreby novelizácie zákona o kybernetickej bezpečnosti. </w:t>
      </w:r>
    </w:p>
    <w:p w:rsidR="00E3279A" w:rsidRDefault="00E3279A" w:rsidP="00E3279A">
      <w:pPr>
        <w:jc w:val="both"/>
        <w:rPr>
          <w:color w:val="000000" w:themeColor="text1"/>
        </w:rPr>
      </w:pPr>
    </w:p>
    <w:p w:rsidR="00E3279A" w:rsidRDefault="00E3279A" w:rsidP="00E3279A">
      <w:pPr>
        <w:jc w:val="both"/>
        <w:rPr>
          <w:color w:val="000000" w:themeColor="text1"/>
        </w:rPr>
      </w:pPr>
    </w:p>
    <w:p w:rsidR="00E3279A" w:rsidRDefault="00E3279A" w:rsidP="00E3279A">
      <w:pPr>
        <w:jc w:val="both"/>
        <w:rPr>
          <w:color w:val="000000" w:themeColor="text1"/>
        </w:rPr>
      </w:pPr>
    </w:p>
    <w:p w:rsidR="00E3279A" w:rsidRDefault="00E3279A" w:rsidP="00E3279A">
      <w:pPr>
        <w:jc w:val="both"/>
        <w:rPr>
          <w:color w:val="000000" w:themeColor="text1"/>
        </w:rPr>
      </w:pPr>
    </w:p>
    <w:p w:rsidR="00E3279A" w:rsidRPr="00D54863" w:rsidRDefault="00E3279A" w:rsidP="00E3279A">
      <w:pPr>
        <w:jc w:val="both"/>
        <w:rPr>
          <w:b/>
          <w:color w:val="000000" w:themeColor="text1"/>
        </w:rPr>
      </w:pPr>
      <w:r w:rsidRPr="00D54863">
        <w:rPr>
          <w:b/>
          <w:color w:val="000000" w:themeColor="text1"/>
        </w:rPr>
        <w:lastRenderedPageBreak/>
        <w:t>K bodu 35</w:t>
      </w:r>
    </w:p>
    <w:p w:rsidR="00E3279A" w:rsidRDefault="00E3279A" w:rsidP="00E3279A">
      <w:pPr>
        <w:jc w:val="both"/>
        <w:rPr>
          <w:color w:val="000000" w:themeColor="text1"/>
        </w:rPr>
      </w:pPr>
      <w:r>
        <w:rPr>
          <w:color w:val="000000" w:themeColor="text1"/>
        </w:rPr>
        <w:t>Z dôvodu harmonizácie so smernicou NIS sa vypúšťajú povinnosti poskytovateľa digitálnej služby, ktoré spôsobovali aplikačné nejasnosti. Vo vzťahu k poskytovateľovi digitálnej služby platí, že sa naň v plnej miere aplikujú ustanovenia smernice NIS.</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sidRPr="00112027">
        <w:rPr>
          <w:b/>
          <w:color w:val="000000" w:themeColor="text1"/>
        </w:rPr>
        <w:t>K bod</w:t>
      </w:r>
      <w:r>
        <w:rPr>
          <w:b/>
          <w:color w:val="000000" w:themeColor="text1"/>
        </w:rPr>
        <w:t>u</w:t>
      </w:r>
      <w:r w:rsidRPr="00112027">
        <w:rPr>
          <w:b/>
          <w:color w:val="000000" w:themeColor="text1"/>
        </w:rPr>
        <w:t xml:space="preserve"> </w:t>
      </w:r>
      <w:r>
        <w:rPr>
          <w:b/>
          <w:color w:val="000000" w:themeColor="text1"/>
        </w:rPr>
        <w:t>36</w:t>
      </w:r>
    </w:p>
    <w:p w:rsidR="00E3279A" w:rsidRDefault="00E3279A" w:rsidP="00E3279A">
      <w:pPr>
        <w:jc w:val="both"/>
        <w:rPr>
          <w:color w:val="000000" w:themeColor="text1"/>
        </w:rPr>
      </w:pPr>
      <w:r w:rsidRPr="00112027">
        <w:rPr>
          <w:color w:val="000000" w:themeColor="text1"/>
        </w:rPr>
        <w:t>Upravuje sa spôsob hlásenia kybernetického bezpečnostného incidentu. Uvedená potreba zmeny ustanovenia vyplynula z aplikačnej praxe</w:t>
      </w:r>
      <w:r>
        <w:rPr>
          <w:color w:val="000000" w:themeColor="text1"/>
        </w:rPr>
        <w:t>.</w:t>
      </w:r>
    </w:p>
    <w:p w:rsidR="00E3279A" w:rsidRDefault="00E3279A" w:rsidP="00E3279A">
      <w:pPr>
        <w:jc w:val="both"/>
        <w:rPr>
          <w:color w:val="000000" w:themeColor="text1"/>
        </w:rPr>
      </w:pPr>
    </w:p>
    <w:p w:rsidR="00E3279A" w:rsidRPr="004F1DEC" w:rsidRDefault="00E3279A" w:rsidP="00E3279A">
      <w:pPr>
        <w:jc w:val="both"/>
        <w:rPr>
          <w:b/>
          <w:color w:val="000000" w:themeColor="text1"/>
        </w:rPr>
      </w:pPr>
      <w:r w:rsidRPr="004F1DEC">
        <w:rPr>
          <w:b/>
          <w:color w:val="000000" w:themeColor="text1"/>
        </w:rPr>
        <w:t>K bodu 3</w:t>
      </w:r>
      <w:r>
        <w:rPr>
          <w:b/>
          <w:color w:val="000000" w:themeColor="text1"/>
        </w:rPr>
        <w:t>7</w:t>
      </w:r>
    </w:p>
    <w:p w:rsidR="00E3279A" w:rsidRPr="00112027" w:rsidRDefault="00E3279A" w:rsidP="00E3279A">
      <w:pPr>
        <w:jc w:val="both"/>
        <w:rPr>
          <w:b/>
          <w:color w:val="000000" w:themeColor="text1"/>
        </w:rPr>
      </w:pPr>
      <w:r>
        <w:rPr>
          <w:color w:val="000000" w:themeColor="text1"/>
        </w:rPr>
        <w:t>Úrad na základe získaných poznatkov a z dôvodu dopytu jednotlivých prevádzkovateľov základnej služby z</w:t>
      </w:r>
      <w:r w:rsidRPr="00112027">
        <w:rPr>
          <w:color w:val="000000" w:themeColor="text1"/>
        </w:rPr>
        <w:t xml:space="preserve">avádza </w:t>
      </w:r>
      <w:r>
        <w:rPr>
          <w:color w:val="000000" w:themeColor="text1"/>
        </w:rPr>
        <w:t>inštitút</w:t>
      </w:r>
      <w:r w:rsidRPr="00112027">
        <w:rPr>
          <w:color w:val="000000" w:themeColor="text1"/>
        </w:rPr>
        <w:t xml:space="preserve"> automatizovan</w:t>
      </w:r>
      <w:r>
        <w:rPr>
          <w:color w:val="000000" w:themeColor="text1"/>
        </w:rPr>
        <w:t>ého</w:t>
      </w:r>
      <w:r w:rsidRPr="00112027">
        <w:rPr>
          <w:color w:val="000000" w:themeColor="text1"/>
        </w:rPr>
        <w:t xml:space="preserve"> zasiela</w:t>
      </w:r>
      <w:r>
        <w:rPr>
          <w:color w:val="000000" w:themeColor="text1"/>
        </w:rPr>
        <w:t>nia</w:t>
      </w:r>
      <w:r w:rsidRPr="00112027">
        <w:rPr>
          <w:color w:val="000000" w:themeColor="text1"/>
        </w:rPr>
        <w:t xml:space="preserve"> systémov</w:t>
      </w:r>
      <w:r>
        <w:rPr>
          <w:color w:val="000000" w:themeColor="text1"/>
        </w:rPr>
        <w:t>ých</w:t>
      </w:r>
      <w:r w:rsidRPr="00112027">
        <w:rPr>
          <w:color w:val="000000" w:themeColor="text1"/>
        </w:rPr>
        <w:t xml:space="preserve"> informácie zo sietí a informačných systémo</w:t>
      </w:r>
      <w:r>
        <w:rPr>
          <w:color w:val="000000" w:themeColor="text1"/>
        </w:rPr>
        <w:t>v</w:t>
      </w:r>
      <w:r w:rsidRPr="00112027">
        <w:rPr>
          <w:color w:val="000000" w:themeColor="text1"/>
        </w:rPr>
        <w:t xml:space="preserve">. </w:t>
      </w:r>
      <w:r>
        <w:rPr>
          <w:color w:val="000000" w:themeColor="text1"/>
        </w:rPr>
        <w:t xml:space="preserve">Ide o zasielanie takých údajov, ktoré sú potrebné pri riešení kybernetického bezpečnostného incidentu. Automatizované hlásenie sa realizuje na rozhraní siete Internet a siete prevádzkovateľa základnej služby, nezasahuje ani nezaznamenáva obsah správ alebo prenášaných údajov, ale vytvára bezpečnostný </w:t>
      </w:r>
      <w:proofErr w:type="spellStart"/>
      <w:r>
        <w:rPr>
          <w:color w:val="000000" w:themeColor="text1"/>
        </w:rPr>
        <w:t>perimeter</w:t>
      </w:r>
      <w:proofErr w:type="spellEnd"/>
      <w:r>
        <w:rPr>
          <w:color w:val="000000" w:themeColor="text1"/>
        </w:rPr>
        <w:t xml:space="preserve">., ktorý svojim účinkom napomáha prevádzkovateľovi základnej služby úspešne zaznamenať a riešiť kybernetický bezpečnostný incident. Na tento účel ustanovenie jasne vymedzuje, že nedotknuteľnosť tajomstva a osobných údajov zostáva zachovaná. Národný bezpečnostný úrad z tohto dôvodu pridal do svojich úloh aj povinnosť vypracovávať ročnú správu o dodržiavaní ochrany osobných údajov, ako jeden z nástrojov verejnej kontroly, aby nevznikali pochybnosti o účele a transparentnosti výkonu činností. </w:t>
      </w:r>
      <w:r w:rsidRPr="00112027">
        <w:rPr>
          <w:color w:val="000000" w:themeColor="text1"/>
        </w:rPr>
        <w:t>Zavedením tejto povinnosti sa zabezpečuje prenos všetkých relevantných informácií nevyhnutných pre rýchle, efektívne riešenie kybernetických bezpečnostných incidentov</w:t>
      </w:r>
      <w:r>
        <w:rPr>
          <w:color w:val="000000" w:themeColor="text1"/>
        </w:rPr>
        <w:t xml:space="preserve"> alebo ich hrozby</w:t>
      </w:r>
      <w:r w:rsidRPr="00112027">
        <w:rPr>
          <w:color w:val="000000" w:themeColor="text1"/>
        </w:rPr>
        <w:t xml:space="preserve">. </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sidRPr="00112027">
        <w:rPr>
          <w:b/>
          <w:color w:val="000000" w:themeColor="text1"/>
        </w:rPr>
        <w:t>K bodu 3</w:t>
      </w:r>
      <w:r>
        <w:rPr>
          <w:b/>
          <w:color w:val="000000" w:themeColor="text1"/>
        </w:rPr>
        <w:t>8</w:t>
      </w:r>
    </w:p>
    <w:p w:rsidR="00E3279A" w:rsidRDefault="00E3279A" w:rsidP="00E3279A">
      <w:pPr>
        <w:jc w:val="both"/>
        <w:rPr>
          <w:color w:val="000000" w:themeColor="text1"/>
        </w:rPr>
      </w:pPr>
      <w:r>
        <w:rPr>
          <w:color w:val="000000" w:themeColor="text1"/>
        </w:rPr>
        <w:t>K § 27a)</w:t>
      </w:r>
    </w:p>
    <w:p w:rsidR="00E3279A" w:rsidRPr="00112027" w:rsidRDefault="00E3279A" w:rsidP="00E3279A">
      <w:pPr>
        <w:jc w:val="both"/>
        <w:rPr>
          <w:color w:val="000000" w:themeColor="text1"/>
        </w:rPr>
      </w:pPr>
      <w:r w:rsidRPr="00112027">
        <w:rPr>
          <w:color w:val="000000" w:themeColor="text1"/>
        </w:rPr>
        <w:t xml:space="preserve">Ustanovenie zavádza oprávnenie úradu zakázať </w:t>
      </w:r>
      <w:r>
        <w:rPr>
          <w:color w:val="000000" w:themeColor="text1"/>
        </w:rPr>
        <w:t xml:space="preserve">alebo obmedziť </w:t>
      </w:r>
      <w:r w:rsidRPr="00112027">
        <w:rPr>
          <w:color w:val="000000" w:themeColor="text1"/>
        </w:rPr>
        <w:t>prevádzkovateľovi základnej služby využívať konkrétny produkt, proces alebo službu z dôvodu bezpečnostných záujmov štátu</w:t>
      </w:r>
      <w:r>
        <w:rPr>
          <w:color w:val="000000" w:themeColor="text1"/>
        </w:rPr>
        <w:t xml:space="preserve"> a z dôvodu závažných okolností predpokladaných zákonom. Ide o krajné riešenie v prípadoch, kedy absentujú iné zákonné možnosti zabezpečenia a realizácie kybernetickej bezpečnosti. Ustanovenie je pokračovaním implementácie EÚ </w:t>
      </w:r>
      <w:proofErr w:type="spellStart"/>
      <w:r>
        <w:rPr>
          <w:color w:val="000000" w:themeColor="text1"/>
        </w:rPr>
        <w:t>Toolbox</w:t>
      </w:r>
      <w:proofErr w:type="spellEnd"/>
      <w:r>
        <w:rPr>
          <w:color w:val="000000" w:themeColor="text1"/>
        </w:rPr>
        <w:t xml:space="preserve">. Platí, že obmedzenie alebo zákaz možno realizovať len na základe podrobnej analýzy rizík a len na základe vyjadrenia Bezpečnostnej rady Slovenskej republiky. </w:t>
      </w:r>
      <w:proofErr w:type="spellStart"/>
      <w:r>
        <w:rPr>
          <w:color w:val="000000" w:themeColor="text1"/>
        </w:rPr>
        <w:t>Dvojstupňovosť</w:t>
      </w:r>
      <w:proofErr w:type="spellEnd"/>
      <w:r>
        <w:rPr>
          <w:color w:val="000000" w:themeColor="text1"/>
        </w:rPr>
        <w:t xml:space="preserve"> sa zvádza z dôvodu predchádzania pochybnostiam o výkone takéhoto zásahu. Pre účely dodržania záväznosti takéhoto aktu sa konkrétne rozhodnutie zverejní v Zbierke zákonov Slovenskej republiky, pričom sa musí určiť aj primeraná doba na odstránenie nežiaduceho produktu a jeho nahradenie novým. Pred vydaním rozhodnutia na účely transparentnosti úrad zverejní začatie konania na svojom webovom sídle ako aj v jednotnom informačnom systéme kybernetickej bezpečnosti. Po zverejnení rozhodnutia je prevádzkovateľ základnej služby povinný zdržať sa používania konkrétneho produktu, procesu alebo služby alebo ich používať obmedzeným spôsobom v zmysle rozhodnutia.</w:t>
      </w:r>
    </w:p>
    <w:p w:rsidR="00E3279A" w:rsidRPr="00112027" w:rsidRDefault="00E3279A" w:rsidP="00E3279A">
      <w:pPr>
        <w:jc w:val="both"/>
        <w:rPr>
          <w:color w:val="000000" w:themeColor="text1"/>
        </w:rPr>
      </w:pPr>
    </w:p>
    <w:p w:rsidR="00E3279A" w:rsidRDefault="00E3279A" w:rsidP="00E3279A">
      <w:pPr>
        <w:jc w:val="both"/>
        <w:rPr>
          <w:color w:val="000000" w:themeColor="text1"/>
        </w:rPr>
      </w:pPr>
      <w:r>
        <w:rPr>
          <w:color w:val="000000" w:themeColor="text1"/>
        </w:rPr>
        <w:t xml:space="preserve">K § 27b) </w:t>
      </w:r>
    </w:p>
    <w:p w:rsidR="00E3279A" w:rsidRPr="00112027" w:rsidRDefault="00E3279A" w:rsidP="00E3279A">
      <w:pPr>
        <w:jc w:val="both"/>
        <w:rPr>
          <w:color w:val="000000" w:themeColor="text1"/>
        </w:rPr>
      </w:pPr>
      <w:r w:rsidRPr="00112027">
        <w:rPr>
          <w:color w:val="000000" w:themeColor="text1"/>
        </w:rPr>
        <w:t xml:space="preserve">V záujme zabezpečenia dôveryhodnosti služieb a aktivít poskytovaných prostredníctvom internetu a ochrany práv osôb zúčastňujúcich sa na týchto aktivitách, ako aj ochrany konečného užívateľa týchto služieb bola vznesená spoločenská požiadavka efektívneho zamedzovania škodlivých aktivít alebo škodlivého obsahu na internete. Škodlivých aktivít na internete z roka na rok pribúda. Zároveň rastie </w:t>
      </w:r>
      <w:proofErr w:type="spellStart"/>
      <w:r w:rsidRPr="00112027">
        <w:rPr>
          <w:color w:val="000000" w:themeColor="text1"/>
        </w:rPr>
        <w:t>sofistikovanosť</w:t>
      </w:r>
      <w:proofErr w:type="spellEnd"/>
      <w:r w:rsidRPr="00112027">
        <w:rPr>
          <w:color w:val="000000" w:themeColor="text1"/>
        </w:rPr>
        <w:t xml:space="preserve"> útokov a s neustále prebiehajúcou informatizáciou spoločnosti aj riziká spojené s úspešne vykonanými útokmi. Reakcie na rôzne </w:t>
      </w:r>
      <w:r w:rsidRPr="00112027">
        <w:rPr>
          <w:color w:val="000000" w:themeColor="text1"/>
        </w:rPr>
        <w:lastRenderedPageBreak/>
        <w:t xml:space="preserve">typy škodlivých aktivít spadajú do kompetencie rôznych štátnych orgánov. Množstvo útokov je vykonávaných buď plošne (napr. </w:t>
      </w:r>
      <w:proofErr w:type="spellStart"/>
      <w:r w:rsidRPr="00112027">
        <w:rPr>
          <w:color w:val="000000" w:themeColor="text1"/>
        </w:rPr>
        <w:t>phishingové</w:t>
      </w:r>
      <w:proofErr w:type="spellEnd"/>
      <w:r w:rsidRPr="00112027">
        <w:rPr>
          <w:color w:val="000000" w:themeColor="text1"/>
        </w:rPr>
        <w:t xml:space="preserve"> kampane lákajúce veľké množstvo používateľov kliknúť na rozoslaný </w:t>
      </w:r>
      <w:proofErr w:type="spellStart"/>
      <w:r w:rsidRPr="00112027">
        <w:rPr>
          <w:color w:val="000000" w:themeColor="text1"/>
        </w:rPr>
        <w:t>link</w:t>
      </w:r>
      <w:proofErr w:type="spellEnd"/>
      <w:r w:rsidRPr="00112027">
        <w:rPr>
          <w:color w:val="000000" w:themeColor="text1"/>
        </w:rPr>
        <w:t xml:space="preserve">), alebo na svoju činnosť využíva identifikovateľný škodlivý obsah alebo sieťovú infraštruktúru (napr. riadiace servery </w:t>
      </w:r>
      <w:proofErr w:type="spellStart"/>
      <w:r w:rsidRPr="00112027">
        <w:rPr>
          <w:color w:val="000000" w:themeColor="text1"/>
        </w:rPr>
        <w:t>botnet</w:t>
      </w:r>
      <w:proofErr w:type="spellEnd"/>
      <w:r w:rsidRPr="00112027">
        <w:rPr>
          <w:color w:val="000000" w:themeColor="text1"/>
        </w:rPr>
        <w:t xml:space="preserve"> sietí, DNS servery k nim smerujúce, zariadenia vykonávajúce DDOS útoky a pod.). Z tohto dôvodu mnohé krajiny zavádzajú legislatívne podmienky a technické prostriedky na blokovanie nežiadúceho obsahu, IP adries, domén, URL, súborov a podobne. Úrad na túto potrebu adekvátne reaguje a svoje odborné schopnosti a kompetencie, ktoré využíva pri riešení kybernetických bezpečnostných incidentov primerane aplikuje aj na iné škodlivé aktivity na internete. Blokovanie infikovaných domén a IP adries je nutné považovať za reaktívne opatrenie vedúce k zamedzeniu prístupu k škodlivému obsahu. Dôvody, prečo využiť tento prostriedok, je možné zhrnúť do niekoľkých bodov:</w:t>
      </w:r>
    </w:p>
    <w:p w:rsidR="00E3279A" w:rsidRPr="00112027" w:rsidRDefault="00E3279A" w:rsidP="00E3279A">
      <w:pPr>
        <w:pStyle w:val="Odsekzoznamu"/>
        <w:numPr>
          <w:ilvl w:val="0"/>
          <w:numId w:val="6"/>
        </w:numPr>
        <w:spacing w:line="240" w:lineRule="auto"/>
        <w:jc w:val="both"/>
        <w:rPr>
          <w:rFonts w:ascii="Times New Roman" w:hAnsi="Times New Roman" w:cs="Times New Roman"/>
          <w:color w:val="000000" w:themeColor="text1"/>
          <w:sz w:val="24"/>
          <w:szCs w:val="24"/>
        </w:rPr>
      </w:pPr>
      <w:r w:rsidRPr="00112027">
        <w:rPr>
          <w:rFonts w:ascii="Times New Roman" w:hAnsi="Times New Roman" w:cs="Times New Roman"/>
          <w:color w:val="000000" w:themeColor="text1"/>
          <w:sz w:val="24"/>
          <w:szCs w:val="24"/>
        </w:rPr>
        <w:t>Ochrana používateľov napadnutých služieb a nevedomých používateľov podvodných služieb - ak je na šírenie škodlivého obsahu, vylákanie údajov alebo na ilegálne aktivity zneužitá legitímna doména alebo služba; zablokovanie obsahu alebo konkrétneho URL zabezpečí ochranu používateľov, ktorí túto službu alebo doménu využívajú.</w:t>
      </w:r>
    </w:p>
    <w:p w:rsidR="00E3279A" w:rsidRPr="00112027" w:rsidRDefault="00E3279A" w:rsidP="00E3279A">
      <w:pPr>
        <w:pStyle w:val="Odsekzoznamu"/>
        <w:numPr>
          <w:ilvl w:val="0"/>
          <w:numId w:val="6"/>
        </w:numPr>
        <w:spacing w:line="240" w:lineRule="auto"/>
        <w:jc w:val="both"/>
        <w:rPr>
          <w:rFonts w:ascii="Times New Roman" w:hAnsi="Times New Roman" w:cs="Times New Roman"/>
          <w:color w:val="000000" w:themeColor="text1"/>
          <w:sz w:val="24"/>
          <w:szCs w:val="24"/>
        </w:rPr>
      </w:pPr>
      <w:r w:rsidRPr="00112027">
        <w:rPr>
          <w:rFonts w:ascii="Times New Roman" w:hAnsi="Times New Roman" w:cs="Times New Roman"/>
          <w:color w:val="000000" w:themeColor="text1"/>
          <w:sz w:val="24"/>
          <w:szCs w:val="24"/>
        </w:rPr>
        <w:t xml:space="preserve">Zmiernenie alebo zamedzenie škodlivých následkov - blokovaním domén a IP adries so škodlivým obsahom či </w:t>
      </w:r>
      <w:proofErr w:type="spellStart"/>
      <w:r w:rsidRPr="00112027">
        <w:rPr>
          <w:rFonts w:ascii="Times New Roman" w:hAnsi="Times New Roman" w:cs="Times New Roman"/>
          <w:color w:val="000000" w:themeColor="text1"/>
          <w:sz w:val="24"/>
          <w:szCs w:val="24"/>
        </w:rPr>
        <w:t>phishingom</w:t>
      </w:r>
      <w:proofErr w:type="spellEnd"/>
      <w:r w:rsidRPr="00112027">
        <w:rPr>
          <w:rFonts w:ascii="Times New Roman" w:hAnsi="Times New Roman" w:cs="Times New Roman"/>
          <w:color w:val="000000" w:themeColor="text1"/>
          <w:sz w:val="24"/>
          <w:szCs w:val="24"/>
        </w:rPr>
        <w:t xml:space="preserve"> je takisto možné dosiahnuť zmiernenie následkov v podobe menšieho dopadu na potenciálne obete, resp. zasiahnutých používateľov. Rovnako aj včasným blokovaním možno zabezpečiť úplné zamedzenie škodlivých následkov, pretože nemusí dôjsť napríklad k stiahnutiu škodlivého obsahu alebo k dokončeniu všetkých fáz </w:t>
      </w:r>
      <w:proofErr w:type="spellStart"/>
      <w:r w:rsidRPr="00112027">
        <w:rPr>
          <w:rFonts w:ascii="Times New Roman" w:hAnsi="Times New Roman" w:cs="Times New Roman"/>
          <w:color w:val="000000" w:themeColor="text1"/>
          <w:sz w:val="24"/>
          <w:szCs w:val="24"/>
        </w:rPr>
        <w:t>phishingovej</w:t>
      </w:r>
      <w:proofErr w:type="spellEnd"/>
      <w:r w:rsidRPr="00112027">
        <w:rPr>
          <w:rFonts w:ascii="Times New Roman" w:hAnsi="Times New Roman" w:cs="Times New Roman"/>
          <w:color w:val="000000" w:themeColor="text1"/>
          <w:sz w:val="24"/>
          <w:szCs w:val="24"/>
        </w:rPr>
        <w:t xml:space="preserve"> kampane.</w:t>
      </w:r>
    </w:p>
    <w:p w:rsidR="00E3279A" w:rsidRPr="00112027" w:rsidRDefault="00E3279A" w:rsidP="00E3279A">
      <w:pPr>
        <w:pStyle w:val="Odsekzoznamu"/>
        <w:numPr>
          <w:ilvl w:val="0"/>
          <w:numId w:val="6"/>
        </w:numPr>
        <w:spacing w:after="0" w:line="240" w:lineRule="auto"/>
        <w:jc w:val="both"/>
        <w:rPr>
          <w:rFonts w:ascii="Times New Roman" w:hAnsi="Times New Roman" w:cs="Times New Roman"/>
          <w:color w:val="000000" w:themeColor="text1"/>
          <w:sz w:val="24"/>
          <w:szCs w:val="24"/>
        </w:rPr>
      </w:pPr>
      <w:r w:rsidRPr="00112027">
        <w:rPr>
          <w:rFonts w:ascii="Times New Roman" w:hAnsi="Times New Roman" w:cs="Times New Roman"/>
          <w:color w:val="000000" w:themeColor="text1"/>
          <w:sz w:val="24"/>
          <w:szCs w:val="24"/>
        </w:rPr>
        <w:t xml:space="preserve">Zastavenie šírenia škodlivého obsahu - v tomto bode ide najmä o šírenie </w:t>
      </w:r>
      <w:proofErr w:type="spellStart"/>
      <w:r w:rsidRPr="00112027">
        <w:rPr>
          <w:rFonts w:ascii="Times New Roman" w:hAnsi="Times New Roman" w:cs="Times New Roman"/>
          <w:color w:val="000000" w:themeColor="text1"/>
          <w:sz w:val="24"/>
          <w:szCs w:val="24"/>
        </w:rPr>
        <w:t>malvéru</w:t>
      </w:r>
      <w:proofErr w:type="spellEnd"/>
      <w:r w:rsidRPr="00112027">
        <w:rPr>
          <w:rFonts w:ascii="Times New Roman" w:hAnsi="Times New Roman" w:cs="Times New Roman"/>
          <w:color w:val="000000" w:themeColor="text1"/>
          <w:sz w:val="24"/>
          <w:szCs w:val="24"/>
        </w:rPr>
        <w:t xml:space="preserve">, existenciu riadiacich serverov pre </w:t>
      </w:r>
      <w:proofErr w:type="spellStart"/>
      <w:r w:rsidRPr="00112027">
        <w:rPr>
          <w:rFonts w:ascii="Times New Roman" w:hAnsi="Times New Roman" w:cs="Times New Roman"/>
          <w:color w:val="000000" w:themeColor="text1"/>
          <w:sz w:val="24"/>
          <w:szCs w:val="24"/>
        </w:rPr>
        <w:t>botnety</w:t>
      </w:r>
      <w:proofErr w:type="spellEnd"/>
      <w:r w:rsidRPr="00112027">
        <w:rPr>
          <w:rFonts w:ascii="Times New Roman" w:hAnsi="Times New Roman" w:cs="Times New Roman"/>
          <w:color w:val="000000" w:themeColor="text1"/>
          <w:sz w:val="24"/>
          <w:szCs w:val="24"/>
        </w:rPr>
        <w:t xml:space="preserve">, </w:t>
      </w:r>
      <w:proofErr w:type="spellStart"/>
      <w:r w:rsidRPr="00112027">
        <w:rPr>
          <w:rFonts w:ascii="Times New Roman" w:hAnsi="Times New Roman" w:cs="Times New Roman"/>
          <w:color w:val="000000" w:themeColor="text1"/>
          <w:sz w:val="24"/>
          <w:szCs w:val="24"/>
        </w:rPr>
        <w:t>phishingové</w:t>
      </w:r>
      <w:proofErr w:type="spellEnd"/>
      <w:r w:rsidRPr="00112027">
        <w:rPr>
          <w:rFonts w:ascii="Times New Roman" w:hAnsi="Times New Roman" w:cs="Times New Roman"/>
          <w:color w:val="000000" w:themeColor="text1"/>
          <w:sz w:val="24"/>
          <w:szCs w:val="24"/>
        </w:rPr>
        <w:t xml:space="preserve"> stránky a pod. Domény a IP adresy s takýmto obsahom sú využívané útočníkmi na nelegitímne ciele a ich blokovanie bráni ďalšiemu šíreniu takéhoto škodlivého obsahu.</w:t>
      </w:r>
    </w:p>
    <w:p w:rsidR="00E3279A" w:rsidRPr="00112027" w:rsidRDefault="00E3279A" w:rsidP="00E3279A">
      <w:pPr>
        <w:jc w:val="both"/>
        <w:rPr>
          <w:color w:val="000000" w:themeColor="text1"/>
        </w:rPr>
      </w:pPr>
    </w:p>
    <w:p w:rsidR="00E3279A" w:rsidRDefault="00E3279A" w:rsidP="00E3279A">
      <w:pPr>
        <w:jc w:val="both"/>
        <w:rPr>
          <w:color w:val="000000" w:themeColor="text1"/>
        </w:rPr>
      </w:pPr>
      <w:r w:rsidRPr="00112027">
        <w:rPr>
          <w:color w:val="000000" w:themeColor="text1"/>
        </w:rPr>
        <w:t>Navrhované ustanovenie upravuje, že úrad vykonáva blokovanie v rámci riešenia kybernetického bezpečnostného incidentu</w:t>
      </w:r>
      <w:r>
        <w:rPr>
          <w:color w:val="000000" w:themeColor="text1"/>
        </w:rPr>
        <w:t>.</w:t>
      </w:r>
      <w:r w:rsidRPr="00112027">
        <w:rPr>
          <w:color w:val="000000" w:themeColor="text1"/>
        </w:rPr>
        <w:t xml:space="preserve"> V rámci riešenia kybernetického bezpečnostného incidentu vydá úrad rozhodnutie o blokovaní, v ktorom určí metódu (spôsob) blokovania a blokovanie vykoná. </w:t>
      </w:r>
      <w:r>
        <w:rPr>
          <w:color w:val="000000" w:themeColor="text1"/>
        </w:rPr>
        <w:t>Spôsob blokovania musí vychádzať z metód uvedených vo všeobecne záväznom právnom predpise, ktorý vydá úrad.</w:t>
      </w:r>
    </w:p>
    <w:p w:rsidR="00E3279A" w:rsidRDefault="00E3279A" w:rsidP="00E3279A">
      <w:pPr>
        <w:jc w:val="both"/>
        <w:rPr>
          <w:color w:val="000000" w:themeColor="text1"/>
        </w:rPr>
      </w:pPr>
      <w:r>
        <w:rPr>
          <w:color w:val="000000" w:themeColor="text1"/>
        </w:rPr>
        <w:t>Samozrejme, ide o krajný prostriedok, nástroj, ktorý predstavuje zásah do práv subjektov, ale zároveň predstavuje aj riešenie kybernetického bezpečnostného incidentu v prípade, kedy sú iné nástroje neúčinné a protiprávna, resp. škodlivá aktivita naďalej pokračuje a ohrozuje konečného užívateľa. Zodpovednosť  za prípadnú škodu znáša úrad.</w:t>
      </w:r>
    </w:p>
    <w:p w:rsidR="00E3279A" w:rsidRDefault="00E3279A" w:rsidP="00E3279A">
      <w:pPr>
        <w:jc w:val="both"/>
        <w:rPr>
          <w:color w:val="000000" w:themeColor="text1"/>
        </w:rPr>
      </w:pPr>
    </w:p>
    <w:p w:rsidR="00E3279A" w:rsidRDefault="00E3279A" w:rsidP="00E3279A">
      <w:pPr>
        <w:jc w:val="both"/>
        <w:rPr>
          <w:color w:val="000000" w:themeColor="text1"/>
        </w:rPr>
      </w:pPr>
      <w:r w:rsidRPr="005D5E21">
        <w:rPr>
          <w:color w:val="000000" w:themeColor="text1"/>
        </w:rPr>
        <w:t xml:space="preserve">Účelom ustanovenie je </w:t>
      </w:r>
      <w:r>
        <w:rPr>
          <w:color w:val="000000" w:themeColor="text1"/>
        </w:rPr>
        <w:t xml:space="preserve">teda </w:t>
      </w:r>
      <w:r w:rsidRPr="005D5E21">
        <w:rPr>
          <w:color w:val="000000" w:themeColor="text1"/>
        </w:rPr>
        <w:t>v konečno</w:t>
      </w:r>
      <w:r>
        <w:rPr>
          <w:color w:val="000000" w:themeColor="text1"/>
        </w:rPr>
        <w:t>m</w:t>
      </w:r>
      <w:r w:rsidRPr="005D5E21">
        <w:rPr>
          <w:color w:val="000000" w:themeColor="text1"/>
        </w:rPr>
        <w:t xml:space="preserve"> dôsledku výšenie obranyschopnosti Slovenskej republiky voči kybernetickým útokom na významné informačné systémy z externého prostredia (internetu), najmä voči šíreniu škodlivého kódu zo sietí infikovaných počítačov a šíreniu škodlivej aktivity z IP adresného rozsahu SR.</w:t>
      </w:r>
    </w:p>
    <w:p w:rsidR="00E3279A" w:rsidRDefault="00E3279A" w:rsidP="00E3279A">
      <w:pPr>
        <w:jc w:val="both"/>
        <w:rPr>
          <w:color w:val="000000" w:themeColor="text1"/>
        </w:rPr>
      </w:pPr>
    </w:p>
    <w:p w:rsidR="00E3279A" w:rsidRDefault="00E3279A" w:rsidP="00E3279A">
      <w:pPr>
        <w:jc w:val="both"/>
        <w:rPr>
          <w:color w:val="000000" w:themeColor="text1"/>
        </w:rPr>
      </w:pPr>
      <w:r w:rsidRPr="00112027">
        <w:rPr>
          <w:color w:val="000000" w:themeColor="text1"/>
        </w:rPr>
        <w:t>Rozhodnutiu úradu o blokovaní sa musí každý povinný subjekt podriadiť. Keďže ide o zásahy na rôznych úrovniach regulácie, úrad pri takomto zásahu môže požadovať súčinnosť rôznych zainteresovaných subjektov. Zmyslom je, aby blokovanie bolo vykonané s ohľadom na spojené riziká, aby bolo účelné, efektívne a zmysluplné.</w:t>
      </w:r>
    </w:p>
    <w:p w:rsidR="00E3279A" w:rsidRDefault="00E3279A" w:rsidP="00E3279A">
      <w:pPr>
        <w:jc w:val="both"/>
        <w:rPr>
          <w:color w:val="000000" w:themeColor="text1"/>
        </w:rPr>
      </w:pPr>
    </w:p>
    <w:p w:rsidR="00E3279A" w:rsidRDefault="00E3279A" w:rsidP="00E3279A">
      <w:pPr>
        <w:jc w:val="both"/>
        <w:rPr>
          <w:color w:val="000000" w:themeColor="text1"/>
        </w:rPr>
      </w:pPr>
      <w:r>
        <w:rPr>
          <w:color w:val="000000" w:themeColor="text1"/>
        </w:rPr>
        <w:t xml:space="preserve">K § 27c) </w:t>
      </w:r>
    </w:p>
    <w:p w:rsidR="00E3279A" w:rsidRPr="00112027" w:rsidRDefault="00E3279A" w:rsidP="00E3279A">
      <w:pPr>
        <w:jc w:val="both"/>
        <w:rPr>
          <w:color w:val="000000" w:themeColor="text1"/>
        </w:rPr>
      </w:pPr>
      <w:r>
        <w:rPr>
          <w:color w:val="000000" w:themeColor="text1"/>
        </w:rPr>
        <w:t xml:space="preserve">V nadväznosti na predchádzajúci paragraf sa ustanovuje možnosť vykonať blokovanie aj na základe žiadosti iného subjektu. Takouto žiadosťou sa rozumie vykonateľné rozhodnutie </w:t>
      </w:r>
      <w:r>
        <w:rPr>
          <w:color w:val="000000" w:themeColor="text1"/>
        </w:rPr>
        <w:lastRenderedPageBreak/>
        <w:t>konkrétneho oprávneného subjektu podľa osobitných predpisov. Úrad v tomto prípade toto rozhodnutie vykoná s náležitou odbornosťou</w:t>
      </w:r>
      <w:r w:rsidRPr="00112027">
        <w:rPr>
          <w:color w:val="000000" w:themeColor="text1"/>
        </w:rPr>
        <w:t xml:space="preserve">. Zákon dáva každému takémuto subjektu možnosť požiadať úrad o spoluprácu ešte pred vydaním svojho rozhodnutia, čím je možné predchádzať technicky nerealizovateľným rozhodnutiam či neprimeraným zásahom. </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sidRPr="00112027">
        <w:rPr>
          <w:b/>
          <w:color w:val="000000" w:themeColor="text1"/>
        </w:rPr>
        <w:t>K</w:t>
      </w:r>
      <w:r>
        <w:rPr>
          <w:b/>
          <w:color w:val="000000" w:themeColor="text1"/>
        </w:rPr>
        <w:t> </w:t>
      </w:r>
      <w:r w:rsidRPr="00112027">
        <w:rPr>
          <w:b/>
          <w:color w:val="000000" w:themeColor="text1"/>
        </w:rPr>
        <w:t>bodu</w:t>
      </w:r>
      <w:r>
        <w:rPr>
          <w:b/>
          <w:color w:val="000000" w:themeColor="text1"/>
        </w:rPr>
        <w:t xml:space="preserve"> 39</w:t>
      </w:r>
    </w:p>
    <w:p w:rsidR="00E3279A" w:rsidRPr="00112027" w:rsidRDefault="00E3279A" w:rsidP="00E3279A">
      <w:pPr>
        <w:jc w:val="both"/>
        <w:rPr>
          <w:color w:val="000000" w:themeColor="text1"/>
        </w:rPr>
      </w:pPr>
      <w:r w:rsidRPr="00112027">
        <w:rPr>
          <w:color w:val="000000" w:themeColor="text1"/>
        </w:rPr>
        <w:t xml:space="preserve">V predmetnom ustanovení § 28 ods. 1 pri výkone kontrolnej činnosti je žiadúce uplatňovať všetky príslušné ustanovenia podľa zákona Národnej rady Slovenskej republiky č. 10/1996 Z. z. o kontrole v štátnej správe v znení neskorších predpisov, ako napr. uloženie poriadkovej pokuty.  </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sidRPr="00112027">
        <w:rPr>
          <w:b/>
          <w:color w:val="000000" w:themeColor="text1"/>
        </w:rPr>
        <w:t xml:space="preserve">K bodu </w:t>
      </w:r>
      <w:r>
        <w:rPr>
          <w:b/>
          <w:color w:val="000000" w:themeColor="text1"/>
        </w:rPr>
        <w:t>40 a 41</w:t>
      </w:r>
    </w:p>
    <w:p w:rsidR="00E3279A" w:rsidRPr="00112027" w:rsidRDefault="00E3279A" w:rsidP="00E3279A">
      <w:pPr>
        <w:jc w:val="both"/>
        <w:rPr>
          <w:color w:val="000000" w:themeColor="text1"/>
        </w:rPr>
      </w:pPr>
      <w:r w:rsidRPr="00112027">
        <w:rPr>
          <w:color w:val="000000" w:themeColor="text1"/>
        </w:rPr>
        <w:t xml:space="preserve">Certifikovať (t. j. posudzovať zhodu) v súvislosti s formálne stanovenými požiadavkami na znalosti je logicky možné iba pre fyzickú osobu, nie však pre právnickú osobu. Ak by sa mali certifikovať spôsobilosti právnickej osoby, táto by v konečnom dôsledku musela preukázať pred vykonaním každého auditu, že disponuje audítormi, ktorí spĺňajú príslušné znalostné štandardy. Preto certifikačná schéma pre audit v súlade so zákonom č. 69/2018 Z. z. v znení neskorších predpisov je navrhnutá podľa normy STN EN ISO/IEC 17024:2013 Posudzovanie zhody - Všeobecné požiadavky na orgány vykonávajúce certifikáciu osôb. Z uvedených skutočností vyplýva, že audítorom kybernetickej bezpečnosti môže byť len fyzická osoba, spôsobilosti ktorej boli certifikované akreditovaným orgánom posudzovania zhody. Pritom spôsobilosti audítora kybernetickej bezpečnosti sú stanovené v prílohe č. 1 vyhláške č. 436/2019 Z. z. Znalostný štandard audítora sa overuje skúškou. Nie je vylúčené, aby prevádzkovateľ základnej služby zabezpečil vykonanie auditu u niektorej právnickej osoby, ak budú kumulatívne splnené podmienky, že audit kybernetickej bezpečnosti vykoná audítor certifikovaný akreditovaným certifikačným orgánom certifikujúcim osoby príslušným pre certifikáciu personálu v oblasti kybernetickej bezpečnosti podľa ISO/IEC 17024 </w:t>
      </w:r>
      <w:proofErr w:type="spellStart"/>
      <w:r w:rsidRPr="00112027">
        <w:rPr>
          <w:color w:val="000000" w:themeColor="text1"/>
        </w:rPr>
        <w:t>Personnel</w:t>
      </w:r>
      <w:proofErr w:type="spellEnd"/>
      <w:r w:rsidRPr="00112027">
        <w:rPr>
          <w:color w:val="000000" w:themeColor="text1"/>
        </w:rPr>
        <w:t xml:space="preserve"> </w:t>
      </w:r>
      <w:proofErr w:type="spellStart"/>
      <w:r w:rsidRPr="00112027">
        <w:rPr>
          <w:color w:val="000000" w:themeColor="text1"/>
        </w:rPr>
        <w:t>Certification</w:t>
      </w:r>
      <w:proofErr w:type="spellEnd"/>
      <w:r w:rsidRPr="00112027">
        <w:rPr>
          <w:color w:val="000000" w:themeColor="text1"/>
        </w:rPr>
        <w:t xml:space="preserve"> - </w:t>
      </w:r>
      <w:proofErr w:type="spellStart"/>
      <w:r w:rsidRPr="00112027">
        <w:rPr>
          <w:color w:val="000000" w:themeColor="text1"/>
        </w:rPr>
        <w:t>Documents</w:t>
      </w:r>
      <w:proofErr w:type="spellEnd"/>
      <w:r w:rsidRPr="00112027">
        <w:rPr>
          <w:color w:val="000000" w:themeColor="text1"/>
        </w:rPr>
        <w:t xml:space="preserve"> and </w:t>
      </w:r>
      <w:proofErr w:type="spellStart"/>
      <w:r w:rsidRPr="00112027">
        <w:rPr>
          <w:color w:val="000000" w:themeColor="text1"/>
        </w:rPr>
        <w:t>Resources</w:t>
      </w:r>
      <w:proofErr w:type="spellEnd"/>
      <w:r w:rsidRPr="00112027">
        <w:rPr>
          <w:color w:val="000000" w:themeColor="text1"/>
        </w:rPr>
        <w:t xml:space="preserve"> a zároveň tento audítor spĺňa podmienky uvedené v znalostnom štandarde audítora.</w:t>
      </w:r>
    </w:p>
    <w:p w:rsidR="00E3279A" w:rsidRPr="00112027" w:rsidRDefault="00E3279A" w:rsidP="00E3279A">
      <w:pPr>
        <w:jc w:val="both"/>
        <w:rPr>
          <w:b/>
          <w:color w:val="000000" w:themeColor="text1"/>
        </w:rPr>
      </w:pPr>
    </w:p>
    <w:p w:rsidR="00E3279A" w:rsidRPr="00112027" w:rsidRDefault="00E3279A" w:rsidP="00E3279A">
      <w:pPr>
        <w:jc w:val="both"/>
        <w:rPr>
          <w:b/>
          <w:color w:val="000000" w:themeColor="text1"/>
        </w:rPr>
      </w:pPr>
      <w:r w:rsidRPr="00112027">
        <w:rPr>
          <w:b/>
          <w:color w:val="000000" w:themeColor="text1"/>
        </w:rPr>
        <w:t xml:space="preserve">K bodu </w:t>
      </w:r>
      <w:r>
        <w:rPr>
          <w:b/>
          <w:color w:val="000000" w:themeColor="text1"/>
        </w:rPr>
        <w:t>42</w:t>
      </w:r>
    </w:p>
    <w:p w:rsidR="00E3279A" w:rsidRPr="00112027" w:rsidRDefault="00E3279A" w:rsidP="00E3279A">
      <w:pPr>
        <w:jc w:val="both"/>
        <w:rPr>
          <w:color w:val="000000" w:themeColor="text1"/>
        </w:rPr>
      </w:pPr>
      <w:r w:rsidRPr="00112027">
        <w:rPr>
          <w:color w:val="000000" w:themeColor="text1"/>
        </w:rPr>
        <w:t>V § 29 ods. 4 sa navrhuje zabezpečenie</w:t>
      </w:r>
      <w:r w:rsidRPr="00112027">
        <w:rPr>
          <w:iCs/>
          <w:color w:val="000000" w:themeColor="text1"/>
        </w:rPr>
        <w:t xml:space="preserve"> auditu kybernetickej bezpečnosti právnickou osobou označiť </w:t>
      </w:r>
      <w:r w:rsidRPr="00112027">
        <w:rPr>
          <w:color w:val="000000" w:themeColor="text1"/>
        </w:rPr>
        <w:t xml:space="preserve">ako podnikanie podľa Obchodného zákonníka.  Uvedená úprava má za cieľ spresniť, že ide o zárobkovú činnosť a zároveň umožní audítorom (vystupujúcim v mene právnickej osoby)  zrealizovať zápis činnosti do predmetu podnikateľskej činnosti, resp. získanie identifikačného čísla Štatistickým úradom Slovenskej republiky. Ustanovenie upravuje </w:t>
      </w:r>
      <w:r w:rsidRPr="00112027">
        <w:rPr>
          <w:iCs/>
          <w:color w:val="000000" w:themeColor="text1"/>
        </w:rPr>
        <w:t>zodpovednosť právnickej osoby za škodu spôsobenú pri výkone auditu kybernetickej bezpečnosti.</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sidRPr="00112027">
        <w:rPr>
          <w:b/>
          <w:color w:val="000000" w:themeColor="text1"/>
        </w:rPr>
        <w:t xml:space="preserve">K bodu </w:t>
      </w:r>
      <w:r>
        <w:rPr>
          <w:b/>
          <w:color w:val="000000" w:themeColor="text1"/>
        </w:rPr>
        <w:t>43</w:t>
      </w:r>
    </w:p>
    <w:p w:rsidR="00E3279A" w:rsidRPr="00112027" w:rsidRDefault="00E3279A" w:rsidP="00E3279A">
      <w:pPr>
        <w:jc w:val="both"/>
        <w:rPr>
          <w:color w:val="000000" w:themeColor="text1"/>
        </w:rPr>
      </w:pPr>
      <w:r w:rsidRPr="00112027">
        <w:rPr>
          <w:color w:val="000000" w:themeColor="text1"/>
        </w:rPr>
        <w:t>Zmena navrhovaná v § 29 ods. 6 reaguje na požiadavky aplikačnej praxe s odôvodnením potreby zmeny názvoslovia „orgán posudzovania zhody“ z dôvodu vyššej miery zrozumiteľnosti a špecifikácie konkrétneho subjektu vykonávajúceho audit.</w:t>
      </w:r>
    </w:p>
    <w:p w:rsidR="00E3279A" w:rsidRPr="00112027" w:rsidRDefault="00E3279A" w:rsidP="00E3279A">
      <w:pPr>
        <w:jc w:val="both"/>
        <w:rPr>
          <w:b/>
          <w:i/>
          <w:color w:val="000000" w:themeColor="text1"/>
        </w:rPr>
      </w:pPr>
    </w:p>
    <w:p w:rsidR="00E3279A" w:rsidRPr="00112027" w:rsidRDefault="00E3279A" w:rsidP="00E3279A">
      <w:pPr>
        <w:jc w:val="both"/>
        <w:rPr>
          <w:b/>
          <w:color w:val="000000" w:themeColor="text1"/>
        </w:rPr>
      </w:pPr>
      <w:r w:rsidRPr="00112027">
        <w:rPr>
          <w:b/>
          <w:color w:val="000000" w:themeColor="text1"/>
        </w:rPr>
        <w:t xml:space="preserve">K bodu </w:t>
      </w:r>
      <w:r>
        <w:rPr>
          <w:b/>
          <w:color w:val="000000" w:themeColor="text1"/>
        </w:rPr>
        <w:t>44 a 46</w:t>
      </w:r>
    </w:p>
    <w:p w:rsidR="00E3279A" w:rsidRPr="00112027" w:rsidRDefault="00E3279A" w:rsidP="00E3279A">
      <w:pPr>
        <w:jc w:val="both"/>
        <w:rPr>
          <w:color w:val="000000" w:themeColor="text1"/>
        </w:rPr>
      </w:pPr>
      <w:r>
        <w:rPr>
          <w:color w:val="000000" w:themeColor="text1"/>
        </w:rPr>
        <w:t>Legislatívno-technická úprava.</w:t>
      </w:r>
    </w:p>
    <w:p w:rsidR="00E3279A" w:rsidRPr="00112027" w:rsidRDefault="00E3279A" w:rsidP="00E3279A">
      <w:pPr>
        <w:jc w:val="both"/>
        <w:rPr>
          <w:b/>
          <w:color w:val="000000" w:themeColor="text1"/>
        </w:rPr>
      </w:pPr>
    </w:p>
    <w:p w:rsidR="00E3279A" w:rsidRPr="00112027" w:rsidRDefault="00E3279A" w:rsidP="00E3279A">
      <w:pPr>
        <w:jc w:val="both"/>
        <w:rPr>
          <w:b/>
          <w:color w:val="000000" w:themeColor="text1"/>
        </w:rPr>
      </w:pPr>
      <w:r w:rsidRPr="00112027">
        <w:rPr>
          <w:b/>
          <w:color w:val="000000" w:themeColor="text1"/>
        </w:rPr>
        <w:t>K bod</w:t>
      </w:r>
      <w:r>
        <w:rPr>
          <w:b/>
          <w:color w:val="000000" w:themeColor="text1"/>
        </w:rPr>
        <w:t>om</w:t>
      </w:r>
      <w:r w:rsidRPr="00112027">
        <w:rPr>
          <w:b/>
          <w:color w:val="000000" w:themeColor="text1"/>
        </w:rPr>
        <w:t xml:space="preserve"> </w:t>
      </w:r>
      <w:r>
        <w:rPr>
          <w:b/>
          <w:color w:val="000000" w:themeColor="text1"/>
        </w:rPr>
        <w:t>45, 47 až 49</w:t>
      </w:r>
    </w:p>
    <w:p w:rsidR="00E3279A" w:rsidRDefault="00E3279A" w:rsidP="00E3279A">
      <w:pPr>
        <w:jc w:val="both"/>
        <w:rPr>
          <w:color w:val="000000" w:themeColor="text1"/>
        </w:rPr>
      </w:pPr>
      <w:r w:rsidRPr="00112027">
        <w:rPr>
          <w:color w:val="000000" w:themeColor="text1"/>
        </w:rPr>
        <w:t>Ide o doplnenie sankcií v súvislosti s povinnosť</w:t>
      </w:r>
      <w:r>
        <w:rPr>
          <w:color w:val="000000" w:themeColor="text1"/>
        </w:rPr>
        <w:t>ami</w:t>
      </w:r>
      <w:r w:rsidRPr="00112027">
        <w:rPr>
          <w:color w:val="000000" w:themeColor="text1"/>
        </w:rPr>
        <w:t>.</w:t>
      </w:r>
    </w:p>
    <w:p w:rsidR="00E3279A" w:rsidRPr="00112027" w:rsidRDefault="00E3279A" w:rsidP="00E3279A">
      <w:pPr>
        <w:jc w:val="both"/>
        <w:rPr>
          <w:color w:val="000000" w:themeColor="text1"/>
        </w:rPr>
      </w:pPr>
    </w:p>
    <w:p w:rsidR="00E3279A" w:rsidRDefault="00E3279A" w:rsidP="00E3279A">
      <w:pPr>
        <w:jc w:val="both"/>
        <w:rPr>
          <w:b/>
          <w:color w:val="000000" w:themeColor="text1"/>
        </w:rPr>
      </w:pPr>
      <w:r>
        <w:rPr>
          <w:b/>
          <w:color w:val="000000" w:themeColor="text1"/>
        </w:rPr>
        <w:lastRenderedPageBreak/>
        <w:t>K bodu 50</w:t>
      </w:r>
    </w:p>
    <w:p w:rsidR="00E3279A" w:rsidRDefault="00E3279A" w:rsidP="00E3279A">
      <w:pPr>
        <w:jc w:val="both"/>
        <w:rPr>
          <w:color w:val="000000" w:themeColor="text1"/>
        </w:rPr>
      </w:pPr>
      <w:r w:rsidRPr="00870690">
        <w:rPr>
          <w:color w:val="000000" w:themeColor="text1"/>
        </w:rPr>
        <w:t>Legislatívno-technická úprava. Oprava chyby.</w:t>
      </w:r>
    </w:p>
    <w:p w:rsidR="00E3279A" w:rsidRDefault="00E3279A" w:rsidP="00E3279A">
      <w:pPr>
        <w:jc w:val="both"/>
        <w:rPr>
          <w:color w:val="000000" w:themeColor="text1"/>
        </w:rPr>
      </w:pPr>
    </w:p>
    <w:p w:rsidR="00E3279A" w:rsidRDefault="00E3279A" w:rsidP="00E3279A">
      <w:pPr>
        <w:jc w:val="both"/>
        <w:rPr>
          <w:b/>
          <w:color w:val="000000" w:themeColor="text1"/>
        </w:rPr>
      </w:pPr>
      <w:r w:rsidRPr="00870690">
        <w:rPr>
          <w:b/>
          <w:color w:val="000000" w:themeColor="text1"/>
        </w:rPr>
        <w:t>K bodu 51</w:t>
      </w:r>
      <w:r>
        <w:rPr>
          <w:b/>
          <w:color w:val="000000" w:themeColor="text1"/>
        </w:rPr>
        <w:t xml:space="preserve"> a 52</w:t>
      </w:r>
    </w:p>
    <w:p w:rsidR="00E3279A" w:rsidRDefault="00E3279A" w:rsidP="00E3279A">
      <w:pPr>
        <w:jc w:val="both"/>
        <w:rPr>
          <w:color w:val="000000" w:themeColor="text1"/>
        </w:rPr>
      </w:pPr>
      <w:r w:rsidRPr="00112027">
        <w:rPr>
          <w:color w:val="000000" w:themeColor="text1"/>
        </w:rPr>
        <w:t>Precizuje sa splnomocňovacie ustanovenie, ktorým sa upravujú podrobnosti auditu kybernetickej bezpečnosti v súvislosti s implementáciou nariadenia (EÚ) č. 2019/881</w:t>
      </w:r>
      <w:r>
        <w:rPr>
          <w:color w:val="000000" w:themeColor="text1"/>
        </w:rPr>
        <w:t xml:space="preserve"> a z dôvodu ďalších normatívnych zmien v zákone.</w:t>
      </w:r>
    </w:p>
    <w:p w:rsidR="00E3279A" w:rsidRDefault="00E3279A" w:rsidP="00E3279A">
      <w:pPr>
        <w:jc w:val="both"/>
        <w:rPr>
          <w:color w:val="000000" w:themeColor="text1"/>
        </w:rPr>
      </w:pPr>
    </w:p>
    <w:p w:rsidR="00E3279A" w:rsidRDefault="00E3279A" w:rsidP="00E3279A">
      <w:pPr>
        <w:jc w:val="both"/>
        <w:rPr>
          <w:b/>
          <w:color w:val="000000" w:themeColor="text1"/>
        </w:rPr>
      </w:pPr>
      <w:r w:rsidRPr="00870690">
        <w:rPr>
          <w:b/>
          <w:color w:val="000000" w:themeColor="text1"/>
        </w:rPr>
        <w:t>K bodu 53</w:t>
      </w:r>
    </w:p>
    <w:p w:rsidR="00E3279A" w:rsidRPr="00870690" w:rsidRDefault="00E3279A" w:rsidP="00E3279A">
      <w:pPr>
        <w:jc w:val="both"/>
        <w:rPr>
          <w:color w:val="000000" w:themeColor="text1"/>
        </w:rPr>
      </w:pPr>
      <w:r w:rsidRPr="00870690">
        <w:rPr>
          <w:color w:val="000000" w:themeColor="text1"/>
        </w:rPr>
        <w:t>Precizuje sa úprava z dôvodu normatí</w:t>
      </w:r>
      <w:r>
        <w:rPr>
          <w:color w:val="000000" w:themeColor="text1"/>
        </w:rPr>
        <w:t>v</w:t>
      </w:r>
      <w:r w:rsidRPr="00870690">
        <w:rPr>
          <w:color w:val="000000" w:themeColor="text1"/>
        </w:rPr>
        <w:t xml:space="preserve">nych zmien. </w:t>
      </w:r>
    </w:p>
    <w:p w:rsidR="00E3279A" w:rsidRDefault="00E3279A" w:rsidP="00E3279A">
      <w:pPr>
        <w:jc w:val="both"/>
        <w:rPr>
          <w:b/>
          <w:color w:val="000000" w:themeColor="text1"/>
        </w:rPr>
      </w:pPr>
    </w:p>
    <w:p w:rsidR="00E3279A" w:rsidRPr="00870690" w:rsidRDefault="00E3279A" w:rsidP="00E3279A">
      <w:pPr>
        <w:jc w:val="both"/>
        <w:rPr>
          <w:b/>
          <w:color w:val="000000" w:themeColor="text1"/>
        </w:rPr>
      </w:pPr>
      <w:r>
        <w:rPr>
          <w:b/>
          <w:color w:val="000000" w:themeColor="text1"/>
        </w:rPr>
        <w:t>K bodu 54</w:t>
      </w:r>
    </w:p>
    <w:p w:rsidR="00E3279A" w:rsidRPr="00475B47" w:rsidRDefault="00E3279A" w:rsidP="00E3279A">
      <w:pPr>
        <w:jc w:val="both"/>
        <w:rPr>
          <w:color w:val="000000" w:themeColor="text1"/>
        </w:rPr>
      </w:pPr>
      <w:r w:rsidRPr="00475B47">
        <w:rPr>
          <w:color w:val="000000" w:themeColor="text1"/>
        </w:rPr>
        <w:t xml:space="preserve">V spoločnom ustanovení sa ďalej uvádza, že Ministerstvo obrany Slovenskej republiky vykonáva svoje úlohy prostredníctvom Vojenského spravodajstva. Ide o úpravu v súvislosti s vypustením Vojenského spravodajstva ako ústredného orgánu. </w:t>
      </w:r>
    </w:p>
    <w:p w:rsidR="00E3279A" w:rsidRDefault="00E3279A" w:rsidP="00E3279A">
      <w:pPr>
        <w:jc w:val="both"/>
        <w:rPr>
          <w:b/>
          <w:color w:val="000000" w:themeColor="text1"/>
        </w:rPr>
      </w:pPr>
    </w:p>
    <w:p w:rsidR="00E3279A" w:rsidRPr="00112027" w:rsidRDefault="00E3279A" w:rsidP="00E3279A">
      <w:pPr>
        <w:jc w:val="both"/>
        <w:rPr>
          <w:b/>
          <w:color w:val="000000" w:themeColor="text1"/>
        </w:rPr>
      </w:pPr>
      <w:r>
        <w:rPr>
          <w:b/>
          <w:color w:val="000000" w:themeColor="text1"/>
        </w:rPr>
        <w:t>K bodu 55</w:t>
      </w:r>
    </w:p>
    <w:p w:rsidR="00E3279A" w:rsidRDefault="00E3279A" w:rsidP="00E3279A">
      <w:pPr>
        <w:jc w:val="both"/>
        <w:rPr>
          <w:iCs/>
          <w:color w:val="000000" w:themeColor="text1"/>
        </w:rPr>
      </w:pPr>
      <w:r w:rsidRPr="00112027">
        <w:rPr>
          <w:color w:val="000000" w:themeColor="text1"/>
        </w:rPr>
        <w:t xml:space="preserve">Prechodné ustanovenie určuje pre prevádzkovateľov základných služieb, ktorí prevádzkujú sieť alebo informačný systém kategórie I a II prechodné obdobie, počas ktorého vykonanie auditu možno nahradiť </w:t>
      </w:r>
      <w:r w:rsidRPr="00112027">
        <w:rPr>
          <w:iCs/>
          <w:color w:val="000000" w:themeColor="text1"/>
        </w:rPr>
        <w:t>vykonaním posúdenia účinnosti prijatých bezpečnostných opatrení a plnenia požiadaviek</w:t>
      </w:r>
      <w:r w:rsidRPr="00112027">
        <w:rPr>
          <w:iCs/>
          <w:color w:val="000000" w:themeColor="text1"/>
          <w:shd w:val="clear" w:color="auto" w:fill="FFFFFF"/>
        </w:rPr>
        <w:t xml:space="preserve"> </w:t>
      </w:r>
      <w:r w:rsidRPr="00112027">
        <w:rPr>
          <w:iCs/>
          <w:color w:val="000000" w:themeColor="text1"/>
        </w:rPr>
        <w:t>manažérom kybernetickej bezpečnosti.</w:t>
      </w:r>
    </w:p>
    <w:p w:rsidR="00E3279A" w:rsidRDefault="00E3279A" w:rsidP="00E3279A">
      <w:pPr>
        <w:jc w:val="both"/>
        <w:rPr>
          <w:color w:val="000000" w:themeColor="text1"/>
        </w:rPr>
      </w:pPr>
      <w:r>
        <w:rPr>
          <w:color w:val="000000" w:themeColor="text1"/>
        </w:rPr>
        <w:t xml:space="preserve">Ďalej sa uvádza, že zmluvy, ktoré boli uzatvorené v zmysle § 9 ods. 2, resp. odsek 3 zostávajú v platnosti. </w:t>
      </w:r>
    </w:p>
    <w:p w:rsidR="00E3279A" w:rsidRPr="00112027" w:rsidRDefault="00E3279A" w:rsidP="00E3279A">
      <w:pPr>
        <w:jc w:val="both"/>
        <w:rPr>
          <w:b/>
          <w:color w:val="000000" w:themeColor="text1"/>
        </w:rPr>
      </w:pPr>
    </w:p>
    <w:p w:rsidR="00E3279A" w:rsidRPr="00112027" w:rsidRDefault="00E3279A" w:rsidP="00E3279A">
      <w:pPr>
        <w:jc w:val="both"/>
        <w:rPr>
          <w:b/>
          <w:color w:val="000000" w:themeColor="text1"/>
        </w:rPr>
      </w:pPr>
      <w:r w:rsidRPr="00112027">
        <w:rPr>
          <w:b/>
          <w:color w:val="000000" w:themeColor="text1"/>
        </w:rPr>
        <w:t xml:space="preserve">K bodom </w:t>
      </w:r>
      <w:r>
        <w:rPr>
          <w:b/>
          <w:color w:val="000000" w:themeColor="text1"/>
        </w:rPr>
        <w:t>56</w:t>
      </w:r>
      <w:r w:rsidRPr="00112027">
        <w:rPr>
          <w:b/>
          <w:color w:val="000000" w:themeColor="text1"/>
        </w:rPr>
        <w:t xml:space="preserve"> až </w:t>
      </w:r>
      <w:r>
        <w:rPr>
          <w:b/>
          <w:color w:val="000000" w:themeColor="text1"/>
        </w:rPr>
        <w:t>6</w:t>
      </w:r>
      <w:r w:rsidR="00C0265D">
        <w:rPr>
          <w:b/>
          <w:color w:val="000000" w:themeColor="text1"/>
        </w:rPr>
        <w:t>2</w:t>
      </w:r>
    </w:p>
    <w:p w:rsidR="00E3279A" w:rsidRPr="00112027" w:rsidRDefault="00E3279A" w:rsidP="00E3279A">
      <w:pPr>
        <w:jc w:val="both"/>
        <w:rPr>
          <w:b/>
          <w:color w:val="000000" w:themeColor="text1"/>
          <w:u w:val="single"/>
        </w:rPr>
      </w:pPr>
      <w:r w:rsidRPr="00112027">
        <w:rPr>
          <w:color w:val="000000" w:themeColor="text1"/>
        </w:rPr>
        <w:t xml:space="preserve">Ide o úpravu príloh, týkajúcich sa jednotlivých sektorov, vyplývajúcu z aplikačnej praxe. Modifikujú a dopĺňajú sa jednotliví prevádzkovatelia služieb pre niektoré sektory. V časti podsektor „Letecká doprava“ sa mení názov prevádzkovateľa „riadiace orgány letiska“ na „prevádzkovateľ letiska“, pretože letiská poskytujú služby, ktoré je nutné považovať za základné, preto bolo nevyhnutné zrozumiteľnejšie identifikovať prevádzkovateľa týchto služieb. V sektore „Digitálna infraštruktúra“ boli doplnení noví prevádzkovatelia ako „poskytovateľ dátových, hlasových a internetových služieb – služieb pripojenia do internetu“, „prevádzkovateľ obchodu na internete s možnosťou vyhľadávania, objednávania a nákupu tovarov a služieb“ a „poskytovateľ služieb webhostingu, DNS </w:t>
      </w:r>
      <w:proofErr w:type="spellStart"/>
      <w:r w:rsidRPr="00112027">
        <w:rPr>
          <w:color w:val="000000" w:themeColor="text1"/>
        </w:rPr>
        <w:t>hostingu</w:t>
      </w:r>
      <w:proofErr w:type="spellEnd"/>
      <w:r w:rsidRPr="00112027">
        <w:rPr>
          <w:color w:val="000000" w:themeColor="text1"/>
        </w:rPr>
        <w:t xml:space="preserve"> alebo </w:t>
      </w:r>
      <w:proofErr w:type="spellStart"/>
      <w:r w:rsidRPr="00112027">
        <w:rPr>
          <w:color w:val="000000" w:themeColor="text1"/>
        </w:rPr>
        <w:t>mailhostingu</w:t>
      </w:r>
      <w:proofErr w:type="spellEnd"/>
      <w:r w:rsidRPr="00112027">
        <w:rPr>
          <w:color w:val="000000" w:themeColor="text1"/>
        </w:rPr>
        <w:t>“ s ohľadom na vzniknutú potrebu regulovať aj uvedené subjekty s podstatným vplyvom na zabezpečenie ochrany kybernetickej bezpečnosti. V sektore „Zdravotníctvo“ boli doplnení uvedení prevádzkovatelia ako Úrady verejného zdravotníctva Slovenskej republiky, správca národných zdravotných registrov, národných zdravotných administratívnych registrov a národného zdravotníckeho informačného systému, s ohľadom na špecifickosť každého z uvádzaných subjektov. V sektore „Verejná správa“ sa vypúšťa podsektor „Spravodajské služby“ a v stĺpci „Prevádzkovateľ služieb“ sa vypúšťajú slová „Správcovia a prevádzkovatelia sietí a informačných systémov prevádzkovaných spravodajskou službou“ a v stĺpci „Ústredný orgán“ sa vypúšťajú slová „Slovenská informačná služba“ a „Vojenské spravodajstvo“. K predmetnému vypusteniu  došlo, aby zmena odzrkadľovala ustanovenie článku 1 ods. 6 smernice NIS a súčasne táto zmena vyplynula z potrieb aplikačnej praxe, keďže sa uvedené ukázalo ako neefektívne.</w:t>
      </w:r>
      <w:r>
        <w:rPr>
          <w:color w:val="000000" w:themeColor="text1"/>
        </w:rPr>
        <w:t xml:space="preserve"> Ďalej ide o zmeny technického charakteru ako aj zmeny reflektujúce úpravu subjektov, ktoré plnia úlohy ústredného orgánu.</w:t>
      </w:r>
      <w:r w:rsidRPr="00112027">
        <w:rPr>
          <w:b/>
          <w:color w:val="000000" w:themeColor="text1"/>
          <w:u w:val="single"/>
        </w:rPr>
        <w:t xml:space="preserve">  </w:t>
      </w:r>
    </w:p>
    <w:p w:rsidR="00E3279A" w:rsidRPr="00112027" w:rsidRDefault="00E3279A" w:rsidP="00E3279A">
      <w:pPr>
        <w:jc w:val="both"/>
        <w:rPr>
          <w:b/>
          <w:color w:val="000000" w:themeColor="text1"/>
          <w:u w:val="single"/>
        </w:rPr>
      </w:pPr>
    </w:p>
    <w:p w:rsidR="00E3279A" w:rsidRDefault="00E3279A" w:rsidP="00E3279A">
      <w:pPr>
        <w:jc w:val="both"/>
        <w:rPr>
          <w:b/>
          <w:color w:val="000000" w:themeColor="text1"/>
          <w:u w:val="single"/>
        </w:rPr>
      </w:pPr>
    </w:p>
    <w:p w:rsidR="00E3279A" w:rsidRPr="00112027" w:rsidRDefault="00E3279A" w:rsidP="00E3279A">
      <w:pPr>
        <w:jc w:val="both"/>
        <w:rPr>
          <w:b/>
          <w:color w:val="000000" w:themeColor="text1"/>
          <w:u w:val="single"/>
        </w:rPr>
      </w:pPr>
    </w:p>
    <w:p w:rsidR="00E3279A" w:rsidRPr="00112027" w:rsidRDefault="00E3279A" w:rsidP="00E3279A">
      <w:pPr>
        <w:jc w:val="both"/>
        <w:rPr>
          <w:b/>
          <w:color w:val="000000" w:themeColor="text1"/>
          <w:u w:val="single"/>
        </w:rPr>
      </w:pPr>
      <w:r w:rsidRPr="00112027">
        <w:rPr>
          <w:b/>
          <w:color w:val="000000" w:themeColor="text1"/>
          <w:u w:val="single"/>
        </w:rPr>
        <w:lastRenderedPageBreak/>
        <w:t>K čl. II (zákon č. 145/1995 Z. z.)</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rPr>
      </w:pPr>
      <w:r w:rsidRPr="00112027">
        <w:rPr>
          <w:b/>
          <w:color w:val="000000" w:themeColor="text1"/>
        </w:rPr>
        <w:t>K bodom 1 a 2</w:t>
      </w:r>
    </w:p>
    <w:p w:rsidR="00E3279A" w:rsidRPr="00112027" w:rsidRDefault="00E3279A" w:rsidP="00E3279A">
      <w:pPr>
        <w:jc w:val="both"/>
        <w:rPr>
          <w:color w:val="000000" w:themeColor="text1"/>
        </w:rPr>
      </w:pPr>
      <w:r w:rsidRPr="00112027">
        <w:rPr>
          <w:color w:val="000000" w:themeColor="text1"/>
        </w:rPr>
        <w:t>Dopĺňa sa sadzobník správnych poplatkov v časti „Kybernetická bezpečnosť“ o položky v súvislosti s certifikáciou na základe implementácie nariadenia.</w:t>
      </w:r>
    </w:p>
    <w:p w:rsidR="00E3279A" w:rsidRPr="00112027" w:rsidRDefault="00E3279A" w:rsidP="00E3279A">
      <w:pPr>
        <w:jc w:val="both"/>
        <w:rPr>
          <w:b/>
          <w:color w:val="000000" w:themeColor="text1"/>
          <w:u w:val="single"/>
        </w:rPr>
      </w:pPr>
    </w:p>
    <w:p w:rsidR="00E3279A" w:rsidRPr="00112027" w:rsidRDefault="00E3279A" w:rsidP="00E3279A">
      <w:pPr>
        <w:jc w:val="both"/>
        <w:rPr>
          <w:b/>
          <w:color w:val="000000" w:themeColor="text1"/>
          <w:u w:val="single"/>
        </w:rPr>
      </w:pPr>
    </w:p>
    <w:p w:rsidR="00E3279A" w:rsidRPr="00112027" w:rsidRDefault="00E3279A" w:rsidP="00E3279A">
      <w:pPr>
        <w:jc w:val="both"/>
        <w:rPr>
          <w:b/>
          <w:color w:val="000000" w:themeColor="text1"/>
          <w:u w:val="single"/>
        </w:rPr>
      </w:pPr>
      <w:r w:rsidRPr="00112027">
        <w:rPr>
          <w:b/>
          <w:color w:val="000000" w:themeColor="text1"/>
          <w:u w:val="single"/>
        </w:rPr>
        <w:t>K čl. III (zákon č. 351/2011 Z. z.)</w:t>
      </w:r>
    </w:p>
    <w:p w:rsidR="00E3279A" w:rsidRPr="00475B47" w:rsidRDefault="00E3279A" w:rsidP="00E3279A">
      <w:pPr>
        <w:jc w:val="both"/>
        <w:rPr>
          <w:b/>
          <w:color w:val="000000" w:themeColor="text1"/>
        </w:rPr>
      </w:pPr>
      <w:r w:rsidRPr="00475B47">
        <w:rPr>
          <w:b/>
          <w:color w:val="000000" w:themeColor="text1"/>
        </w:rPr>
        <w:t>K bodu 1</w:t>
      </w:r>
    </w:p>
    <w:p w:rsidR="00E3279A" w:rsidRDefault="00E3279A" w:rsidP="00E3279A">
      <w:pPr>
        <w:jc w:val="both"/>
        <w:rPr>
          <w:color w:val="000000" w:themeColor="text1"/>
        </w:rPr>
      </w:pPr>
      <w:r>
        <w:rPr>
          <w:color w:val="000000" w:themeColor="text1"/>
        </w:rPr>
        <w:t>I</w:t>
      </w:r>
      <w:r w:rsidRPr="00112027">
        <w:rPr>
          <w:color w:val="000000" w:themeColor="text1"/>
        </w:rPr>
        <w:t>de o zjednotenie regulácie pri povinnosti podniku, ktorý poskytuje verejné siete alebo verejné služby prijatím bezpečnostných opatrení podľa zákona o kybernetickej bezpečnosti.</w:t>
      </w:r>
    </w:p>
    <w:p w:rsidR="00E3279A" w:rsidRPr="00475B47" w:rsidRDefault="00E3279A" w:rsidP="00E3279A">
      <w:pPr>
        <w:jc w:val="both"/>
        <w:rPr>
          <w:b/>
          <w:color w:val="000000" w:themeColor="text1"/>
        </w:rPr>
      </w:pPr>
    </w:p>
    <w:p w:rsidR="00E3279A" w:rsidRPr="00475B47" w:rsidRDefault="00E3279A" w:rsidP="00E3279A">
      <w:pPr>
        <w:jc w:val="both"/>
        <w:rPr>
          <w:b/>
          <w:color w:val="000000" w:themeColor="text1"/>
        </w:rPr>
      </w:pPr>
      <w:r w:rsidRPr="00475B47">
        <w:rPr>
          <w:b/>
          <w:color w:val="000000" w:themeColor="text1"/>
        </w:rPr>
        <w:t>K bodu 2</w:t>
      </w:r>
    </w:p>
    <w:p w:rsidR="00E3279A" w:rsidRPr="00112027" w:rsidRDefault="00E3279A" w:rsidP="00E3279A">
      <w:pPr>
        <w:jc w:val="both"/>
        <w:rPr>
          <w:color w:val="000000" w:themeColor="text1"/>
        </w:rPr>
      </w:pPr>
      <w:r>
        <w:rPr>
          <w:color w:val="000000" w:themeColor="text1"/>
        </w:rPr>
        <w:t xml:space="preserve">Na účely „nie dvakrát v tej istej veci“ sa ustanovuje, že priestupky a správne delikty za porušenie bezpečnostných opatrení </w:t>
      </w:r>
      <w:proofErr w:type="spellStart"/>
      <w:r>
        <w:rPr>
          <w:color w:val="000000" w:themeColor="text1"/>
        </w:rPr>
        <w:t>prejednáva</w:t>
      </w:r>
      <w:proofErr w:type="spellEnd"/>
      <w:r>
        <w:rPr>
          <w:color w:val="000000" w:themeColor="text1"/>
        </w:rPr>
        <w:t xml:space="preserve"> Národný bezpečnostný úrad.</w:t>
      </w:r>
    </w:p>
    <w:p w:rsidR="00E3279A" w:rsidRPr="00112027" w:rsidRDefault="00E3279A" w:rsidP="00E3279A">
      <w:pPr>
        <w:jc w:val="both"/>
        <w:rPr>
          <w:color w:val="000000" w:themeColor="text1"/>
        </w:rPr>
      </w:pPr>
    </w:p>
    <w:p w:rsidR="00E3279A" w:rsidRPr="00112027" w:rsidRDefault="00E3279A" w:rsidP="00E3279A">
      <w:pPr>
        <w:jc w:val="both"/>
        <w:rPr>
          <w:b/>
          <w:color w:val="000000" w:themeColor="text1"/>
          <w:u w:val="single"/>
        </w:rPr>
      </w:pPr>
    </w:p>
    <w:p w:rsidR="00E3279A" w:rsidRPr="00112027" w:rsidRDefault="00E3279A" w:rsidP="00E3279A">
      <w:pPr>
        <w:jc w:val="both"/>
        <w:rPr>
          <w:b/>
          <w:color w:val="000000" w:themeColor="text1"/>
          <w:u w:val="single"/>
        </w:rPr>
      </w:pPr>
      <w:r w:rsidRPr="00112027">
        <w:rPr>
          <w:b/>
          <w:color w:val="000000" w:themeColor="text1"/>
          <w:u w:val="single"/>
        </w:rPr>
        <w:t xml:space="preserve">K čl. IV (zákon č. 95/2019 Z. z.) </w:t>
      </w:r>
    </w:p>
    <w:p w:rsidR="00E3279A" w:rsidRPr="00112027" w:rsidRDefault="00E3279A" w:rsidP="00E3279A">
      <w:pPr>
        <w:jc w:val="both"/>
        <w:rPr>
          <w:color w:val="000000" w:themeColor="text1"/>
        </w:rPr>
      </w:pPr>
      <w:r>
        <w:rPr>
          <w:b/>
          <w:color w:val="000000" w:themeColor="text1"/>
        </w:rPr>
        <w:t>K bodom</w:t>
      </w:r>
      <w:r w:rsidRPr="00475B47">
        <w:rPr>
          <w:b/>
          <w:color w:val="000000" w:themeColor="text1"/>
        </w:rPr>
        <w:t xml:space="preserve"> 1</w:t>
      </w:r>
      <w:r>
        <w:rPr>
          <w:b/>
          <w:color w:val="000000" w:themeColor="text1"/>
        </w:rPr>
        <w:t xml:space="preserve"> až 3</w:t>
      </w:r>
    </w:p>
    <w:p w:rsidR="00E3279A" w:rsidRDefault="00E3279A" w:rsidP="00E3279A">
      <w:pPr>
        <w:jc w:val="both"/>
        <w:rPr>
          <w:color w:val="000000" w:themeColor="text1"/>
        </w:rPr>
      </w:pPr>
      <w:r w:rsidRPr="00112027">
        <w:rPr>
          <w:color w:val="000000" w:themeColor="text1"/>
        </w:rPr>
        <w:t xml:space="preserve">Účelom je zjednotenie regulácie bezpečnostných opatrení tak, aby sa na všetky </w:t>
      </w:r>
      <w:r>
        <w:rPr>
          <w:color w:val="000000" w:themeColor="text1"/>
        </w:rPr>
        <w:t xml:space="preserve">dotknuté </w:t>
      </w:r>
      <w:r w:rsidRPr="00112027">
        <w:rPr>
          <w:color w:val="000000" w:themeColor="text1"/>
        </w:rPr>
        <w:t>subjekty</w:t>
      </w:r>
      <w:r>
        <w:rPr>
          <w:color w:val="000000" w:themeColor="text1"/>
        </w:rPr>
        <w:t xml:space="preserve"> </w:t>
      </w:r>
      <w:r w:rsidRPr="00112027">
        <w:rPr>
          <w:color w:val="000000" w:themeColor="text1"/>
        </w:rPr>
        <w:t>vzťahovali opatrenia podľa zákona o kybernetickej bezpečnosti</w:t>
      </w:r>
      <w:r>
        <w:rPr>
          <w:color w:val="000000" w:themeColor="text1"/>
        </w:rPr>
        <w:t xml:space="preserve"> a následne, aby zákon č. 95/2019 Z. z. obsahoval iba tie bezpečnostné opatrenia, ktoré sú špecifické pre sektor verejnej správy.</w:t>
      </w:r>
      <w:r w:rsidRPr="00112027">
        <w:rPr>
          <w:color w:val="000000" w:themeColor="text1"/>
        </w:rPr>
        <w:t xml:space="preserve"> Účelom novely zákona je </w:t>
      </w:r>
      <w:r>
        <w:rPr>
          <w:color w:val="000000" w:themeColor="text1"/>
        </w:rPr>
        <w:t xml:space="preserve">teda </w:t>
      </w:r>
      <w:r w:rsidRPr="00112027">
        <w:rPr>
          <w:color w:val="000000" w:themeColor="text1"/>
        </w:rPr>
        <w:t>zjednotenie regulácie s cieľom odstrániť administratívnu záťaž</w:t>
      </w:r>
      <w:r>
        <w:rPr>
          <w:color w:val="000000" w:themeColor="text1"/>
        </w:rPr>
        <w:t xml:space="preserve"> pri zabezpečovaní kybernetickej bezpečnosti a jednoduchšiu a prehľadnejšiu prax. </w:t>
      </w:r>
    </w:p>
    <w:p w:rsidR="00E3279A" w:rsidRPr="00112027" w:rsidRDefault="00E3279A" w:rsidP="00E3279A">
      <w:pPr>
        <w:jc w:val="both"/>
        <w:rPr>
          <w:color w:val="000000" w:themeColor="text1"/>
        </w:rPr>
      </w:pPr>
    </w:p>
    <w:p w:rsidR="00E3279A" w:rsidRDefault="00E3279A" w:rsidP="00E3279A">
      <w:pPr>
        <w:jc w:val="both"/>
        <w:rPr>
          <w:b/>
          <w:color w:val="000000" w:themeColor="text1"/>
        </w:rPr>
      </w:pPr>
      <w:r>
        <w:rPr>
          <w:b/>
          <w:color w:val="000000" w:themeColor="text1"/>
        </w:rPr>
        <w:t>K bodu 4</w:t>
      </w:r>
    </w:p>
    <w:p w:rsidR="00E3279A" w:rsidRDefault="00E3279A" w:rsidP="00E3279A">
      <w:pPr>
        <w:jc w:val="both"/>
        <w:rPr>
          <w:color w:val="000000" w:themeColor="text1"/>
        </w:rPr>
      </w:pPr>
      <w:r>
        <w:rPr>
          <w:color w:val="000000" w:themeColor="text1"/>
        </w:rPr>
        <w:t>Legislatívno-technická úprava</w:t>
      </w:r>
    </w:p>
    <w:p w:rsidR="00E3279A" w:rsidRPr="00B76255" w:rsidRDefault="00E3279A" w:rsidP="00E3279A">
      <w:pPr>
        <w:jc w:val="both"/>
        <w:rPr>
          <w:color w:val="000000" w:themeColor="text1"/>
        </w:rPr>
      </w:pPr>
    </w:p>
    <w:p w:rsidR="00E3279A" w:rsidRDefault="00E3279A" w:rsidP="00E3279A">
      <w:pPr>
        <w:jc w:val="both"/>
        <w:rPr>
          <w:b/>
          <w:color w:val="000000" w:themeColor="text1"/>
        </w:rPr>
      </w:pPr>
      <w:r>
        <w:rPr>
          <w:b/>
          <w:color w:val="000000" w:themeColor="text1"/>
        </w:rPr>
        <w:t>K bodom 5 až 14</w:t>
      </w:r>
    </w:p>
    <w:p w:rsidR="00E3279A" w:rsidRPr="00B76255" w:rsidRDefault="00E3279A" w:rsidP="00E3279A">
      <w:pPr>
        <w:jc w:val="both"/>
        <w:rPr>
          <w:color w:val="000000" w:themeColor="text1"/>
        </w:rPr>
      </w:pPr>
      <w:r w:rsidRPr="00B76255">
        <w:rPr>
          <w:color w:val="000000" w:themeColor="text1"/>
        </w:rPr>
        <w:t xml:space="preserve">Precizovanie ustanovení v nadväznosti na zjednotenie regulácie </w:t>
      </w:r>
      <w:r w:rsidRPr="00112027">
        <w:rPr>
          <w:color w:val="000000" w:themeColor="text1"/>
        </w:rPr>
        <w:t xml:space="preserve">bezpečnostných opatrení tak, aby sa na všetky </w:t>
      </w:r>
      <w:r>
        <w:rPr>
          <w:color w:val="000000" w:themeColor="text1"/>
        </w:rPr>
        <w:t xml:space="preserve">dotknuté </w:t>
      </w:r>
      <w:r w:rsidRPr="00112027">
        <w:rPr>
          <w:color w:val="000000" w:themeColor="text1"/>
        </w:rPr>
        <w:t>subjekty</w:t>
      </w:r>
      <w:r>
        <w:rPr>
          <w:color w:val="000000" w:themeColor="text1"/>
        </w:rPr>
        <w:t xml:space="preserve"> </w:t>
      </w:r>
      <w:r w:rsidRPr="00112027">
        <w:rPr>
          <w:color w:val="000000" w:themeColor="text1"/>
        </w:rPr>
        <w:t>vzťahovali opatrenia podľa zákona o kybernetickej bezpečnosti</w:t>
      </w:r>
      <w:r>
        <w:rPr>
          <w:color w:val="000000" w:themeColor="text1"/>
        </w:rPr>
        <w:t xml:space="preserve"> a následne, aby zákon č. 95/2019 Z. z. obsahoval iba tie bezpečnostné opatrenia, ktoré sú špecifické pre sektor verejnej správy.</w:t>
      </w:r>
    </w:p>
    <w:p w:rsidR="00E3279A" w:rsidRDefault="00E3279A" w:rsidP="00E3279A">
      <w:pPr>
        <w:jc w:val="both"/>
        <w:rPr>
          <w:b/>
          <w:color w:val="000000" w:themeColor="text1"/>
        </w:rPr>
      </w:pPr>
    </w:p>
    <w:p w:rsidR="00E3279A" w:rsidRDefault="00E3279A" w:rsidP="00E3279A">
      <w:pPr>
        <w:jc w:val="both"/>
        <w:rPr>
          <w:b/>
          <w:color w:val="000000" w:themeColor="text1"/>
        </w:rPr>
      </w:pPr>
      <w:r>
        <w:rPr>
          <w:b/>
          <w:color w:val="000000" w:themeColor="text1"/>
        </w:rPr>
        <w:t>K bodu 15</w:t>
      </w:r>
    </w:p>
    <w:p w:rsidR="00E3279A" w:rsidRDefault="00E3279A" w:rsidP="00E3279A">
      <w:pPr>
        <w:jc w:val="both"/>
        <w:rPr>
          <w:color w:val="000000" w:themeColor="text1"/>
        </w:rPr>
      </w:pPr>
      <w:r>
        <w:rPr>
          <w:color w:val="000000" w:themeColor="text1"/>
        </w:rPr>
        <w:t>Legislatívno-technická úprava</w:t>
      </w:r>
    </w:p>
    <w:p w:rsidR="00E3279A" w:rsidRDefault="00E3279A" w:rsidP="00E3279A">
      <w:pPr>
        <w:jc w:val="both"/>
        <w:rPr>
          <w:b/>
          <w:color w:val="000000" w:themeColor="text1"/>
        </w:rPr>
      </w:pPr>
    </w:p>
    <w:p w:rsidR="00E3279A" w:rsidRDefault="00E3279A" w:rsidP="00E3279A">
      <w:pPr>
        <w:jc w:val="both"/>
        <w:rPr>
          <w:b/>
          <w:color w:val="000000" w:themeColor="text1"/>
        </w:rPr>
      </w:pPr>
      <w:r>
        <w:rPr>
          <w:b/>
          <w:color w:val="000000" w:themeColor="text1"/>
        </w:rPr>
        <w:t>K bodom 16 a 17</w:t>
      </w:r>
    </w:p>
    <w:p w:rsidR="00E3279A" w:rsidRPr="00B76255" w:rsidRDefault="00E3279A" w:rsidP="00E3279A">
      <w:pPr>
        <w:jc w:val="both"/>
        <w:rPr>
          <w:color w:val="000000" w:themeColor="text1"/>
        </w:rPr>
      </w:pPr>
      <w:r w:rsidRPr="00B76255">
        <w:rPr>
          <w:color w:val="000000" w:themeColor="text1"/>
        </w:rPr>
        <w:t xml:space="preserve">Precizovanie ustanovení v nadväznosti na zjednotenie regulácie </w:t>
      </w:r>
      <w:r w:rsidRPr="00112027">
        <w:rPr>
          <w:color w:val="000000" w:themeColor="text1"/>
        </w:rPr>
        <w:t xml:space="preserve">bezpečnostných opatrení tak, aby sa na všetky </w:t>
      </w:r>
      <w:r>
        <w:rPr>
          <w:color w:val="000000" w:themeColor="text1"/>
        </w:rPr>
        <w:t xml:space="preserve">dotknuté </w:t>
      </w:r>
      <w:r w:rsidRPr="00112027">
        <w:rPr>
          <w:color w:val="000000" w:themeColor="text1"/>
        </w:rPr>
        <w:t>subjekty</w:t>
      </w:r>
      <w:r>
        <w:rPr>
          <w:color w:val="000000" w:themeColor="text1"/>
        </w:rPr>
        <w:t xml:space="preserve"> </w:t>
      </w:r>
      <w:r w:rsidRPr="00112027">
        <w:rPr>
          <w:color w:val="000000" w:themeColor="text1"/>
        </w:rPr>
        <w:t>vzťahovali opatrenia podľa zákona o kybernetickej bezpečnosti</w:t>
      </w:r>
      <w:r>
        <w:rPr>
          <w:color w:val="000000" w:themeColor="text1"/>
        </w:rPr>
        <w:t xml:space="preserve"> a následne, aby zákon č. 95/2019 Z. z. obsahoval iba tie bezpečnostné opatrenia, ktoré sú špecifické pre sektor verejnej správy.</w:t>
      </w:r>
    </w:p>
    <w:p w:rsidR="00E3279A" w:rsidRDefault="00E3279A" w:rsidP="00E3279A">
      <w:pPr>
        <w:jc w:val="both"/>
        <w:rPr>
          <w:b/>
          <w:color w:val="000000" w:themeColor="text1"/>
        </w:rPr>
      </w:pPr>
    </w:p>
    <w:p w:rsidR="00E3279A" w:rsidRDefault="00E3279A" w:rsidP="00E3279A">
      <w:pPr>
        <w:jc w:val="both"/>
        <w:rPr>
          <w:b/>
          <w:color w:val="000000" w:themeColor="text1"/>
        </w:rPr>
      </w:pPr>
      <w:r>
        <w:rPr>
          <w:b/>
          <w:color w:val="000000" w:themeColor="text1"/>
        </w:rPr>
        <w:t>K bodom 18 a 19</w:t>
      </w:r>
    </w:p>
    <w:p w:rsidR="00E3279A" w:rsidRDefault="00E3279A" w:rsidP="00E3279A">
      <w:pPr>
        <w:jc w:val="both"/>
        <w:rPr>
          <w:color w:val="000000" w:themeColor="text1"/>
        </w:rPr>
      </w:pPr>
      <w:r>
        <w:rPr>
          <w:color w:val="000000" w:themeColor="text1"/>
        </w:rPr>
        <w:t>Legislatívno-technická úprava</w:t>
      </w:r>
    </w:p>
    <w:p w:rsidR="00E3279A" w:rsidRDefault="00E3279A" w:rsidP="00E3279A">
      <w:pPr>
        <w:jc w:val="both"/>
        <w:rPr>
          <w:b/>
          <w:color w:val="000000" w:themeColor="text1"/>
        </w:rPr>
      </w:pPr>
    </w:p>
    <w:p w:rsidR="00E3279A" w:rsidRDefault="00E3279A" w:rsidP="00E3279A">
      <w:pPr>
        <w:jc w:val="both"/>
        <w:rPr>
          <w:b/>
          <w:color w:val="000000" w:themeColor="text1"/>
        </w:rPr>
      </w:pPr>
      <w:r>
        <w:rPr>
          <w:b/>
          <w:color w:val="000000" w:themeColor="text1"/>
        </w:rPr>
        <w:t>K bodom 20 až 27</w:t>
      </w:r>
    </w:p>
    <w:p w:rsidR="00E3279A" w:rsidRPr="00B76255" w:rsidRDefault="00E3279A" w:rsidP="00E3279A">
      <w:pPr>
        <w:jc w:val="both"/>
        <w:rPr>
          <w:color w:val="000000" w:themeColor="text1"/>
        </w:rPr>
      </w:pPr>
      <w:r w:rsidRPr="00B76255">
        <w:rPr>
          <w:color w:val="000000" w:themeColor="text1"/>
        </w:rPr>
        <w:t xml:space="preserve">Precizovanie ustanovení v nadväznosti na zjednotenie regulácie </w:t>
      </w:r>
      <w:r w:rsidRPr="00112027">
        <w:rPr>
          <w:color w:val="000000" w:themeColor="text1"/>
        </w:rPr>
        <w:t xml:space="preserve">bezpečnostných opatrení tak, aby sa na všetky </w:t>
      </w:r>
      <w:r>
        <w:rPr>
          <w:color w:val="000000" w:themeColor="text1"/>
        </w:rPr>
        <w:t xml:space="preserve">dotknuté </w:t>
      </w:r>
      <w:r w:rsidRPr="00112027">
        <w:rPr>
          <w:color w:val="000000" w:themeColor="text1"/>
        </w:rPr>
        <w:t>subjekty</w:t>
      </w:r>
      <w:r>
        <w:rPr>
          <w:color w:val="000000" w:themeColor="text1"/>
        </w:rPr>
        <w:t xml:space="preserve"> </w:t>
      </w:r>
      <w:r w:rsidRPr="00112027">
        <w:rPr>
          <w:color w:val="000000" w:themeColor="text1"/>
        </w:rPr>
        <w:t xml:space="preserve">vzťahovali opatrenia podľa zákona o kybernetickej </w:t>
      </w:r>
      <w:r w:rsidRPr="00112027">
        <w:rPr>
          <w:color w:val="000000" w:themeColor="text1"/>
        </w:rPr>
        <w:lastRenderedPageBreak/>
        <w:t>bezpečnosti</w:t>
      </w:r>
      <w:r>
        <w:rPr>
          <w:color w:val="000000" w:themeColor="text1"/>
        </w:rPr>
        <w:t xml:space="preserve"> a následne, aby zákon č. 95/2019 Z. z. obsahoval iba tie bezpečnostné opatrenia, ktoré sú špecifické pre sektor verejnej správy.</w:t>
      </w:r>
    </w:p>
    <w:p w:rsidR="00E3279A" w:rsidRDefault="00E3279A" w:rsidP="00E3279A">
      <w:pPr>
        <w:jc w:val="both"/>
        <w:rPr>
          <w:b/>
          <w:color w:val="000000" w:themeColor="text1"/>
          <w:u w:val="single"/>
        </w:rPr>
      </w:pPr>
    </w:p>
    <w:p w:rsidR="00E3279A" w:rsidRDefault="00E3279A" w:rsidP="00E3279A">
      <w:pPr>
        <w:jc w:val="both"/>
        <w:rPr>
          <w:b/>
          <w:color w:val="000000" w:themeColor="text1"/>
        </w:rPr>
      </w:pPr>
      <w:r>
        <w:rPr>
          <w:b/>
          <w:color w:val="000000" w:themeColor="text1"/>
        </w:rPr>
        <w:t>K bodom 28 až 32</w:t>
      </w:r>
    </w:p>
    <w:p w:rsidR="00E3279A" w:rsidRDefault="00E3279A" w:rsidP="00E3279A">
      <w:pPr>
        <w:jc w:val="both"/>
        <w:rPr>
          <w:color w:val="000000" w:themeColor="text1"/>
        </w:rPr>
      </w:pPr>
      <w:r>
        <w:rPr>
          <w:color w:val="000000" w:themeColor="text1"/>
        </w:rPr>
        <w:t>Legislatívno-technická úprava</w:t>
      </w:r>
    </w:p>
    <w:p w:rsidR="00E3279A" w:rsidRPr="00112027" w:rsidRDefault="00E3279A" w:rsidP="00E3279A">
      <w:pPr>
        <w:jc w:val="both"/>
        <w:rPr>
          <w:b/>
          <w:color w:val="000000" w:themeColor="text1"/>
          <w:u w:val="single"/>
        </w:rPr>
      </w:pPr>
    </w:p>
    <w:p w:rsidR="00E3279A" w:rsidRPr="00112027" w:rsidRDefault="00E3279A" w:rsidP="00E3279A">
      <w:pPr>
        <w:jc w:val="both"/>
        <w:rPr>
          <w:b/>
          <w:color w:val="000000" w:themeColor="text1"/>
          <w:u w:val="single"/>
        </w:rPr>
      </w:pPr>
      <w:r w:rsidRPr="00112027">
        <w:rPr>
          <w:b/>
          <w:color w:val="000000" w:themeColor="text1"/>
          <w:u w:val="single"/>
        </w:rPr>
        <w:t>K čl. V</w:t>
      </w:r>
    </w:p>
    <w:p w:rsidR="00E3279A" w:rsidRPr="00112027" w:rsidRDefault="00E3279A" w:rsidP="00E3279A">
      <w:pPr>
        <w:jc w:val="both"/>
        <w:rPr>
          <w:b/>
          <w:color w:val="000000" w:themeColor="text1"/>
          <w:u w:val="single"/>
        </w:rPr>
      </w:pPr>
    </w:p>
    <w:p w:rsidR="00E3279A" w:rsidRPr="00112027" w:rsidRDefault="00E3279A" w:rsidP="00E3279A">
      <w:pPr>
        <w:jc w:val="both"/>
        <w:rPr>
          <w:color w:val="000000" w:themeColor="text1"/>
        </w:rPr>
      </w:pPr>
      <w:r w:rsidRPr="00112027">
        <w:rPr>
          <w:color w:val="000000" w:themeColor="text1"/>
        </w:rPr>
        <w:t xml:space="preserve">Za deň nadobudnutia účinnosti návrhu zákona sa navrhuje 1. </w:t>
      </w:r>
      <w:r w:rsidR="00E4584F">
        <w:rPr>
          <w:color w:val="000000" w:themeColor="text1"/>
        </w:rPr>
        <w:t>jú</w:t>
      </w:r>
      <w:r>
        <w:rPr>
          <w:color w:val="000000" w:themeColor="text1"/>
        </w:rPr>
        <w:t xml:space="preserve">la </w:t>
      </w:r>
      <w:r w:rsidRPr="00112027">
        <w:rPr>
          <w:color w:val="000000" w:themeColor="text1"/>
        </w:rPr>
        <w:t>2021.</w:t>
      </w:r>
    </w:p>
    <w:p w:rsidR="00E3279A" w:rsidRDefault="00E3279A" w:rsidP="00E3279A"/>
    <w:p w:rsidR="00E3279A" w:rsidRDefault="00E3279A" w:rsidP="006272E8"/>
    <w:p w:rsidR="00E3279A" w:rsidRDefault="00E4584F" w:rsidP="00E3279A">
      <w:r>
        <w:t>Bratislava 24</w:t>
      </w:r>
      <w:r w:rsidR="00E3279A">
        <w:t xml:space="preserve">. </w:t>
      </w:r>
      <w:r>
        <w:t>febr</w:t>
      </w:r>
      <w:r w:rsidR="00E3279A">
        <w:t>uára 2021</w:t>
      </w:r>
    </w:p>
    <w:p w:rsidR="00E3279A" w:rsidRDefault="00E3279A" w:rsidP="00E3279A"/>
    <w:p w:rsidR="00E3279A" w:rsidRDefault="00E3279A" w:rsidP="00E3279A">
      <w:pPr>
        <w:jc w:val="center"/>
        <w:rPr>
          <w:b/>
        </w:rPr>
      </w:pPr>
    </w:p>
    <w:p w:rsidR="00E3279A" w:rsidRDefault="00E3279A" w:rsidP="00E3279A">
      <w:pPr>
        <w:jc w:val="center"/>
        <w:rPr>
          <w:b/>
        </w:rPr>
      </w:pPr>
    </w:p>
    <w:p w:rsidR="00E3279A" w:rsidRDefault="00E3279A" w:rsidP="00E3279A">
      <w:pPr>
        <w:jc w:val="center"/>
        <w:rPr>
          <w:b/>
        </w:rPr>
      </w:pPr>
    </w:p>
    <w:p w:rsidR="00E3279A" w:rsidRDefault="00E3279A" w:rsidP="00E3279A">
      <w:pPr>
        <w:jc w:val="center"/>
        <w:rPr>
          <w:b/>
        </w:rPr>
      </w:pPr>
    </w:p>
    <w:p w:rsidR="00E3279A" w:rsidRDefault="00E3279A" w:rsidP="00E3279A">
      <w:pPr>
        <w:jc w:val="center"/>
        <w:rPr>
          <w:b/>
        </w:rPr>
      </w:pPr>
    </w:p>
    <w:p w:rsidR="00E3279A" w:rsidRDefault="00E3279A" w:rsidP="00E3279A">
      <w:pPr>
        <w:jc w:val="center"/>
        <w:rPr>
          <w:b/>
        </w:rPr>
      </w:pPr>
      <w:r>
        <w:rPr>
          <w:b/>
        </w:rPr>
        <w:t xml:space="preserve">Igor Matovič </w:t>
      </w:r>
      <w:r w:rsidR="001C0CC3">
        <w:rPr>
          <w:b/>
        </w:rPr>
        <w:t>v. r.</w:t>
      </w:r>
    </w:p>
    <w:p w:rsidR="00E3279A" w:rsidRDefault="00E3279A" w:rsidP="00E3279A">
      <w:pPr>
        <w:jc w:val="center"/>
      </w:pPr>
      <w:r>
        <w:t>predseda vlády</w:t>
      </w:r>
    </w:p>
    <w:p w:rsidR="00E3279A" w:rsidRDefault="00E3279A" w:rsidP="00E3279A">
      <w:pPr>
        <w:jc w:val="center"/>
      </w:pPr>
      <w:r>
        <w:t>Slovenskej republiky</w:t>
      </w:r>
    </w:p>
    <w:p w:rsidR="00E3279A" w:rsidRDefault="00E3279A" w:rsidP="00E3279A">
      <w:pPr>
        <w:spacing w:before="120"/>
      </w:pPr>
    </w:p>
    <w:p w:rsidR="00E3279A" w:rsidRDefault="00E3279A" w:rsidP="00E3279A">
      <w:pPr>
        <w:spacing w:before="120"/>
      </w:pPr>
    </w:p>
    <w:p w:rsidR="00E3279A" w:rsidRDefault="00E3279A" w:rsidP="00E3279A">
      <w:pPr>
        <w:spacing w:before="120"/>
      </w:pPr>
    </w:p>
    <w:p w:rsidR="00E3279A" w:rsidRDefault="00E3279A" w:rsidP="00E3279A">
      <w:pPr>
        <w:spacing w:before="120"/>
      </w:pPr>
    </w:p>
    <w:p w:rsidR="00E3279A" w:rsidRDefault="000A69CF" w:rsidP="00E3279A">
      <w:pPr>
        <w:jc w:val="center"/>
        <w:rPr>
          <w:b/>
        </w:rPr>
      </w:pPr>
      <w:r>
        <w:rPr>
          <w:b/>
        </w:rPr>
        <w:t>Roman Konečný</w:t>
      </w:r>
      <w:r w:rsidR="001C0CC3">
        <w:rPr>
          <w:b/>
        </w:rPr>
        <w:t xml:space="preserve"> v. r.</w:t>
      </w:r>
    </w:p>
    <w:p w:rsidR="00E3279A" w:rsidRDefault="000A69CF" w:rsidP="00E3279A">
      <w:pPr>
        <w:jc w:val="center"/>
      </w:pPr>
      <w:r>
        <w:t>riaditeľ Národného bezpečnostného úradu</w:t>
      </w:r>
    </w:p>
    <w:p w:rsidR="00E3279A" w:rsidRPr="006272E8" w:rsidRDefault="00E3279A" w:rsidP="006272E8"/>
    <w:sectPr w:rsidR="00E3279A" w:rsidRPr="006272E8" w:rsidSect="00687B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65D" w:rsidRDefault="00C0265D" w:rsidP="004002B7">
      <w:r>
        <w:separator/>
      </w:r>
    </w:p>
  </w:endnote>
  <w:endnote w:type="continuationSeparator" w:id="0">
    <w:p w:rsidR="00C0265D" w:rsidRDefault="00C0265D" w:rsidP="0040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5D" w:rsidRDefault="00C0265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C0265D" w:rsidRDefault="00C0265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964687"/>
      <w:docPartObj>
        <w:docPartGallery w:val="Page Numbers (Bottom of Page)"/>
        <w:docPartUnique/>
      </w:docPartObj>
    </w:sdtPr>
    <w:sdtContent>
      <w:p w:rsidR="00C0265D" w:rsidRDefault="00C0265D">
        <w:pPr>
          <w:pStyle w:val="Pta"/>
          <w:jc w:val="center"/>
        </w:pPr>
        <w:r>
          <w:fldChar w:fldCharType="begin"/>
        </w:r>
        <w:r>
          <w:instrText>PAGE   \* MERGEFORMAT</w:instrText>
        </w:r>
        <w:r>
          <w:fldChar w:fldCharType="separate"/>
        </w:r>
        <w:r w:rsidR="00D67A10">
          <w:rPr>
            <w:noProof/>
          </w:rPr>
          <w:t>8</w:t>
        </w:r>
        <w:r>
          <w:fldChar w:fldCharType="end"/>
        </w:r>
      </w:p>
    </w:sdtContent>
  </w:sdt>
  <w:p w:rsidR="00C0265D" w:rsidRDefault="00C0265D">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5D" w:rsidRDefault="00C0265D">
    <w:pPr>
      <w:pStyle w:val="Pta"/>
      <w:jc w:val="right"/>
    </w:pPr>
    <w:r>
      <w:fldChar w:fldCharType="begin"/>
    </w:r>
    <w:r>
      <w:instrText>PAGE   \* MERGEFORMAT</w:instrText>
    </w:r>
    <w:r>
      <w:fldChar w:fldCharType="separate"/>
    </w:r>
    <w:r>
      <w:rPr>
        <w:noProof/>
      </w:rPr>
      <w:t>0</w:t>
    </w:r>
    <w:r>
      <w:fldChar w:fldCharType="end"/>
    </w:r>
  </w:p>
  <w:p w:rsidR="00C0265D" w:rsidRDefault="00C0265D">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189089"/>
      <w:docPartObj>
        <w:docPartGallery w:val="Page Numbers (Bottom of Page)"/>
        <w:docPartUnique/>
      </w:docPartObj>
    </w:sdtPr>
    <w:sdtContent>
      <w:p w:rsidR="00C0265D" w:rsidRDefault="00C0265D">
        <w:pPr>
          <w:pStyle w:val="Pta"/>
          <w:jc w:val="center"/>
        </w:pPr>
        <w:r>
          <w:fldChar w:fldCharType="begin"/>
        </w:r>
        <w:r>
          <w:instrText>PAGE   \* MERGEFORMAT</w:instrText>
        </w:r>
        <w:r>
          <w:fldChar w:fldCharType="separate"/>
        </w:r>
        <w:r w:rsidR="00D67A10">
          <w:rPr>
            <w:noProof/>
          </w:rPr>
          <w:t>27</w:t>
        </w:r>
        <w:r>
          <w:fldChar w:fldCharType="end"/>
        </w:r>
      </w:p>
    </w:sdtContent>
  </w:sdt>
  <w:p w:rsidR="00C0265D" w:rsidRDefault="00C026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65D" w:rsidRDefault="00C0265D" w:rsidP="004002B7">
      <w:r>
        <w:separator/>
      </w:r>
    </w:p>
  </w:footnote>
  <w:footnote w:type="continuationSeparator" w:id="0">
    <w:p w:rsidR="00C0265D" w:rsidRDefault="00C0265D" w:rsidP="00400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5D" w:rsidRDefault="00C0265D" w:rsidP="00E3279A">
    <w:pPr>
      <w:pStyle w:val="Hlavika"/>
      <w:jc w:val="right"/>
    </w:pPr>
    <w:r>
      <w:t>Príloha č. 2</w:t>
    </w:r>
  </w:p>
  <w:p w:rsidR="00C0265D" w:rsidRPr="00EB59C8" w:rsidRDefault="00C0265D" w:rsidP="00E3279A">
    <w:pPr>
      <w:pStyle w:val="Hlavik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5D" w:rsidRPr="000A15AE" w:rsidRDefault="00C0265D" w:rsidP="00E3279A">
    <w:pPr>
      <w:pStyle w:val="Hlavika"/>
      <w:jc w:val="right"/>
    </w:pPr>
    <w: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73E1"/>
    <w:multiLevelType w:val="hybridMultilevel"/>
    <w:tmpl w:val="88C427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AE2D46"/>
    <w:multiLevelType w:val="hybridMultilevel"/>
    <w:tmpl w:val="1C2E5904"/>
    <w:lvl w:ilvl="0" w:tplc="354880EA">
      <w:start w:val="15"/>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4EB54ABC"/>
    <w:multiLevelType w:val="hybridMultilevel"/>
    <w:tmpl w:val="3FCA8D8E"/>
    <w:lvl w:ilvl="0" w:tplc="48A69F9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8854A1"/>
    <w:multiLevelType w:val="multilevel"/>
    <w:tmpl w:val="041B001D"/>
    <w:styleLink w:val="tl1"/>
    <w:lvl w:ilvl="0">
      <w:start w:val="1"/>
      <w:numFmt w:val="bullet"/>
      <w:lvlText w:val="§"/>
      <w:lvlJc w:val="left"/>
      <w:pPr>
        <w:ind w:left="360" w:hanging="360"/>
      </w:pPr>
      <w:rPr>
        <w:rFonts w:ascii="Times New Roman" w:hAnsi="Times New Roman" w:cs="Times New Roman"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E6"/>
    <w:rsid w:val="00037CBE"/>
    <w:rsid w:val="00046DDB"/>
    <w:rsid w:val="00050254"/>
    <w:rsid w:val="00053F1F"/>
    <w:rsid w:val="00054378"/>
    <w:rsid w:val="000617DA"/>
    <w:rsid w:val="00072436"/>
    <w:rsid w:val="000A69CF"/>
    <w:rsid w:val="000B2599"/>
    <w:rsid w:val="000B4DDF"/>
    <w:rsid w:val="000D4582"/>
    <w:rsid w:val="000E28EA"/>
    <w:rsid w:val="000F1D40"/>
    <w:rsid w:val="000F47F8"/>
    <w:rsid w:val="00113DED"/>
    <w:rsid w:val="00121F8A"/>
    <w:rsid w:val="001322E0"/>
    <w:rsid w:val="00170F23"/>
    <w:rsid w:val="001C0CC3"/>
    <w:rsid w:val="001F5DDB"/>
    <w:rsid w:val="0021545C"/>
    <w:rsid w:val="0023187B"/>
    <w:rsid w:val="002437E0"/>
    <w:rsid w:val="00276CFC"/>
    <w:rsid w:val="002770E9"/>
    <w:rsid w:val="00286F0A"/>
    <w:rsid w:val="002873D5"/>
    <w:rsid w:val="002B1B47"/>
    <w:rsid w:val="002D2C1C"/>
    <w:rsid w:val="003244B1"/>
    <w:rsid w:val="00345C9B"/>
    <w:rsid w:val="00361993"/>
    <w:rsid w:val="00362CC2"/>
    <w:rsid w:val="003744A6"/>
    <w:rsid w:val="00375BB5"/>
    <w:rsid w:val="00385709"/>
    <w:rsid w:val="003914CC"/>
    <w:rsid w:val="003E15B3"/>
    <w:rsid w:val="003E5135"/>
    <w:rsid w:val="004002B7"/>
    <w:rsid w:val="00411272"/>
    <w:rsid w:val="00413D67"/>
    <w:rsid w:val="0042180A"/>
    <w:rsid w:val="004312C3"/>
    <w:rsid w:val="004426ED"/>
    <w:rsid w:val="00451B5E"/>
    <w:rsid w:val="00475B25"/>
    <w:rsid w:val="004B6B60"/>
    <w:rsid w:val="004D61CD"/>
    <w:rsid w:val="00540037"/>
    <w:rsid w:val="00545A67"/>
    <w:rsid w:val="00545B97"/>
    <w:rsid w:val="00560025"/>
    <w:rsid w:val="0057359D"/>
    <w:rsid w:val="005923E3"/>
    <w:rsid w:val="005A688E"/>
    <w:rsid w:val="005B0FC6"/>
    <w:rsid w:val="005C080C"/>
    <w:rsid w:val="005D57F7"/>
    <w:rsid w:val="00603B92"/>
    <w:rsid w:val="00612088"/>
    <w:rsid w:val="00614E88"/>
    <w:rsid w:val="00615170"/>
    <w:rsid w:val="00620302"/>
    <w:rsid w:val="006272E8"/>
    <w:rsid w:val="00627D76"/>
    <w:rsid w:val="00630CA9"/>
    <w:rsid w:val="00650063"/>
    <w:rsid w:val="00687BAE"/>
    <w:rsid w:val="006A4ECB"/>
    <w:rsid w:val="006C3AF6"/>
    <w:rsid w:val="006C3EE6"/>
    <w:rsid w:val="006C6BAF"/>
    <w:rsid w:val="006D217E"/>
    <w:rsid w:val="00700F86"/>
    <w:rsid w:val="0071669B"/>
    <w:rsid w:val="0072634F"/>
    <w:rsid w:val="00730521"/>
    <w:rsid w:val="007325E9"/>
    <w:rsid w:val="0074720B"/>
    <w:rsid w:val="00750229"/>
    <w:rsid w:val="00760292"/>
    <w:rsid w:val="00770D5D"/>
    <w:rsid w:val="007C2CBD"/>
    <w:rsid w:val="007C3087"/>
    <w:rsid w:val="007C5FC0"/>
    <w:rsid w:val="008172FA"/>
    <w:rsid w:val="0082486D"/>
    <w:rsid w:val="008252F6"/>
    <w:rsid w:val="0083005F"/>
    <w:rsid w:val="008375FD"/>
    <w:rsid w:val="00840920"/>
    <w:rsid w:val="0084294C"/>
    <w:rsid w:val="00867375"/>
    <w:rsid w:val="00897DE8"/>
    <w:rsid w:val="008B3822"/>
    <w:rsid w:val="00907A7B"/>
    <w:rsid w:val="009228E6"/>
    <w:rsid w:val="00947F87"/>
    <w:rsid w:val="00961C78"/>
    <w:rsid w:val="009622E0"/>
    <w:rsid w:val="00975650"/>
    <w:rsid w:val="009854B3"/>
    <w:rsid w:val="009934C0"/>
    <w:rsid w:val="009D5A0C"/>
    <w:rsid w:val="009D764C"/>
    <w:rsid w:val="00A10437"/>
    <w:rsid w:val="00A13A04"/>
    <w:rsid w:val="00A229F3"/>
    <w:rsid w:val="00A260E7"/>
    <w:rsid w:val="00A5725D"/>
    <w:rsid w:val="00A7449E"/>
    <w:rsid w:val="00AB50EA"/>
    <w:rsid w:val="00AB767C"/>
    <w:rsid w:val="00AD7D97"/>
    <w:rsid w:val="00B071FD"/>
    <w:rsid w:val="00B07820"/>
    <w:rsid w:val="00B07D62"/>
    <w:rsid w:val="00B254ED"/>
    <w:rsid w:val="00B62ABA"/>
    <w:rsid w:val="00B82E01"/>
    <w:rsid w:val="00B86908"/>
    <w:rsid w:val="00B87858"/>
    <w:rsid w:val="00B902D5"/>
    <w:rsid w:val="00B9394F"/>
    <w:rsid w:val="00B96861"/>
    <w:rsid w:val="00BC4801"/>
    <w:rsid w:val="00BD57BB"/>
    <w:rsid w:val="00BE4778"/>
    <w:rsid w:val="00C0265D"/>
    <w:rsid w:val="00C122C7"/>
    <w:rsid w:val="00C16BE4"/>
    <w:rsid w:val="00C21528"/>
    <w:rsid w:val="00C24329"/>
    <w:rsid w:val="00C24A1E"/>
    <w:rsid w:val="00C31606"/>
    <w:rsid w:val="00C62B28"/>
    <w:rsid w:val="00C90D86"/>
    <w:rsid w:val="00C965EE"/>
    <w:rsid w:val="00CF4472"/>
    <w:rsid w:val="00D26144"/>
    <w:rsid w:val="00D4258B"/>
    <w:rsid w:val="00D56F24"/>
    <w:rsid w:val="00D61A8B"/>
    <w:rsid w:val="00D61E50"/>
    <w:rsid w:val="00D67A10"/>
    <w:rsid w:val="00D81AE8"/>
    <w:rsid w:val="00D92BAC"/>
    <w:rsid w:val="00D96A9B"/>
    <w:rsid w:val="00DA2821"/>
    <w:rsid w:val="00DD74E1"/>
    <w:rsid w:val="00DE3C2B"/>
    <w:rsid w:val="00DF424C"/>
    <w:rsid w:val="00E0775D"/>
    <w:rsid w:val="00E25369"/>
    <w:rsid w:val="00E26E5F"/>
    <w:rsid w:val="00E3138A"/>
    <w:rsid w:val="00E3279A"/>
    <w:rsid w:val="00E4584F"/>
    <w:rsid w:val="00E4654F"/>
    <w:rsid w:val="00E57468"/>
    <w:rsid w:val="00E57BC6"/>
    <w:rsid w:val="00E742B9"/>
    <w:rsid w:val="00E969BD"/>
    <w:rsid w:val="00EA68DE"/>
    <w:rsid w:val="00EB341E"/>
    <w:rsid w:val="00EB4A97"/>
    <w:rsid w:val="00ED2939"/>
    <w:rsid w:val="00EE041C"/>
    <w:rsid w:val="00EE0C5F"/>
    <w:rsid w:val="00EF6044"/>
    <w:rsid w:val="00F0779A"/>
    <w:rsid w:val="00FA3E8D"/>
    <w:rsid w:val="00FF5A24"/>
    <w:rsid w:val="00FF73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2DB48-385E-4C52-83B8-0994A9D9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68D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B87858"/>
    <w:pPr>
      <w:keepNext/>
      <w:outlineLvl w:val="0"/>
    </w:pPr>
    <w:rPr>
      <w:szCs w:val="20"/>
    </w:rPr>
  </w:style>
  <w:style w:type="paragraph" w:styleId="Nadpis2">
    <w:name w:val="heading 2"/>
    <w:basedOn w:val="Normlny"/>
    <w:next w:val="Normlny"/>
    <w:link w:val="Nadpis2Char"/>
    <w:uiPriority w:val="9"/>
    <w:semiHidden/>
    <w:unhideWhenUsed/>
    <w:qFormat/>
    <w:rsid w:val="00B878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uiPriority w:val="9"/>
    <w:semiHidden/>
    <w:unhideWhenUsed/>
    <w:qFormat/>
    <w:rsid w:val="00B87858"/>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785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
    <w:semiHidden/>
    <w:rsid w:val="00B87858"/>
    <w:rPr>
      <w:rFonts w:asciiTheme="majorHAnsi" w:eastAsiaTheme="majorEastAsia" w:hAnsiTheme="majorHAnsi" w:cstheme="majorBidi"/>
      <w:b/>
      <w:bCs/>
      <w:color w:val="4F81BD" w:themeColor="accent1"/>
      <w:sz w:val="26"/>
      <w:szCs w:val="26"/>
      <w:lang w:eastAsia="sk-SK"/>
    </w:rPr>
  </w:style>
  <w:style w:type="character" w:customStyle="1" w:styleId="Nadpis5Char">
    <w:name w:val="Nadpis 5 Char"/>
    <w:basedOn w:val="Predvolenpsmoodseku"/>
    <w:link w:val="Nadpis5"/>
    <w:uiPriority w:val="9"/>
    <w:semiHidden/>
    <w:rsid w:val="00B87858"/>
    <w:rPr>
      <w:rFonts w:asciiTheme="majorHAnsi" w:eastAsiaTheme="majorEastAsia" w:hAnsiTheme="majorHAnsi" w:cstheme="majorBidi"/>
      <w:color w:val="243F60" w:themeColor="accent1" w:themeShade="7F"/>
      <w:sz w:val="24"/>
      <w:szCs w:val="24"/>
      <w:lang w:eastAsia="sk-SK"/>
    </w:rPr>
  </w:style>
  <w:style w:type="paragraph" w:styleId="Nzov">
    <w:name w:val="Title"/>
    <w:basedOn w:val="Normlny"/>
    <w:link w:val="NzovChar"/>
    <w:qFormat/>
    <w:rsid w:val="00B87858"/>
    <w:pPr>
      <w:jc w:val="center"/>
    </w:pPr>
    <w:rPr>
      <w:sz w:val="28"/>
      <w:szCs w:val="20"/>
    </w:rPr>
  </w:style>
  <w:style w:type="character" w:customStyle="1" w:styleId="NzovChar">
    <w:name w:val="Názov Char"/>
    <w:basedOn w:val="Predvolenpsmoodseku"/>
    <w:link w:val="Nzov"/>
    <w:rsid w:val="00B87858"/>
    <w:rPr>
      <w:rFonts w:ascii="Times New Roman" w:eastAsia="Times New Roman" w:hAnsi="Times New Roman" w:cs="Times New Roman"/>
      <w:sz w:val="28"/>
      <w:szCs w:val="20"/>
      <w:lang w:eastAsia="sk-SK"/>
    </w:rPr>
  </w:style>
  <w:style w:type="paragraph" w:customStyle="1" w:styleId="Default">
    <w:name w:val="Default"/>
    <w:rsid w:val="00B87858"/>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99"/>
    <w:rsid w:val="00B8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B87858"/>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B87858"/>
    <w:rPr>
      <w:rFonts w:ascii="Tahoma" w:hAnsi="Tahoma" w:cs="Tahoma"/>
      <w:sz w:val="16"/>
      <w:szCs w:val="16"/>
    </w:rPr>
  </w:style>
  <w:style w:type="character" w:customStyle="1" w:styleId="TextbublinyChar">
    <w:name w:val="Text bubliny Char"/>
    <w:basedOn w:val="Predvolenpsmoodseku"/>
    <w:link w:val="Textbubliny"/>
    <w:uiPriority w:val="99"/>
    <w:semiHidden/>
    <w:rsid w:val="00B87858"/>
    <w:rPr>
      <w:rFonts w:ascii="Tahoma" w:eastAsia="Times New Roman" w:hAnsi="Tahoma" w:cs="Tahoma"/>
      <w:sz w:val="16"/>
      <w:szCs w:val="16"/>
      <w:lang w:eastAsia="sk-SK"/>
    </w:rPr>
  </w:style>
  <w:style w:type="paragraph" w:styleId="Hlavika">
    <w:name w:val="header"/>
    <w:basedOn w:val="Normlny"/>
    <w:link w:val="HlavikaChar"/>
    <w:uiPriority w:val="99"/>
    <w:unhideWhenUsed/>
    <w:rsid w:val="00B87858"/>
    <w:pPr>
      <w:tabs>
        <w:tab w:val="center" w:pos="4536"/>
        <w:tab w:val="right" w:pos="9072"/>
      </w:tabs>
    </w:pPr>
  </w:style>
  <w:style w:type="character" w:customStyle="1" w:styleId="HlavikaChar">
    <w:name w:val="Hlavička Char"/>
    <w:basedOn w:val="Predvolenpsmoodseku"/>
    <w:link w:val="Hlavika"/>
    <w:uiPriority w:val="99"/>
    <w:rsid w:val="00B8785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87858"/>
    <w:pPr>
      <w:tabs>
        <w:tab w:val="center" w:pos="4536"/>
        <w:tab w:val="right" w:pos="9072"/>
      </w:tabs>
    </w:pPr>
  </w:style>
  <w:style w:type="character" w:customStyle="1" w:styleId="PtaChar">
    <w:name w:val="Päta Char"/>
    <w:basedOn w:val="Predvolenpsmoodseku"/>
    <w:link w:val="Pta"/>
    <w:uiPriority w:val="99"/>
    <w:rsid w:val="00B87858"/>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B87858"/>
    <w:pPr>
      <w:spacing w:before="100" w:beforeAutospacing="1" w:after="100" w:afterAutospacing="1"/>
    </w:pPr>
  </w:style>
  <w:style w:type="character" w:styleId="Siln">
    <w:name w:val="Strong"/>
    <w:uiPriority w:val="22"/>
    <w:qFormat/>
    <w:rsid w:val="00B87858"/>
    <w:rPr>
      <w:b/>
      <w:bCs/>
    </w:rPr>
  </w:style>
  <w:style w:type="character" w:styleId="Zstupntext">
    <w:name w:val="Placeholder Text"/>
    <w:uiPriority w:val="99"/>
    <w:semiHidden/>
    <w:rsid w:val="00B87858"/>
    <w:rPr>
      <w:rFonts w:ascii="Times New Roman" w:hAnsi="Times New Roman" w:cs="Times New Roman"/>
      <w:color w:val="808080"/>
    </w:rPr>
  </w:style>
  <w:style w:type="character" w:styleId="Odkaznakomentr">
    <w:name w:val="annotation reference"/>
    <w:basedOn w:val="Predvolenpsmoodseku"/>
    <w:uiPriority w:val="99"/>
    <w:semiHidden/>
    <w:unhideWhenUsed/>
    <w:rsid w:val="00B87858"/>
    <w:rPr>
      <w:sz w:val="16"/>
      <w:szCs w:val="16"/>
    </w:rPr>
  </w:style>
  <w:style w:type="paragraph" w:styleId="Textkomentra">
    <w:name w:val="annotation text"/>
    <w:basedOn w:val="Normlny"/>
    <w:link w:val="TextkomentraChar"/>
    <w:uiPriority w:val="99"/>
    <w:unhideWhenUsed/>
    <w:rsid w:val="00B87858"/>
    <w:rPr>
      <w:sz w:val="20"/>
      <w:szCs w:val="20"/>
    </w:rPr>
  </w:style>
  <w:style w:type="character" w:customStyle="1" w:styleId="TextkomentraChar">
    <w:name w:val="Text komentára Char"/>
    <w:basedOn w:val="Predvolenpsmoodseku"/>
    <w:link w:val="Textkomentra"/>
    <w:uiPriority w:val="99"/>
    <w:rsid w:val="00B8785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87858"/>
    <w:rPr>
      <w:b/>
      <w:bCs/>
    </w:rPr>
  </w:style>
  <w:style w:type="character" w:customStyle="1" w:styleId="PredmetkomentraChar">
    <w:name w:val="Predmet komentára Char"/>
    <w:basedOn w:val="TextkomentraChar"/>
    <w:link w:val="Predmetkomentra"/>
    <w:uiPriority w:val="99"/>
    <w:semiHidden/>
    <w:rsid w:val="00B87858"/>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B87858"/>
    <w:rPr>
      <w:color w:val="0000FF" w:themeColor="hyperlink"/>
      <w:u w:val="single"/>
    </w:rPr>
  </w:style>
  <w:style w:type="paragraph" w:styleId="Textpoznmkypodiarou">
    <w:name w:val="footnote text"/>
    <w:basedOn w:val="Normlny"/>
    <w:link w:val="TextpoznmkypodiarouChar"/>
    <w:uiPriority w:val="99"/>
    <w:unhideWhenUsed/>
    <w:rsid w:val="00B87858"/>
    <w:rPr>
      <w:sz w:val="20"/>
      <w:szCs w:val="20"/>
      <w:lang w:bidi="sk-SK"/>
    </w:rPr>
  </w:style>
  <w:style w:type="character" w:customStyle="1" w:styleId="TextpoznmkypodiarouChar">
    <w:name w:val="Text poznámky pod čiarou Char"/>
    <w:basedOn w:val="Predvolenpsmoodseku"/>
    <w:link w:val="Textpoznmkypodiarou"/>
    <w:uiPriority w:val="99"/>
    <w:rsid w:val="00B87858"/>
    <w:rPr>
      <w:rFonts w:ascii="Times New Roman" w:eastAsia="Times New Roman" w:hAnsi="Times New Roman" w:cs="Times New Roman"/>
      <w:sz w:val="20"/>
      <w:szCs w:val="20"/>
      <w:lang w:eastAsia="sk-SK" w:bidi="sk-SK"/>
    </w:rPr>
  </w:style>
  <w:style w:type="character" w:styleId="Odkaznapoznmkupodiarou">
    <w:name w:val="footnote reference"/>
    <w:basedOn w:val="Predvolenpsmoodseku"/>
    <w:uiPriority w:val="99"/>
    <w:semiHidden/>
    <w:unhideWhenUsed/>
    <w:rsid w:val="00B87858"/>
    <w:rPr>
      <w:vertAlign w:val="superscript"/>
    </w:rPr>
  </w:style>
  <w:style w:type="paragraph" w:styleId="Revzia">
    <w:name w:val="Revision"/>
    <w:hidden/>
    <w:uiPriority w:val="99"/>
    <w:semiHidden/>
    <w:rsid w:val="00B87858"/>
    <w:pPr>
      <w:spacing w:after="0" w:line="240" w:lineRule="auto"/>
    </w:pPr>
    <w:rPr>
      <w:rFonts w:ascii="Times New Roman" w:eastAsia="Times New Roman" w:hAnsi="Times New Roman" w:cs="Times New Roman"/>
      <w:sz w:val="20"/>
      <w:szCs w:val="20"/>
      <w:lang w:eastAsia="sk-SK" w:bidi="sk-SK"/>
    </w:rPr>
  </w:style>
  <w:style w:type="numbering" w:customStyle="1" w:styleId="tl1">
    <w:name w:val="Štýl1"/>
    <w:uiPriority w:val="99"/>
    <w:rsid w:val="00B87858"/>
    <w:pPr>
      <w:numPr>
        <w:numId w:val="1"/>
      </w:numPr>
    </w:pPr>
  </w:style>
  <w:style w:type="paragraph" w:styleId="Zkladntext2">
    <w:name w:val="Body Text 2"/>
    <w:basedOn w:val="Normlny"/>
    <w:link w:val="Zkladntext2Char"/>
    <w:uiPriority w:val="99"/>
    <w:unhideWhenUsed/>
    <w:rsid w:val="00B87858"/>
    <w:pPr>
      <w:jc w:val="both"/>
    </w:pPr>
  </w:style>
  <w:style w:type="character" w:customStyle="1" w:styleId="Zkladntext2Char">
    <w:name w:val="Základný text 2 Char"/>
    <w:basedOn w:val="Predvolenpsmoodseku"/>
    <w:link w:val="Zkladntext2"/>
    <w:uiPriority w:val="99"/>
    <w:rsid w:val="00B87858"/>
    <w:rPr>
      <w:rFonts w:ascii="Times New Roman" w:eastAsia="Times New Roman" w:hAnsi="Times New Roman" w:cs="Times New Roman"/>
      <w:sz w:val="24"/>
      <w:szCs w:val="24"/>
      <w:lang w:eastAsia="sk-SK"/>
    </w:rPr>
  </w:style>
  <w:style w:type="paragraph" w:customStyle="1" w:styleId="Normlny0">
    <w:name w:val="_Normálny"/>
    <w:basedOn w:val="Normlny"/>
    <w:rsid w:val="00B87858"/>
    <w:pPr>
      <w:widowControl w:val="0"/>
      <w:autoSpaceDE w:val="0"/>
      <w:autoSpaceDN w:val="0"/>
      <w:adjustRightInd w:val="0"/>
      <w:jc w:val="both"/>
    </w:pPr>
    <w:rPr>
      <w:sz w:val="20"/>
      <w:szCs w:val="20"/>
      <w:lang w:eastAsia="en-US"/>
    </w:rPr>
  </w:style>
  <w:style w:type="paragraph" w:customStyle="1" w:styleId="abc">
    <w:name w:val="abc"/>
    <w:basedOn w:val="Normlny"/>
    <w:uiPriority w:val="99"/>
    <w:rsid w:val="00B87858"/>
    <w:pPr>
      <w:widowControl w:val="0"/>
      <w:tabs>
        <w:tab w:val="left" w:pos="360"/>
        <w:tab w:val="left" w:pos="680"/>
      </w:tabs>
      <w:autoSpaceDE w:val="0"/>
      <w:autoSpaceDN w:val="0"/>
      <w:adjustRightInd w:val="0"/>
      <w:jc w:val="both"/>
    </w:pPr>
    <w:rPr>
      <w:sz w:val="20"/>
      <w:szCs w:val="20"/>
      <w:lang w:eastAsia="en-US"/>
    </w:rPr>
  </w:style>
  <w:style w:type="paragraph" w:customStyle="1" w:styleId="odsek">
    <w:name w:val="odsek"/>
    <w:basedOn w:val="Normlny"/>
    <w:rsid w:val="00B87858"/>
    <w:pPr>
      <w:keepNext/>
      <w:spacing w:before="60" w:after="60"/>
      <w:ind w:firstLine="709"/>
      <w:jc w:val="both"/>
    </w:pPr>
  </w:style>
  <w:style w:type="paragraph" w:customStyle="1" w:styleId="adda">
    <w:name w:val="adda"/>
    <w:basedOn w:val="Normlny"/>
    <w:rsid w:val="00B87858"/>
    <w:pPr>
      <w:keepNext/>
      <w:numPr>
        <w:ilvl w:val="1"/>
        <w:numId w:val="3"/>
      </w:numPr>
      <w:spacing w:before="60" w:after="60"/>
      <w:jc w:val="both"/>
    </w:pPr>
  </w:style>
  <w:style w:type="paragraph" w:customStyle="1" w:styleId="Normlny1">
    <w:name w:val="Normálny1"/>
    <w:rsid w:val="00B87858"/>
    <w:pPr>
      <w:widowControl w:val="0"/>
      <w:adjustRightInd w:val="0"/>
      <w:spacing w:after="0" w:line="360" w:lineRule="atLeast"/>
      <w:jc w:val="both"/>
    </w:pPr>
    <w:rPr>
      <w:rFonts w:ascii="Calibri" w:eastAsia="Times New Roman" w:hAnsi="Calibri" w:cs="Times New Roman"/>
      <w:color w:val="000000"/>
      <w:szCs w:val="20"/>
      <w:lang w:eastAsia="sk-SK"/>
    </w:rPr>
  </w:style>
  <w:style w:type="paragraph" w:customStyle="1" w:styleId="tl10ptPodaokraja">
    <w:name w:val="Štýl 10 pt Podľa okraja"/>
    <w:basedOn w:val="Normlny"/>
    <w:rsid w:val="00B87858"/>
    <w:pPr>
      <w:keepNext/>
      <w:autoSpaceDE w:val="0"/>
      <w:autoSpaceDN w:val="0"/>
      <w:jc w:val="both"/>
    </w:pPr>
    <w:rPr>
      <w:sz w:val="20"/>
      <w:szCs w:val="20"/>
    </w:rPr>
  </w:style>
  <w:style w:type="paragraph" w:customStyle="1" w:styleId="l41">
    <w:name w:val="l41"/>
    <w:basedOn w:val="Normlny"/>
    <w:rsid w:val="00B87858"/>
    <w:pPr>
      <w:jc w:val="both"/>
    </w:pPr>
  </w:style>
  <w:style w:type="character" w:customStyle="1" w:styleId="num1">
    <w:name w:val="num1"/>
    <w:rsid w:val="00B87858"/>
    <w:rPr>
      <w:b/>
      <w:bCs w:val="0"/>
      <w:color w:val="303030"/>
    </w:rPr>
  </w:style>
  <w:style w:type="character" w:customStyle="1" w:styleId="apple-style-span">
    <w:name w:val="apple-style-span"/>
    <w:basedOn w:val="Predvolenpsmoodseku"/>
    <w:rsid w:val="00B87858"/>
    <w:rPr>
      <w:rFonts w:ascii="Times New Roman" w:hAnsi="Times New Roman" w:cs="Times New Roman" w:hint="default"/>
    </w:rPr>
  </w:style>
  <w:style w:type="paragraph" w:styleId="Zarkazkladnhotextu">
    <w:name w:val="Body Text Indent"/>
    <w:basedOn w:val="Normlny"/>
    <w:link w:val="ZarkazkladnhotextuChar"/>
    <w:uiPriority w:val="99"/>
    <w:semiHidden/>
    <w:unhideWhenUsed/>
    <w:rsid w:val="00B87858"/>
    <w:pPr>
      <w:spacing w:after="120"/>
      <w:ind w:left="283"/>
    </w:pPr>
  </w:style>
  <w:style w:type="character" w:customStyle="1" w:styleId="ZarkazkladnhotextuChar">
    <w:name w:val="Zarážka základného textu Char"/>
    <w:basedOn w:val="Predvolenpsmoodseku"/>
    <w:link w:val="Zarkazkladnhotextu"/>
    <w:uiPriority w:val="99"/>
    <w:semiHidden/>
    <w:rsid w:val="00B87858"/>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B87858"/>
    <w:rPr>
      <w:rFonts w:ascii="Times New Roman" w:hAnsi="Times New Roman" w:cs="Times New Roman" w:hint="default"/>
      <w:i/>
      <w:iCs/>
    </w:rPr>
  </w:style>
  <w:style w:type="paragraph" w:customStyle="1" w:styleId="CM1">
    <w:name w:val="CM1"/>
    <w:basedOn w:val="Normlny"/>
    <w:next w:val="Normlny"/>
    <w:uiPriority w:val="99"/>
    <w:rsid w:val="00B87858"/>
    <w:pPr>
      <w:widowControl w:val="0"/>
      <w:autoSpaceDE w:val="0"/>
      <w:autoSpaceDN w:val="0"/>
      <w:adjustRightInd w:val="0"/>
      <w:jc w:val="both"/>
    </w:pPr>
    <w:rPr>
      <w:rFonts w:ascii="EUAlbertina" w:hAnsi="EUAlbertina"/>
      <w:sz w:val="20"/>
      <w:szCs w:val="20"/>
    </w:rPr>
  </w:style>
  <w:style w:type="paragraph" w:customStyle="1" w:styleId="CM4">
    <w:name w:val="CM4"/>
    <w:basedOn w:val="Normlny"/>
    <w:next w:val="Normlny"/>
    <w:uiPriority w:val="99"/>
    <w:rsid w:val="00B87858"/>
    <w:pPr>
      <w:widowControl w:val="0"/>
      <w:autoSpaceDE w:val="0"/>
      <w:autoSpaceDN w:val="0"/>
      <w:adjustRightInd w:val="0"/>
      <w:jc w:val="both"/>
    </w:pPr>
    <w:rPr>
      <w:rFonts w:ascii="EUAlbertina" w:hAnsi="EUAlbertina"/>
      <w:sz w:val="20"/>
      <w:szCs w:val="20"/>
    </w:rPr>
  </w:style>
  <w:style w:type="paragraph" w:styleId="Obyajntext">
    <w:name w:val="Plain Text"/>
    <w:basedOn w:val="Normlny"/>
    <w:link w:val="ObyajntextChar"/>
    <w:uiPriority w:val="99"/>
    <w:unhideWhenUsed/>
    <w:rsid w:val="00E3279A"/>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E3279A"/>
    <w:rPr>
      <w:rFonts w:ascii="Calibri" w:hAnsi="Calibri"/>
      <w:szCs w:val="21"/>
    </w:rPr>
  </w:style>
  <w:style w:type="character" w:styleId="slostrany">
    <w:name w:val="page number"/>
    <w:basedOn w:val="Predvolenpsmoodseku"/>
    <w:uiPriority w:val="99"/>
    <w:rsid w:val="00E327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07451">
      <w:bodyDiv w:val="1"/>
      <w:marLeft w:val="0"/>
      <w:marRight w:val="0"/>
      <w:marTop w:val="0"/>
      <w:marBottom w:val="0"/>
      <w:divBdr>
        <w:top w:val="none" w:sz="0" w:space="0" w:color="auto"/>
        <w:left w:val="none" w:sz="0" w:space="0" w:color="auto"/>
        <w:bottom w:val="none" w:sz="0" w:space="0" w:color="auto"/>
        <w:right w:val="none" w:sz="0" w:space="0" w:color="auto"/>
      </w:divBdr>
    </w:div>
    <w:div w:id="410589503">
      <w:bodyDiv w:val="1"/>
      <w:marLeft w:val="0"/>
      <w:marRight w:val="0"/>
      <w:marTop w:val="0"/>
      <w:marBottom w:val="0"/>
      <w:divBdr>
        <w:top w:val="none" w:sz="0" w:space="0" w:color="auto"/>
        <w:left w:val="none" w:sz="0" w:space="0" w:color="auto"/>
        <w:bottom w:val="none" w:sz="0" w:space="0" w:color="auto"/>
        <w:right w:val="none" w:sz="0" w:space="0" w:color="auto"/>
      </w:divBdr>
    </w:div>
    <w:div w:id="527060340">
      <w:bodyDiv w:val="1"/>
      <w:marLeft w:val="0"/>
      <w:marRight w:val="0"/>
      <w:marTop w:val="0"/>
      <w:marBottom w:val="0"/>
      <w:divBdr>
        <w:top w:val="none" w:sz="0" w:space="0" w:color="auto"/>
        <w:left w:val="none" w:sz="0" w:space="0" w:color="auto"/>
        <w:bottom w:val="none" w:sz="0" w:space="0" w:color="auto"/>
        <w:right w:val="none" w:sz="0" w:space="0" w:color="auto"/>
      </w:divBdr>
      <w:divsChild>
        <w:div w:id="1615210433">
          <w:marLeft w:val="0"/>
          <w:marRight w:val="0"/>
          <w:marTop w:val="0"/>
          <w:marBottom w:val="0"/>
          <w:divBdr>
            <w:top w:val="none" w:sz="0" w:space="0" w:color="auto"/>
            <w:left w:val="none" w:sz="0" w:space="0" w:color="auto"/>
            <w:bottom w:val="none" w:sz="0" w:space="0" w:color="auto"/>
            <w:right w:val="none" w:sz="0" w:space="0" w:color="auto"/>
          </w:divBdr>
          <w:divsChild>
            <w:div w:id="1013339478">
              <w:marLeft w:val="0"/>
              <w:marRight w:val="0"/>
              <w:marTop w:val="0"/>
              <w:marBottom w:val="0"/>
              <w:divBdr>
                <w:top w:val="none" w:sz="0" w:space="0" w:color="auto"/>
                <w:left w:val="none" w:sz="0" w:space="0" w:color="auto"/>
                <w:bottom w:val="none" w:sz="0" w:space="0" w:color="auto"/>
                <w:right w:val="none" w:sz="0" w:space="0" w:color="auto"/>
              </w:divBdr>
              <w:divsChild>
                <w:div w:id="1241062217">
                  <w:marLeft w:val="0"/>
                  <w:marRight w:val="0"/>
                  <w:marTop w:val="0"/>
                  <w:marBottom w:val="0"/>
                  <w:divBdr>
                    <w:top w:val="none" w:sz="0" w:space="0" w:color="auto"/>
                    <w:left w:val="none" w:sz="0" w:space="0" w:color="auto"/>
                    <w:bottom w:val="none" w:sz="0" w:space="0" w:color="auto"/>
                    <w:right w:val="none" w:sz="0" w:space="0" w:color="auto"/>
                  </w:divBdr>
                  <w:divsChild>
                    <w:div w:id="2025009451">
                      <w:marLeft w:val="-150"/>
                      <w:marRight w:val="-150"/>
                      <w:marTop w:val="0"/>
                      <w:marBottom w:val="0"/>
                      <w:divBdr>
                        <w:top w:val="none" w:sz="0" w:space="0" w:color="auto"/>
                        <w:left w:val="none" w:sz="0" w:space="0" w:color="auto"/>
                        <w:bottom w:val="none" w:sz="0" w:space="0" w:color="auto"/>
                        <w:right w:val="none" w:sz="0" w:space="0" w:color="auto"/>
                      </w:divBdr>
                      <w:divsChild>
                        <w:div w:id="706217317">
                          <w:marLeft w:val="0"/>
                          <w:marRight w:val="0"/>
                          <w:marTop w:val="0"/>
                          <w:marBottom w:val="0"/>
                          <w:divBdr>
                            <w:top w:val="none" w:sz="0" w:space="0" w:color="auto"/>
                            <w:left w:val="none" w:sz="0" w:space="0" w:color="auto"/>
                            <w:bottom w:val="none" w:sz="0" w:space="0" w:color="auto"/>
                            <w:right w:val="none" w:sz="0" w:space="0" w:color="auto"/>
                          </w:divBdr>
                          <w:divsChild>
                            <w:div w:id="1661696089">
                              <w:marLeft w:val="0"/>
                              <w:marRight w:val="0"/>
                              <w:marTop w:val="0"/>
                              <w:marBottom w:val="0"/>
                              <w:divBdr>
                                <w:top w:val="none" w:sz="0" w:space="0" w:color="auto"/>
                                <w:left w:val="none" w:sz="0" w:space="0" w:color="auto"/>
                                <w:bottom w:val="none" w:sz="0" w:space="0" w:color="auto"/>
                                <w:right w:val="none" w:sz="0" w:space="0" w:color="auto"/>
                              </w:divBdr>
                              <w:divsChild>
                                <w:div w:id="201401419">
                                  <w:marLeft w:val="0"/>
                                  <w:marRight w:val="0"/>
                                  <w:marTop w:val="0"/>
                                  <w:marBottom w:val="300"/>
                                  <w:divBdr>
                                    <w:top w:val="none" w:sz="0" w:space="0" w:color="auto"/>
                                    <w:left w:val="none" w:sz="0" w:space="0" w:color="auto"/>
                                    <w:bottom w:val="none" w:sz="0" w:space="0" w:color="auto"/>
                                    <w:right w:val="none" w:sz="0" w:space="0" w:color="auto"/>
                                  </w:divBdr>
                                  <w:divsChild>
                                    <w:div w:id="1819807412">
                                      <w:marLeft w:val="0"/>
                                      <w:marRight w:val="0"/>
                                      <w:marTop w:val="0"/>
                                      <w:marBottom w:val="0"/>
                                      <w:divBdr>
                                        <w:top w:val="none" w:sz="0" w:space="0" w:color="auto"/>
                                        <w:left w:val="none" w:sz="0" w:space="0" w:color="auto"/>
                                        <w:bottom w:val="none" w:sz="0" w:space="0" w:color="auto"/>
                                        <w:right w:val="none" w:sz="0" w:space="0" w:color="auto"/>
                                      </w:divBdr>
                                      <w:divsChild>
                                        <w:div w:id="1011686435">
                                          <w:marLeft w:val="0"/>
                                          <w:marRight w:val="0"/>
                                          <w:marTop w:val="0"/>
                                          <w:marBottom w:val="0"/>
                                          <w:divBdr>
                                            <w:top w:val="none" w:sz="0" w:space="0" w:color="auto"/>
                                            <w:left w:val="none" w:sz="0" w:space="0" w:color="auto"/>
                                            <w:bottom w:val="none" w:sz="0" w:space="0" w:color="auto"/>
                                            <w:right w:val="none" w:sz="0" w:space="0" w:color="auto"/>
                                          </w:divBdr>
                                          <w:divsChild>
                                            <w:div w:id="627053381">
                                              <w:marLeft w:val="0"/>
                                              <w:marRight w:val="0"/>
                                              <w:marTop w:val="0"/>
                                              <w:marBottom w:val="0"/>
                                              <w:divBdr>
                                                <w:top w:val="none" w:sz="0" w:space="0" w:color="auto"/>
                                                <w:left w:val="none" w:sz="0" w:space="0" w:color="auto"/>
                                                <w:bottom w:val="none" w:sz="0" w:space="0" w:color="auto"/>
                                                <w:right w:val="none" w:sz="0" w:space="0" w:color="auto"/>
                                              </w:divBdr>
                                              <w:divsChild>
                                                <w:div w:id="1732726887">
                                                  <w:marLeft w:val="0"/>
                                                  <w:marRight w:val="0"/>
                                                  <w:marTop w:val="0"/>
                                                  <w:marBottom w:val="0"/>
                                                  <w:divBdr>
                                                    <w:top w:val="none" w:sz="0" w:space="0" w:color="auto"/>
                                                    <w:left w:val="none" w:sz="0" w:space="0" w:color="auto"/>
                                                    <w:bottom w:val="none" w:sz="0" w:space="0" w:color="auto"/>
                                                    <w:right w:val="none" w:sz="0" w:space="0" w:color="auto"/>
                                                  </w:divBdr>
                                                  <w:divsChild>
                                                    <w:div w:id="1796095386">
                                                      <w:marLeft w:val="0"/>
                                                      <w:marRight w:val="0"/>
                                                      <w:marTop w:val="0"/>
                                                      <w:marBottom w:val="0"/>
                                                      <w:divBdr>
                                                        <w:top w:val="none" w:sz="0" w:space="0" w:color="auto"/>
                                                        <w:left w:val="none" w:sz="0" w:space="0" w:color="auto"/>
                                                        <w:bottom w:val="none" w:sz="0" w:space="0" w:color="auto"/>
                                                        <w:right w:val="none" w:sz="0" w:space="0" w:color="auto"/>
                                                      </w:divBdr>
                                                      <w:divsChild>
                                                        <w:div w:id="233440876">
                                                          <w:marLeft w:val="0"/>
                                                          <w:marRight w:val="0"/>
                                                          <w:marTop w:val="0"/>
                                                          <w:marBottom w:val="0"/>
                                                          <w:divBdr>
                                                            <w:top w:val="none" w:sz="0" w:space="0" w:color="auto"/>
                                                            <w:left w:val="none" w:sz="0" w:space="0" w:color="auto"/>
                                                            <w:bottom w:val="none" w:sz="0" w:space="0" w:color="auto"/>
                                                            <w:right w:val="none" w:sz="0" w:space="0" w:color="auto"/>
                                                          </w:divBdr>
                                                          <w:divsChild>
                                                            <w:div w:id="491413050">
                                                              <w:marLeft w:val="0"/>
                                                              <w:marRight w:val="0"/>
                                                              <w:marTop w:val="0"/>
                                                              <w:marBottom w:val="0"/>
                                                              <w:divBdr>
                                                                <w:top w:val="none" w:sz="0" w:space="0" w:color="auto"/>
                                                                <w:left w:val="none" w:sz="0" w:space="0" w:color="auto"/>
                                                                <w:bottom w:val="none" w:sz="0" w:space="0" w:color="auto"/>
                                                                <w:right w:val="none" w:sz="0" w:space="0" w:color="auto"/>
                                                              </w:divBdr>
                                                              <w:divsChild>
                                                                <w:div w:id="1988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4212934">
      <w:bodyDiv w:val="1"/>
      <w:marLeft w:val="0"/>
      <w:marRight w:val="0"/>
      <w:marTop w:val="0"/>
      <w:marBottom w:val="0"/>
      <w:divBdr>
        <w:top w:val="none" w:sz="0" w:space="0" w:color="auto"/>
        <w:left w:val="none" w:sz="0" w:space="0" w:color="auto"/>
        <w:bottom w:val="none" w:sz="0" w:space="0" w:color="auto"/>
        <w:right w:val="none" w:sz="0" w:space="0" w:color="auto"/>
      </w:divBdr>
    </w:div>
    <w:div w:id="1321274550">
      <w:bodyDiv w:val="1"/>
      <w:marLeft w:val="0"/>
      <w:marRight w:val="0"/>
      <w:marTop w:val="0"/>
      <w:marBottom w:val="0"/>
      <w:divBdr>
        <w:top w:val="none" w:sz="0" w:space="0" w:color="auto"/>
        <w:left w:val="none" w:sz="0" w:space="0" w:color="auto"/>
        <w:bottom w:val="none" w:sz="0" w:space="0" w:color="auto"/>
        <w:right w:val="none" w:sz="0" w:space="0" w:color="auto"/>
      </w:divBdr>
      <w:divsChild>
        <w:div w:id="965352876">
          <w:marLeft w:val="0"/>
          <w:marRight w:val="0"/>
          <w:marTop w:val="100"/>
          <w:marBottom w:val="100"/>
          <w:divBdr>
            <w:top w:val="none" w:sz="0" w:space="0" w:color="auto"/>
            <w:left w:val="none" w:sz="0" w:space="0" w:color="auto"/>
            <w:bottom w:val="none" w:sz="0" w:space="0" w:color="auto"/>
            <w:right w:val="none" w:sz="0" w:space="0" w:color="auto"/>
          </w:divBdr>
          <w:divsChild>
            <w:div w:id="1853182413">
              <w:marLeft w:val="0"/>
              <w:marRight w:val="0"/>
              <w:marTop w:val="225"/>
              <w:marBottom w:val="750"/>
              <w:divBdr>
                <w:top w:val="none" w:sz="0" w:space="0" w:color="auto"/>
                <w:left w:val="none" w:sz="0" w:space="0" w:color="auto"/>
                <w:bottom w:val="none" w:sz="0" w:space="0" w:color="auto"/>
                <w:right w:val="none" w:sz="0" w:space="0" w:color="auto"/>
              </w:divBdr>
              <w:divsChild>
                <w:div w:id="1568566439">
                  <w:marLeft w:val="0"/>
                  <w:marRight w:val="0"/>
                  <w:marTop w:val="0"/>
                  <w:marBottom w:val="0"/>
                  <w:divBdr>
                    <w:top w:val="none" w:sz="0" w:space="0" w:color="auto"/>
                    <w:left w:val="none" w:sz="0" w:space="0" w:color="auto"/>
                    <w:bottom w:val="none" w:sz="0" w:space="0" w:color="auto"/>
                    <w:right w:val="none" w:sz="0" w:space="0" w:color="auto"/>
                  </w:divBdr>
                  <w:divsChild>
                    <w:div w:id="1025862182">
                      <w:marLeft w:val="0"/>
                      <w:marRight w:val="0"/>
                      <w:marTop w:val="0"/>
                      <w:marBottom w:val="0"/>
                      <w:divBdr>
                        <w:top w:val="none" w:sz="0" w:space="0" w:color="auto"/>
                        <w:left w:val="none" w:sz="0" w:space="0" w:color="auto"/>
                        <w:bottom w:val="none" w:sz="0" w:space="0" w:color="auto"/>
                        <w:right w:val="none" w:sz="0" w:space="0" w:color="auto"/>
                      </w:divBdr>
                      <w:divsChild>
                        <w:div w:id="694160546">
                          <w:marLeft w:val="0"/>
                          <w:marRight w:val="0"/>
                          <w:marTop w:val="0"/>
                          <w:marBottom w:val="0"/>
                          <w:divBdr>
                            <w:top w:val="none" w:sz="0" w:space="0" w:color="auto"/>
                            <w:left w:val="none" w:sz="0" w:space="0" w:color="auto"/>
                            <w:bottom w:val="none" w:sz="0" w:space="0" w:color="auto"/>
                            <w:right w:val="none" w:sz="0" w:space="0" w:color="auto"/>
                          </w:divBdr>
                          <w:divsChild>
                            <w:div w:id="586116375">
                              <w:marLeft w:val="0"/>
                              <w:marRight w:val="0"/>
                              <w:marTop w:val="0"/>
                              <w:marBottom w:val="0"/>
                              <w:divBdr>
                                <w:top w:val="none" w:sz="0" w:space="0" w:color="auto"/>
                                <w:left w:val="none" w:sz="0" w:space="0" w:color="auto"/>
                                <w:bottom w:val="none" w:sz="0" w:space="0" w:color="auto"/>
                                <w:right w:val="none" w:sz="0" w:space="0" w:color="auto"/>
                              </w:divBdr>
                              <w:divsChild>
                                <w:div w:id="97527211">
                                  <w:marLeft w:val="0"/>
                                  <w:marRight w:val="0"/>
                                  <w:marTop w:val="0"/>
                                  <w:marBottom w:val="0"/>
                                  <w:divBdr>
                                    <w:top w:val="none" w:sz="0" w:space="0" w:color="auto"/>
                                    <w:left w:val="none" w:sz="0" w:space="0" w:color="auto"/>
                                    <w:bottom w:val="none" w:sz="0" w:space="0" w:color="auto"/>
                                    <w:right w:val="none" w:sz="0" w:space="0" w:color="auto"/>
                                  </w:divBdr>
                                  <w:divsChild>
                                    <w:div w:id="407196344">
                                      <w:marLeft w:val="0"/>
                                      <w:marRight w:val="0"/>
                                      <w:marTop w:val="0"/>
                                      <w:marBottom w:val="0"/>
                                      <w:divBdr>
                                        <w:top w:val="none" w:sz="0" w:space="0" w:color="auto"/>
                                        <w:left w:val="none" w:sz="0" w:space="0" w:color="auto"/>
                                        <w:bottom w:val="none" w:sz="0" w:space="0" w:color="auto"/>
                                        <w:right w:val="none" w:sz="0" w:space="0" w:color="auto"/>
                                      </w:divBdr>
                                      <w:divsChild>
                                        <w:div w:id="1361512993">
                                          <w:marLeft w:val="0"/>
                                          <w:marRight w:val="0"/>
                                          <w:marTop w:val="0"/>
                                          <w:marBottom w:val="0"/>
                                          <w:divBdr>
                                            <w:top w:val="none" w:sz="0" w:space="0" w:color="auto"/>
                                            <w:left w:val="none" w:sz="0" w:space="0" w:color="auto"/>
                                            <w:bottom w:val="none" w:sz="0" w:space="0" w:color="auto"/>
                                            <w:right w:val="none" w:sz="0" w:space="0" w:color="auto"/>
                                          </w:divBdr>
                                          <w:divsChild>
                                            <w:div w:id="189416341">
                                              <w:marLeft w:val="0"/>
                                              <w:marRight w:val="0"/>
                                              <w:marTop w:val="0"/>
                                              <w:marBottom w:val="0"/>
                                              <w:divBdr>
                                                <w:top w:val="none" w:sz="0" w:space="0" w:color="auto"/>
                                                <w:left w:val="none" w:sz="0" w:space="0" w:color="auto"/>
                                                <w:bottom w:val="none" w:sz="0" w:space="0" w:color="auto"/>
                                                <w:right w:val="none" w:sz="0" w:space="0" w:color="auto"/>
                                              </w:divBdr>
                                              <w:divsChild>
                                                <w:div w:id="35854004">
                                                  <w:marLeft w:val="0"/>
                                                  <w:marRight w:val="0"/>
                                                  <w:marTop w:val="0"/>
                                                  <w:marBottom w:val="0"/>
                                                  <w:divBdr>
                                                    <w:top w:val="none" w:sz="0" w:space="0" w:color="auto"/>
                                                    <w:left w:val="none" w:sz="0" w:space="0" w:color="auto"/>
                                                    <w:bottom w:val="none" w:sz="0" w:space="0" w:color="auto"/>
                                                    <w:right w:val="none" w:sz="0" w:space="0" w:color="auto"/>
                                                  </w:divBdr>
                                                  <w:divsChild>
                                                    <w:div w:id="656806029">
                                                      <w:marLeft w:val="0"/>
                                                      <w:marRight w:val="0"/>
                                                      <w:marTop w:val="0"/>
                                                      <w:marBottom w:val="0"/>
                                                      <w:divBdr>
                                                        <w:top w:val="none" w:sz="0" w:space="0" w:color="auto"/>
                                                        <w:left w:val="none" w:sz="0" w:space="0" w:color="auto"/>
                                                        <w:bottom w:val="none" w:sz="0" w:space="0" w:color="auto"/>
                                                        <w:right w:val="none" w:sz="0" w:space="0" w:color="auto"/>
                                                      </w:divBdr>
                                                      <w:divsChild>
                                                        <w:div w:id="1431583822">
                                                          <w:marLeft w:val="0"/>
                                                          <w:marRight w:val="0"/>
                                                          <w:marTop w:val="0"/>
                                                          <w:marBottom w:val="0"/>
                                                          <w:divBdr>
                                                            <w:top w:val="none" w:sz="0" w:space="0" w:color="auto"/>
                                                            <w:left w:val="none" w:sz="0" w:space="0" w:color="auto"/>
                                                            <w:bottom w:val="none" w:sz="0" w:space="0" w:color="auto"/>
                                                            <w:right w:val="none" w:sz="0" w:space="0" w:color="auto"/>
                                                          </w:divBdr>
                                                          <w:divsChild>
                                                            <w:div w:id="316686286">
                                                              <w:marLeft w:val="0"/>
                                                              <w:marRight w:val="0"/>
                                                              <w:marTop w:val="0"/>
                                                              <w:marBottom w:val="0"/>
                                                              <w:divBdr>
                                                                <w:top w:val="none" w:sz="0" w:space="0" w:color="auto"/>
                                                                <w:left w:val="none" w:sz="0" w:space="0" w:color="auto"/>
                                                                <w:bottom w:val="none" w:sz="0" w:space="0" w:color="auto"/>
                                                                <w:right w:val="none" w:sz="0" w:space="0" w:color="auto"/>
                                                              </w:divBdr>
                                                              <w:divsChild>
                                                                <w:div w:id="691876662">
                                                                  <w:marLeft w:val="0"/>
                                                                  <w:marRight w:val="0"/>
                                                                  <w:marTop w:val="0"/>
                                                                  <w:marBottom w:val="0"/>
                                                                  <w:divBdr>
                                                                    <w:top w:val="none" w:sz="0" w:space="0" w:color="auto"/>
                                                                    <w:left w:val="none" w:sz="0" w:space="0" w:color="auto"/>
                                                                    <w:bottom w:val="none" w:sz="0" w:space="0" w:color="auto"/>
                                                                    <w:right w:val="none" w:sz="0" w:space="0" w:color="auto"/>
                                                                  </w:divBdr>
                                                                  <w:divsChild>
                                                                    <w:div w:id="1589658766">
                                                                      <w:marLeft w:val="0"/>
                                                                      <w:marRight w:val="0"/>
                                                                      <w:marTop w:val="0"/>
                                                                      <w:marBottom w:val="0"/>
                                                                      <w:divBdr>
                                                                        <w:top w:val="none" w:sz="0" w:space="0" w:color="auto"/>
                                                                        <w:left w:val="none" w:sz="0" w:space="0" w:color="auto"/>
                                                                        <w:bottom w:val="none" w:sz="0" w:space="0" w:color="auto"/>
                                                                        <w:right w:val="none" w:sz="0" w:space="0" w:color="auto"/>
                                                                      </w:divBdr>
                                                                    </w:div>
                                                                  </w:divsChild>
                                                                </w:div>
                                                                <w:div w:id="989938473">
                                                                  <w:marLeft w:val="0"/>
                                                                  <w:marRight w:val="0"/>
                                                                  <w:marTop w:val="0"/>
                                                                  <w:marBottom w:val="0"/>
                                                                  <w:divBdr>
                                                                    <w:top w:val="none" w:sz="0" w:space="0" w:color="auto"/>
                                                                    <w:left w:val="none" w:sz="0" w:space="0" w:color="auto"/>
                                                                    <w:bottom w:val="none" w:sz="0" w:space="0" w:color="auto"/>
                                                                    <w:right w:val="none" w:sz="0" w:space="0" w:color="auto"/>
                                                                  </w:divBdr>
                                                                  <w:divsChild>
                                                                    <w:div w:id="805510850">
                                                                      <w:marLeft w:val="0"/>
                                                                      <w:marRight w:val="0"/>
                                                                      <w:marTop w:val="0"/>
                                                                      <w:marBottom w:val="0"/>
                                                                      <w:divBdr>
                                                                        <w:top w:val="none" w:sz="0" w:space="0" w:color="auto"/>
                                                                        <w:left w:val="none" w:sz="0" w:space="0" w:color="auto"/>
                                                                        <w:bottom w:val="none" w:sz="0" w:space="0" w:color="auto"/>
                                                                        <w:right w:val="none" w:sz="0" w:space="0" w:color="auto"/>
                                                                      </w:divBdr>
                                                                    </w:div>
                                                                    <w:div w:id="417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4668668">
      <w:bodyDiv w:val="1"/>
      <w:marLeft w:val="0"/>
      <w:marRight w:val="0"/>
      <w:marTop w:val="0"/>
      <w:marBottom w:val="0"/>
      <w:divBdr>
        <w:top w:val="none" w:sz="0" w:space="0" w:color="auto"/>
        <w:left w:val="none" w:sz="0" w:space="0" w:color="auto"/>
        <w:bottom w:val="none" w:sz="0" w:space="0" w:color="auto"/>
        <w:right w:val="none" w:sz="0" w:space="0" w:color="auto"/>
      </w:divBdr>
      <w:divsChild>
        <w:div w:id="2044671098">
          <w:marLeft w:val="0"/>
          <w:marRight w:val="0"/>
          <w:marTop w:val="0"/>
          <w:marBottom w:val="300"/>
          <w:divBdr>
            <w:top w:val="none" w:sz="0" w:space="0" w:color="auto"/>
            <w:left w:val="none" w:sz="0" w:space="0" w:color="auto"/>
            <w:bottom w:val="none" w:sz="0" w:space="0" w:color="auto"/>
            <w:right w:val="none" w:sz="0" w:space="0" w:color="auto"/>
          </w:divBdr>
        </w:div>
      </w:divsChild>
    </w:div>
    <w:div w:id="1692220717">
      <w:bodyDiv w:val="1"/>
      <w:marLeft w:val="0"/>
      <w:marRight w:val="0"/>
      <w:marTop w:val="0"/>
      <w:marBottom w:val="0"/>
      <w:divBdr>
        <w:top w:val="none" w:sz="0" w:space="0" w:color="auto"/>
        <w:left w:val="none" w:sz="0" w:space="0" w:color="auto"/>
        <w:bottom w:val="none" w:sz="0" w:space="0" w:color="auto"/>
        <w:right w:val="none" w:sz="0" w:space="0" w:color="auto"/>
      </w:divBdr>
    </w:div>
    <w:div w:id="1855151257">
      <w:bodyDiv w:val="1"/>
      <w:marLeft w:val="0"/>
      <w:marRight w:val="0"/>
      <w:marTop w:val="0"/>
      <w:marBottom w:val="0"/>
      <w:divBdr>
        <w:top w:val="none" w:sz="0" w:space="0" w:color="auto"/>
        <w:left w:val="none" w:sz="0" w:space="0" w:color="auto"/>
        <w:bottom w:val="none" w:sz="0" w:space="0" w:color="auto"/>
        <w:right w:val="none" w:sz="0" w:space="0" w:color="auto"/>
      </w:divBdr>
    </w:div>
    <w:div w:id="207573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anka.fabriciova@nbu.gov.s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c.europa.eu/commission/presscorner/detail/en/QANDA_20_12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WKX3UHSAJ2R6-2-932540</_dlc_DocId>
    <_dlc_DocIdUrl xmlns="e60a29af-d413-48d4-bd90-fe9d2a897e4b">
      <Url>https://ovdmasv601/sites/DMS/_layouts/15/DocIdRedir.aspx?ID=WKX3UHSAJ2R6-2-932540</Url>
      <Description>WKX3UHSAJ2R6-2-932540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0D6B-C9AB-48CD-8FC9-C7ADE160FDAE}">
  <ds:schemaRefs>
    <ds:schemaRef ds:uri="http://schemas.microsoft.com/sharepoint/v3/contenttype/forms"/>
  </ds:schemaRefs>
</ds:datastoreItem>
</file>

<file path=customXml/itemProps2.xml><?xml version="1.0" encoding="utf-8"?>
<ds:datastoreItem xmlns:ds="http://schemas.openxmlformats.org/officeDocument/2006/customXml" ds:itemID="{6B88D109-A0A9-43CD-9859-13D9BA9FA1F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60a29af-d413-48d4-bd90-fe9d2a897e4b"/>
    <ds:schemaRef ds:uri="http://www.w3.org/XML/1998/namespace"/>
  </ds:schemaRefs>
</ds:datastoreItem>
</file>

<file path=customXml/itemProps3.xml><?xml version="1.0" encoding="utf-8"?>
<ds:datastoreItem xmlns:ds="http://schemas.openxmlformats.org/officeDocument/2006/customXml" ds:itemID="{347A79D7-8720-4CA8-973D-45EB1ABD9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A865B-3E71-4276-8407-F9A7BC2E75A5}">
  <ds:schemaRefs>
    <ds:schemaRef ds:uri="http://schemas.microsoft.com/sharepoint/events"/>
  </ds:schemaRefs>
</ds:datastoreItem>
</file>

<file path=customXml/itemProps5.xml><?xml version="1.0" encoding="utf-8"?>
<ds:datastoreItem xmlns:ds="http://schemas.openxmlformats.org/officeDocument/2006/customXml" ds:itemID="{2BDC9678-9490-475C-8FF0-DCB4A031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9563</Words>
  <Characters>54514</Characters>
  <Application>Microsoft Office Word</Application>
  <DocSecurity>0</DocSecurity>
  <Lines>454</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Kormaňák</dc:creator>
  <cp:lastModifiedBy>Semanco Martin</cp:lastModifiedBy>
  <cp:revision>10</cp:revision>
  <cp:lastPrinted>2021-02-24T10:27:00Z</cp:lastPrinted>
  <dcterms:created xsi:type="dcterms:W3CDTF">2021-01-04T09:40:00Z</dcterms:created>
  <dcterms:modified xsi:type="dcterms:W3CDTF">2021-02-24T10:32:00Z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4392ce3e-c4d4-44d4-88b0-d171323161ca</vt:lpwstr>
  </property>
</Properties>
</file>