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C47C6" w:rsidR="007242C6" w:rsidP="007242C6" w:rsidRDefault="007242C6" w14:paraId="700F3B95" wp14:textId="77777777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xmlns:wp14="http://schemas.microsoft.com/office/word/2010/wordml" w:rsidRPr="000C47C6" w:rsidR="007242C6" w:rsidP="007242C6" w:rsidRDefault="007242C6" w14:paraId="6681B5C5" wp14:textId="77777777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xmlns:wp14="http://schemas.microsoft.com/office/word/2010/wordml" w:rsidRPr="000C47C6" w:rsidR="007242C6" w:rsidP="007242C6" w:rsidRDefault="007242C6" w14:paraId="672A6659" wp14:textId="77777777">
      <w:pPr>
        <w:spacing w:after="0" w:line="240" w:lineRule="auto"/>
        <w:rPr>
          <w:rFonts w:ascii="Book Antiqua" w:hAnsi="Book Antiqua"/>
          <w:sz w:val="24"/>
          <w:szCs w:val="24"/>
        </w:rPr>
      </w:pPr>
    </w:p>
    <w:p xmlns:wp14="http://schemas.microsoft.com/office/word/2010/wordml" w:rsidRPr="000C47C6" w:rsidR="007242C6" w:rsidP="007242C6" w:rsidRDefault="007242C6" w14:paraId="0A37501D" wp14:textId="77777777">
      <w:pPr>
        <w:spacing w:after="0" w:line="240" w:lineRule="auto"/>
        <w:rPr>
          <w:rFonts w:ascii="Book Antiqua" w:hAnsi="Book Antiqua"/>
        </w:rPr>
      </w:pPr>
    </w:p>
    <w:p xmlns:wp14="http://schemas.microsoft.com/office/word/2010/wordml" w:rsidRPr="000C47C6" w:rsidR="007242C6" w:rsidP="007242C6" w:rsidRDefault="007242C6" w14:paraId="39C35EAE" wp14:textId="77777777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</w:r>
      <w:r w:rsidRPr="000C47C6">
        <w:rPr>
          <w:rFonts w:ascii="Book Antiqua" w:hAnsi="Book Antiqua"/>
          <w:b/>
          <w:bCs/>
        </w:rPr>
        <w:t>Predkladateľ právneho predpisu:</w:t>
      </w:r>
      <w:r w:rsidRPr="000C47C6">
        <w:rPr>
          <w:rFonts w:ascii="Book Antiqua" w:hAnsi="Book Antiqua"/>
        </w:rPr>
        <w:t xml:space="preserve"> </w:t>
      </w:r>
    </w:p>
    <w:p xmlns:wp14="http://schemas.microsoft.com/office/word/2010/wordml" w:rsidRPr="000C47C6" w:rsidR="007242C6" w:rsidP="007242C6" w:rsidRDefault="007242C6" w14:paraId="6FF7B944" wp14:textId="77777777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xmlns:wp14="http://schemas.microsoft.com/office/word/2010/wordml" w:rsidRPr="000C47C6" w:rsidR="007242C6" w:rsidP="007242C6" w:rsidRDefault="007242C6" w14:paraId="29D6B04F" wp14:textId="77777777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xmlns:wp14="http://schemas.microsoft.com/office/word/2010/wordml" w:rsidRPr="000C47C6" w:rsidR="007242C6" w:rsidP="007242C6" w:rsidRDefault="007242C6" w14:paraId="477E2116" wp14:textId="77777777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</w:r>
      <w:r w:rsidRPr="000C47C6">
        <w:rPr>
          <w:rFonts w:ascii="Book Antiqua" w:hAnsi="Book Antiqua"/>
          <w:b/>
          <w:bCs/>
        </w:rPr>
        <w:t>Názov návrhu právneho predpisu:</w:t>
      </w:r>
      <w:r w:rsidRPr="000C47C6">
        <w:rPr>
          <w:rFonts w:ascii="Book Antiqua" w:hAnsi="Book Antiqua"/>
        </w:rPr>
        <w:t xml:space="preserve"> </w:t>
      </w:r>
    </w:p>
    <w:p xmlns:wp14="http://schemas.microsoft.com/office/word/2010/wordml" w:rsidR="007242C6" w:rsidP="00AB18B6" w:rsidRDefault="007242C6" w14:paraId="118D9AB4" wp14:textId="78D7550A">
      <w:pPr>
        <w:spacing w:after="0" w:line="240" w:lineRule="auto"/>
        <w:ind w:left="360"/>
        <w:jc w:val="both"/>
        <w:rPr>
          <w:rFonts w:ascii="Book Antiqua" w:hAnsi="Book Antiqua"/>
        </w:rPr>
      </w:pPr>
      <w:r w:rsidRPr="0973E6A1" w:rsidR="0973E6A1">
        <w:rPr>
          <w:rFonts w:ascii="Book Antiqua" w:hAnsi="Book Antiqua"/>
        </w:rPr>
        <w:t>Návrh zákona, ktorým sa mení a dopĺňa zákon č. 145/1995 Z. z. o správnych poplatkoch.</w:t>
      </w:r>
    </w:p>
    <w:p xmlns:wp14="http://schemas.microsoft.com/office/word/2010/wordml" w:rsidRPr="00AB18B6" w:rsidR="00AB18B6" w:rsidP="00AB18B6" w:rsidRDefault="00AB18B6" w14:paraId="5DAB6C7B" wp14:textId="77777777">
      <w:pPr>
        <w:spacing w:after="0" w:line="240" w:lineRule="auto"/>
        <w:ind w:left="360"/>
        <w:jc w:val="both"/>
        <w:rPr>
          <w:rFonts w:ascii="Book Antiqua" w:hAnsi="Book Antiqua"/>
        </w:rPr>
      </w:pPr>
    </w:p>
    <w:p xmlns:wp14="http://schemas.microsoft.com/office/word/2010/wordml" w:rsidRPr="000C47C6" w:rsidR="007242C6" w:rsidP="007242C6" w:rsidRDefault="007242C6" w14:paraId="46BB98A7" wp14:textId="77777777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</w:r>
      <w:r w:rsidRPr="000C47C6">
        <w:rPr>
          <w:rFonts w:ascii="Book Antiqua" w:hAnsi="Book Antiqua"/>
          <w:b/>
          <w:bCs/>
        </w:rPr>
        <w:t>Predmet návrhu právneho predpisu:</w:t>
      </w:r>
    </w:p>
    <w:p xmlns:wp14="http://schemas.microsoft.com/office/word/2010/wordml" w:rsidRPr="000C47C6" w:rsidR="007242C6" w:rsidP="007242C6" w:rsidRDefault="007242C6" w14:paraId="613E9D61" wp14:textId="77777777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</w:r>
      <w:r w:rsidRPr="000C47C6">
        <w:rPr>
          <w:rFonts w:ascii="Book Antiqua" w:hAnsi="Book Antiqua"/>
          <w:bCs/>
        </w:rPr>
        <w:t>a) nie je upravený v primárnom práve Európskej únie</w:t>
      </w:r>
    </w:p>
    <w:p xmlns:wp14="http://schemas.microsoft.com/office/word/2010/wordml" w:rsidRPr="000C47C6" w:rsidR="007242C6" w:rsidP="007242C6" w:rsidRDefault="007242C6" w14:paraId="1D4C83FE" wp14:textId="77777777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</w:r>
      <w:r w:rsidRPr="000C47C6">
        <w:rPr>
          <w:rFonts w:ascii="Book Antiqua" w:hAnsi="Book Antiqua"/>
          <w:bCs/>
        </w:rPr>
        <w:t>b) nie je upravený v sekundárnom práve Európskej únie</w:t>
      </w:r>
    </w:p>
    <w:p xmlns:wp14="http://schemas.microsoft.com/office/word/2010/wordml" w:rsidRPr="000C47C6" w:rsidR="007242C6" w:rsidP="007242C6" w:rsidRDefault="007242C6" w14:paraId="70CCA61B" wp14:textId="77777777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</w:r>
      <w:r w:rsidRPr="000C47C6">
        <w:rPr>
          <w:rFonts w:ascii="Book Antiqua" w:hAnsi="Book Antiqua"/>
          <w:bCs/>
        </w:rPr>
        <w:t>c) nie je obsiahnutý v judikatúre Súdneho dvora Európskej únie</w:t>
      </w:r>
    </w:p>
    <w:p xmlns:wp14="http://schemas.microsoft.com/office/word/2010/wordml" w:rsidR="007242C6" w:rsidP="007242C6" w:rsidRDefault="007242C6" w14:paraId="02EB378F" wp14:textId="77777777">
      <w:pPr>
        <w:jc w:val="both"/>
        <w:rPr>
          <w:rFonts w:ascii="Book Antiqua" w:hAnsi="Book Antiqua" w:cs="Arial"/>
        </w:rPr>
      </w:pPr>
    </w:p>
    <w:p xmlns:wp14="http://schemas.microsoft.com/office/word/2010/wordml" w:rsidR="007242C6" w:rsidP="007242C6" w:rsidRDefault="007242C6" w14:paraId="311717B4" wp14:textId="77777777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xmlns:wp14="http://schemas.microsoft.com/office/word/2010/wordml" w:rsidRPr="00317A3B" w:rsidR="007242C6" w:rsidP="007242C6" w:rsidRDefault="007242C6" w14:paraId="3B80EE82" wp14:textId="77777777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xmlns:wp14="http://schemas.microsoft.com/office/word/2010/wordml" w:rsidRPr="00317A3B" w:rsidR="007242C6" w:rsidP="007242C6" w:rsidRDefault="007242C6" w14:paraId="6E7BEAA2" wp14:textId="77777777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xmlns:wp14="http://schemas.microsoft.com/office/word/2010/wordml" w:rsidRPr="00317A3B" w:rsidR="007242C6" w:rsidP="007242C6" w:rsidRDefault="007242C6" w14:paraId="4D17554C" wp14:textId="77777777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xmlns:wp14="http://schemas.microsoft.com/office/word/2010/wordml" w:rsidR="007242C6" w:rsidP="0973E6A1" w:rsidRDefault="007242C6" w14:paraId="0F5E9692" wp14:textId="08AF24D1">
      <w:pPr>
        <w:pStyle w:val="Normlnywebov"/>
        <w:spacing w:before="0" w:beforeAutospacing="off" w:after="0" w:afterAutospacing="off"/>
        <w:rPr>
          <w:rFonts w:ascii="Book Antiqua" w:hAnsi="Book Antiqua"/>
          <w:sz w:val="22"/>
          <w:szCs w:val="22"/>
        </w:rPr>
      </w:pPr>
      <w:r w:rsidRPr="0973E6A1" w:rsidR="0973E6A1">
        <w:rPr>
          <w:rFonts w:ascii="Book Antiqua" w:hAnsi="Book Antiqua"/>
          <w:b w:val="1"/>
          <w:bCs w:val="1"/>
        </w:rPr>
        <w:t xml:space="preserve">A.1. Názov materiálu: </w:t>
      </w:r>
      <w:r w:rsidRPr="0973E6A1" w:rsidR="0973E6A1">
        <w:rPr>
          <w:rFonts w:ascii="Book Antiqua" w:hAnsi="Book Antiqua"/>
          <w:sz w:val="22"/>
          <w:szCs w:val="22"/>
        </w:rPr>
        <w:t xml:space="preserve">Návrh zákona, ktorým sa mení a dopĺňa zákon č. 145/1995 Z. z. </w:t>
      </w:r>
      <w:r>
        <w:br/>
      </w:r>
      <w:r w:rsidRPr="0973E6A1" w:rsidR="0973E6A1">
        <w:rPr>
          <w:rFonts w:ascii="Book Antiqua" w:hAnsi="Book Antiqua"/>
          <w:sz w:val="22"/>
          <w:szCs w:val="22"/>
        </w:rPr>
        <w:t>o správnych poplatkoch.</w:t>
      </w:r>
    </w:p>
    <w:p xmlns:wp14="http://schemas.microsoft.com/office/word/2010/wordml" w:rsidRPr="00DF0A51" w:rsidR="00DF0A51" w:rsidP="00DF0A51" w:rsidRDefault="00DF0A51" w14:paraId="6A05A809" wp14:textId="77777777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xmlns:wp14="http://schemas.microsoft.com/office/word/2010/wordml" w:rsidRPr="00317A3B" w:rsidR="007242C6" w:rsidP="007242C6" w:rsidRDefault="007242C6" w14:paraId="1D46DA0B" wp14:textId="77777777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xmlns:wp14="http://schemas.microsoft.com/office/word/2010/wordml" w:rsidRPr="00317A3B" w:rsidR="007242C6" w:rsidP="007242C6" w:rsidRDefault="007242C6" w14:paraId="63D9C952" wp14:textId="77777777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xmlns:wp14="http://schemas.microsoft.com/office/word/2010/wordml" w:rsidRPr="00317A3B" w:rsidR="007242C6" w:rsidP="007242C6" w:rsidRDefault="007242C6" w14:paraId="1B9A02B5" wp14:textId="77777777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xmlns:wp14="http://schemas.microsoft.com/office/word/2010/wordml" w:rsidRPr="00317A3B" w:rsidR="007242C6" w:rsidP="007242C6" w:rsidRDefault="007242C6" w14:paraId="63E4A9CD" wp14:textId="77777777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xmlns:wp14="http://schemas.microsoft.com/office/word/2010/wordml" w:rsidRPr="00317A3B" w:rsidR="007242C6" w:rsidTr="0973E6A1" w14:paraId="3388C15C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4F6584BE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1170681C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3A4638BD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3B342F3A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xmlns:wp14="http://schemas.microsoft.com/office/word/2010/wordml" w:rsidRPr="00317A3B" w:rsidR="007242C6" w:rsidTr="0973E6A1" w14:paraId="121EC0BC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5CD96D4C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DF0A51" w14:paraId="33096EF0" wp14:textId="28A418E8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5A39BBE3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7242C6" w14:paraId="41C8F396" wp14:textId="00808032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  <w:r w:rsidRPr="0973E6A1" w:rsidR="0973E6A1">
              <w:rPr>
                <w:rFonts w:ascii="Book Antiqua" w:hAnsi="Book Antiqua"/>
              </w:rPr>
              <w:t>X</w:t>
            </w:r>
          </w:p>
        </w:tc>
      </w:tr>
      <w:tr xmlns:wp14="http://schemas.microsoft.com/office/word/2010/wordml" w:rsidRPr="00317A3B" w:rsidR="007242C6" w:rsidTr="0973E6A1" w14:paraId="45678B36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660A0094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7242C6" w14:paraId="72A3D3EC" wp14:textId="7B02B54F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  <w:r w:rsidRPr="0973E6A1" w:rsidR="0973E6A1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DF0A51" w14:paraId="7E0CB7FE" wp14:textId="3BE74CF6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0D0B940D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xmlns:wp14="http://schemas.microsoft.com/office/word/2010/wordml" w:rsidRPr="00317A3B" w:rsidR="007242C6" w:rsidTr="0973E6A1" w14:paraId="4FFE0FF2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4176CC47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Pr="00925DC1" w:rsidR="007242C6" w:rsidP="00D94E42" w:rsidRDefault="007242C6" w14:paraId="4BC9BA10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Pr="00925DC1" w:rsidR="007242C6" w:rsidP="00D94E42" w:rsidRDefault="007242C6" w14:paraId="01FEF274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Pr="00317A3B" w:rsidR="007242C6" w:rsidP="00D94E42" w:rsidRDefault="007242C6" w14:paraId="178C2F65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7242C6" wp14:textId="77777777" w14:paraId="43F28FD1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  <w:r w:rsidRPr="0973E6A1" w:rsidR="0973E6A1">
              <w:rPr>
                <w:rFonts w:ascii="Book Antiqua" w:hAnsi="Book Antiqua"/>
              </w:rPr>
              <w:t>X</w:t>
            </w:r>
          </w:p>
          <w:p w:rsidRPr="00317A3B" w:rsidR="007242C6" w:rsidP="0973E6A1" w:rsidRDefault="007242C6" w14:paraId="0E27B00A" wp14:textId="2D34C089">
            <w:pPr>
              <w:pStyle w:val="Normlnywebov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973E6A1" w:rsidRDefault="00DF0A51" w14:paraId="41E61A33" wp14:textId="33F9403B">
            <w:pPr>
              <w:pStyle w:val="Normlnywebov"/>
              <w:spacing w:before="0" w:beforeAutospacing="off" w:after="0" w:afterAutospacing="off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60061E4C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xmlns:wp14="http://schemas.microsoft.com/office/word/2010/wordml" w:rsidRPr="00317A3B" w:rsidR="007242C6" w:rsidTr="0973E6A1" w14:paraId="75B97642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6C2EC334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44EAFD9C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DF0A51" w14:paraId="2A5697B1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4B94D5A5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xmlns:wp14="http://schemas.microsoft.com/office/word/2010/wordml" w:rsidRPr="00317A3B" w:rsidR="007242C6" w:rsidTr="0973E6A1" w14:paraId="538ABF16" wp14:textId="77777777">
        <w:tc>
          <w:tcPr>
            <w:tcW w:w="5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317A3B" w:rsidR="007242C6" w:rsidP="00D94E42" w:rsidRDefault="007242C6" w14:paraId="65BCE490" wp14:textId="77777777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3DEEC669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DF0A51" w14:paraId="2AA7E729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317A3B" w:rsidR="007242C6" w:rsidP="00D94E42" w:rsidRDefault="007242C6" w14:paraId="3656B9AB" wp14:textId="777777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xmlns:wp14="http://schemas.microsoft.com/office/word/2010/wordml" w:rsidR="007242C6" w:rsidP="007242C6" w:rsidRDefault="007242C6" w14:paraId="45FB0818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xmlns:wp14="http://schemas.microsoft.com/office/word/2010/wordml" w:rsidRPr="00317A3B" w:rsidR="007242C6" w:rsidP="007242C6" w:rsidRDefault="007242C6" w14:paraId="09AF38FC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xmlns:wp14="http://schemas.microsoft.com/office/word/2010/wordml" w:rsidRPr="00317A3B" w:rsidR="007242C6" w:rsidP="007242C6" w:rsidRDefault="007242C6" w14:paraId="0E54CE8B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xmlns:wp14="http://schemas.microsoft.com/office/word/2010/wordml" w:rsidRPr="00317A3B" w:rsidR="007242C6" w:rsidP="007242C6" w:rsidRDefault="007242C6" w14:paraId="049F31CB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xmlns:wp14="http://schemas.microsoft.com/office/word/2010/wordml" w:rsidR="004D3E2A" w:rsidP="0973E6A1" w:rsidRDefault="007242C6" w14:paraId="431F9FD3" wp14:textId="71FFDDB3">
      <w:pPr>
        <w:pStyle w:val="Normlnywebov"/>
        <w:spacing w:before="0" w:beforeAutospacing="off" w:after="0" w:afterAutospacing="off"/>
        <w:jc w:val="both"/>
        <w:rPr>
          <w:rFonts w:ascii="Book Antiqua" w:hAnsi="Book Antiqua"/>
        </w:rPr>
      </w:pPr>
      <w:r w:rsidRPr="0973E6A1" w:rsidR="0973E6A1">
        <w:rPr>
          <w:rFonts w:ascii="Book Antiqua" w:hAnsi="Book Antiqua"/>
        </w:rPr>
        <w:t>Návrh zákona má negatívny vplyv na štátny rozpočet a pozitívny vplyv na podnikateľské prostredie. Návrh zákona má pozitívne sociálne vplyvy a neutrálny vplyv na životné prostredie a informatizáciu spoločnosti.</w:t>
      </w:r>
    </w:p>
    <w:p xmlns:wp14="http://schemas.microsoft.com/office/word/2010/wordml" w:rsidRPr="00317A3B" w:rsidR="007242C6" w:rsidP="007242C6" w:rsidRDefault="007242C6" w14:paraId="15AA318D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xmlns:wp14="http://schemas.microsoft.com/office/word/2010/wordml" w:rsidRPr="00317A3B" w:rsidR="007242C6" w:rsidP="007242C6" w:rsidRDefault="007242C6" w14:paraId="7402FA93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xmlns:wp14="http://schemas.microsoft.com/office/word/2010/wordml" w:rsidRPr="00317A3B" w:rsidR="007242C6" w:rsidP="007242C6" w:rsidRDefault="007242C6" w14:paraId="01512BE8" wp14:textId="77777777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xmlns:wp14="http://schemas.microsoft.com/office/word/2010/wordml" w:rsidRPr="00317A3B" w:rsidR="007242C6" w:rsidP="007242C6" w:rsidRDefault="0010062E" w14:paraId="39023BD2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xmlns:wp14="http://schemas.microsoft.com/office/word/2010/wordml" w:rsidRPr="00317A3B" w:rsidR="007242C6" w:rsidP="007242C6" w:rsidRDefault="007242C6" w14:paraId="53128261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xmlns:wp14="http://schemas.microsoft.com/office/word/2010/wordml" w:rsidR="007242C6" w:rsidP="007242C6" w:rsidRDefault="007242C6" w14:paraId="04EAF29F" wp14:textId="77777777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xmlns:wp14="http://schemas.microsoft.com/office/word/2010/wordml" w:rsidR="007242C6" w:rsidP="007242C6" w:rsidRDefault="007242C6" w14:paraId="62486C05" wp14:textId="77777777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xmlns:wp14="http://schemas.microsoft.com/office/word/2010/wordml" w:rsidRPr="008F0072" w:rsidR="007242C6" w:rsidP="008F0072" w:rsidRDefault="007242C6" w14:paraId="64724A2A" wp14:textId="777777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Pr="008F0072" w:rsidR="007242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E04BE" w:rsidP="00C768B9" w:rsidRDefault="008E04BE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E04BE" w:rsidP="00C768B9" w:rsidRDefault="008E04BE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E04BE" w:rsidP="00C768B9" w:rsidRDefault="008E04BE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E04BE" w:rsidP="00C768B9" w:rsidRDefault="008E04BE" w14:paraId="4DDBEF0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 w:ascii="Book Antiqua" w:hAnsi="Book Antiqua" w:cs="Times New Roman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 w:ascii="Book Antiqua" w:hAnsi="Book Antiqua" w:cs="Times New Roman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C64E0"/>
    <w:rsid w:val="007F6D41"/>
    <w:rsid w:val="00800B91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C5744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  <w:rsid w:val="0973E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D69F"/>
  <w14:defaultImageDpi w14:val="0"/>
  <w15:docId w15:val="{0555DBB6-C102-4919-9989-6958B24FA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Pr>
      <w:rFonts w:cs="Times New Roman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styleId="Default" w:customStyle="1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PredformtovanHTMLChar" w:customStyle="1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styleId="ZkladntextChar" w:customStyle="1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styleId="WW-Default" w:customStyle="1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styleId="TextBody" w:customStyle="1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styleId="PtaChar" w:customStyle="1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Kancelaria NR SR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spravca</dc:creator>
  <keywords/>
  <dc:description/>
  <lastModifiedBy>Simona D</lastModifiedBy>
  <revision>5</revision>
  <lastPrinted>2016-09-23T09:54:00.0000000Z</lastPrinted>
  <dcterms:created xsi:type="dcterms:W3CDTF">2018-12-29T08:36:00.0000000Z</dcterms:created>
  <dcterms:modified xsi:type="dcterms:W3CDTF">2021-02-16T16:42:30.5249029Z</dcterms:modified>
</coreProperties>
</file>