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13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6662"/>
        <w:gridCol w:w="426"/>
        <w:gridCol w:w="708"/>
        <w:gridCol w:w="709"/>
        <w:gridCol w:w="5670"/>
        <w:gridCol w:w="425"/>
        <w:gridCol w:w="851"/>
      </w:tblGrid>
      <w:tr>
        <w:tblPrEx>
          <w:tblW w:w="1613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133"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DD2C4B" w:rsidP="0078287E">
            <w:pPr>
              <w:pStyle w:val="Heading1"/>
              <w:bidi w:val="0"/>
              <w:rPr>
                <w:rFonts w:ascii="Times New Roman" w:hAnsi="Times New Roman"/>
              </w:rPr>
            </w:pPr>
            <w:r w:rsidRPr="00DD2C4B">
              <w:rPr>
                <w:rFonts w:ascii="Times New Roman" w:hAnsi="Times New Roman"/>
              </w:rPr>
              <w:t>TABUĽKA  ZHODY</w:t>
            </w:r>
            <w:r w:rsidRPr="00DD2C4B" w:rsidR="006A1D7B">
              <w:rPr>
                <w:rFonts w:ascii="Times New Roman" w:hAnsi="Times New Roman"/>
              </w:rPr>
              <w:t xml:space="preserve"> </w:t>
            </w:r>
          </w:p>
          <w:p w:rsidR="006A1D7B" w:rsidRPr="00DD2C4B" w:rsidP="006A1D7B">
            <w:pPr>
              <w:bidi w:val="0"/>
              <w:jc w:val="center"/>
              <w:rPr>
                <w:rFonts w:ascii="Times New Roman" w:hAnsi="Times New Roman"/>
              </w:rPr>
            </w:pPr>
            <w:r w:rsidRPr="00DD2C4B">
              <w:rPr>
                <w:rFonts w:ascii="Times New Roman" w:hAnsi="Times New Roman"/>
                <w:b/>
                <w:bCs/>
              </w:rPr>
              <w:t>návrhu zákona s právom Európskej únie</w:t>
            </w:r>
          </w:p>
          <w:p w:rsidR="008C54C3" w:rsidRPr="00DD2C4B" w:rsidP="007872B7">
            <w:pPr>
              <w:tabs>
                <w:tab w:val="left" w:pos="0"/>
              </w:tabs>
              <w:autoSpaceDE w:val="0"/>
              <w:autoSpaceDN w:val="0"/>
              <w:bidi w:val="0"/>
              <w:spacing w:before="0"/>
              <w:jc w:val="center"/>
              <w:rPr>
                <w:rFonts w:ascii="Times New Roman" w:hAnsi="Times New Roman"/>
                <w:b/>
                <w:bCs/>
              </w:rPr>
            </w:pPr>
          </w:p>
        </w:tc>
      </w:tr>
      <w:tr>
        <w:tblPrEx>
          <w:tblW w:w="16133" w:type="dxa"/>
          <w:tblInd w:w="-497" w:type="dxa"/>
          <w:tblLayout w:type="fixed"/>
          <w:tblCellMar>
            <w:left w:w="43" w:type="dxa"/>
            <w:right w:w="43" w:type="dxa"/>
          </w:tblCellMar>
        </w:tblPrEx>
        <w:trPr>
          <w:trHeight w:val="567"/>
        </w:trPr>
        <w:tc>
          <w:tcPr>
            <w:tcW w:w="7770" w:type="dxa"/>
            <w:gridSpan w:val="3"/>
            <w:tcBorders>
              <w:top w:val="single" w:sz="4" w:space="0" w:color="auto"/>
              <w:left w:val="single" w:sz="12" w:space="0" w:color="auto"/>
              <w:bottom w:val="single" w:sz="4" w:space="0" w:color="auto"/>
              <w:right w:val="single" w:sz="12" w:space="0" w:color="auto"/>
            </w:tcBorders>
            <w:textDirection w:val="lrTb"/>
            <w:vAlign w:val="top"/>
          </w:tcPr>
          <w:p w:rsidR="00EE7DD6" w:rsidRPr="00135528" w:rsidP="00135528">
            <w:pPr>
              <w:pStyle w:val="Heading4"/>
              <w:bidi w:val="0"/>
              <w:spacing w:before="120"/>
              <w:jc w:val="both"/>
              <w:rPr>
                <w:rFonts w:ascii="Times New Roman" w:hAnsi="Times New Roman"/>
                <w:sz w:val="24"/>
                <w:szCs w:val="24"/>
              </w:rPr>
            </w:pPr>
            <w:r w:rsidRPr="00135528" w:rsidR="00DE0F85">
              <w:rPr>
                <w:rFonts w:ascii="Times New Roman" w:hAnsi="Times New Roman"/>
                <w:sz w:val="24"/>
                <w:szCs w:val="24"/>
              </w:rPr>
              <w:t>Smernica EÚ</w:t>
            </w:r>
          </w:p>
          <w:p w:rsidR="009D5B18" w:rsidRPr="00135528" w:rsidP="009D5B18">
            <w:pPr>
              <w:autoSpaceDE w:val="0"/>
              <w:autoSpaceDN w:val="0"/>
              <w:bidi w:val="0"/>
              <w:spacing w:before="0"/>
              <w:jc w:val="left"/>
              <w:rPr>
                <w:rFonts w:ascii="Times New Roman" w:hAnsi="Times New Roman"/>
              </w:rPr>
            </w:pPr>
          </w:p>
          <w:p w:rsidR="009D5B18" w:rsidRPr="00135528" w:rsidP="009D5B18">
            <w:pPr>
              <w:pStyle w:val="doc-ti"/>
              <w:shd w:val="clear" w:color="auto" w:fill="FFFFFF"/>
              <w:bidi w:val="0"/>
              <w:jc w:val="left"/>
              <w:rPr>
                <w:rFonts w:ascii="Times New Roman" w:hAnsi="Times New Roman"/>
                <w:color w:val="000000"/>
              </w:rPr>
            </w:pPr>
            <w:r w:rsidRPr="00135528">
              <w:rPr>
                <w:rFonts w:ascii="Times New Roman" w:hAnsi="Times New Roman"/>
                <w:color w:val="000000"/>
              </w:rPr>
              <w:t>SMERNICA EURÓPSKEHO PARLAMENTU A RADY (EÚ) 2019/1160 z 20. júna 2019, ktorou sa mení smernica 2009/65/ES a smernica 2011/61/EÚ, pokiaľ ide o cezhraničnú distribúciu podnikov kolektívneho investovania</w:t>
            </w:r>
          </w:p>
          <w:p w:rsidR="009D5B18" w:rsidRPr="00135528" w:rsidP="009D5B18">
            <w:pPr>
              <w:autoSpaceDE w:val="0"/>
              <w:autoSpaceDN w:val="0"/>
              <w:bidi w:val="0"/>
              <w:spacing w:before="0"/>
              <w:jc w:val="left"/>
              <w:rPr>
                <w:rFonts w:ascii="Times New Roman" w:hAnsi="Times New Roman"/>
              </w:rPr>
            </w:pPr>
          </w:p>
          <w:p w:rsidR="009D5B18" w:rsidRPr="00135528" w:rsidP="009D5B18">
            <w:pPr>
              <w:autoSpaceDE w:val="0"/>
              <w:autoSpaceDN w:val="0"/>
              <w:bidi w:val="0"/>
              <w:spacing w:before="0"/>
              <w:jc w:val="left"/>
              <w:rPr>
                <w:rFonts w:ascii="Times New Roman" w:hAnsi="Times New Roman"/>
              </w:rPr>
            </w:pPr>
          </w:p>
          <w:p w:rsidR="009D5B18" w:rsidRPr="00135528" w:rsidP="009D5B18">
            <w:pPr>
              <w:autoSpaceDE w:val="0"/>
              <w:autoSpaceDN w:val="0"/>
              <w:bidi w:val="0"/>
              <w:spacing w:before="0"/>
              <w:jc w:val="left"/>
              <w:rPr>
                <w:rFonts w:ascii="Times New Roman" w:hAnsi="Times New Roman"/>
              </w:rPr>
            </w:pPr>
          </w:p>
          <w:p w:rsidR="009D5B18" w:rsidRPr="00135528" w:rsidP="009D5B18">
            <w:pPr>
              <w:autoSpaceDE w:val="0"/>
              <w:autoSpaceDN w:val="0"/>
              <w:bidi w:val="0"/>
              <w:spacing w:before="0"/>
              <w:jc w:val="left"/>
              <w:rPr>
                <w:rFonts w:ascii="Times New Roman" w:hAnsi="Times New Roman"/>
              </w:rPr>
            </w:pPr>
          </w:p>
        </w:tc>
        <w:tc>
          <w:tcPr>
            <w:tcW w:w="8363" w:type="dxa"/>
            <w:gridSpan w:val="5"/>
            <w:tcBorders>
              <w:top w:val="single" w:sz="4" w:space="0" w:color="auto"/>
              <w:left w:val="nil"/>
              <w:bottom w:val="single" w:sz="4" w:space="0" w:color="auto"/>
              <w:right w:val="single" w:sz="12" w:space="0" w:color="auto"/>
            </w:tcBorders>
            <w:textDirection w:val="lrTb"/>
            <w:vAlign w:val="top"/>
          </w:tcPr>
          <w:p w:rsidR="008C54C3" w:rsidRPr="00DD2C4B" w:rsidP="00135528">
            <w:pPr>
              <w:pStyle w:val="Heading4"/>
              <w:bidi w:val="0"/>
              <w:spacing w:before="120"/>
              <w:jc w:val="both"/>
              <w:rPr>
                <w:rFonts w:ascii="Times New Roman" w:hAnsi="Times New Roman"/>
                <w:sz w:val="24"/>
                <w:szCs w:val="24"/>
              </w:rPr>
            </w:pPr>
            <w:r w:rsidRPr="00DD2C4B" w:rsidR="000E689A">
              <w:rPr>
                <w:rFonts w:ascii="Times New Roman" w:hAnsi="Times New Roman"/>
                <w:sz w:val="24"/>
                <w:szCs w:val="24"/>
              </w:rPr>
              <w:t>P</w:t>
            </w:r>
            <w:r w:rsidRPr="00DD2C4B">
              <w:rPr>
                <w:rFonts w:ascii="Times New Roman" w:hAnsi="Times New Roman"/>
                <w:sz w:val="24"/>
                <w:szCs w:val="24"/>
              </w:rPr>
              <w:t>rávne predpisy Slovenskej republiky</w:t>
            </w:r>
          </w:p>
          <w:p w:rsidR="00135528" w:rsidRPr="00DD2C4B" w:rsidP="00135528">
            <w:pPr>
              <w:pStyle w:val="Heading4"/>
              <w:bidi w:val="0"/>
              <w:spacing w:before="120"/>
              <w:jc w:val="both"/>
              <w:rPr>
                <w:rFonts w:ascii="Times New Roman" w:hAnsi="Times New Roman"/>
                <w:b w:val="0"/>
                <w:bCs w:val="0"/>
                <w:sz w:val="24"/>
                <w:szCs w:val="24"/>
              </w:rPr>
            </w:pPr>
            <w:r w:rsidRPr="00DD2C4B" w:rsidR="00FF3C39">
              <w:rPr>
                <w:rFonts w:ascii="Times New Roman" w:hAnsi="Times New Roman"/>
                <w:b w:val="0"/>
                <w:sz w:val="24"/>
                <w:szCs w:val="24"/>
              </w:rPr>
              <w:t>Zákon č. 203/2011 Z. z. o kolektívnom investovaní</w:t>
            </w:r>
            <w:r w:rsidRPr="00DD2C4B" w:rsidR="00FF3C39">
              <w:rPr>
                <w:rFonts w:ascii="Times New Roman" w:hAnsi="Times New Roman"/>
                <w:b w:val="0"/>
                <w:bCs w:val="0"/>
                <w:sz w:val="24"/>
                <w:szCs w:val="24"/>
              </w:rPr>
              <w:t xml:space="preserve"> v znení neskorších predpisov</w:t>
            </w:r>
            <w:r w:rsidRPr="00DD2C4B">
              <w:rPr>
                <w:rFonts w:ascii="Times New Roman" w:hAnsi="Times New Roman"/>
                <w:b w:val="0"/>
                <w:bCs w:val="0"/>
                <w:sz w:val="24"/>
                <w:szCs w:val="24"/>
              </w:rPr>
              <w:t xml:space="preserve"> (ďalej „203/2011“)</w:t>
            </w:r>
          </w:p>
          <w:p w:rsidR="00FF3C39" w:rsidRPr="00DD2C4B" w:rsidP="00135528">
            <w:pPr>
              <w:bidi w:val="0"/>
              <w:spacing w:beforeAutospacing="1" w:after="120" w:afterAutospacing="1"/>
              <w:rPr>
                <w:rFonts w:ascii="Times New Roman" w:hAnsi="Times New Roman"/>
                <w:b/>
                <w:bCs/>
                <w:color w:val="0070C0"/>
              </w:rPr>
            </w:pPr>
            <w:r w:rsidRPr="00DD2C4B">
              <w:rPr>
                <w:rFonts w:ascii="Times New Roman" w:hAnsi="Times New Roman"/>
                <w:b/>
                <w:bCs/>
                <w:color w:val="0070C0"/>
              </w:rPr>
              <w:t xml:space="preserve">Návrh zákona z .... 2020, </w:t>
            </w:r>
            <w:r w:rsidRPr="00DD2C4B">
              <w:rPr>
                <w:rFonts w:ascii="Times New Roman" w:hAnsi="Times New Roman"/>
                <w:b/>
                <w:color w:val="0070C0"/>
              </w:rPr>
              <w:t>ktorým sa mení a dopĺňa zákon č. 203/2011 Z. z. o</w:t>
            </w:r>
            <w:r w:rsidRPr="00DD2C4B" w:rsidR="00135528">
              <w:rPr>
                <w:rFonts w:ascii="Times New Roman" w:hAnsi="Times New Roman"/>
                <w:b/>
                <w:color w:val="0070C0"/>
              </w:rPr>
              <w:t> </w:t>
            </w:r>
            <w:r w:rsidRPr="00DD2C4B">
              <w:rPr>
                <w:rFonts w:ascii="Times New Roman" w:hAnsi="Times New Roman"/>
                <w:b/>
                <w:color w:val="0070C0"/>
              </w:rPr>
              <w:t>kolektívnom</w:t>
            </w:r>
            <w:r w:rsidRPr="00DD2C4B" w:rsidR="00135528">
              <w:rPr>
                <w:rFonts w:ascii="Times New Roman" w:hAnsi="Times New Roman"/>
                <w:b/>
                <w:color w:val="0070C0"/>
              </w:rPr>
              <w:t xml:space="preserve"> </w:t>
            </w:r>
            <w:r w:rsidRPr="00DD2C4B">
              <w:rPr>
                <w:rFonts w:ascii="Times New Roman" w:hAnsi="Times New Roman"/>
                <w:b/>
                <w:color w:val="0070C0"/>
              </w:rPr>
              <w:t xml:space="preserve"> investovaní </w:t>
            </w:r>
            <w:r w:rsidRPr="00DD2C4B" w:rsidR="00CC21B9">
              <w:rPr>
                <w:rFonts w:ascii="Times New Roman" w:hAnsi="Times New Roman"/>
                <w:b/>
                <w:color w:val="0070C0"/>
              </w:rPr>
              <w:t>v znení neskorších predpisov</w:t>
            </w:r>
            <w:r w:rsidRPr="00DD2C4B">
              <w:rPr>
                <w:rFonts w:ascii="Times New Roman" w:hAnsi="Times New Roman"/>
                <w:b/>
                <w:color w:val="0070C0"/>
              </w:rPr>
              <w:t> </w:t>
            </w:r>
            <w:r w:rsidRPr="00DD2C4B" w:rsidR="00135528">
              <w:rPr>
                <w:rFonts w:ascii="Times New Roman" w:hAnsi="Times New Roman"/>
                <w:b/>
                <w:bCs/>
                <w:color w:val="0070C0"/>
              </w:rPr>
              <w:t>(ďalej „návrh zákona“)</w:t>
            </w:r>
          </w:p>
          <w:p w:rsidR="009D5B18" w:rsidRPr="00DD2C4B" w:rsidP="00FF3C39">
            <w:pPr>
              <w:tabs>
                <w:tab w:val="left" w:pos="0"/>
              </w:tabs>
              <w:autoSpaceDE w:val="0"/>
              <w:autoSpaceDN w:val="0"/>
              <w:bidi w:val="0"/>
              <w:spacing w:before="0"/>
              <w:rPr>
                <w:rFonts w:ascii="Times New Roman" w:hAnsi="Times New Roman"/>
              </w:rPr>
            </w:pPr>
            <w:r w:rsidRPr="00DD2C4B" w:rsidR="00CF0B93">
              <w:rPr>
                <w:rFonts w:ascii="Times New Roman" w:hAnsi="Times New Roman"/>
                <w:bCs/>
              </w:rPr>
              <w:t xml:space="preserve">Zákon č. 575/2001 Z. z. </w:t>
            </w:r>
            <w:r w:rsidRPr="00DD2C4B" w:rsidR="00CF0B93">
              <w:rPr>
                <w:rFonts w:ascii="Times New Roman" w:hAnsi="Times New Roman"/>
                <w:bCs/>
                <w:color w:val="000000"/>
                <w:shd w:val="clear" w:color="auto" w:fill="FFFFFF"/>
              </w:rPr>
              <w:t xml:space="preserve">o organizácii činnosti vlády a organizácii ústrednej štátnej správy </w:t>
            </w:r>
            <w:r w:rsidRPr="00DD2C4B" w:rsidR="00CF0B93">
              <w:rPr>
                <w:rFonts w:ascii="Times New Roman" w:hAnsi="Times New Roman"/>
                <w:bCs/>
              </w:rPr>
              <w:t>v znení neskorších predpisov (ďalej „575/2001“)</w:t>
            </w: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1</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2</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3</w:t>
            </w:r>
          </w:p>
        </w:tc>
        <w:tc>
          <w:tcPr>
            <w:tcW w:w="708" w:type="dxa"/>
            <w:tcBorders>
              <w:top w:val="single" w:sz="4" w:space="0" w:color="auto"/>
              <w:left w:val="nil"/>
              <w:bottom w:val="single" w:sz="4" w:space="0" w:color="auto"/>
              <w:right w:val="single" w:sz="4"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BodyText2"/>
              <w:bidi w:val="0"/>
              <w:spacing w:line="240" w:lineRule="exact"/>
              <w:rPr>
                <w:rFonts w:ascii="Arial Narrow" w:hAnsi="Arial Narrow"/>
                <w:sz w:val="22"/>
                <w:szCs w:val="22"/>
              </w:rPr>
            </w:pPr>
            <w:r w:rsidRPr="002153F7">
              <w:rPr>
                <w:rFonts w:ascii="Arial Narrow" w:hAnsi="Arial Narrow"/>
                <w:sz w:val="22"/>
                <w:szCs w:val="22"/>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BodyText2"/>
              <w:bidi w:val="0"/>
              <w:spacing w:line="240" w:lineRule="exact"/>
              <w:rPr>
                <w:rFonts w:ascii="Arial Narrow" w:hAnsi="Arial Narrow"/>
                <w:sz w:val="22"/>
                <w:szCs w:val="22"/>
              </w:rPr>
            </w:pPr>
            <w:r w:rsidRPr="002153F7">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7</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sidR="005170A9">
              <w:rPr>
                <w:rFonts w:ascii="Arial Narrow" w:hAnsi="Arial Narrow"/>
                <w:sz w:val="22"/>
                <w:szCs w:val="22"/>
              </w:rPr>
              <w:t>8</w:t>
            </w: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Článok</w:t>
            </w:r>
          </w:p>
          <w:p w:rsidR="00A9063F" w:rsidRPr="002153F7">
            <w:pPr>
              <w:pStyle w:val="Normlny"/>
              <w:bidi w:val="0"/>
              <w:jc w:val="center"/>
              <w:rPr>
                <w:rFonts w:ascii="Arial Narrow" w:hAnsi="Arial Narrow"/>
                <w:sz w:val="22"/>
                <w:szCs w:val="22"/>
              </w:rPr>
            </w:pPr>
            <w:r w:rsidRPr="002153F7">
              <w:rPr>
                <w:rFonts w:ascii="Arial Narrow" w:hAnsi="Arial Narrow"/>
                <w:sz w:val="22"/>
                <w:szCs w:val="22"/>
              </w:rPr>
              <w:t>(Č, O,</w:t>
            </w:r>
          </w:p>
          <w:p w:rsidR="00A9063F" w:rsidRPr="002153F7">
            <w:pPr>
              <w:pStyle w:val="Normlny"/>
              <w:bidi w:val="0"/>
              <w:jc w:val="center"/>
              <w:rPr>
                <w:rFonts w:ascii="Arial Narrow" w:hAnsi="Arial Narrow"/>
                <w:sz w:val="22"/>
                <w:szCs w:val="22"/>
              </w:rPr>
            </w:pPr>
            <w:r w:rsidRPr="002153F7">
              <w:rPr>
                <w:rFonts w:ascii="Arial Narrow" w:hAnsi="Arial Narrow"/>
                <w:sz w:val="22"/>
                <w:szCs w:val="22"/>
              </w:rPr>
              <w:t>V, P)</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Text</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Spôsob transp.</w:t>
            </w:r>
          </w:p>
          <w:p w:rsidR="00A9063F" w:rsidRPr="002153F7">
            <w:pPr>
              <w:pStyle w:val="Normlny"/>
              <w:bidi w:val="0"/>
              <w:jc w:val="center"/>
              <w:rPr>
                <w:rFonts w:ascii="Arial Narrow" w:hAnsi="Arial Narrow"/>
                <w:sz w:val="22"/>
                <w:szCs w:val="22"/>
              </w:rPr>
            </w:pPr>
            <w:r w:rsidRPr="002153F7">
              <w:rPr>
                <w:rFonts w:ascii="Arial Narrow" w:hAnsi="Arial Narrow"/>
                <w:sz w:val="22"/>
                <w:szCs w:val="22"/>
              </w:rPr>
              <w:t>(N, O, D, n.a.)</w:t>
            </w:r>
          </w:p>
        </w:tc>
        <w:tc>
          <w:tcPr>
            <w:tcW w:w="708" w:type="dxa"/>
            <w:tcBorders>
              <w:top w:val="single" w:sz="4" w:space="0" w:color="auto"/>
              <w:left w:val="nil"/>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Číslo</w:t>
            </w:r>
          </w:p>
          <w:p w:rsidR="00A9063F" w:rsidRPr="002153F7">
            <w:pPr>
              <w:pStyle w:val="Normlny"/>
              <w:bidi w:val="0"/>
              <w:jc w:val="center"/>
              <w:rPr>
                <w:rFonts w:ascii="Arial Narrow" w:hAnsi="Arial Narrow"/>
                <w:sz w:val="22"/>
                <w:szCs w:val="22"/>
              </w:rPr>
            </w:pPr>
            <w:r w:rsidRPr="002153F7">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Článok (Č, §, O, V, P)</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Zhoda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rsidRPr="002153F7">
            <w:pPr>
              <w:pStyle w:val="Normlny"/>
              <w:bidi w:val="0"/>
              <w:jc w:val="center"/>
              <w:rPr>
                <w:rFonts w:ascii="Arial Narrow" w:hAnsi="Arial Narrow"/>
                <w:sz w:val="22"/>
                <w:szCs w:val="22"/>
              </w:rPr>
            </w:pPr>
            <w:r w:rsidRPr="002153F7">
              <w:rPr>
                <w:rFonts w:ascii="Arial Narrow" w:hAnsi="Arial Narrow"/>
                <w:sz w:val="22"/>
                <w:szCs w:val="22"/>
              </w:rPr>
              <w:t>Poznámky</w:t>
            </w: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P="00162F39">
            <w:pPr>
              <w:autoSpaceDE w:val="0"/>
              <w:autoSpaceDN w:val="0"/>
              <w:bidi w:val="0"/>
              <w:spacing w:before="0"/>
              <w:jc w:val="center"/>
              <w:rPr>
                <w:rFonts w:ascii="Times New Roman" w:hAnsi="Times New Roman"/>
                <w:sz w:val="22"/>
                <w:szCs w:val="22"/>
              </w:rPr>
            </w:pPr>
            <w:r w:rsidRPr="009D5B18" w:rsidR="0078287E">
              <w:rPr>
                <w:rFonts w:ascii="Times New Roman" w:hAnsi="Times New Roman"/>
                <w:sz w:val="22"/>
                <w:szCs w:val="22"/>
              </w:rPr>
              <w:t xml:space="preserve">Čl. </w:t>
            </w:r>
            <w:r w:rsidR="00CC21B9">
              <w:rPr>
                <w:rFonts w:ascii="Times New Roman" w:hAnsi="Times New Roman"/>
                <w:sz w:val="22"/>
                <w:szCs w:val="22"/>
              </w:rPr>
              <w:t>1</w:t>
            </w:r>
          </w:p>
          <w:p w:rsidR="00CC21B9" w:rsidRPr="009D5B18" w:rsidP="00162F39">
            <w:pPr>
              <w:autoSpaceDE w:val="0"/>
              <w:autoSpaceDN w:val="0"/>
              <w:bidi w:val="0"/>
              <w:spacing w:before="0"/>
              <w:jc w:val="center"/>
              <w:rPr>
                <w:rFonts w:ascii="Times New Roman" w:hAnsi="Times New Roman"/>
                <w:sz w:val="22"/>
                <w:szCs w:val="22"/>
              </w:rPr>
            </w:pPr>
            <w:r>
              <w:rPr>
                <w:rFonts w:ascii="Times New Roman" w:hAnsi="Times New Roman"/>
                <w:sz w:val="22"/>
                <w:szCs w:val="22"/>
              </w:rPr>
              <w:t>Bod 1 až 3</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9D5B18" w:rsidRPr="009D5B18" w:rsidP="009D5B18">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Smernica 2009/65/ES sa mení takto:</w:t>
            </w:r>
          </w:p>
          <w:tbl>
            <w:tblPr>
              <w:tblStyle w:val="TableNormal"/>
              <w:tblW w:w="4928" w:type="pct"/>
              <w:tblLayout w:type="fixed"/>
              <w:tblCellMar>
                <w:left w:w="0" w:type="dxa"/>
                <w:right w:w="0" w:type="dxa"/>
              </w:tblCellMar>
              <w:tblLook w:val="04A0"/>
            </w:tblPr>
            <w:tblGrid>
              <w:gridCol w:w="367"/>
              <w:gridCol w:w="6114"/>
            </w:tblGrid>
            <w:tr>
              <w:tblPrEx>
                <w:tblW w:w="4928" w:type="pct"/>
                <w:tblLayout w:type="fixed"/>
                <w:tblCellMar>
                  <w:left w:w="0" w:type="dxa"/>
                  <w:right w:w="0" w:type="dxa"/>
                </w:tblCellMar>
                <w:tblLook w:val="04A0"/>
              </w:tblPrEx>
              <w:tc>
                <w:tcPr>
                  <w:tcW w:w="382"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1.</w:t>
                  </w:r>
                </w:p>
              </w:tc>
              <w:tc>
                <w:tcPr>
                  <w:tcW w:w="6379"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Do článku 17 ods. 8 sa dopĺňajú tieto pododseky:</w:t>
                  </w:r>
                </w:p>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„Ak by v dôsledku zmeny uvedenej v prvom pododseku správcovská spoločnosť prestala byť v súlade s touto smernicou, príslušné orgány domovského členského štátu správcovskej spoločnosti do 15 pracovných dní od doručenia všetkých informácií uvedených v prvom pododseku oznámia správcovskej spoločnosti, že danú zmenu nesmie vykonať. V takom prípade príslušné orgány domovského členského štátu správcovskej spoločnosti o tom informujú príslušné orgány hostiteľského členského štátu správcovskej spoločnosti.</w:t>
                  </w:r>
                </w:p>
                <w:p w:rsidR="009D5B18" w:rsidP="009D5B18">
                  <w:pPr>
                    <w:bidi w:val="0"/>
                    <w:rPr>
                      <w:rFonts w:ascii="Times New Roman" w:hAnsi="Times New Roman"/>
                      <w:color w:val="000000"/>
                      <w:sz w:val="22"/>
                      <w:szCs w:val="22"/>
                    </w:rPr>
                  </w:pPr>
                  <w:r w:rsidRPr="009D5B18">
                    <w:rPr>
                      <w:rFonts w:ascii="Times New Roman" w:hAnsi="Times New Roman"/>
                      <w:color w:val="000000"/>
                      <w:sz w:val="22"/>
                      <w:szCs w:val="22"/>
                    </w:rPr>
                    <w:t xml:space="preserve">Ak sa zmena uvedená v prvom pododseku vykoná potom, ako došlo k zaslaniu informácií v </w:t>
                  </w:r>
                  <w:r w:rsidRPr="009A1BB9">
                    <w:rPr>
                      <w:rFonts w:ascii="Times New Roman" w:hAnsi="Times New Roman"/>
                      <w:color w:val="000000"/>
                      <w:sz w:val="22"/>
                      <w:szCs w:val="22"/>
                    </w:rPr>
                    <w:t>súlade s druhým pododsekom, a ak v dôsledku tejto zmeny správcovská spoločnosť prestala byť v súlade</w:t>
                  </w:r>
                  <w:r w:rsidRPr="009D5B18">
                    <w:rPr>
                      <w:rFonts w:ascii="Times New Roman" w:hAnsi="Times New Roman"/>
                      <w:color w:val="000000"/>
                      <w:sz w:val="22"/>
                      <w:szCs w:val="22"/>
                    </w:rPr>
                    <w:t xml:space="preserve"> s touto smernicou, príslušné orgány domovského členského štátu správcovskej spoločnosti prijmú všetky primerané opatrenia v súlade s článkom 98 a bez zbytočného odkladu informujú o prijatých opatreniach príslušné orgány hostiteľského členského štátu správcovskej spoločnosti.“</w:t>
                  </w:r>
                </w:p>
                <w:p w:rsidR="009A0D1E" w:rsidP="009D5B18">
                  <w:pPr>
                    <w:bidi w:val="0"/>
                    <w:rPr>
                      <w:rFonts w:ascii="Times New Roman" w:hAnsi="Times New Roman"/>
                      <w:color w:val="000000"/>
                      <w:sz w:val="22"/>
                      <w:szCs w:val="22"/>
                    </w:rPr>
                  </w:pPr>
                </w:p>
                <w:p w:rsidR="001810AF" w:rsidRPr="009D5B18" w:rsidP="009D5B18">
                  <w:pPr>
                    <w:bidi w:val="0"/>
                    <w:rPr>
                      <w:rFonts w:ascii="Times New Roman" w:hAnsi="Times New Roman"/>
                      <w:color w:val="000000"/>
                      <w:sz w:val="22"/>
                      <w:szCs w:val="22"/>
                    </w:rPr>
                  </w:pPr>
                </w:p>
              </w:tc>
            </w:tr>
          </w:tbl>
          <w:p w:rsidR="009D5B18" w:rsidRPr="009D5B18" w:rsidP="009D5B18">
            <w:pPr>
              <w:shd w:val="clear" w:color="auto" w:fill="FFFFFF"/>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512"/>
              <w:gridCol w:w="6064"/>
            </w:tblGrid>
            <w:tr>
              <w:tblPrEx>
                <w:tblW w:w="5000" w:type="pct"/>
                <w:tblLayout w:type="fixed"/>
                <w:tblCellMar>
                  <w:left w:w="0" w:type="dxa"/>
                  <w:right w:w="0" w:type="dxa"/>
                </w:tblCellMar>
                <w:tblLook w:val="04A0"/>
              </w:tblPrEx>
              <w:tc>
                <w:tcPr>
                  <w:tcW w:w="725"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2.</w:t>
                  </w:r>
                </w:p>
              </w:tc>
              <w:tc>
                <w:tcPr>
                  <w:tcW w:w="8681" w:type="dxa"/>
                  <w:tcBorders>
                    <w:top w:val="nil"/>
                    <w:left w:val="nil"/>
                    <w:bottom w:val="nil"/>
                    <w:right w:val="nil"/>
                  </w:tcBorders>
                  <w:textDirection w:val="lrTb"/>
                  <w:vAlign w:val="top"/>
                  <w:hideMark/>
                </w:tcPr>
                <w:p w:rsidR="009D5B18" w:rsidP="009D5B18">
                  <w:pPr>
                    <w:bidi w:val="0"/>
                    <w:rPr>
                      <w:rFonts w:ascii="Times New Roman" w:hAnsi="Times New Roman"/>
                      <w:color w:val="000000"/>
                      <w:sz w:val="22"/>
                      <w:szCs w:val="22"/>
                    </w:rPr>
                  </w:pPr>
                  <w:r w:rsidRPr="00E937FC">
                    <w:rPr>
                      <w:rFonts w:ascii="Times New Roman" w:hAnsi="Times New Roman"/>
                      <w:color w:val="000000"/>
                      <w:sz w:val="22"/>
                      <w:szCs w:val="22"/>
                    </w:rPr>
                    <w:t>Článok 77 sa vypúšťa.</w:t>
                  </w:r>
                </w:p>
                <w:p w:rsidR="00FF3C39" w:rsidP="009D5B18">
                  <w:pPr>
                    <w:bidi w:val="0"/>
                    <w:rPr>
                      <w:rFonts w:ascii="Times New Roman" w:hAnsi="Times New Roman"/>
                      <w:color w:val="000000"/>
                      <w:sz w:val="22"/>
                      <w:szCs w:val="22"/>
                    </w:rPr>
                  </w:pPr>
                </w:p>
                <w:p w:rsidR="009A0D1E"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9A1BB9" w:rsidP="009D5B18">
                  <w:pPr>
                    <w:bidi w:val="0"/>
                    <w:rPr>
                      <w:rFonts w:ascii="Times New Roman" w:hAnsi="Times New Roman"/>
                      <w:color w:val="000000"/>
                      <w:sz w:val="22"/>
                      <w:szCs w:val="22"/>
                    </w:rPr>
                  </w:pPr>
                </w:p>
                <w:p w:rsidR="00557B98" w:rsidP="009D5B18">
                  <w:pPr>
                    <w:bidi w:val="0"/>
                    <w:rPr>
                      <w:rFonts w:ascii="Times New Roman" w:hAnsi="Times New Roman"/>
                      <w:color w:val="000000"/>
                      <w:sz w:val="22"/>
                      <w:szCs w:val="22"/>
                    </w:rPr>
                  </w:pPr>
                </w:p>
                <w:p w:rsidR="0085085C" w:rsidRPr="009D5B18" w:rsidP="009D5B18">
                  <w:pPr>
                    <w:bidi w:val="0"/>
                    <w:rPr>
                      <w:rFonts w:ascii="Times New Roman" w:hAnsi="Times New Roman"/>
                      <w:color w:val="000000"/>
                      <w:sz w:val="22"/>
                      <w:szCs w:val="22"/>
                    </w:rPr>
                  </w:pPr>
                </w:p>
              </w:tc>
            </w:tr>
          </w:tbl>
          <w:p w:rsidR="009D5B18" w:rsidRPr="009D5B18" w:rsidP="009D5B18">
            <w:pPr>
              <w:shd w:val="clear" w:color="auto" w:fill="FFFFFF"/>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363"/>
              <w:gridCol w:w="6213"/>
            </w:tblGrid>
            <w:tr>
              <w:tblPrEx>
                <w:tblW w:w="5000" w:type="pct"/>
                <w:tblLayout w:type="fixed"/>
                <w:tblCellMar>
                  <w:left w:w="0" w:type="dxa"/>
                  <w:right w:w="0" w:type="dxa"/>
                </w:tblCellMar>
                <w:tblLook w:val="04A0"/>
              </w:tblPrEx>
              <w:tc>
                <w:tcPr>
                  <w:tcW w:w="511"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3.</w:t>
                  </w:r>
                </w:p>
              </w:tc>
              <w:tc>
                <w:tcPr>
                  <w:tcW w:w="8895"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V článku 91 sa vypúšťa odsek 3.</w:t>
                  </w:r>
                </w:p>
              </w:tc>
            </w:tr>
          </w:tbl>
          <w:p w:rsidR="00D83E5B" w:rsidRPr="009D5B18" w:rsidP="00D83E5B">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030B3" w:rsidRPr="002153F7">
            <w:pPr>
              <w:autoSpaceDE w:val="0"/>
              <w:autoSpaceDN w:val="0"/>
              <w:bidi w:val="0"/>
              <w:spacing w:before="0"/>
              <w:jc w:val="center"/>
              <w:rPr>
                <w:rFonts w:ascii="Arial Narrow" w:hAnsi="Arial Narrow"/>
                <w:sz w:val="22"/>
                <w:szCs w:val="22"/>
              </w:rPr>
            </w:pPr>
            <w:r w:rsidRPr="002153F7">
              <w:rPr>
                <w:rFonts w:ascii="Arial Narrow" w:hAnsi="Arial Narrow"/>
                <w:sz w:val="22"/>
                <w:szCs w:val="22"/>
              </w:rPr>
              <w:t>N</w:t>
            </w:r>
          </w:p>
          <w:p w:rsidR="00E030B3" w:rsidRPr="002153F7">
            <w:pPr>
              <w:autoSpaceDE w:val="0"/>
              <w:autoSpaceDN w:val="0"/>
              <w:bidi w:val="0"/>
              <w:spacing w:before="0"/>
              <w:jc w:val="center"/>
              <w:rPr>
                <w:rFonts w:ascii="Arial Narrow" w:hAnsi="Arial Narrow"/>
                <w:sz w:val="22"/>
                <w:szCs w:val="22"/>
              </w:rPr>
            </w:pPr>
          </w:p>
          <w:p w:rsidR="00A9063F" w:rsidRPr="002153F7" w:rsidP="00A47BED">
            <w:pPr>
              <w:autoSpaceDE w:val="0"/>
              <w:autoSpaceDN w:val="0"/>
              <w:bidi w:val="0"/>
              <w:spacing w:before="0"/>
              <w:jc w:val="left"/>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p w:rsidR="00E030B3" w:rsidRPr="002153F7">
            <w:pPr>
              <w:autoSpaceDE w:val="0"/>
              <w:autoSpaceDN w:val="0"/>
              <w:bidi w:val="0"/>
              <w:spacing w:before="0"/>
              <w:jc w:val="center"/>
              <w:rPr>
                <w:rFonts w:ascii="Arial Narrow" w:hAnsi="Arial Narrow"/>
                <w:sz w:val="22"/>
                <w:szCs w:val="22"/>
              </w:rPr>
            </w:pPr>
          </w:p>
        </w:tc>
        <w:tc>
          <w:tcPr>
            <w:tcW w:w="708" w:type="dxa"/>
            <w:tcBorders>
              <w:top w:val="single" w:sz="4" w:space="0" w:color="auto"/>
              <w:left w:val="nil"/>
              <w:bottom w:val="single" w:sz="4" w:space="0" w:color="auto"/>
              <w:right w:val="single" w:sz="4" w:space="0" w:color="auto"/>
            </w:tcBorders>
            <w:textDirection w:val="lrTb"/>
            <w:vAlign w:val="top"/>
          </w:tcPr>
          <w:p w:rsidR="003F5C68" w:rsidRPr="00380F43" w:rsidP="003F5C68">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2153F7">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FF3C39">
            <w:pPr>
              <w:autoSpaceDE w:val="0"/>
              <w:autoSpaceDN w:val="0"/>
              <w:bidi w:val="0"/>
              <w:spacing w:before="0"/>
              <w:jc w:val="center"/>
              <w:rPr>
                <w:rFonts w:ascii="Arial Narrow" w:hAnsi="Arial Narrow"/>
                <w:b/>
                <w:sz w:val="22"/>
                <w:szCs w:val="22"/>
              </w:rPr>
            </w:pPr>
          </w:p>
          <w:p w:rsidR="009A0D1E">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8E2791">
            <w:pPr>
              <w:autoSpaceDE w:val="0"/>
              <w:autoSpaceDN w:val="0"/>
              <w:bidi w:val="0"/>
              <w:spacing w:before="0"/>
              <w:jc w:val="center"/>
              <w:rPr>
                <w:rFonts w:ascii="Arial Narrow" w:hAnsi="Arial Narrow"/>
                <w:b/>
                <w:sz w:val="22"/>
                <w:szCs w:val="22"/>
              </w:rPr>
            </w:pPr>
          </w:p>
          <w:p w:rsidR="009F77A5">
            <w:pPr>
              <w:autoSpaceDE w:val="0"/>
              <w:autoSpaceDN w:val="0"/>
              <w:bidi w:val="0"/>
              <w:spacing w:before="0"/>
              <w:jc w:val="center"/>
              <w:rPr>
                <w:rFonts w:ascii="Arial Narrow" w:hAnsi="Arial Narrow"/>
                <w:b/>
                <w:sz w:val="22"/>
                <w:szCs w:val="22"/>
              </w:rPr>
            </w:pPr>
          </w:p>
          <w:p w:rsidR="00A17274" w:rsidRPr="00380F43" w:rsidP="00A1727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FF3C39">
            <w:pPr>
              <w:autoSpaceDE w:val="0"/>
              <w:autoSpaceDN w:val="0"/>
              <w:bidi w:val="0"/>
              <w:spacing w:before="0"/>
              <w:jc w:val="center"/>
              <w:rPr>
                <w:rFonts w:ascii="Arial Narrow" w:hAnsi="Arial Narrow"/>
                <w:sz w:val="22"/>
                <w:szCs w:val="22"/>
              </w:rPr>
            </w:pPr>
          </w:p>
          <w:p w:rsidR="00F63BAB">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85085C">
            <w:pPr>
              <w:autoSpaceDE w:val="0"/>
              <w:autoSpaceDN w:val="0"/>
              <w:bidi w:val="0"/>
              <w:spacing w:before="0"/>
              <w:jc w:val="center"/>
              <w:rPr>
                <w:rFonts w:ascii="Arial Narrow" w:hAnsi="Arial Narrow"/>
                <w:sz w:val="22"/>
                <w:szCs w:val="22"/>
              </w:rPr>
            </w:pPr>
          </w:p>
          <w:p w:rsidR="0085085C">
            <w:pPr>
              <w:autoSpaceDE w:val="0"/>
              <w:autoSpaceDN w:val="0"/>
              <w:bidi w:val="0"/>
              <w:spacing w:before="0"/>
              <w:jc w:val="center"/>
              <w:rPr>
                <w:rFonts w:ascii="Arial Narrow" w:hAnsi="Arial Narrow"/>
                <w:sz w:val="22"/>
                <w:szCs w:val="22"/>
              </w:rPr>
            </w:pPr>
          </w:p>
          <w:p w:rsidR="009A1BB9" w:rsidRPr="00FF3C39">
            <w:pPr>
              <w:autoSpaceDE w:val="0"/>
              <w:autoSpaceDN w:val="0"/>
              <w:bidi w:val="0"/>
              <w:spacing w:before="0"/>
              <w:jc w:val="center"/>
              <w:rPr>
                <w:rFonts w:ascii="Arial Narrow" w:hAnsi="Arial Narrow"/>
                <w:sz w:val="22"/>
                <w:szCs w:val="22"/>
              </w:rPr>
            </w:pPr>
          </w:p>
          <w:p w:rsidR="00FF3C39" w:rsidRPr="00F63BAB" w:rsidP="00F63BAB">
            <w:pPr>
              <w:autoSpaceDE w:val="0"/>
              <w:autoSpaceDN w:val="0"/>
              <w:bidi w:val="0"/>
              <w:spacing w:before="0"/>
              <w:jc w:val="center"/>
              <w:rPr>
                <w:rFonts w:ascii="Arial Narrow" w:hAnsi="Arial Narrow"/>
                <w:b/>
                <w:color w:val="0070C0"/>
                <w:sz w:val="22"/>
                <w:szCs w:val="22"/>
              </w:rPr>
            </w:pPr>
            <w:r w:rsidRPr="00380F43" w:rsidR="00A17274">
              <w:rPr>
                <w:rFonts w:ascii="Arial Narrow" w:hAnsi="Arial Narrow"/>
                <w:b/>
                <w:color w:val="0070C0"/>
                <w:sz w:val="22"/>
                <w:szCs w:val="22"/>
              </w:rPr>
              <w:t>Návrh zákona čl.</w:t>
            </w:r>
            <w:r w:rsidR="00A17274">
              <w:rPr>
                <w:rFonts w:ascii="Arial Narrow" w:hAnsi="Arial Narrow"/>
                <w:b/>
                <w:color w:val="0070C0"/>
                <w:sz w:val="22"/>
                <w:szCs w:val="22"/>
              </w:rPr>
              <w:t>I</w:t>
            </w:r>
          </w:p>
          <w:p w:rsidR="00FF3C39" w:rsidRPr="002153F7">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62F39" w:rsidP="00162F39">
            <w:pPr>
              <w:pStyle w:val="Normlny"/>
              <w:bidi w:val="0"/>
              <w:rPr>
                <w:rFonts w:ascii="Arial Narrow" w:hAnsi="Arial Narrow"/>
                <w:sz w:val="22"/>
                <w:szCs w:val="22"/>
              </w:rPr>
            </w:pPr>
            <w:r w:rsidRPr="00FF3C39" w:rsidR="003F5C68">
              <w:rPr>
                <w:rFonts w:ascii="Arial Narrow" w:hAnsi="Arial Narrow"/>
                <w:sz w:val="22"/>
                <w:szCs w:val="22"/>
              </w:rPr>
              <w:t xml:space="preserve">§ </w:t>
            </w:r>
            <w:r w:rsidRPr="00FF3C39" w:rsidR="00FF3C39">
              <w:rPr>
                <w:rFonts w:ascii="Arial Narrow" w:hAnsi="Arial Narrow"/>
                <w:sz w:val="22"/>
                <w:szCs w:val="22"/>
              </w:rPr>
              <w:t>61</w:t>
            </w:r>
            <w:r w:rsidRPr="00FF3C39" w:rsidR="003F5C68">
              <w:rPr>
                <w:rFonts w:ascii="Arial Narrow" w:hAnsi="Arial Narrow"/>
                <w:sz w:val="22"/>
                <w:szCs w:val="22"/>
              </w:rPr>
              <w:t xml:space="preserve"> ods. </w:t>
            </w:r>
            <w:r w:rsidR="00C83676">
              <w:rPr>
                <w:rFonts w:ascii="Arial Narrow" w:hAnsi="Arial Narrow"/>
                <w:sz w:val="22"/>
                <w:szCs w:val="22"/>
              </w:rPr>
              <w:t>8</w:t>
            </w:r>
            <w:r w:rsidRPr="00FF3C39" w:rsidR="00FF3C39">
              <w:rPr>
                <w:rFonts w:ascii="Arial Narrow" w:hAnsi="Arial Narrow"/>
                <w:sz w:val="22"/>
                <w:szCs w:val="22"/>
              </w:rPr>
              <w:t xml:space="preserve"> a</w:t>
            </w:r>
            <w:r w:rsidR="00FF3C39">
              <w:rPr>
                <w:rFonts w:ascii="Arial Narrow" w:hAnsi="Arial Narrow"/>
                <w:sz w:val="22"/>
                <w:szCs w:val="22"/>
              </w:rPr>
              <w:t> </w:t>
            </w:r>
            <w:r w:rsidR="00C83676">
              <w:rPr>
                <w:rFonts w:ascii="Arial Narrow" w:hAnsi="Arial Narrow"/>
                <w:sz w:val="22"/>
                <w:szCs w:val="22"/>
              </w:rPr>
              <w:t>9</w:t>
            </w: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9A0D1E" w:rsidP="00162F39">
            <w:pPr>
              <w:pStyle w:val="Normlny"/>
              <w:bidi w:val="0"/>
              <w:rPr>
                <w:rFonts w:ascii="Arial Narrow" w:hAnsi="Arial Narrow"/>
                <w:sz w:val="22"/>
                <w:szCs w:val="22"/>
              </w:rPr>
            </w:pPr>
          </w:p>
          <w:p w:rsidR="001810AF" w:rsidP="00162F39">
            <w:pPr>
              <w:pStyle w:val="Normlny"/>
              <w:bidi w:val="0"/>
              <w:rPr>
                <w:rFonts w:ascii="Arial Narrow" w:hAnsi="Arial Narrow"/>
                <w:sz w:val="22"/>
                <w:szCs w:val="22"/>
              </w:rPr>
            </w:pPr>
          </w:p>
          <w:p w:rsidR="001810AF" w:rsidP="00162F39">
            <w:pPr>
              <w:pStyle w:val="Normlny"/>
              <w:bidi w:val="0"/>
              <w:rPr>
                <w:rFonts w:ascii="Arial Narrow" w:hAnsi="Arial Narrow"/>
                <w:sz w:val="22"/>
                <w:szCs w:val="22"/>
              </w:rPr>
            </w:pPr>
          </w:p>
          <w:p w:rsidR="001810AF" w:rsidP="00162F39">
            <w:pPr>
              <w:pStyle w:val="Normlny"/>
              <w:bidi w:val="0"/>
              <w:rPr>
                <w:rFonts w:ascii="Arial Narrow" w:hAnsi="Arial Narrow"/>
                <w:sz w:val="22"/>
                <w:szCs w:val="22"/>
              </w:rPr>
            </w:pPr>
          </w:p>
          <w:p w:rsidR="001810AF" w:rsidP="00162F39">
            <w:pPr>
              <w:pStyle w:val="Normlny"/>
              <w:bidi w:val="0"/>
              <w:rPr>
                <w:rFonts w:ascii="Arial Narrow" w:hAnsi="Arial Narrow"/>
                <w:sz w:val="22"/>
                <w:szCs w:val="22"/>
              </w:rPr>
            </w:pPr>
          </w:p>
          <w:p w:rsidR="009F77A5" w:rsidP="00162F39">
            <w:pPr>
              <w:pStyle w:val="Normlny"/>
              <w:bidi w:val="0"/>
              <w:rPr>
                <w:rFonts w:ascii="Arial Narrow" w:hAnsi="Arial Narrow"/>
                <w:sz w:val="22"/>
                <w:szCs w:val="22"/>
              </w:rPr>
            </w:pPr>
          </w:p>
          <w:p w:rsidR="00712FC3"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r w:rsidRPr="00FF3C39">
              <w:rPr>
                <w:rFonts w:ascii="Arial Narrow" w:hAnsi="Arial Narrow"/>
                <w:sz w:val="22"/>
                <w:szCs w:val="22"/>
              </w:rPr>
              <w:t xml:space="preserve">§ </w:t>
            </w:r>
            <w:r>
              <w:rPr>
                <w:rFonts w:ascii="Arial Narrow" w:hAnsi="Arial Narrow"/>
                <w:sz w:val="22"/>
                <w:szCs w:val="22"/>
              </w:rPr>
              <w:t>151</w:t>
            </w: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9A0D1E"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85085C" w:rsidP="00162F39">
            <w:pPr>
              <w:pStyle w:val="Normlny"/>
              <w:bidi w:val="0"/>
              <w:rPr>
                <w:rFonts w:ascii="Arial Narrow" w:hAnsi="Arial Narrow"/>
                <w:sz w:val="22"/>
                <w:szCs w:val="22"/>
              </w:rPr>
            </w:pPr>
          </w:p>
          <w:p w:rsidR="0085085C" w:rsidP="00162F39">
            <w:pPr>
              <w:pStyle w:val="Normlny"/>
              <w:bidi w:val="0"/>
              <w:rPr>
                <w:rFonts w:ascii="Arial Narrow" w:hAnsi="Arial Narrow"/>
                <w:sz w:val="22"/>
                <w:szCs w:val="22"/>
              </w:rPr>
            </w:pPr>
          </w:p>
          <w:p w:rsidR="008E2791" w:rsidP="00162F39">
            <w:pPr>
              <w:pStyle w:val="Normlny"/>
              <w:bidi w:val="0"/>
              <w:rPr>
                <w:rFonts w:ascii="Arial Narrow" w:hAnsi="Arial Narrow"/>
                <w:sz w:val="22"/>
                <w:szCs w:val="22"/>
              </w:rPr>
            </w:pPr>
          </w:p>
          <w:p w:rsidR="009A1BB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r w:rsidRPr="00FF3C39">
              <w:rPr>
                <w:rFonts w:ascii="Arial Narrow" w:hAnsi="Arial Narrow"/>
                <w:sz w:val="22"/>
                <w:szCs w:val="22"/>
              </w:rPr>
              <w:t xml:space="preserve">§ </w:t>
            </w:r>
            <w:r>
              <w:rPr>
                <w:rFonts w:ascii="Arial Narrow" w:hAnsi="Arial Narrow"/>
                <w:sz w:val="22"/>
                <w:szCs w:val="22"/>
              </w:rPr>
              <w:t>145</w:t>
            </w:r>
          </w:p>
          <w:p w:rsidR="00FF3C39" w:rsidP="00162F39">
            <w:pPr>
              <w:pStyle w:val="Normlny"/>
              <w:bidi w:val="0"/>
              <w:rPr>
                <w:rFonts w:ascii="Arial Narrow" w:hAnsi="Arial Narrow"/>
                <w:sz w:val="22"/>
                <w:szCs w:val="22"/>
              </w:rPr>
            </w:pPr>
          </w:p>
          <w:p w:rsidR="00FF3C39" w:rsidP="00162F39">
            <w:pPr>
              <w:pStyle w:val="Normlny"/>
              <w:bidi w:val="0"/>
              <w:rPr>
                <w:rFonts w:ascii="Arial Narrow" w:hAnsi="Arial Narrow"/>
                <w:sz w:val="22"/>
                <w:szCs w:val="22"/>
              </w:rPr>
            </w:pPr>
          </w:p>
          <w:p w:rsidR="00E030B3" w:rsidRPr="002153F7" w:rsidP="00A47BED">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16FAD" w:rsidRPr="00E16FAD" w:rsidP="00E16FAD">
            <w:pPr>
              <w:bidi w:val="0"/>
              <w:ind w:left="3" w:hanging="3"/>
              <w:rPr>
                <w:rFonts w:ascii="Times New Roman" w:hAnsi="Times New Roman"/>
                <w:color w:val="0070C0"/>
              </w:rPr>
            </w:pPr>
            <w:r w:rsidRPr="00C731F0" w:rsidR="00712FC3">
              <w:rPr>
                <w:rFonts w:ascii="Times New Roman" w:hAnsi="Times New Roman"/>
                <w:color w:val="0070C0"/>
                <w:sz w:val="22"/>
                <w:szCs w:val="22"/>
              </w:rPr>
              <w:t>(8)</w:t>
            </w:r>
            <w:r w:rsidRPr="00C731F0" w:rsidR="008E2791">
              <w:rPr>
                <w:rFonts w:ascii="Times New Roman" w:hAnsi="Times New Roman"/>
                <w:color w:val="0070C0"/>
                <w:sz w:val="22"/>
                <w:szCs w:val="22"/>
              </w:rPr>
              <w:t xml:space="preserve"> </w:t>
            </w:r>
            <w:r w:rsidRPr="00E16FAD">
              <w:rPr>
                <w:rFonts w:ascii="Times New Roman" w:hAnsi="Times New Roman"/>
                <w:color w:val="0070C0"/>
              </w:rPr>
              <w:t xml:space="preserve">Ak by v dôsledku plánovanej zmeny podľa odseku 7 správcovská spoločnosť prestala spĺňať podmienky podľa tohto zákona, Národná banka Slovenska do pätnástich  pracovných dní od doručenia všetkých informácií uvedených v odseku 7 oznámi správcovskej spoločnosti, že takúto zmenu nesmie vykonať, pričom Národná banka Slovenska informuje o takejto skutočnosti príslušný orgán dohľadu hostiteľského členského štátu správcovskej spoločnosti. </w:t>
            </w:r>
          </w:p>
          <w:p w:rsidR="009A0D1E" w:rsidRPr="00E16FAD" w:rsidP="00E16FAD">
            <w:pPr>
              <w:bidi w:val="0"/>
              <w:rPr>
                <w:rFonts w:ascii="Times New Roman" w:hAnsi="Times New Roman"/>
                <w:color w:val="0070C0"/>
                <w:sz w:val="22"/>
                <w:szCs w:val="22"/>
              </w:rPr>
            </w:pPr>
            <w:r w:rsidRPr="00E16FAD" w:rsidR="00E16FAD">
              <w:rPr>
                <w:rFonts w:ascii="Times New Roman" w:hAnsi="Times New Roman"/>
                <w:color w:val="0070C0"/>
              </w:rPr>
              <w:t>(9) Ak sa zmena uvedená v odseku 7 vykoná po zaslaní informácií v súlade s odsekom 10, a ak v dôsledku tejto zmeny správcovská spoločnosť prestala spĺňať podmienky podľa tohto zákona, Národná banka Slovenska prijme všetky primerané opatrenia v súlade s § 195, 202 a 207 a bez zbytočného odkladu informuje o prijatých opatreniach príslušný orgán dohľadu hostiteľského členského štátu správcovskej spoločnosti</w:t>
            </w:r>
            <w:r w:rsidRPr="00E16FAD">
              <w:rPr>
                <w:rFonts w:ascii="Times New Roman" w:hAnsi="Times New Roman"/>
                <w:color w:val="0070C0"/>
                <w:sz w:val="22"/>
                <w:szCs w:val="22"/>
              </w:rPr>
              <w:t>.</w:t>
            </w:r>
          </w:p>
          <w:p w:rsidR="00A9063F" w:rsidRPr="00C731F0" w:rsidP="00162F39">
            <w:pPr>
              <w:pStyle w:val="Normlny"/>
              <w:bidi w:val="0"/>
              <w:jc w:val="both"/>
              <w:rPr>
                <w:rFonts w:ascii="Times New Roman" w:hAnsi="Times New Roman"/>
                <w:sz w:val="22"/>
                <w:szCs w:val="22"/>
              </w:rPr>
            </w:pPr>
          </w:p>
          <w:p w:rsidR="001810AF" w:rsidRPr="00C731F0" w:rsidP="00162F39">
            <w:pPr>
              <w:pStyle w:val="Normlny"/>
              <w:bidi w:val="0"/>
              <w:jc w:val="both"/>
              <w:rPr>
                <w:rFonts w:ascii="Times New Roman" w:hAnsi="Times New Roman"/>
                <w:sz w:val="22"/>
                <w:szCs w:val="22"/>
              </w:rPr>
            </w:pPr>
          </w:p>
          <w:p w:rsidR="00745A3B" w:rsidRPr="00C731F0" w:rsidP="00162F39">
            <w:pPr>
              <w:pStyle w:val="Normlny"/>
              <w:bidi w:val="0"/>
              <w:jc w:val="both"/>
              <w:rPr>
                <w:rFonts w:ascii="Times New Roman" w:hAnsi="Times New Roman"/>
                <w:sz w:val="22"/>
                <w:szCs w:val="22"/>
              </w:rPr>
            </w:pPr>
          </w:p>
          <w:p w:rsidR="00745A3B" w:rsidRPr="00C731F0" w:rsidP="00162F39">
            <w:pPr>
              <w:pStyle w:val="Normlny"/>
              <w:bidi w:val="0"/>
              <w:jc w:val="both"/>
              <w:rPr>
                <w:rFonts w:ascii="Times New Roman" w:hAnsi="Times New Roman"/>
                <w:sz w:val="22"/>
                <w:szCs w:val="22"/>
              </w:rPr>
            </w:pPr>
          </w:p>
          <w:p w:rsidR="00745A3B" w:rsidRPr="00C731F0" w:rsidP="00162F39">
            <w:pPr>
              <w:pStyle w:val="Normlny"/>
              <w:bidi w:val="0"/>
              <w:jc w:val="both"/>
              <w:rPr>
                <w:rFonts w:ascii="Times New Roman" w:hAnsi="Times New Roman"/>
                <w:sz w:val="22"/>
                <w:szCs w:val="22"/>
              </w:rPr>
            </w:pPr>
          </w:p>
          <w:p w:rsidR="009F77A5" w:rsidRPr="00C731F0" w:rsidP="00162F39">
            <w:pPr>
              <w:pStyle w:val="Normlny"/>
              <w:bidi w:val="0"/>
              <w:jc w:val="both"/>
              <w:rPr>
                <w:rFonts w:ascii="Times New Roman" w:hAnsi="Times New Roman"/>
                <w:sz w:val="22"/>
                <w:szCs w:val="22"/>
              </w:rPr>
            </w:pPr>
          </w:p>
          <w:p w:rsidR="009A1BB9" w:rsidRPr="00C731F0" w:rsidP="009A1BB9">
            <w:pPr>
              <w:widowControl w:val="0"/>
              <w:autoSpaceDE w:val="0"/>
              <w:autoSpaceDN w:val="0"/>
              <w:bidi w:val="0"/>
              <w:adjustRightInd w:val="0"/>
              <w:ind w:left="709"/>
              <w:jc w:val="center"/>
              <w:rPr>
                <w:rFonts w:ascii="Times New Roman" w:hAnsi="Times New Roman"/>
                <w:sz w:val="22"/>
                <w:szCs w:val="22"/>
              </w:rPr>
            </w:pPr>
            <w:r w:rsidRPr="00C731F0">
              <w:rPr>
                <w:rFonts w:ascii="Times New Roman" w:hAnsi="Times New Roman"/>
                <w:b/>
                <w:sz w:val="22"/>
                <w:szCs w:val="22"/>
              </w:rPr>
              <w:t>PROPAGÁCIA</w:t>
            </w:r>
          </w:p>
          <w:p w:rsidR="009A1BB9" w:rsidRPr="00C731F0" w:rsidP="009A1BB9">
            <w:pPr>
              <w:widowControl w:val="0"/>
              <w:autoSpaceDE w:val="0"/>
              <w:autoSpaceDN w:val="0"/>
              <w:bidi w:val="0"/>
              <w:adjustRightInd w:val="0"/>
              <w:ind w:left="709"/>
              <w:jc w:val="center"/>
              <w:rPr>
                <w:rFonts w:ascii="Times New Roman" w:hAnsi="Times New Roman"/>
                <w:b/>
                <w:sz w:val="22"/>
                <w:szCs w:val="22"/>
              </w:rPr>
            </w:pPr>
            <w:r w:rsidRPr="00C731F0">
              <w:rPr>
                <w:rFonts w:ascii="Times New Roman" w:hAnsi="Times New Roman"/>
                <w:b/>
                <w:sz w:val="22"/>
                <w:szCs w:val="22"/>
              </w:rPr>
              <w:t xml:space="preserve">§ 151 </w:t>
            </w:r>
          </w:p>
          <w:p w:rsidR="00E16FAD" w:rsidRPr="00E16FAD" w:rsidP="00E16FAD">
            <w:pPr>
              <w:widowControl w:val="0"/>
              <w:autoSpaceDE w:val="0"/>
              <w:autoSpaceDN w:val="0"/>
              <w:bidi w:val="0"/>
              <w:adjustRightInd w:val="0"/>
              <w:spacing w:after="120"/>
              <w:rPr>
                <w:rFonts w:ascii="Times New Roman" w:hAnsi="Times New Roman"/>
                <w:color w:val="0070C0"/>
              </w:rPr>
            </w:pPr>
            <w:r w:rsidRPr="00C731F0" w:rsidR="008E2791">
              <w:rPr>
                <w:rFonts w:ascii="Times New Roman" w:hAnsi="Times New Roman"/>
                <w:color w:val="0070C0"/>
                <w:sz w:val="22"/>
                <w:szCs w:val="22"/>
              </w:rPr>
              <w:t>(1)</w:t>
            </w:r>
            <w:r w:rsidRPr="00C731F0" w:rsidR="008E2791">
              <w:rPr>
                <w:rFonts w:ascii="Times New Roman" w:hAnsi="Times New Roman"/>
                <w:sz w:val="22"/>
                <w:szCs w:val="22"/>
              </w:rPr>
              <w:t xml:space="preserve"> </w:t>
            </w:r>
            <w:r w:rsidRPr="00E16FAD">
              <w:rPr>
                <w:rFonts w:ascii="Times New Roman" w:hAnsi="Times New Roman"/>
                <w:color w:val="0070C0"/>
              </w:rPr>
              <w:t>Fond, správcovská spoločnosť alebo zahraničná správcovská spoločnosť, ktorá ho spravuje, nesmie používať pri jeho propagácii nepravdivé, nejednoznačné alebo zavádzajúce informácie alebo zamlčovať skutočnosti dôležité pre rozhodovanie investorov, alebo uvádzať nesprávne údaje o personálnych, technických a organizačných predpokladoch svojej činnosti; tým nie sú dotknuté ustanovenia všeobecného predpisu o nekalej súťaži</w:t>
            </w:r>
            <w:hyperlink r:id="rId5" w:anchor="poznamky.poznamka-59" w:tooltip="Odkaz na predpis alebo ustanovenie" w:history="1">
              <w:r w:rsidRPr="00E16FAD">
                <w:rPr>
                  <w:rFonts w:ascii="Times New Roman" w:hAnsi="Times New Roman"/>
                  <w:bCs/>
                  <w:color w:val="0070C0"/>
                  <w:vertAlign w:val="superscript"/>
                </w:rPr>
                <w:t>59</w:t>
              </w:r>
              <w:r w:rsidRPr="00E16FAD">
                <w:rPr>
                  <w:rFonts w:ascii="Times New Roman" w:hAnsi="Times New Roman"/>
                  <w:bCs/>
                  <w:color w:val="0070C0"/>
                </w:rPr>
                <w:t>)</w:t>
              </w:r>
            </w:hyperlink>
            <w:r w:rsidRPr="00E16FAD">
              <w:rPr>
                <w:rFonts w:ascii="Times New Roman" w:hAnsi="Times New Roman"/>
                <w:bCs/>
                <w:color w:val="0070C0"/>
              </w:rPr>
              <w:t xml:space="preserve"> </w:t>
            </w:r>
            <w:r w:rsidRPr="00E16FAD">
              <w:rPr>
                <w:rFonts w:ascii="Times New Roman" w:hAnsi="Times New Roman"/>
                <w:color w:val="0070C0"/>
              </w:rPr>
              <w:t>a ustanovenia</w:t>
            </w:r>
            <w:r w:rsidRPr="00E16FAD">
              <w:rPr>
                <w:rFonts w:ascii="Times New Roman" w:hAnsi="Times New Roman"/>
                <w:color w:val="0070C0"/>
                <w:vertAlign w:val="superscript"/>
              </w:rPr>
              <w:t xml:space="preserve"> </w:t>
            </w:r>
            <w:r w:rsidRPr="00E16FAD">
              <w:rPr>
                <w:rFonts w:ascii="Times New Roman" w:hAnsi="Times New Roman"/>
                <w:color w:val="0070C0"/>
              </w:rPr>
              <w:t>osobitného predpisu.</w:t>
            </w:r>
            <w:r w:rsidRPr="00E16FAD">
              <w:rPr>
                <w:rFonts w:ascii="Times New Roman" w:hAnsi="Times New Roman"/>
                <w:color w:val="0070C0"/>
                <w:vertAlign w:val="superscript"/>
              </w:rPr>
              <w:t>59a</w:t>
            </w:r>
            <w:r w:rsidRPr="00E16FAD">
              <w:rPr>
                <w:rFonts w:ascii="Times New Roman" w:hAnsi="Times New Roman"/>
                <w:color w:val="0070C0"/>
              </w:rPr>
              <w:t xml:space="preserve">) </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 xml:space="preserve"> (2) Každá propagácia fondu alebo akákoľvek propagácia týkajúca sa investovania do fondu musí obsahovať výrazné upozornenie, že hodnota investície sa môže aj znižovať a nie je zaručená návratnosť pôvodne investovanej sumy alebo že s investíciou do fondu je spojené aj riziko.</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(3) Každá propagácia zberného fondu musí obsahovať informáciu o tom, že 85% alebo viac majetku v tomto zbernom fonde je nepretržite investovaných do cenných papierov hlavného fondu.</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 xml:space="preserve">(4) Ak možno očakávať výrazné kolísanie čistej hodnoty majetku fondu z dôvodu zloženia majetku fondu alebo v dôsledku investičných postupov využívaných správcovskou spoločnosťou, musí marketingový materiál propagujúci tento fond obsahovať výrazné upozornenie na tieto skutočnosti. </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 xml:space="preserve"> (5) Okrem upozornenia podľa odseku 2 propagácia uzavretého fondu musí obsahovať upozornenie, že podielnik nemá právo na vyplatenie, vrátenie alebo spätný odkup príslušného cenného papiera pred uplynutím doby, na ktorú bol uzavretý fond alebo uzavretý zahraničný subjekt kolektívneho investovania vytvorený.</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(6) Osobe, vykonávajúcej správu alternatívnych investičných fondov, na ktorú sa vzťahuje výnimka podľa § 31a ods. 1, sa zakazuje pri propagácii spravovaného subjektu podľa § 4 ods. 2 písm. b) uvádzať, že podlieha dohľadu Národnej banky Slovenska alebo uvádzať, že jej činnosť podlieha dohľadu Národnej banky Slovenska alebo uvádzať akékoľvek informácie, z ktorých vyplýva, že činnosť tejto  osoby podlieha dohľadu Národnej banky Slovenska.</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(7) Národná banka Slovenska je oprávnená požadovať od fondu alebo osoby, ktorá tento fond spravuje predloženie marketingových materiálov na účely posúdenia ich súladu s týmto zákonom alebo osobitným predpisom.</w:t>
            </w:r>
            <w:r w:rsidRPr="00E16FAD">
              <w:rPr>
                <w:rFonts w:ascii="Times New Roman" w:hAnsi="Times New Roman"/>
                <w:color w:val="0070C0"/>
                <w:vertAlign w:val="superscript"/>
              </w:rPr>
              <w:t>59a</w:t>
            </w:r>
            <w:r w:rsidRPr="00E16FAD">
              <w:rPr>
                <w:rFonts w:ascii="Times New Roman" w:hAnsi="Times New Roman"/>
                <w:color w:val="0070C0"/>
              </w:rPr>
              <w:t>) Fond, osoba, ktorá tento fond spravuje, alebo osoba vykonávajúca jeho propagáciu, sú povinní doručiť Národnej banke Slovenska marketingové materiály na jej žiadosť; tým nie je dotknuté oprávnenie Národnej banky Slovenska podľa osobitného predpisu.</w:t>
            </w:r>
            <w:r w:rsidRPr="00E16FAD">
              <w:rPr>
                <w:rFonts w:ascii="Times New Roman" w:hAnsi="Times New Roman"/>
                <w:color w:val="0070C0"/>
                <w:vertAlign w:val="superscript"/>
              </w:rPr>
              <w:t>59a</w:t>
            </w:r>
            <w:r w:rsidRPr="00E16FAD">
              <w:rPr>
                <w:rFonts w:ascii="Times New Roman" w:hAnsi="Times New Roman"/>
                <w:color w:val="0070C0"/>
              </w:rPr>
              <w:t>)</w:t>
            </w:r>
          </w:p>
          <w:p w:rsidR="00E16FAD" w:rsidRPr="00E16FAD" w:rsidP="00E16FAD">
            <w:pPr>
              <w:widowControl w:val="0"/>
              <w:autoSpaceDE w:val="0"/>
              <w:autoSpaceDN w:val="0"/>
              <w:bidi w:val="0"/>
              <w:adjustRightInd w:val="0"/>
              <w:spacing w:after="120"/>
              <w:rPr>
                <w:rFonts w:ascii="Times New Roman" w:hAnsi="Times New Roman"/>
                <w:color w:val="0070C0"/>
              </w:rPr>
            </w:pPr>
            <w:r w:rsidRPr="00E16FAD">
              <w:rPr>
                <w:rFonts w:ascii="Times New Roman" w:hAnsi="Times New Roman"/>
                <w:color w:val="0070C0"/>
              </w:rPr>
              <w:t>(8) Národná banka Slovenska môže zakázať alebo pozastaviť do odstránenia nedostatkov uverejnenie marketingových materiálov, ak nespĺňajú podmienky uvedené v odsekoch 1 až 7 a podmienky podľa osobitného predpisu.</w:t>
            </w:r>
            <w:r w:rsidRPr="00E16FAD">
              <w:rPr>
                <w:rFonts w:ascii="Times New Roman" w:hAnsi="Times New Roman"/>
                <w:color w:val="0070C0"/>
                <w:vertAlign w:val="superscript"/>
              </w:rPr>
              <w:t>59a</w:t>
            </w:r>
            <w:r w:rsidRPr="00E16FAD">
              <w:rPr>
                <w:rFonts w:ascii="Times New Roman" w:hAnsi="Times New Roman"/>
                <w:color w:val="0070C0"/>
              </w:rPr>
              <w:t>)</w:t>
            </w:r>
          </w:p>
          <w:p w:rsidR="008E2791" w:rsidRPr="00E16FAD" w:rsidP="00E16FAD">
            <w:pPr>
              <w:widowControl w:val="0"/>
              <w:autoSpaceDE w:val="0"/>
              <w:autoSpaceDN w:val="0"/>
              <w:bidi w:val="0"/>
              <w:adjustRightInd w:val="0"/>
              <w:ind w:left="426" w:hanging="426"/>
              <w:rPr>
                <w:rFonts w:ascii="Times New Roman" w:hAnsi="Times New Roman"/>
                <w:color w:val="0070C0"/>
                <w:sz w:val="22"/>
                <w:szCs w:val="22"/>
              </w:rPr>
            </w:pPr>
            <w:r w:rsidRPr="00E16FAD" w:rsidR="00E16FAD">
              <w:rPr>
                <w:rFonts w:ascii="Times New Roman" w:hAnsi="Times New Roman"/>
                <w:color w:val="0070C0"/>
              </w:rPr>
              <w:t>(9) Národná banka Slovenska môže ustanoviť opatrením, ktoré sa vyhlasuje v zbierke zákonov, náležitosti marketingových materiálov štandardného fondu obchodovaného na burze</w:t>
            </w:r>
            <w:r w:rsidRPr="00E16FAD">
              <w:rPr>
                <w:rFonts w:ascii="Times New Roman" w:hAnsi="Times New Roman"/>
                <w:color w:val="0070C0"/>
                <w:sz w:val="22"/>
                <w:szCs w:val="22"/>
              </w:rPr>
              <w:t xml:space="preserve">. </w:t>
            </w:r>
          </w:p>
          <w:p w:rsidR="00CC21B9" w:rsidRPr="00C731F0" w:rsidP="00C13D1F">
            <w:pPr>
              <w:pStyle w:val="Normlny"/>
              <w:bidi w:val="0"/>
              <w:jc w:val="both"/>
              <w:rPr>
                <w:rFonts w:ascii="Times New Roman" w:hAnsi="Times New Roman"/>
                <w:color w:val="0070C0"/>
                <w:sz w:val="22"/>
                <w:szCs w:val="22"/>
              </w:rPr>
            </w:pPr>
          </w:p>
          <w:p w:rsidR="00F63BAB" w:rsidRPr="00C731F0" w:rsidP="00162F39">
            <w:pPr>
              <w:pStyle w:val="Normlny"/>
              <w:bidi w:val="0"/>
              <w:jc w:val="both"/>
              <w:rPr>
                <w:rFonts w:ascii="Times New Roman" w:hAnsi="Times New Roman"/>
                <w:color w:val="0070C0"/>
                <w:sz w:val="22"/>
                <w:szCs w:val="22"/>
              </w:rPr>
            </w:pPr>
          </w:p>
          <w:p w:rsidR="00CC21B9" w:rsidRPr="00C731F0" w:rsidP="00557B98">
            <w:pPr>
              <w:pStyle w:val="Normlny"/>
              <w:bidi w:val="0"/>
              <w:jc w:val="both"/>
              <w:rPr>
                <w:rFonts w:ascii="Times New Roman" w:hAnsi="Times New Roman"/>
                <w:sz w:val="22"/>
                <w:szCs w:val="22"/>
              </w:rPr>
            </w:pPr>
            <w:r w:rsidRPr="00C731F0">
              <w:rPr>
                <w:rFonts w:ascii="Times New Roman" w:hAnsi="Times New Roman"/>
                <w:sz w:val="22"/>
                <w:szCs w:val="22"/>
              </w:rPr>
              <w:t>§ 145 sa vypúšťa.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153F7">
            <w:pPr>
              <w:autoSpaceDE w:val="0"/>
              <w:autoSpaceDN w:val="0"/>
              <w:bidi w:val="0"/>
              <w:spacing w:before="0"/>
              <w:jc w:val="center"/>
              <w:rPr>
                <w:rFonts w:ascii="Arial Narrow" w:hAnsi="Arial Narrow"/>
                <w:sz w:val="22"/>
                <w:szCs w:val="22"/>
              </w:rPr>
            </w:pPr>
            <w:r w:rsidRPr="002153F7" w:rsidR="0078287E">
              <w:rPr>
                <w:rFonts w:ascii="Arial Narrow" w:hAnsi="Arial Narrow"/>
                <w:sz w:val="22"/>
                <w:szCs w:val="22"/>
              </w:rPr>
              <w:t>Ú</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rPr>
                <w:rFonts w:ascii="Arial Narrow" w:hAnsi="Arial Narrow"/>
                <w:b w:val="0"/>
                <w:bCs w:val="0"/>
                <w:sz w:val="22"/>
                <w:szCs w:val="22"/>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13D1F" w:rsidP="00C13D1F">
            <w:pPr>
              <w:bidi w:val="0"/>
              <w:rPr>
                <w:rFonts w:ascii="Times New Roman" w:hAnsi="Times New Roman"/>
              </w:rPr>
            </w:pPr>
          </w:p>
          <w:p w:rsidR="00C731F0" w:rsidP="00C13D1F">
            <w:pPr>
              <w:bidi w:val="0"/>
              <w:rPr>
                <w:rFonts w:ascii="Times New Roman" w:hAnsi="Times New Roman"/>
              </w:rPr>
            </w:pPr>
          </w:p>
          <w:p w:rsidR="00C13D1F" w:rsidRPr="009F77A5" w:rsidP="00C13D1F">
            <w:pPr>
              <w:bidi w:val="0"/>
              <w:rPr>
                <w:rFonts w:ascii="Times New Roman" w:hAnsi="Times New Roman"/>
                <w:sz w:val="18"/>
                <w:szCs w:val="18"/>
              </w:rPr>
            </w:pPr>
            <w:r w:rsidRPr="00045E2C" w:rsidR="00045E2C">
              <w:rPr>
                <w:rFonts w:ascii="Times New Roman" w:hAnsi="Times New Roman"/>
                <w:sz w:val="18"/>
                <w:szCs w:val="18"/>
              </w:rPr>
              <w:t>Č</w:t>
            </w:r>
            <w:r w:rsidRPr="00045E2C" w:rsidR="009F77A5">
              <w:rPr>
                <w:rFonts w:ascii="Times New Roman" w:hAnsi="Times New Roman"/>
                <w:sz w:val="18"/>
                <w:szCs w:val="18"/>
              </w:rPr>
              <w:t>l. 77 bol pôvodne transponovaný aj § 151 ods.1 3.vetou a tá bola teraz vypustená.</w:t>
            </w:r>
            <w:r w:rsidRPr="009F77A5" w:rsidR="009F77A5">
              <w:rPr>
                <w:rFonts w:ascii="Times New Roman" w:hAnsi="Times New Roman"/>
                <w:sz w:val="18"/>
                <w:szCs w:val="18"/>
              </w:rPr>
              <w:t xml:space="preserve"> </w:t>
            </w:r>
          </w:p>
          <w:p w:rsidR="00C13D1F" w:rsidP="00C13D1F">
            <w:pPr>
              <w:bidi w:val="0"/>
              <w:rPr>
                <w:rFonts w:ascii="Times New Roman" w:hAnsi="Times New Roman"/>
              </w:rPr>
            </w:pPr>
          </w:p>
          <w:p w:rsidR="00F63BAB" w:rsidP="00C13D1F">
            <w:pPr>
              <w:bidi w:val="0"/>
              <w:rPr>
                <w:rFonts w:ascii="Times New Roman" w:hAnsi="Times New Roman"/>
              </w:rPr>
            </w:pPr>
          </w:p>
          <w:p w:rsidR="00C13D1F" w:rsidRPr="009F77A5" w:rsidP="00C13D1F">
            <w:pPr>
              <w:bidi w:val="0"/>
              <w:rPr>
                <w:rFonts w:ascii="Times New Roman" w:hAnsi="Times New Roman"/>
                <w:sz w:val="18"/>
                <w:szCs w:val="18"/>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2F39" w:rsidP="00162F39">
            <w:pPr>
              <w:autoSpaceDE w:val="0"/>
              <w:autoSpaceDN w:val="0"/>
              <w:bidi w:val="0"/>
              <w:spacing w:before="0"/>
              <w:jc w:val="center"/>
              <w:rPr>
                <w:rFonts w:ascii="Times New Roman" w:hAnsi="Times New Roman"/>
                <w:sz w:val="22"/>
                <w:szCs w:val="22"/>
              </w:rPr>
            </w:pPr>
            <w:r w:rsidR="002A2757">
              <w:rPr>
                <w:rFonts w:ascii="Times New Roman" w:hAnsi="Times New Roman"/>
                <w:sz w:val="22"/>
                <w:szCs w:val="22"/>
              </w:rPr>
              <w:t>Čl. 1</w:t>
            </w:r>
          </w:p>
          <w:p w:rsidR="00A17274" w:rsidRPr="009D5B18" w:rsidP="00162F39">
            <w:pPr>
              <w:autoSpaceDE w:val="0"/>
              <w:autoSpaceDN w:val="0"/>
              <w:bidi w:val="0"/>
              <w:spacing w:before="0"/>
              <w:jc w:val="center"/>
              <w:rPr>
                <w:rFonts w:ascii="Times New Roman" w:hAnsi="Times New Roman"/>
                <w:sz w:val="22"/>
                <w:szCs w:val="22"/>
              </w:rPr>
            </w:pPr>
            <w:r>
              <w:rPr>
                <w:rFonts w:ascii="Times New Roman" w:hAnsi="Times New Roman"/>
                <w:sz w:val="22"/>
                <w:szCs w:val="22"/>
              </w:rPr>
              <w:t>Bod 4</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662" w:type="dxa"/>
              <w:tblInd w:w="99" w:type="dxa"/>
              <w:tblLayout w:type="fixed"/>
              <w:tblCellMar>
                <w:left w:w="0" w:type="dxa"/>
                <w:right w:w="0" w:type="dxa"/>
              </w:tblCellMar>
              <w:tblLook w:val="04A0"/>
            </w:tblPr>
            <w:tblGrid>
              <w:gridCol w:w="137"/>
              <w:gridCol w:w="6525"/>
            </w:tblGrid>
            <w:tr>
              <w:tblPrEx>
                <w:tblW w:w="6662" w:type="dxa"/>
                <w:tblInd w:w="99" w:type="dxa"/>
                <w:tblLayout w:type="fixed"/>
                <w:tblCellMar>
                  <w:left w:w="0" w:type="dxa"/>
                  <w:right w:w="0" w:type="dxa"/>
                </w:tblCellMar>
                <w:tblLook w:val="04A0"/>
              </w:tblPrEx>
              <w:tc>
                <w:tcPr>
                  <w:tcW w:w="137"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4.</w:t>
                  </w:r>
                </w:p>
              </w:tc>
              <w:tc>
                <w:tcPr>
                  <w:tcW w:w="6525"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Článok 92 sa nahrádza takto:</w:t>
                  </w:r>
                </w:p>
                <w:p w:rsidR="009D5B18" w:rsidRPr="009D5B18" w:rsidP="009D5B18">
                  <w:pPr>
                    <w:bidi w:val="0"/>
                    <w:spacing w:before="360" w:after="120"/>
                    <w:jc w:val="center"/>
                    <w:rPr>
                      <w:rFonts w:ascii="Times New Roman" w:hAnsi="Times New Roman"/>
                      <w:i/>
                      <w:iCs/>
                      <w:color w:val="000000"/>
                      <w:sz w:val="22"/>
                      <w:szCs w:val="22"/>
                    </w:rPr>
                  </w:pPr>
                  <w:r w:rsidRPr="009D5B18">
                    <w:rPr>
                      <w:rFonts w:ascii="Times New Roman" w:hAnsi="Times New Roman"/>
                      <w:i/>
                      <w:iCs/>
                      <w:color w:val="000000"/>
                      <w:sz w:val="22"/>
                      <w:szCs w:val="22"/>
                    </w:rPr>
                    <w:t>„Článok 92</w:t>
                  </w:r>
                </w:p>
                <w:p w:rsidR="009D5B18" w:rsidRPr="009D5B18" w:rsidP="00B4035A">
                  <w:pPr>
                    <w:bidi w:val="0"/>
                    <w:ind w:right="283"/>
                    <w:rPr>
                      <w:rFonts w:ascii="Times New Roman" w:hAnsi="Times New Roman"/>
                      <w:color w:val="000000"/>
                      <w:sz w:val="22"/>
                      <w:szCs w:val="22"/>
                    </w:rPr>
                  </w:pPr>
                  <w:r w:rsidRPr="009D5B18">
                    <w:rPr>
                      <w:rFonts w:ascii="Times New Roman" w:hAnsi="Times New Roman"/>
                      <w:color w:val="000000"/>
                      <w:sz w:val="22"/>
                      <w:szCs w:val="22"/>
                    </w:rPr>
                    <w:t>1.   Členské štáty zabezpečia, aby PKIPCP sprístupnil v každom členskom štáte, v ktorom má v úmysle uvádzať na trh svoje podielové listy, zariadenia na vykonávanie týchto úloh:</w:t>
                  </w: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435" w:type="dxa"/>
                        <w:tcBorders>
                          <w:top w:val="nil"/>
                          <w:left w:val="nil"/>
                          <w:bottom w:val="nil"/>
                          <w:right w:val="nil"/>
                        </w:tcBorders>
                        <w:textDirection w:val="lrTb"/>
                        <w:vAlign w:val="top"/>
                        <w:hideMark/>
                      </w:tcPr>
                      <w:p w:rsidR="009D5B18" w:rsidP="00B4035A">
                        <w:pPr>
                          <w:bidi w:val="0"/>
                          <w:ind w:right="283"/>
                          <w:rPr>
                            <w:rFonts w:ascii="Times New Roman" w:hAnsi="Times New Roman"/>
                            <w:color w:val="000000"/>
                            <w:sz w:val="22"/>
                            <w:szCs w:val="22"/>
                          </w:rPr>
                        </w:pPr>
                        <w:r w:rsidRPr="009D5B18">
                          <w:rPr>
                            <w:rFonts w:ascii="Times New Roman" w:hAnsi="Times New Roman"/>
                            <w:color w:val="000000"/>
                            <w:sz w:val="22"/>
                            <w:szCs w:val="22"/>
                          </w:rPr>
                          <w:t>spracovávanie pokynov na upísanie, odkúpenie a vyplatenie a vykonávanie iných platieb v prospech držiteľov podielových listov PKIPCP v súlade s podmienkami stanovenými v dokumentoch požadovaných podľa kapitoly IX;</w:t>
                        </w:r>
                      </w:p>
                      <w:p w:rsidR="00F63BAB" w:rsidP="00F63BAB">
                        <w:pPr>
                          <w:bidi w:val="0"/>
                          <w:spacing w:after="120"/>
                          <w:rPr>
                            <w:rFonts w:ascii="Times New Roman" w:hAnsi="Times New Roman"/>
                            <w:color w:val="000000"/>
                            <w:sz w:val="22"/>
                            <w:szCs w:val="22"/>
                          </w:rPr>
                        </w:pPr>
                      </w:p>
                      <w:p w:rsidR="00767086" w:rsidRPr="009D5B18" w:rsidP="00F63BAB">
                        <w:pPr>
                          <w:bidi w:val="0"/>
                          <w:spacing w:after="120"/>
                          <w:rPr>
                            <w:rFonts w:ascii="Times New Roman" w:hAnsi="Times New Roman"/>
                            <w:color w:val="000000"/>
                            <w:sz w:val="22"/>
                            <w:szCs w:val="22"/>
                          </w:rPr>
                        </w:pP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435" w:type="dxa"/>
                        <w:tcBorders>
                          <w:top w:val="nil"/>
                          <w:left w:val="nil"/>
                          <w:bottom w:val="nil"/>
                          <w:right w:val="nil"/>
                        </w:tcBorders>
                        <w:textDirection w:val="lrTb"/>
                        <w:vAlign w:val="top"/>
                        <w:hideMark/>
                      </w:tcPr>
                      <w:p w:rsidR="00F63BAB" w:rsidP="00767086">
                        <w:pPr>
                          <w:bidi w:val="0"/>
                          <w:spacing w:after="120"/>
                          <w:ind w:right="283"/>
                          <w:rPr>
                            <w:rFonts w:ascii="Times New Roman" w:hAnsi="Times New Roman"/>
                            <w:color w:val="000000"/>
                            <w:sz w:val="22"/>
                            <w:szCs w:val="22"/>
                          </w:rPr>
                        </w:pPr>
                        <w:r w:rsidRPr="009D5B18" w:rsidR="009D5B18">
                          <w:rPr>
                            <w:rFonts w:ascii="Times New Roman" w:hAnsi="Times New Roman"/>
                            <w:color w:val="000000"/>
                            <w:sz w:val="22"/>
                            <w:szCs w:val="22"/>
                          </w:rPr>
                          <w:t>poskytovanie informácií investorom o tom, ako možno vykonať pokyny uvedené v písmene a) a ako sa vyplácajú výnosy z odkúpenia a vyplatenia;</w:t>
                        </w:r>
                      </w:p>
                      <w:p w:rsidR="00767086" w:rsidRPr="009D5B18" w:rsidP="00767086">
                        <w:pPr>
                          <w:bidi w:val="0"/>
                          <w:spacing w:after="120"/>
                          <w:ind w:right="283"/>
                          <w:rPr>
                            <w:rFonts w:ascii="Times New Roman" w:hAnsi="Times New Roman"/>
                            <w:color w:val="000000"/>
                            <w:sz w:val="22"/>
                            <w:szCs w:val="22"/>
                          </w:rPr>
                        </w:pP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6304" w:type="dxa"/>
                    <w:tblInd w:w="5" w:type="dxa"/>
                    <w:tblLayout w:type="fixed"/>
                    <w:tblCellMar>
                      <w:left w:w="0" w:type="dxa"/>
                      <w:right w:w="0" w:type="dxa"/>
                    </w:tblCellMar>
                    <w:tblLook w:val="04A0"/>
                  </w:tblPr>
                  <w:tblGrid>
                    <w:gridCol w:w="265"/>
                    <w:gridCol w:w="6039"/>
                  </w:tblGrid>
                  <w:tr>
                    <w:tblPrEx>
                      <w:tblW w:w="6304" w:type="dxa"/>
                      <w:tblInd w:w="5" w:type="dxa"/>
                      <w:tblLayout w:type="fixed"/>
                      <w:tblCellMar>
                        <w:left w:w="0" w:type="dxa"/>
                        <w:right w:w="0" w:type="dxa"/>
                      </w:tblCellMar>
                      <w:tblLook w:val="04A0"/>
                    </w:tblPrEx>
                    <w:trPr>
                      <w:trHeight w:val="1165"/>
                    </w:trPr>
                    <w:tc>
                      <w:tcPr>
                        <w:tcW w:w="265"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c)</w:t>
                        </w:r>
                      </w:p>
                    </w:tc>
                    <w:tc>
                      <w:tcPr>
                        <w:tcW w:w="6039" w:type="dxa"/>
                        <w:tcBorders>
                          <w:top w:val="nil"/>
                          <w:left w:val="nil"/>
                          <w:bottom w:val="nil"/>
                          <w:right w:val="nil"/>
                        </w:tcBorders>
                        <w:textDirection w:val="lrTb"/>
                        <w:vAlign w:val="top"/>
                        <w:hideMark/>
                      </w:tcPr>
                      <w:p w:rsidR="009D5B18" w:rsidP="009D5B18">
                        <w:pPr>
                          <w:bidi w:val="0"/>
                          <w:rPr>
                            <w:rFonts w:ascii="Times New Roman" w:hAnsi="Times New Roman"/>
                            <w:color w:val="000000"/>
                            <w:sz w:val="22"/>
                            <w:szCs w:val="22"/>
                          </w:rPr>
                        </w:pPr>
                        <w:r w:rsidRPr="009D5B18">
                          <w:rPr>
                            <w:rFonts w:ascii="Times New Roman" w:hAnsi="Times New Roman"/>
                            <w:color w:val="000000"/>
                            <w:sz w:val="22"/>
                            <w:szCs w:val="22"/>
                          </w:rPr>
                          <w:t>uľahčenie nakladania s informáciami a prístup k postupom a mechanizmom uvedeným v článku 15 týkajúcim sa uplatňovania práv investorov vyplývajúcich z ich investície do PKIPCP v členskom štáte, v ktorom sa PKIPCP uvádza na trh;</w:t>
                        </w:r>
                      </w:p>
                      <w:p w:rsidR="00F63BAB" w:rsidP="009D5B18">
                        <w:pPr>
                          <w:bidi w:val="0"/>
                          <w:rPr>
                            <w:rFonts w:ascii="Times New Roman" w:hAnsi="Times New Roman"/>
                            <w:color w:val="000000"/>
                            <w:sz w:val="22"/>
                            <w:szCs w:val="22"/>
                          </w:rPr>
                        </w:pPr>
                      </w:p>
                      <w:p w:rsidR="00F63BAB" w:rsidRPr="009D5B18" w:rsidP="009D5B18">
                        <w:pPr>
                          <w:bidi w:val="0"/>
                          <w:rPr>
                            <w:rFonts w:ascii="Times New Roman" w:hAnsi="Times New Roman"/>
                            <w:color w:val="000000"/>
                            <w:sz w:val="22"/>
                            <w:szCs w:val="22"/>
                          </w:rPr>
                        </w:pP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d)</w:t>
                        </w:r>
                      </w:p>
                    </w:tc>
                    <w:tc>
                      <w:tcPr>
                        <w:tcW w:w="6435" w:type="dxa"/>
                        <w:tcBorders>
                          <w:top w:val="nil"/>
                          <w:left w:val="nil"/>
                          <w:bottom w:val="nil"/>
                          <w:right w:val="nil"/>
                        </w:tcBorders>
                        <w:textDirection w:val="lrTb"/>
                        <w:vAlign w:val="top"/>
                        <w:hideMark/>
                      </w:tcPr>
                      <w:p w:rsidR="00F63BAB" w:rsidRPr="009D5B18" w:rsidP="00767086">
                        <w:pPr>
                          <w:bidi w:val="0"/>
                          <w:spacing w:after="240"/>
                          <w:ind w:right="283"/>
                          <w:rPr>
                            <w:rFonts w:ascii="Times New Roman" w:hAnsi="Times New Roman"/>
                            <w:color w:val="000000"/>
                            <w:sz w:val="22"/>
                            <w:szCs w:val="22"/>
                          </w:rPr>
                        </w:pPr>
                        <w:r w:rsidRPr="009D5B18" w:rsidR="009D5B18">
                          <w:rPr>
                            <w:rFonts w:ascii="Times New Roman" w:hAnsi="Times New Roman"/>
                            <w:color w:val="000000"/>
                            <w:sz w:val="22"/>
                            <w:szCs w:val="22"/>
                          </w:rPr>
                          <w:t>sprístupnenie informácií a dokumentov požadovaných podľa kapitoly IX investorom za podmienok stanovených v článku 94, a to na účely kontroly a získanie kópií;</w:t>
                        </w: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e)</w:t>
                        </w:r>
                      </w:p>
                    </w:tc>
                    <w:tc>
                      <w:tcPr>
                        <w:tcW w:w="6435" w:type="dxa"/>
                        <w:tcBorders>
                          <w:top w:val="nil"/>
                          <w:left w:val="nil"/>
                          <w:bottom w:val="nil"/>
                          <w:right w:val="nil"/>
                        </w:tcBorders>
                        <w:textDirection w:val="lrTb"/>
                        <w:vAlign w:val="top"/>
                        <w:hideMark/>
                      </w:tcPr>
                      <w:p w:rsidR="009D5B18" w:rsidRPr="009D5B18" w:rsidP="00767086">
                        <w:pPr>
                          <w:bidi w:val="0"/>
                          <w:spacing w:after="240"/>
                          <w:ind w:right="283"/>
                          <w:rPr>
                            <w:rFonts w:ascii="Times New Roman" w:hAnsi="Times New Roman"/>
                            <w:color w:val="000000"/>
                            <w:sz w:val="22"/>
                            <w:szCs w:val="22"/>
                          </w:rPr>
                        </w:pPr>
                        <w:r w:rsidRPr="009D5B18">
                          <w:rPr>
                            <w:rFonts w:ascii="Times New Roman" w:hAnsi="Times New Roman"/>
                            <w:color w:val="000000"/>
                            <w:sz w:val="22"/>
                            <w:szCs w:val="22"/>
                          </w:rPr>
                          <w:t>poskytovanie informácií investorom v súvislosti s úlohami, ktoré uvedené zariadenia zabezpečujú, na trvalom médiu; a</w:t>
                        </w: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f)</w:t>
                        </w:r>
                      </w:p>
                    </w:tc>
                    <w:tc>
                      <w:tcPr>
                        <w:tcW w:w="6435" w:type="dxa"/>
                        <w:tcBorders>
                          <w:top w:val="nil"/>
                          <w:left w:val="nil"/>
                          <w:bottom w:val="nil"/>
                          <w:right w:val="nil"/>
                        </w:tcBorders>
                        <w:textDirection w:val="lrTb"/>
                        <w:vAlign w:val="top"/>
                        <w:hideMark/>
                      </w:tcPr>
                      <w:p w:rsidR="009A0D1E" w:rsidRPr="009D5B18" w:rsidP="009D5B18">
                        <w:pPr>
                          <w:bidi w:val="0"/>
                          <w:rPr>
                            <w:rFonts w:ascii="Times New Roman" w:hAnsi="Times New Roman"/>
                            <w:color w:val="000000"/>
                            <w:sz w:val="22"/>
                            <w:szCs w:val="22"/>
                          </w:rPr>
                        </w:pPr>
                        <w:r w:rsidRPr="009D5B18" w:rsidR="009D5B18">
                          <w:rPr>
                            <w:rFonts w:ascii="Times New Roman" w:hAnsi="Times New Roman"/>
                            <w:color w:val="000000"/>
                            <w:sz w:val="22"/>
                            <w:szCs w:val="22"/>
                          </w:rPr>
                          <w:t>vykonávanie činnosti kontaktného miesta pre komunikáciu s príslušnými orgánmi.</w:t>
                        </w:r>
                      </w:p>
                    </w:tc>
                  </w:tr>
                </w:tbl>
                <w:p w:rsidR="0058152A" w:rsidP="00767086">
                  <w:pPr>
                    <w:bidi w:val="0"/>
                    <w:ind w:right="283"/>
                    <w:rPr>
                      <w:rFonts w:ascii="Times New Roman" w:hAnsi="Times New Roman"/>
                      <w:color w:val="000000"/>
                      <w:sz w:val="22"/>
                      <w:szCs w:val="22"/>
                    </w:rPr>
                  </w:pPr>
                </w:p>
                <w:p w:rsidR="0058152A" w:rsidP="00767086">
                  <w:pPr>
                    <w:bidi w:val="0"/>
                    <w:ind w:right="283"/>
                    <w:rPr>
                      <w:rFonts w:ascii="Times New Roman" w:hAnsi="Times New Roman"/>
                      <w:color w:val="000000"/>
                      <w:sz w:val="22"/>
                      <w:szCs w:val="22"/>
                    </w:rPr>
                  </w:pPr>
                </w:p>
                <w:p w:rsidR="009D5B18" w:rsidP="00767086">
                  <w:pPr>
                    <w:bidi w:val="0"/>
                    <w:ind w:right="283"/>
                    <w:rPr>
                      <w:rFonts w:ascii="Times New Roman" w:hAnsi="Times New Roman"/>
                      <w:color w:val="000000"/>
                      <w:sz w:val="22"/>
                      <w:szCs w:val="22"/>
                    </w:rPr>
                  </w:pPr>
                  <w:r w:rsidRPr="009D5B18">
                    <w:rPr>
                      <w:rFonts w:ascii="Times New Roman" w:hAnsi="Times New Roman"/>
                      <w:color w:val="000000"/>
                      <w:sz w:val="22"/>
                      <w:szCs w:val="22"/>
                    </w:rPr>
                    <w:t>2.   Členské štáty od PKIPCP nevyžadujú fyzickú prítomnosť v hostiteľskom členskom štáte ani ustanovenie tretej strany na účely odseku 1.</w:t>
                  </w: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58152A" w:rsidP="009D5B18">
                  <w:pPr>
                    <w:bidi w:val="0"/>
                    <w:rPr>
                      <w:rFonts w:ascii="Times New Roman" w:hAnsi="Times New Roman"/>
                      <w:color w:val="000000"/>
                      <w:sz w:val="22"/>
                      <w:szCs w:val="22"/>
                    </w:rPr>
                  </w:pPr>
                </w:p>
                <w:p w:rsidR="0058152A" w:rsidP="009D5B18">
                  <w:pPr>
                    <w:bidi w:val="0"/>
                    <w:rPr>
                      <w:rFonts w:ascii="Times New Roman" w:hAnsi="Times New Roman"/>
                      <w:color w:val="000000"/>
                      <w:sz w:val="22"/>
                      <w:szCs w:val="22"/>
                    </w:rPr>
                  </w:pPr>
                </w:p>
                <w:p w:rsidR="0058152A" w:rsidP="009D5B18">
                  <w:pPr>
                    <w:bidi w:val="0"/>
                    <w:rPr>
                      <w:rFonts w:ascii="Times New Roman" w:hAnsi="Times New Roman"/>
                      <w:color w:val="000000"/>
                      <w:sz w:val="22"/>
                      <w:szCs w:val="22"/>
                    </w:rPr>
                  </w:pPr>
                </w:p>
                <w:p w:rsidR="0058152A" w:rsidP="009D5B18">
                  <w:pPr>
                    <w:bidi w:val="0"/>
                    <w:rPr>
                      <w:rFonts w:ascii="Times New Roman" w:hAnsi="Times New Roman"/>
                      <w:color w:val="000000"/>
                      <w:sz w:val="22"/>
                      <w:szCs w:val="22"/>
                    </w:rPr>
                  </w:pPr>
                </w:p>
                <w:p w:rsidR="0058152A"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60D8" w:rsidP="009D5B18">
                  <w:pPr>
                    <w:bidi w:val="0"/>
                    <w:rPr>
                      <w:rFonts w:ascii="Times New Roman" w:hAnsi="Times New Roman"/>
                      <w:color w:val="000000"/>
                      <w:sz w:val="22"/>
                      <w:szCs w:val="22"/>
                    </w:rPr>
                  </w:pPr>
                </w:p>
                <w:p w:rsidR="009D5B18" w:rsidRPr="009D5B18" w:rsidP="00767086">
                  <w:pPr>
                    <w:bidi w:val="0"/>
                    <w:ind w:right="283"/>
                    <w:rPr>
                      <w:rFonts w:ascii="Times New Roman" w:hAnsi="Times New Roman"/>
                      <w:color w:val="000000"/>
                      <w:sz w:val="22"/>
                      <w:szCs w:val="22"/>
                    </w:rPr>
                  </w:pPr>
                  <w:r w:rsidRPr="009D5B18">
                    <w:rPr>
                      <w:rFonts w:ascii="Times New Roman" w:hAnsi="Times New Roman"/>
                      <w:color w:val="000000"/>
                      <w:sz w:val="22"/>
                      <w:szCs w:val="22"/>
                    </w:rPr>
                    <w:t>3.   PKIPCP zabezpečí, aby boli k dispozícii zariadenia na vykonávanie úloh, a to aj elektronicky, uvedených v odseku 1:</w:t>
                  </w:r>
                </w:p>
                <w:tbl>
                  <w:tblPr>
                    <w:tblStyle w:val="TableNormal"/>
                    <w:tblW w:w="4853" w:type="pct"/>
                    <w:tblLayout w:type="fixed"/>
                    <w:tblCellMar>
                      <w:left w:w="0" w:type="dxa"/>
                      <w:right w:w="0" w:type="dxa"/>
                    </w:tblCellMar>
                    <w:tblLook w:val="04A0"/>
                  </w:tblPr>
                  <w:tblGrid>
                    <w:gridCol w:w="280"/>
                    <w:gridCol w:w="6053"/>
                  </w:tblGrid>
                  <w:tr>
                    <w:tblPrEx>
                      <w:tblW w:w="4853"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237" w:type="dxa"/>
                        <w:tcBorders>
                          <w:top w:val="nil"/>
                          <w:left w:val="nil"/>
                          <w:bottom w:val="nil"/>
                          <w:right w:val="nil"/>
                        </w:tcBorders>
                        <w:textDirection w:val="lrTb"/>
                        <w:vAlign w:val="top"/>
                        <w:hideMark/>
                      </w:tcPr>
                      <w:p w:rsidR="009D5B18" w:rsidP="009D5B18">
                        <w:pPr>
                          <w:bidi w:val="0"/>
                          <w:rPr>
                            <w:rFonts w:ascii="Times New Roman" w:hAnsi="Times New Roman"/>
                            <w:color w:val="000000"/>
                            <w:sz w:val="22"/>
                            <w:szCs w:val="22"/>
                          </w:rPr>
                        </w:pPr>
                        <w:r w:rsidRPr="009D5B18">
                          <w:rPr>
                            <w:rFonts w:ascii="Times New Roman" w:hAnsi="Times New Roman"/>
                            <w:color w:val="000000"/>
                            <w:sz w:val="22"/>
                            <w:szCs w:val="22"/>
                          </w:rPr>
                          <w:t>v úradnom jazyku alebo v jednom z úradných jazykov členského štátu, v ktorom sa PKIPCP uvádzajú na trh, alebo v jazyku schválenom príslušnými orgánmi uvedeného členského štátu;</w:t>
                        </w:r>
                      </w:p>
                      <w:p w:rsidR="009D60D8" w:rsidRPr="009D5B18" w:rsidP="009D5B18">
                        <w:pPr>
                          <w:bidi w:val="0"/>
                          <w:rPr>
                            <w:rFonts w:ascii="Times New Roman" w:hAnsi="Times New Roman"/>
                            <w:color w:val="000000"/>
                            <w:sz w:val="22"/>
                            <w:szCs w:val="22"/>
                          </w:rPr>
                        </w:pPr>
                      </w:p>
                    </w:tc>
                  </w:tr>
                </w:tbl>
                <w:p w:rsidR="009D5B18" w:rsidRPr="009D5B18" w:rsidP="009D5B18">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0"/>
                    <w:gridCol w:w="6245"/>
                  </w:tblGrid>
                  <w:tr>
                    <w:tblPrEx>
                      <w:tblW w:w="5000" w:type="pct"/>
                      <w:tblLayout w:type="fixed"/>
                      <w:tblCellMar>
                        <w:left w:w="0" w:type="dxa"/>
                        <w:right w:w="0" w:type="dxa"/>
                      </w:tblCellMar>
                      <w:tblLook w:val="04A0"/>
                    </w:tblPrEx>
                    <w:tc>
                      <w:tcPr>
                        <w:tcW w:w="288"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435" w:type="dxa"/>
                        <w:tcBorders>
                          <w:top w:val="nil"/>
                          <w:left w:val="nil"/>
                          <w:bottom w:val="nil"/>
                          <w:right w:val="nil"/>
                        </w:tcBorders>
                        <w:textDirection w:val="lrTb"/>
                        <w:vAlign w:val="top"/>
                        <w:hideMark/>
                      </w:tcPr>
                      <w:p w:rsidR="009D5B18" w:rsidRPr="009D5B18" w:rsidP="00767086">
                        <w:pPr>
                          <w:bidi w:val="0"/>
                          <w:ind w:right="283"/>
                          <w:rPr>
                            <w:rFonts w:ascii="Times New Roman" w:hAnsi="Times New Roman"/>
                            <w:color w:val="000000"/>
                            <w:sz w:val="22"/>
                            <w:szCs w:val="22"/>
                          </w:rPr>
                        </w:pPr>
                        <w:r w:rsidRPr="009D5B18">
                          <w:rPr>
                            <w:rFonts w:ascii="Times New Roman" w:hAnsi="Times New Roman"/>
                            <w:color w:val="000000"/>
                            <w:sz w:val="22"/>
                            <w:szCs w:val="22"/>
                          </w:rPr>
                          <w:t>prostredníctvom samotného PKIPCP, tretej strany, ktorá podlieha predpisom a dohľadu, ktoré upravujú úlohy, ktoré sa majú vykonávať, alebo oboch týchto subjektov;</w:t>
                        </w:r>
                      </w:p>
                    </w:tc>
                  </w:tr>
                </w:tbl>
                <w:p w:rsidR="009A0D1E" w:rsidP="009D5B18">
                  <w:pPr>
                    <w:bidi w:val="0"/>
                    <w:rPr>
                      <w:rFonts w:ascii="Times New Roman" w:hAnsi="Times New Roman"/>
                      <w:color w:val="000000"/>
                      <w:sz w:val="22"/>
                      <w:szCs w:val="22"/>
                    </w:rPr>
                  </w:pPr>
                </w:p>
                <w:p w:rsidR="009D5B18" w:rsidRPr="009D5B18" w:rsidP="00767086">
                  <w:pPr>
                    <w:bidi w:val="0"/>
                    <w:ind w:right="283"/>
                    <w:rPr>
                      <w:rFonts w:ascii="Times New Roman" w:hAnsi="Times New Roman"/>
                      <w:color w:val="000000"/>
                      <w:sz w:val="22"/>
                      <w:szCs w:val="22"/>
                    </w:rPr>
                  </w:pPr>
                  <w:r w:rsidRPr="009D5B18">
                    <w:rPr>
                      <w:rFonts w:ascii="Times New Roman" w:hAnsi="Times New Roman"/>
                      <w:color w:val="000000"/>
                      <w:sz w:val="22"/>
                      <w:szCs w:val="22"/>
                    </w:rPr>
                    <w:t>Na účely písmena b) v prípade, že úlohy má vykonávať tretia strana, musí byť jej vymenovanie doložené písomnou zmluvou, v ktorej sa stanovuje, ktoré z úloh uvedených v odseku 1 nemá vykonávať PKIPCP, a že tretia strana dostane od PKIPCP všetky relevantné informácie a dokumenty.“</w:t>
                  </w:r>
                </w:p>
              </w:tc>
            </w:tr>
          </w:tbl>
          <w:p w:rsidR="009D5B18" w:rsidRPr="009D5B18" w:rsidP="009D5B18">
            <w:pPr>
              <w:shd w:val="clear" w:color="auto" w:fill="FFFFFF"/>
              <w:bidi w:val="0"/>
              <w:spacing w:before="0"/>
              <w:jc w:val="left"/>
              <w:rPr>
                <w:rFonts w:ascii="Times New Roman" w:hAnsi="Times New Roman"/>
                <w:vanish/>
                <w:color w:val="000000"/>
                <w:sz w:val="22"/>
                <w:szCs w:val="22"/>
              </w:rPr>
            </w:pPr>
          </w:p>
          <w:p w:rsidR="00162F39" w:rsidRPr="009D5B18" w:rsidP="00D83E5B">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162F39" w:rsidRPr="002153F7">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58152A" w:rsidP="0058152A">
            <w:pPr>
              <w:autoSpaceDE w:val="0"/>
              <w:autoSpaceDN w:val="0"/>
              <w:bidi w:val="0"/>
              <w:spacing w:before="0"/>
              <w:jc w:val="center"/>
              <w:rPr>
                <w:rFonts w:ascii="Arial Narrow" w:hAnsi="Arial Narrow"/>
                <w:b/>
                <w:color w:val="0070C0"/>
                <w:sz w:val="22"/>
                <w:szCs w:val="22"/>
              </w:rPr>
            </w:pPr>
            <w:r w:rsidRPr="00CF0B93">
              <w:rPr>
                <w:rFonts w:ascii="Arial Narrow" w:hAnsi="Arial Narrow"/>
                <w:sz w:val="22"/>
                <w:szCs w:val="22"/>
              </w:rPr>
              <w:t>203/2011 a</w:t>
            </w:r>
          </w:p>
          <w:p w:rsidR="00E621F4" w:rsidRPr="00380F43" w:rsidP="00E621F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162F39">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5D2A10">
            <w:pPr>
              <w:autoSpaceDE w:val="0"/>
              <w:autoSpaceDN w:val="0"/>
              <w:bidi w:val="0"/>
              <w:spacing w:before="0"/>
              <w:jc w:val="center"/>
              <w:rPr>
                <w:rFonts w:ascii="Arial Narrow" w:hAnsi="Arial Narrow"/>
                <w:b/>
                <w:sz w:val="22"/>
                <w:szCs w:val="22"/>
              </w:rPr>
            </w:pPr>
          </w:p>
          <w:p w:rsidR="005D2A10">
            <w:pPr>
              <w:autoSpaceDE w:val="0"/>
              <w:autoSpaceDN w:val="0"/>
              <w:bidi w:val="0"/>
              <w:spacing w:before="0"/>
              <w:jc w:val="center"/>
              <w:rPr>
                <w:rFonts w:ascii="Arial Narrow" w:hAnsi="Arial Narrow"/>
                <w:b/>
                <w:sz w:val="22"/>
                <w:szCs w:val="22"/>
              </w:rPr>
            </w:pPr>
          </w:p>
          <w:p w:rsidR="005D2A10">
            <w:pPr>
              <w:autoSpaceDE w:val="0"/>
              <w:autoSpaceDN w:val="0"/>
              <w:bidi w:val="0"/>
              <w:spacing w:before="0"/>
              <w:jc w:val="center"/>
              <w:rPr>
                <w:rFonts w:ascii="Arial Narrow" w:hAnsi="Arial Narrow"/>
                <w:b/>
                <w:sz w:val="22"/>
                <w:szCs w:val="22"/>
              </w:rPr>
            </w:pPr>
          </w:p>
          <w:p w:rsidR="005D2A10">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1810AF">
            <w:pPr>
              <w:autoSpaceDE w:val="0"/>
              <w:autoSpaceDN w:val="0"/>
              <w:bidi w:val="0"/>
              <w:spacing w:before="0"/>
              <w:jc w:val="center"/>
              <w:rPr>
                <w:rFonts w:ascii="Arial Narrow" w:hAnsi="Arial Narrow"/>
                <w:b/>
                <w:sz w:val="22"/>
                <w:szCs w:val="22"/>
              </w:rPr>
            </w:pPr>
          </w:p>
          <w:p w:rsidR="009D60D8">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9D60D8" w:rsidP="004E1D1A">
            <w:pPr>
              <w:autoSpaceDE w:val="0"/>
              <w:autoSpaceDN w:val="0"/>
              <w:bidi w:val="0"/>
              <w:spacing w:before="0"/>
              <w:jc w:val="center"/>
              <w:rPr>
                <w:rFonts w:ascii="Arial Narrow" w:hAnsi="Arial Narrow"/>
                <w:sz w:val="22"/>
                <w:szCs w:val="22"/>
              </w:rPr>
            </w:pPr>
          </w:p>
          <w:p w:rsidR="00C731F0" w:rsidP="004E1D1A">
            <w:pPr>
              <w:autoSpaceDE w:val="0"/>
              <w:autoSpaceDN w:val="0"/>
              <w:bidi w:val="0"/>
              <w:spacing w:before="0"/>
              <w:jc w:val="center"/>
              <w:rPr>
                <w:rFonts w:ascii="Arial Narrow" w:hAnsi="Arial Narrow"/>
                <w:sz w:val="22"/>
                <w:szCs w:val="22"/>
              </w:rPr>
            </w:pPr>
          </w:p>
          <w:p w:rsidR="00C731F0" w:rsidP="004E1D1A">
            <w:pPr>
              <w:autoSpaceDE w:val="0"/>
              <w:autoSpaceDN w:val="0"/>
              <w:bidi w:val="0"/>
              <w:spacing w:before="0"/>
              <w:jc w:val="center"/>
              <w:rPr>
                <w:rFonts w:ascii="Arial Narrow" w:hAnsi="Arial Narrow"/>
                <w:sz w:val="22"/>
                <w:szCs w:val="22"/>
              </w:rPr>
            </w:pPr>
          </w:p>
          <w:p w:rsidR="00C731F0" w:rsidP="004E1D1A">
            <w:pPr>
              <w:autoSpaceDE w:val="0"/>
              <w:autoSpaceDN w:val="0"/>
              <w:bidi w:val="0"/>
              <w:spacing w:before="0"/>
              <w:jc w:val="center"/>
              <w:rPr>
                <w:rFonts w:ascii="Arial Narrow" w:hAnsi="Arial Narrow"/>
                <w:sz w:val="22"/>
                <w:szCs w:val="22"/>
              </w:rPr>
            </w:pPr>
          </w:p>
          <w:p w:rsidR="004E1D1A" w:rsidRPr="00CF0B93">
            <w:pPr>
              <w:autoSpaceDE w:val="0"/>
              <w:autoSpaceDN w:val="0"/>
              <w:bidi w:val="0"/>
              <w:spacing w:before="0"/>
              <w:jc w:val="center"/>
              <w:rPr>
                <w:rFonts w:ascii="Arial Narrow" w:hAnsi="Arial Narrow"/>
                <w:color w:val="0070C0"/>
                <w:sz w:val="22"/>
                <w:szCs w:val="22"/>
              </w:rPr>
            </w:pPr>
            <w:r w:rsidRPr="00647B9A" w:rsidR="00647B9A">
              <w:rPr>
                <w:rFonts w:ascii="Arial Narrow" w:hAnsi="Arial Narrow"/>
                <w:color w:val="0070C0"/>
                <w:sz w:val="22"/>
                <w:szCs w:val="22"/>
              </w:rPr>
              <w:t>N</w:t>
            </w:r>
            <w:r w:rsidRPr="00CF0B93" w:rsidR="00CF0B93">
              <w:rPr>
                <w:rFonts w:ascii="Arial Narrow" w:hAnsi="Arial Narrow"/>
                <w:color w:val="0070C0"/>
                <w:sz w:val="22"/>
                <w:szCs w:val="22"/>
              </w:rPr>
              <w:t>ávrh zákona čl.I</w:t>
            </w:r>
          </w:p>
          <w:p w:rsidR="004E1D1A" w:rsidRPr="00CF0B93">
            <w:pPr>
              <w:autoSpaceDE w:val="0"/>
              <w:autoSpaceDN w:val="0"/>
              <w:bidi w:val="0"/>
              <w:spacing w:before="0"/>
              <w:jc w:val="center"/>
              <w:rPr>
                <w:rFonts w:ascii="Arial Narrow" w:hAnsi="Arial Narrow"/>
                <w:b/>
                <w:color w:val="0070C0"/>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84790" w:rsidP="00CF0B93">
            <w:pPr>
              <w:autoSpaceDE w:val="0"/>
              <w:autoSpaceDN w:val="0"/>
              <w:bidi w:val="0"/>
              <w:spacing w:before="0"/>
              <w:jc w:val="center"/>
              <w:rPr>
                <w:rFonts w:ascii="Arial Narrow" w:hAnsi="Arial Narrow"/>
                <w:color w:val="0070C0"/>
                <w:sz w:val="22"/>
                <w:szCs w:val="22"/>
              </w:rPr>
            </w:pPr>
          </w:p>
          <w:p w:rsidR="00CF0B93" w:rsidRPr="00CF0B93" w:rsidP="00CF0B93">
            <w:pPr>
              <w:autoSpaceDE w:val="0"/>
              <w:autoSpaceDN w:val="0"/>
              <w:bidi w:val="0"/>
              <w:spacing w:before="0"/>
              <w:jc w:val="center"/>
              <w:rPr>
                <w:rFonts w:ascii="Arial Narrow" w:hAnsi="Arial Narrow"/>
                <w:color w:val="0070C0"/>
                <w:sz w:val="22"/>
                <w:szCs w:val="22"/>
              </w:rPr>
            </w:pPr>
            <w:r w:rsidR="00484790">
              <w:rPr>
                <w:rFonts w:ascii="Arial Narrow" w:hAnsi="Arial Narrow"/>
                <w:color w:val="0070C0"/>
                <w:sz w:val="22"/>
                <w:szCs w:val="22"/>
              </w:rPr>
              <w:t>N</w:t>
            </w:r>
            <w:r w:rsidRPr="00CF0B93">
              <w:rPr>
                <w:rFonts w:ascii="Arial Narrow" w:hAnsi="Arial Narrow"/>
                <w:color w:val="0070C0"/>
                <w:sz w:val="22"/>
                <w:szCs w:val="22"/>
              </w:rPr>
              <w:t>ávrh zákona čl.I</w:t>
            </w: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pPr>
              <w:autoSpaceDE w:val="0"/>
              <w:autoSpaceDN w:val="0"/>
              <w:bidi w:val="0"/>
              <w:spacing w:before="0"/>
              <w:jc w:val="center"/>
              <w:rPr>
                <w:rFonts w:ascii="Arial Narrow" w:hAnsi="Arial Narrow"/>
                <w:b/>
                <w:sz w:val="22"/>
                <w:szCs w:val="22"/>
              </w:rPr>
            </w:pPr>
          </w:p>
          <w:p w:rsidR="004E1D1A" w:rsidRPr="002153F7">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r w:rsidRPr="009128CB">
              <w:rPr>
                <w:rFonts w:ascii="Arial Narrow" w:hAnsi="Arial Narrow"/>
                <w:sz w:val="22"/>
                <w:szCs w:val="22"/>
              </w:rPr>
              <w:t xml:space="preserve">§ </w:t>
            </w:r>
            <w:r w:rsidRPr="009128CB" w:rsidR="009128CB">
              <w:rPr>
                <w:rFonts w:ascii="Arial Narrow" w:hAnsi="Arial Narrow"/>
                <w:sz w:val="22"/>
                <w:szCs w:val="22"/>
              </w:rPr>
              <w:t>14</w:t>
            </w:r>
            <w:r w:rsidR="00C83676">
              <w:rPr>
                <w:rFonts w:ascii="Arial Narrow" w:hAnsi="Arial Narrow"/>
                <w:sz w:val="22"/>
                <w:szCs w:val="22"/>
              </w:rPr>
              <w:t>4</w:t>
            </w:r>
          </w:p>
          <w:p w:rsidR="00F63BAB" w:rsidP="00162F39">
            <w:pPr>
              <w:pStyle w:val="Normlny"/>
              <w:bidi w:val="0"/>
              <w:rPr>
                <w:rFonts w:ascii="Arial Narrow" w:hAnsi="Arial Narrow"/>
                <w:sz w:val="22"/>
                <w:szCs w:val="22"/>
              </w:rPr>
            </w:pPr>
            <w:r w:rsidR="006F461A">
              <w:rPr>
                <w:rFonts w:ascii="Arial Narrow" w:hAnsi="Arial Narrow"/>
                <w:sz w:val="22"/>
                <w:szCs w:val="22"/>
              </w:rPr>
              <w:t xml:space="preserve">ods. </w:t>
            </w:r>
            <w:r w:rsidR="001810AF">
              <w:rPr>
                <w:rFonts w:ascii="Arial Narrow" w:hAnsi="Arial Narrow"/>
                <w:sz w:val="22"/>
                <w:szCs w:val="22"/>
              </w:rPr>
              <w:t>5</w:t>
            </w:r>
            <w:r w:rsidR="006F461A">
              <w:rPr>
                <w:rFonts w:ascii="Arial Narrow" w:hAnsi="Arial Narrow"/>
                <w:sz w:val="22"/>
                <w:szCs w:val="22"/>
              </w:rPr>
              <w:t xml:space="preserve"> </w:t>
            </w: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F63BAB"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58152A"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C731F0" w:rsidP="00162F39">
            <w:pPr>
              <w:pStyle w:val="Normlny"/>
              <w:bidi w:val="0"/>
              <w:rPr>
                <w:rFonts w:ascii="Arial Narrow" w:hAnsi="Arial Narrow"/>
                <w:sz w:val="22"/>
                <w:szCs w:val="22"/>
              </w:rPr>
            </w:pPr>
          </w:p>
          <w:p w:rsidR="00C731F0" w:rsidP="00162F39">
            <w:pPr>
              <w:pStyle w:val="Normlny"/>
              <w:bidi w:val="0"/>
              <w:rPr>
                <w:rFonts w:ascii="Arial Narrow" w:hAnsi="Arial Narrow"/>
                <w:sz w:val="22"/>
                <w:szCs w:val="22"/>
              </w:rPr>
            </w:pPr>
          </w:p>
          <w:p w:rsidR="00C731F0" w:rsidP="00162F39">
            <w:pPr>
              <w:pStyle w:val="Normlny"/>
              <w:bidi w:val="0"/>
              <w:rPr>
                <w:rFonts w:ascii="Arial Narrow" w:hAnsi="Arial Narrow"/>
                <w:sz w:val="22"/>
                <w:szCs w:val="22"/>
              </w:rPr>
            </w:pPr>
          </w:p>
          <w:p w:rsidR="00C731F0" w:rsidP="00162F39">
            <w:pPr>
              <w:pStyle w:val="Normlny"/>
              <w:bidi w:val="0"/>
              <w:rPr>
                <w:rFonts w:ascii="Arial Narrow" w:hAnsi="Arial Narrow"/>
                <w:sz w:val="22"/>
                <w:szCs w:val="22"/>
              </w:rPr>
            </w:pPr>
          </w:p>
          <w:p w:rsidR="009D60D8" w:rsidRPr="00E937FC" w:rsidP="00162F39">
            <w:pPr>
              <w:pStyle w:val="Normlny"/>
              <w:bidi w:val="0"/>
              <w:rPr>
                <w:rFonts w:ascii="Arial Narrow" w:hAnsi="Arial Narrow"/>
                <w:sz w:val="22"/>
                <w:szCs w:val="22"/>
              </w:rPr>
            </w:pPr>
            <w:r w:rsidRPr="00E937FC" w:rsidR="00F63BAB">
              <w:rPr>
                <w:rFonts w:ascii="Arial Narrow" w:hAnsi="Arial Narrow"/>
                <w:sz w:val="22"/>
                <w:szCs w:val="22"/>
              </w:rPr>
              <w:t>ods.7</w:t>
            </w: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BC4AE6" w:rsidP="00162F39">
            <w:pPr>
              <w:pStyle w:val="Normlny"/>
              <w:bidi w:val="0"/>
              <w:rPr>
                <w:rFonts w:ascii="Arial Narrow" w:hAnsi="Arial Narrow"/>
                <w:sz w:val="22"/>
                <w:szCs w:val="22"/>
              </w:rPr>
            </w:pPr>
          </w:p>
          <w:p w:rsidR="00BC4AE6"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162F39" w:rsidP="00162F39">
            <w:pPr>
              <w:pStyle w:val="Normlny"/>
              <w:bidi w:val="0"/>
              <w:rPr>
                <w:rFonts w:ascii="Arial Narrow" w:hAnsi="Arial Narrow"/>
                <w:sz w:val="22"/>
                <w:szCs w:val="22"/>
              </w:rPr>
            </w:pPr>
            <w:r w:rsidR="009D60D8">
              <w:rPr>
                <w:rFonts w:ascii="Arial Narrow" w:hAnsi="Arial Narrow"/>
                <w:sz w:val="22"/>
                <w:szCs w:val="22"/>
              </w:rPr>
              <w:t>ods.8</w:t>
            </w: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C668B" w:rsidP="00162F39">
            <w:pPr>
              <w:pStyle w:val="Normlny"/>
              <w:bidi w:val="0"/>
              <w:rPr>
                <w:rFonts w:ascii="Arial Narrow" w:hAnsi="Arial Narrow"/>
                <w:sz w:val="22"/>
                <w:szCs w:val="22"/>
              </w:rPr>
            </w:pPr>
          </w:p>
          <w:p w:rsidR="006F461A" w:rsidRPr="002153F7" w:rsidP="006F461A">
            <w:pPr>
              <w:pStyle w:val="Normlny"/>
              <w:bidi w:val="0"/>
              <w:rPr>
                <w:rFonts w:ascii="Arial Narrow" w:hAnsi="Arial Narrow"/>
                <w:sz w:val="22"/>
                <w:szCs w:val="22"/>
              </w:rPr>
            </w:pPr>
            <w:r w:rsidRPr="009128CB">
              <w:rPr>
                <w:rFonts w:ascii="Arial Narrow" w:hAnsi="Arial Narrow"/>
                <w:sz w:val="22"/>
                <w:szCs w:val="22"/>
              </w:rPr>
              <w:t>§ 14</w:t>
            </w:r>
            <w:r w:rsidR="001A3887">
              <w:rPr>
                <w:rFonts w:ascii="Arial Narrow" w:hAnsi="Arial Narrow"/>
                <w:sz w:val="22"/>
                <w:szCs w:val="22"/>
              </w:rPr>
              <w:t>1</w:t>
            </w:r>
          </w:p>
          <w:p w:rsidR="006F461A" w:rsidP="006F461A">
            <w:pPr>
              <w:pStyle w:val="Normlny"/>
              <w:bidi w:val="0"/>
              <w:rPr>
                <w:rFonts w:ascii="Arial Narrow" w:hAnsi="Arial Narrow"/>
                <w:sz w:val="22"/>
                <w:szCs w:val="22"/>
              </w:rPr>
            </w:pPr>
            <w:r>
              <w:rPr>
                <w:rFonts w:ascii="Arial Narrow" w:hAnsi="Arial Narrow"/>
                <w:sz w:val="22"/>
                <w:szCs w:val="22"/>
              </w:rPr>
              <w:t>ods.</w:t>
            </w:r>
            <w:r w:rsidR="004E1D1A">
              <w:rPr>
                <w:rFonts w:ascii="Arial Narrow" w:hAnsi="Arial Narrow"/>
                <w:sz w:val="22"/>
                <w:szCs w:val="22"/>
              </w:rPr>
              <w:t>5</w:t>
            </w: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6F46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162F39">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r w:rsidR="004E1D1A">
              <w:rPr>
                <w:rFonts w:ascii="Arial Narrow" w:hAnsi="Arial Narrow"/>
                <w:sz w:val="22"/>
                <w:szCs w:val="22"/>
              </w:rPr>
              <w:t xml:space="preserve">ods.6 </w:t>
            </w: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r w:rsidR="004E1D1A">
              <w:rPr>
                <w:rFonts w:ascii="Arial Narrow" w:hAnsi="Arial Narrow"/>
                <w:sz w:val="22"/>
                <w:szCs w:val="22"/>
              </w:rPr>
              <w:t xml:space="preserve"> </w:t>
            </w: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EF0A64" w:rsidP="004E1D1A">
            <w:pPr>
              <w:pStyle w:val="Normlny"/>
              <w:bidi w:val="0"/>
              <w:rPr>
                <w:rFonts w:ascii="Arial Narrow" w:hAnsi="Arial Narrow"/>
                <w:sz w:val="22"/>
                <w:szCs w:val="22"/>
              </w:rPr>
            </w:pPr>
          </w:p>
          <w:p w:rsidR="009D60D8" w:rsidP="004E1D1A">
            <w:pPr>
              <w:pStyle w:val="Normlny"/>
              <w:bidi w:val="0"/>
              <w:rPr>
                <w:rFonts w:ascii="Arial Narrow" w:hAnsi="Arial Narrow"/>
                <w:sz w:val="22"/>
                <w:szCs w:val="22"/>
              </w:rPr>
            </w:pPr>
          </w:p>
          <w:p w:rsidR="004E1D1A" w:rsidP="004E1D1A">
            <w:pPr>
              <w:pStyle w:val="Normlny"/>
              <w:bidi w:val="0"/>
              <w:rPr>
                <w:rFonts w:ascii="Arial Narrow" w:hAnsi="Arial Narrow"/>
                <w:sz w:val="22"/>
                <w:szCs w:val="22"/>
              </w:rPr>
            </w:pPr>
            <w:r w:rsidR="009D60D8">
              <w:rPr>
                <w:rFonts w:ascii="Arial Narrow" w:hAnsi="Arial Narrow"/>
                <w:sz w:val="22"/>
                <w:szCs w:val="22"/>
              </w:rPr>
              <w:t>ods.7</w:t>
            </w: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P="00162F39">
            <w:pPr>
              <w:pStyle w:val="Normlny"/>
              <w:bidi w:val="0"/>
              <w:rPr>
                <w:rFonts w:ascii="Arial Narrow" w:hAnsi="Arial Narrow"/>
                <w:sz w:val="22"/>
                <w:szCs w:val="22"/>
              </w:rPr>
            </w:pPr>
          </w:p>
          <w:p w:rsidR="004E1D1A" w:rsidRPr="002153F7" w:rsidP="00162F39">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16FAD" w:rsidRPr="00E16FAD" w:rsidP="00E16FAD">
            <w:pPr>
              <w:bidi w:val="0"/>
              <w:spacing w:after="120"/>
              <w:ind w:left="64" w:hanging="64"/>
              <w:rPr>
                <w:rFonts w:ascii="Times New Roman" w:hAnsi="Times New Roman"/>
                <w:color w:val="0070C0"/>
              </w:rPr>
            </w:pPr>
            <w:r w:rsidRPr="00F56804" w:rsidR="006F461A">
              <w:rPr>
                <w:rFonts w:ascii="Times New Roman" w:hAnsi="Times New Roman"/>
                <w:color w:val="0070C0"/>
              </w:rPr>
              <w:t>(</w:t>
            </w:r>
            <w:r w:rsidRPr="00F56804" w:rsidR="001810AF">
              <w:rPr>
                <w:rFonts w:ascii="Times New Roman" w:hAnsi="Times New Roman"/>
                <w:color w:val="0070C0"/>
              </w:rPr>
              <w:t>5</w:t>
            </w:r>
            <w:r w:rsidRPr="00F56804" w:rsidR="006F461A">
              <w:rPr>
                <w:rFonts w:ascii="Times New Roman" w:hAnsi="Times New Roman"/>
                <w:color w:val="0070C0"/>
              </w:rPr>
              <w:t xml:space="preserve">) </w:t>
            </w:r>
            <w:r w:rsidRPr="00E16FAD">
              <w:rPr>
                <w:rFonts w:ascii="Times New Roman" w:hAnsi="Times New Roman"/>
                <w:color w:val="0070C0"/>
              </w:rPr>
              <w:t xml:space="preserve">Pri distribúcii svojich cenných papierov na území Slovenskej republiky je európsky fond povinný v súlade s týmto zákonom a inými všeobecne záväznými právnymi predpismi prijať nevyhnutné opatrenia, aby sa investorom zabezpečilo na území Slovenskej republiky </w:t>
            </w:r>
          </w:p>
          <w:p w:rsidR="00E16FAD" w:rsidRPr="00E16FAD" w:rsidP="00E16FAD">
            <w:pPr>
              <w:pStyle w:val="ListParagraph"/>
              <w:numPr>
                <w:numId w:val="40"/>
              </w:numPr>
              <w:bidi w:val="0"/>
              <w:ind w:left="64" w:firstLine="0"/>
              <w:jc w:val="both"/>
              <w:rPr>
                <w:rFonts w:ascii="Times New Roman" w:hAnsi="Times New Roman"/>
                <w:color w:val="0070C0"/>
              </w:rPr>
            </w:pPr>
            <w:r w:rsidRPr="00E16FAD">
              <w:rPr>
                <w:rFonts w:ascii="Times New Roman" w:hAnsi="Times New Roman"/>
                <w:color w:val="0070C0"/>
              </w:rPr>
              <w:t>spracovávanie pokynov na vydávanie,  vyplatenie alebo odkúpenie cenných papierov európskeho štandardného fondu  a vykonávanie iných platieb v prospech investorov európskeho štandardného fondu v súlade s podmienkami ustanovenými v kľúčových informáciách pre investorov, predajnom prospekte, ročnej správe a polročnej správe,</w:t>
            </w:r>
          </w:p>
          <w:p w:rsidR="00E16FAD" w:rsidRPr="00E16FAD" w:rsidP="00E16FAD">
            <w:pPr>
              <w:pStyle w:val="ListParagraph"/>
              <w:numPr>
                <w:numId w:val="40"/>
              </w:numPr>
              <w:bidi w:val="0"/>
              <w:ind w:left="64" w:firstLine="0"/>
              <w:jc w:val="both"/>
              <w:rPr>
                <w:rFonts w:ascii="Times New Roman" w:hAnsi="Times New Roman"/>
                <w:color w:val="0070C0"/>
              </w:rPr>
            </w:pPr>
            <w:r w:rsidRPr="00E16FAD">
              <w:rPr>
                <w:rFonts w:ascii="Times New Roman" w:hAnsi="Times New Roman"/>
                <w:color w:val="0070C0"/>
              </w:rPr>
              <w:t>poskytovanie informácií o tom, ako možno zadať pokyny uvedené v písmene a) a ako sa vyplácajú výnosy z vyplatenia alebo  odkúpenia cenných papierov európskeho štandardného fondu,</w:t>
            </w:r>
          </w:p>
          <w:p w:rsidR="00E16FAD" w:rsidRPr="00E16FAD" w:rsidP="00E16FAD">
            <w:pPr>
              <w:pStyle w:val="ListParagraph"/>
              <w:numPr>
                <w:numId w:val="40"/>
              </w:numPr>
              <w:bidi w:val="0"/>
              <w:ind w:left="64" w:firstLine="0"/>
              <w:jc w:val="both"/>
              <w:rPr>
                <w:rFonts w:ascii="Times New Roman" w:hAnsi="Times New Roman"/>
                <w:color w:val="0070C0"/>
              </w:rPr>
            </w:pPr>
            <w:r w:rsidRPr="00E16FAD">
              <w:rPr>
                <w:rFonts w:ascii="Times New Roman" w:hAnsi="Times New Roman"/>
                <w:color w:val="0070C0"/>
              </w:rPr>
              <w:t xml:space="preserve">uľahčenie prístupu k informáciám, postupom a mechanizmom vybavovania sťažností investorov týkajúcich sa uplatňovania práv investorov vyplývajúcich z investície do európskeho štandardného fondu, ktorý sa má distribuovať na území Slovenskej republiky, </w:t>
            </w:r>
          </w:p>
          <w:p w:rsidR="00E16FAD" w:rsidRPr="00E16FAD" w:rsidP="00E16FAD">
            <w:pPr>
              <w:pStyle w:val="ListParagraph"/>
              <w:numPr>
                <w:numId w:val="40"/>
              </w:numPr>
              <w:bidi w:val="0"/>
              <w:ind w:left="64" w:firstLine="0"/>
              <w:jc w:val="both"/>
              <w:rPr>
                <w:rFonts w:ascii="Times New Roman" w:hAnsi="Times New Roman"/>
                <w:color w:val="0070C0"/>
              </w:rPr>
            </w:pPr>
            <w:r w:rsidRPr="00E16FAD">
              <w:rPr>
                <w:rFonts w:ascii="Times New Roman" w:hAnsi="Times New Roman"/>
                <w:color w:val="0070C0"/>
              </w:rPr>
              <w:t>sprístupnenie kľúčových informácií, predajného prospektu, ročnej správy a polročnej správy, informácií o aktuálnej hodnote podielu, predajnej cene podielu, nákupnej cene podielu a čistej hodnote majetku v európskom štandardnom fonde a marketingových materiálov európskeho štandardného fondu za podmienok ustanovených v odsekoch 1 až 4, a to na účely kontroly a získania kópií týchto dokumentov,</w:t>
            </w:r>
          </w:p>
          <w:p w:rsidR="00E16FAD" w:rsidRPr="00E16FAD" w:rsidP="00E16FAD">
            <w:pPr>
              <w:pStyle w:val="ListParagraph"/>
              <w:numPr>
                <w:numId w:val="40"/>
              </w:numPr>
              <w:bidi w:val="0"/>
              <w:ind w:left="64" w:firstLine="0"/>
              <w:jc w:val="both"/>
              <w:rPr>
                <w:rFonts w:ascii="Times New Roman" w:hAnsi="Times New Roman"/>
                <w:color w:val="0070C0"/>
              </w:rPr>
            </w:pPr>
            <w:r w:rsidRPr="00E16FAD">
              <w:rPr>
                <w:rFonts w:ascii="Times New Roman" w:hAnsi="Times New Roman"/>
                <w:color w:val="0070C0"/>
              </w:rPr>
              <w:t xml:space="preserve">poskytovanie informácií v súvislosti so zabezpečovaním  činností podľa písmen a ) až d)  na trvanlivom médiu a </w:t>
            </w:r>
          </w:p>
          <w:p w:rsidR="00557B98" w:rsidRPr="00E16FAD" w:rsidP="00E16FAD">
            <w:pPr>
              <w:pStyle w:val="ListParagraph"/>
              <w:numPr>
                <w:numId w:val="40"/>
              </w:numPr>
              <w:bidi w:val="0"/>
              <w:spacing w:after="120"/>
              <w:ind w:left="382" w:hanging="283"/>
              <w:jc w:val="both"/>
              <w:rPr>
                <w:rFonts w:ascii="Times New Roman" w:hAnsi="Times New Roman"/>
                <w:color w:val="0070C0"/>
              </w:rPr>
            </w:pPr>
            <w:r w:rsidRPr="00E16FAD" w:rsidR="00E16FAD">
              <w:rPr>
                <w:rFonts w:ascii="Times New Roman" w:hAnsi="Times New Roman"/>
                <w:color w:val="0070C0"/>
              </w:rPr>
              <w:t>vykonávanie činnosti kontaktného miesta pre komunikáciu s Národnou bankou Slovenska</w:t>
            </w:r>
            <w:r w:rsidRPr="00E16FAD" w:rsidR="0058152A">
              <w:rPr>
                <w:rFonts w:ascii="Times New Roman" w:hAnsi="Times New Roman"/>
                <w:color w:val="0070C0"/>
              </w:rPr>
              <w:t>.</w:t>
            </w:r>
            <w:r w:rsidRPr="00E16FAD">
              <w:rPr>
                <w:rFonts w:ascii="Times New Roman" w:hAnsi="Times New Roman"/>
                <w:color w:val="0070C0"/>
              </w:rPr>
              <w:t xml:space="preserve"> </w:t>
            </w:r>
          </w:p>
          <w:p w:rsidR="00F63BAB" w:rsidRPr="0058152A" w:rsidP="00557B98">
            <w:pPr>
              <w:bidi w:val="0"/>
              <w:ind w:left="98"/>
              <w:rPr>
                <w:rFonts w:ascii="Times New Roman" w:hAnsi="Times New Roman"/>
                <w:color w:val="0070C0"/>
              </w:rPr>
            </w:pPr>
          </w:p>
          <w:p w:rsidR="00F63BAB"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9D60D8" w:rsidP="00557B98">
            <w:pPr>
              <w:bidi w:val="0"/>
              <w:ind w:left="98"/>
              <w:rPr>
                <w:rFonts w:ascii="Times New Roman" w:hAnsi="Times New Roman"/>
                <w:color w:val="0070C0"/>
              </w:rPr>
            </w:pPr>
          </w:p>
          <w:p w:rsidR="0058152A" w:rsidP="00557B98">
            <w:pPr>
              <w:bidi w:val="0"/>
              <w:ind w:left="98"/>
              <w:rPr>
                <w:rFonts w:ascii="Times New Roman" w:hAnsi="Times New Roman"/>
                <w:color w:val="0070C0"/>
              </w:rPr>
            </w:pPr>
          </w:p>
          <w:p w:rsidR="0058152A" w:rsidP="00557B98">
            <w:pPr>
              <w:bidi w:val="0"/>
              <w:ind w:left="98"/>
              <w:rPr>
                <w:rFonts w:ascii="Times New Roman" w:hAnsi="Times New Roman"/>
                <w:color w:val="0070C0"/>
              </w:rPr>
            </w:pPr>
          </w:p>
          <w:p w:rsidR="0058152A" w:rsidP="00557B98">
            <w:pPr>
              <w:bidi w:val="0"/>
              <w:ind w:left="98"/>
              <w:rPr>
                <w:rFonts w:ascii="Times New Roman" w:hAnsi="Times New Roman"/>
                <w:color w:val="0070C0"/>
              </w:rPr>
            </w:pPr>
          </w:p>
          <w:p w:rsidR="0058152A" w:rsidP="00557B98">
            <w:pPr>
              <w:bidi w:val="0"/>
              <w:ind w:left="98"/>
              <w:rPr>
                <w:rFonts w:ascii="Times New Roman" w:hAnsi="Times New Roman"/>
                <w:color w:val="0070C0"/>
              </w:rPr>
            </w:pPr>
          </w:p>
          <w:p w:rsidR="0058152A"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9D60D8" w:rsidRPr="0058152A" w:rsidP="00557B98">
            <w:pPr>
              <w:bidi w:val="0"/>
              <w:ind w:left="98"/>
              <w:rPr>
                <w:rFonts w:ascii="Times New Roman" w:hAnsi="Times New Roman"/>
                <w:color w:val="0070C0"/>
              </w:rPr>
            </w:pPr>
          </w:p>
          <w:p w:rsidR="00F8764E" w:rsidP="00557B98">
            <w:pPr>
              <w:bidi w:val="0"/>
              <w:ind w:left="98"/>
              <w:rPr>
                <w:rFonts w:ascii="Times New Roman" w:hAnsi="Times New Roman"/>
                <w:color w:val="0070C0"/>
              </w:rPr>
            </w:pPr>
          </w:p>
          <w:p w:rsidR="00F8764E" w:rsidP="00557B98">
            <w:pPr>
              <w:bidi w:val="0"/>
              <w:ind w:left="98"/>
              <w:rPr>
                <w:rFonts w:ascii="Times New Roman" w:hAnsi="Times New Roman"/>
                <w:color w:val="0070C0"/>
              </w:rPr>
            </w:pPr>
          </w:p>
          <w:p w:rsidR="00C731F0" w:rsidP="00557B98">
            <w:pPr>
              <w:bidi w:val="0"/>
              <w:ind w:left="98"/>
              <w:rPr>
                <w:rFonts w:ascii="Times New Roman" w:hAnsi="Times New Roman"/>
                <w:color w:val="0070C0"/>
              </w:rPr>
            </w:pPr>
          </w:p>
          <w:p w:rsidR="00C731F0" w:rsidRPr="0058152A" w:rsidP="00557B98">
            <w:pPr>
              <w:bidi w:val="0"/>
              <w:ind w:left="98"/>
              <w:rPr>
                <w:rFonts w:ascii="Times New Roman" w:hAnsi="Times New Roman"/>
                <w:color w:val="0070C0"/>
              </w:rPr>
            </w:pPr>
          </w:p>
          <w:p w:rsidR="00E16FAD" w:rsidRPr="00E16FAD" w:rsidP="00E16FAD">
            <w:pPr>
              <w:bidi w:val="0"/>
              <w:spacing w:after="120"/>
              <w:rPr>
                <w:rFonts w:ascii="Times New Roman" w:hAnsi="Times New Roman"/>
                <w:color w:val="0070C0"/>
              </w:rPr>
            </w:pPr>
            <w:r w:rsidRPr="0058152A" w:rsidR="001810AF">
              <w:rPr>
                <w:rFonts w:ascii="Times New Roman" w:hAnsi="Times New Roman"/>
                <w:color w:val="0070C0"/>
              </w:rPr>
              <w:t>(7)</w:t>
            </w:r>
            <w:r w:rsidRPr="006D6CF1" w:rsidR="00F8764E">
              <w:rPr>
                <w:rFonts w:ascii="Times New Roman" w:hAnsi="Times New Roman"/>
              </w:rPr>
              <w:t xml:space="preserve"> </w:t>
            </w:r>
            <w:r w:rsidRPr="00E16FAD">
              <w:rPr>
                <w:rFonts w:ascii="Times New Roman" w:hAnsi="Times New Roman"/>
                <w:color w:val="0070C0"/>
              </w:rPr>
              <w:t xml:space="preserve">Európsky štandardný fond </w:t>
            </w:r>
            <w:bookmarkStart w:id="0" w:name="_Hlk41922633"/>
            <w:r w:rsidRPr="00E16FAD">
              <w:rPr>
                <w:rFonts w:ascii="Times New Roman" w:hAnsi="Times New Roman"/>
                <w:color w:val="0070C0"/>
              </w:rPr>
              <w:t>je povinný sprístupniť informácie o opatreniach na zabezpečenie plnenia povinností podľa odseku 5</w:t>
            </w:r>
            <w:bookmarkEnd w:id="0"/>
            <w:r w:rsidRPr="00E16FAD">
              <w:rPr>
                <w:rFonts w:ascii="Times New Roman" w:hAnsi="Times New Roman"/>
                <w:color w:val="0070C0"/>
              </w:rPr>
              <w:t xml:space="preserve"> </w:t>
            </w:r>
          </w:p>
          <w:p w:rsidR="00E16FAD" w:rsidRPr="00E16FAD" w:rsidP="00E16FAD">
            <w:pPr>
              <w:bidi w:val="0"/>
              <w:spacing w:after="120"/>
              <w:rPr>
                <w:rFonts w:ascii="Times New Roman" w:hAnsi="Times New Roman"/>
                <w:color w:val="0070C0"/>
              </w:rPr>
            </w:pPr>
            <w:r w:rsidRPr="00E16FAD">
              <w:rPr>
                <w:rFonts w:ascii="Times New Roman" w:hAnsi="Times New Roman"/>
                <w:color w:val="0070C0"/>
              </w:rPr>
              <w:t xml:space="preserve">a) </w:t>
            </w:r>
            <w:bookmarkStart w:id="1" w:name="_Hlk47710007"/>
            <w:r w:rsidRPr="00E16FAD">
              <w:rPr>
                <w:rFonts w:ascii="Times New Roman" w:hAnsi="Times New Roman"/>
                <w:color w:val="0070C0"/>
              </w:rPr>
              <w:t>v slovenskom jazyku alebo v jazyku, ktorý môže na tento účel ustanoviť Národná banka Slovenska vo všeobecne záväznom právnom predpise vydanom podľa osobitného predpisu.</w:t>
            </w:r>
            <w:r w:rsidRPr="00E16FAD">
              <w:rPr>
                <w:rFonts w:ascii="Times New Roman" w:hAnsi="Times New Roman"/>
                <w:color w:val="0070C0"/>
                <w:vertAlign w:val="superscript"/>
              </w:rPr>
              <w:t>58a</w:t>
            </w:r>
            <w:r w:rsidRPr="00E16FAD">
              <w:rPr>
                <w:rFonts w:ascii="Times New Roman" w:hAnsi="Times New Roman"/>
                <w:color w:val="0070C0"/>
              </w:rPr>
              <w:t xml:space="preserve">) </w:t>
            </w:r>
          </w:p>
          <w:p w:rsidR="00E16FAD" w:rsidRPr="00E16FAD" w:rsidP="00E16FAD">
            <w:pPr>
              <w:bidi w:val="0"/>
              <w:spacing w:after="120"/>
              <w:rPr>
                <w:rFonts w:ascii="Times New Roman" w:hAnsi="Times New Roman"/>
                <w:color w:val="0070C0"/>
              </w:rPr>
            </w:pPr>
            <w:r w:rsidRPr="00E16FAD">
              <w:rPr>
                <w:rFonts w:ascii="Times New Roman" w:hAnsi="Times New Roman"/>
                <w:color w:val="0070C0"/>
              </w:rPr>
              <w:t>b) samostatne alebo prostredníctvom tretej osoby podľa § 58 oprávnenej na vykonávanie činností podľa odseku 5 alebo obidvoma spôsobmi.</w:t>
            </w:r>
          </w:p>
          <w:p w:rsidR="001810AF" w:rsidRPr="00E16FAD" w:rsidP="00E16FAD">
            <w:pPr>
              <w:bidi w:val="0"/>
              <w:rPr>
                <w:rFonts w:ascii="Times New Roman" w:hAnsi="Times New Roman"/>
                <w:color w:val="0070C0"/>
              </w:rPr>
            </w:pPr>
            <w:bookmarkEnd w:id="1"/>
            <w:r w:rsidRPr="00E16FAD" w:rsidR="00E16FAD">
              <w:rPr>
                <w:rFonts w:ascii="Times New Roman" w:hAnsi="Times New Roman"/>
                <w:color w:val="0070C0"/>
              </w:rPr>
              <w:t xml:space="preserve"> </w:t>
            </w:r>
            <w:r w:rsidRPr="00E16FAD" w:rsidR="00E16FAD">
              <w:rPr>
                <w:rFonts w:ascii="Times New Roman" w:hAnsi="Times New Roman"/>
                <w:color w:val="0070C0"/>
              </w:rPr>
              <w:t>(8)  Ak sa činnosti podľa odseku 5 vykonávajú prostredníctvom  tretej osoby,  musí byť jej určenie zabezpečené písomnou zmluvou, v ktorej sa uvedie, ktoré z činností v odseku 5 nemá vykonávať európsky štandardný fond, a uvedie sa povinnosť  európskeho štandardného fondu poskytnúť tretej osobe všetky potrebné informácie a dokumenty</w:t>
            </w:r>
            <w:r w:rsidRPr="00E16FAD">
              <w:rPr>
                <w:rFonts w:ascii="Times New Roman" w:hAnsi="Times New Roman"/>
                <w:color w:val="0070C0"/>
              </w:rPr>
              <w:t>.</w:t>
            </w:r>
          </w:p>
          <w:p w:rsidR="001810AF" w:rsidRPr="00E16FAD" w:rsidP="001810AF">
            <w:pPr>
              <w:pStyle w:val="NoSpacing"/>
              <w:bidi w:val="0"/>
              <w:rPr>
                <w:rFonts w:ascii="Times New Roman" w:hAnsi="Times New Roman"/>
                <w:color w:val="0070C0"/>
                <w:sz w:val="24"/>
                <w:szCs w:val="24"/>
              </w:rPr>
            </w:pPr>
          </w:p>
          <w:p w:rsidR="00E16FAD" w:rsidRPr="00E16FAD" w:rsidP="00E16FAD">
            <w:pPr>
              <w:bidi w:val="0"/>
              <w:spacing w:after="120"/>
              <w:rPr>
                <w:rFonts w:ascii="Times New Roman" w:hAnsi="Times New Roman"/>
                <w:color w:val="0070C0"/>
              </w:rPr>
            </w:pPr>
            <w:r w:rsidRPr="00484790" w:rsidR="009D60D8">
              <w:rPr>
                <w:rFonts w:ascii="Times New Roman" w:hAnsi="Times New Roman"/>
                <w:color w:val="0070C0"/>
              </w:rPr>
              <w:t>(5)</w:t>
            </w:r>
            <w:r w:rsidRPr="00484790" w:rsidR="00BC4AE6">
              <w:rPr>
                <w:rFonts w:ascii="Times New Roman" w:hAnsi="Times New Roman"/>
                <w:color w:val="0070C0"/>
              </w:rPr>
              <w:t xml:space="preserve"> </w:t>
            </w:r>
            <w:r w:rsidRPr="00E16FAD">
              <w:rPr>
                <w:rFonts w:ascii="Times New Roman" w:hAnsi="Times New Roman"/>
                <w:color w:val="0070C0"/>
              </w:rPr>
              <w:t xml:space="preserve">Pri distribúcii cenných papierov štandardného fondu na území hostiteľského členského štátu je správcovská spoločnosť povinná v súlade s príslušnými právnymi predpismi tohto hostiteľského členského štátu prijať nevyhnutné opatrenia, aby sa investorom štandardného fondu zabezpečilo na území tohto hostiteľského členského štátu </w:t>
            </w:r>
          </w:p>
          <w:p w:rsidR="00E16FAD" w:rsidRPr="00E16FAD" w:rsidP="00E16FAD">
            <w:pPr>
              <w:pStyle w:val="ListParagraph"/>
              <w:numPr>
                <w:numId w:val="41"/>
              </w:numPr>
              <w:bidi w:val="0"/>
              <w:spacing w:after="120"/>
              <w:ind w:left="0" w:firstLine="0"/>
              <w:jc w:val="both"/>
              <w:rPr>
                <w:rFonts w:ascii="Times New Roman" w:hAnsi="Times New Roman"/>
                <w:color w:val="0070C0"/>
              </w:rPr>
            </w:pPr>
            <w:r w:rsidRPr="00E16FAD">
              <w:rPr>
                <w:rFonts w:ascii="Times New Roman" w:hAnsi="Times New Roman"/>
                <w:color w:val="0070C0"/>
              </w:rPr>
              <w:t>spracovávanie pokynov na vydávanie, vyplatenie a odkúpenie cenných papierov štandardného fondu  a vykonávanie iných platieb v prospech investorov štandardného fondu v súlade s podmienkami ustanovenými v kľúčových informáciách pre investorov, predajnom prospekte, ročnej správe a polročnej správe,</w:t>
            </w:r>
          </w:p>
          <w:p w:rsidR="00E16FAD" w:rsidRPr="00E16FAD" w:rsidP="00E16FAD">
            <w:pPr>
              <w:pStyle w:val="ListParagraph"/>
              <w:numPr>
                <w:numId w:val="41"/>
              </w:numPr>
              <w:bidi w:val="0"/>
              <w:spacing w:after="120"/>
              <w:ind w:left="0" w:firstLine="0"/>
              <w:jc w:val="both"/>
              <w:rPr>
                <w:rFonts w:ascii="Times New Roman" w:hAnsi="Times New Roman"/>
                <w:color w:val="0070C0"/>
              </w:rPr>
            </w:pPr>
            <w:r w:rsidRPr="00E16FAD">
              <w:rPr>
                <w:rFonts w:ascii="Times New Roman" w:hAnsi="Times New Roman"/>
                <w:color w:val="0070C0"/>
              </w:rPr>
              <w:t>poskytovanie informácií o tom, ako možno zadať pokyny uvedené v písmene a) a ako sa vyplácajú výnosy z vyplatenia alebo  odkúpenia</w:t>
            </w:r>
            <w:r w:rsidRPr="00E16FAD">
              <w:rPr>
                <w:rFonts w:ascii="Times New Roman" w:hAnsi="Times New Roman"/>
                <w:color w:val="0070C0"/>
              </w:rPr>
              <w:t xml:space="preserve"> </w:t>
            </w:r>
            <w:r w:rsidRPr="00E16FAD">
              <w:rPr>
                <w:rFonts w:ascii="Times New Roman" w:hAnsi="Times New Roman"/>
                <w:color w:val="0070C0"/>
              </w:rPr>
              <w:t xml:space="preserve">cenných papierov štandardného fondu, </w:t>
            </w:r>
          </w:p>
          <w:p w:rsidR="00E16FAD" w:rsidRPr="00E16FAD" w:rsidP="00E16FAD">
            <w:pPr>
              <w:pStyle w:val="ListParagraph"/>
              <w:numPr>
                <w:numId w:val="41"/>
              </w:numPr>
              <w:bidi w:val="0"/>
              <w:spacing w:after="120"/>
              <w:ind w:left="0" w:firstLine="0"/>
              <w:jc w:val="both"/>
              <w:rPr>
                <w:rFonts w:ascii="Times New Roman" w:hAnsi="Times New Roman"/>
                <w:color w:val="0070C0"/>
              </w:rPr>
            </w:pPr>
            <w:r w:rsidRPr="00E16FAD">
              <w:rPr>
                <w:rFonts w:ascii="Times New Roman" w:hAnsi="Times New Roman"/>
                <w:color w:val="0070C0"/>
              </w:rPr>
              <w:t xml:space="preserve">uľahčenie prístupu k informáciám, postupom a mechanizmom vybavovania sťažností investorov týkajúcich sa uplatňovania práv investorov vyplývajúcich z investície do štandardného fondu, ktorý sa má distribuovať v hostiteľskom členskom štáte štandardného fondu, </w:t>
            </w:r>
          </w:p>
          <w:p w:rsidR="00E16FAD" w:rsidRPr="00E16FAD" w:rsidP="00E16FAD">
            <w:pPr>
              <w:pStyle w:val="ListParagraph"/>
              <w:numPr>
                <w:numId w:val="41"/>
              </w:numPr>
              <w:bidi w:val="0"/>
              <w:spacing w:after="120"/>
              <w:ind w:left="0" w:firstLine="0"/>
              <w:jc w:val="both"/>
              <w:rPr>
                <w:rFonts w:ascii="Times New Roman" w:hAnsi="Times New Roman"/>
                <w:color w:val="0070C0"/>
              </w:rPr>
            </w:pPr>
            <w:r w:rsidRPr="00E16FAD">
              <w:rPr>
                <w:rFonts w:ascii="Times New Roman" w:hAnsi="Times New Roman"/>
                <w:color w:val="0070C0"/>
              </w:rPr>
              <w:t>sprístupnenie informácií a dokumentov podľa § 152 a § 161 ods. 1 za podmienok ustanovených v tomto paragrafe, a to na účely kontroly a získania kópií týchto dokumentov,</w:t>
            </w:r>
          </w:p>
          <w:p w:rsidR="00E16FAD" w:rsidRPr="00E16FAD" w:rsidP="00E16FAD">
            <w:pPr>
              <w:pStyle w:val="ListParagraph"/>
              <w:numPr>
                <w:numId w:val="41"/>
              </w:numPr>
              <w:bidi w:val="0"/>
              <w:spacing w:after="120"/>
              <w:ind w:left="0" w:firstLine="0"/>
              <w:jc w:val="both"/>
              <w:rPr>
                <w:rFonts w:ascii="Times New Roman" w:hAnsi="Times New Roman"/>
                <w:color w:val="0070C0"/>
              </w:rPr>
            </w:pPr>
            <w:r w:rsidRPr="00E16FAD">
              <w:rPr>
                <w:rFonts w:ascii="Times New Roman" w:hAnsi="Times New Roman"/>
                <w:color w:val="0070C0"/>
              </w:rPr>
              <w:t xml:space="preserve">poskytovanie informácií v súvislosti so zabezpečovaním  činností podľa písmen a) až d) na trvanlivom médiu a </w:t>
            </w:r>
          </w:p>
          <w:p w:rsidR="00162F39" w:rsidRPr="00F8764E" w:rsidP="00E16FAD">
            <w:pPr>
              <w:pStyle w:val="ListParagraph"/>
              <w:numPr>
                <w:numId w:val="41"/>
              </w:numPr>
              <w:bidi w:val="0"/>
              <w:spacing w:after="120"/>
              <w:ind w:left="382" w:hanging="283"/>
              <w:jc w:val="both"/>
              <w:rPr>
                <w:rFonts w:ascii="Times New Roman" w:hAnsi="Times New Roman"/>
                <w:color w:val="0070C0"/>
              </w:rPr>
            </w:pPr>
            <w:r w:rsidRPr="00E16FAD" w:rsidR="00E16FAD">
              <w:rPr>
                <w:rFonts w:ascii="Times New Roman" w:hAnsi="Times New Roman"/>
                <w:color w:val="0070C0"/>
              </w:rPr>
              <w:t>vykonávanie činnosti kontaktného miesta pre komunikáciu s príslušnými orgánmi dohľadu hostiteľského členského štátu štandardného fondu</w:t>
            </w:r>
            <w:r w:rsidRPr="00E16FAD" w:rsidR="009D60D8">
              <w:rPr>
                <w:rFonts w:ascii="Times New Roman" w:hAnsi="Times New Roman"/>
                <w:color w:val="0070C0"/>
              </w:rPr>
              <w:t>.</w:t>
            </w:r>
          </w:p>
          <w:p w:rsidR="009D60D8" w:rsidRPr="0058152A" w:rsidP="009D60D8">
            <w:pPr>
              <w:pStyle w:val="Normlny"/>
              <w:bidi w:val="0"/>
              <w:jc w:val="both"/>
              <w:rPr>
                <w:rFonts w:ascii="Times New Roman" w:hAnsi="Times New Roman"/>
                <w:color w:val="0070C0"/>
                <w:sz w:val="24"/>
                <w:szCs w:val="24"/>
              </w:rPr>
            </w:pPr>
          </w:p>
          <w:p w:rsidR="00E16FAD" w:rsidRPr="00E16FAD" w:rsidP="00E16FAD">
            <w:pPr>
              <w:bidi w:val="0"/>
              <w:spacing w:after="120"/>
              <w:ind w:left="99"/>
              <w:rPr>
                <w:rFonts w:ascii="Times New Roman" w:hAnsi="Times New Roman"/>
                <w:color w:val="0070C0"/>
              </w:rPr>
            </w:pPr>
            <w:r w:rsidRPr="0058152A" w:rsidR="009D60D8">
              <w:rPr>
                <w:rFonts w:ascii="Times New Roman" w:hAnsi="Times New Roman"/>
                <w:color w:val="0070C0"/>
              </w:rPr>
              <w:t xml:space="preserve">(6) </w:t>
            </w:r>
            <w:r w:rsidRPr="00E16FAD">
              <w:rPr>
                <w:rFonts w:ascii="Times New Roman" w:hAnsi="Times New Roman"/>
                <w:color w:val="0070C0"/>
              </w:rPr>
              <w:t xml:space="preserve">Správcovská spoločnosť je povinná sprístupniť informácie o opatreniach na zabezpečenie plnenia povinností podľa odseku 5 </w:t>
            </w:r>
          </w:p>
          <w:p w:rsidR="00E16FAD" w:rsidRPr="00E16FAD" w:rsidP="00E16FAD">
            <w:pPr>
              <w:bidi w:val="0"/>
              <w:ind w:left="99"/>
              <w:rPr>
                <w:rFonts w:ascii="Times New Roman" w:hAnsi="Times New Roman"/>
                <w:color w:val="0070C0"/>
              </w:rPr>
            </w:pPr>
            <w:r w:rsidRPr="00E16FAD">
              <w:rPr>
                <w:rFonts w:ascii="Times New Roman" w:hAnsi="Times New Roman"/>
                <w:color w:val="0070C0"/>
              </w:rPr>
              <w:t xml:space="preserve">a) v úradnom jazyku alebo v jednom z úradných jazykov hostiteľského členského štátu, v ktorom sa cenné papiere štandardného fondu distribuujú, alebo v jazyku schválenom príslušným orgánom dohľadu tohto hostiteľského členského štátu, </w:t>
            </w:r>
          </w:p>
          <w:p w:rsidR="00E16FAD" w:rsidRPr="00E16FAD" w:rsidP="00E16FAD">
            <w:pPr>
              <w:bidi w:val="0"/>
              <w:rPr>
                <w:rFonts w:ascii="Times New Roman" w:hAnsi="Times New Roman"/>
                <w:color w:val="0070C0"/>
              </w:rPr>
            </w:pPr>
            <w:r w:rsidRPr="00E16FAD">
              <w:rPr>
                <w:rFonts w:ascii="Times New Roman" w:hAnsi="Times New Roman"/>
                <w:color w:val="0070C0"/>
              </w:rPr>
              <w:t>b) samostatne, alebo prostredníctvom tretej osoby, na ktorú sa vzťahujú  právne predpisy, ktoré upravujú činnosti, ktoré sa majú vykonávať, alebo obidvoma spôsobmi a príslušnému dohľadu.</w:t>
            </w:r>
          </w:p>
          <w:p w:rsidR="009D60D8" w:rsidRPr="0058152A" w:rsidP="00E16FAD">
            <w:pPr>
              <w:pStyle w:val="Normlny"/>
              <w:bidi w:val="0"/>
              <w:jc w:val="both"/>
              <w:rPr>
                <w:rFonts w:ascii="Times New Roman" w:hAnsi="Times New Roman"/>
                <w:sz w:val="24"/>
                <w:szCs w:val="24"/>
              </w:rPr>
            </w:pPr>
            <w:r w:rsidRPr="00E16FAD" w:rsidR="00E16FAD">
              <w:rPr>
                <w:rFonts w:ascii="Times New Roman" w:hAnsi="Times New Roman"/>
                <w:color w:val="0070C0"/>
                <w:sz w:val="24"/>
                <w:szCs w:val="24"/>
              </w:rPr>
              <w:t>(7) Ak sa činnosti podľa odseku 5 vykonávajú prostredníctvom  tretej osoby,  musí byť jej určenie zabezpečené písomnou zmluvou, v ktorej sa uvedie, ktoré z činností uvedených v odseku 5 nemá vykonávať štandardný fond, a uvedie sa povinnosť štandardného fondu poskytnúť tretej osobe všetky potrebné informácie a dokumenty</w:t>
            </w:r>
            <w:r w:rsidRPr="00E16FAD">
              <w:rPr>
                <w:rFonts w:ascii="Times New Roman" w:hAnsi="Times New Roman"/>
                <w:color w:val="0070C0"/>
                <w:sz w:val="24"/>
                <w:szCs w:val="24"/>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2F39" w:rsidRPr="002153F7">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162F39">
            <w:pPr>
              <w:pStyle w:val="Heading1"/>
              <w:bidi w:val="0"/>
              <w:rPr>
                <w:rFonts w:ascii="Arial Narrow" w:hAnsi="Arial Narrow"/>
                <w:b w:val="0"/>
                <w:bCs w:val="0"/>
                <w:sz w:val="22"/>
                <w:szCs w:val="22"/>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F63BAB" w:rsidP="00F63BAB">
            <w:pPr>
              <w:bidi w:val="0"/>
              <w:rPr>
                <w:rFonts w:ascii="Times New Roman" w:hAnsi="Times New Roman"/>
              </w:rPr>
            </w:pPr>
          </w:p>
          <w:p w:rsidR="0058152A" w:rsidP="00F63BAB">
            <w:pPr>
              <w:bidi w:val="0"/>
              <w:rPr>
                <w:rFonts w:ascii="Times New Roman" w:hAnsi="Times New Roman"/>
              </w:rPr>
            </w:pPr>
          </w:p>
          <w:p w:rsidR="00712FC3" w:rsidP="00F63BAB">
            <w:pPr>
              <w:bidi w:val="0"/>
              <w:rPr>
                <w:rFonts w:ascii="Times New Roman" w:hAnsi="Times New Roman"/>
              </w:rPr>
            </w:pPr>
          </w:p>
          <w:p w:rsidR="00C731F0" w:rsidP="00F63BAB">
            <w:pPr>
              <w:bidi w:val="0"/>
              <w:rPr>
                <w:rFonts w:ascii="Times New Roman" w:hAnsi="Times New Roman"/>
              </w:rPr>
            </w:pPr>
          </w:p>
          <w:p w:rsidR="00C731F0" w:rsidP="00F63BAB">
            <w:pPr>
              <w:bidi w:val="0"/>
              <w:rPr>
                <w:rFonts w:ascii="Times New Roman" w:hAnsi="Times New Roman"/>
              </w:rPr>
            </w:pPr>
          </w:p>
          <w:p w:rsidR="00C731F0" w:rsidP="00F63BAB">
            <w:pPr>
              <w:bidi w:val="0"/>
              <w:rPr>
                <w:rFonts w:ascii="Times New Roman" w:hAnsi="Times New Roman"/>
              </w:rPr>
            </w:pPr>
          </w:p>
          <w:p w:rsidR="00F63BAB" w:rsidRPr="0057138A" w:rsidP="00F63BAB">
            <w:pPr>
              <w:bidi w:val="0"/>
              <w:ind w:left="99"/>
              <w:rPr>
                <w:rFonts w:ascii="Times New Roman" w:hAnsi="Times New Roman"/>
              </w:rPr>
            </w:pPr>
            <w:r w:rsidRPr="00E937FC" w:rsidR="009D60D8">
              <w:rPr>
                <w:rFonts w:ascii="Times New Roman" w:hAnsi="Times New Roman"/>
                <w:sz w:val="18"/>
                <w:szCs w:val="18"/>
              </w:rPr>
              <w:t>Z.č.203/ 2011</w:t>
            </w:r>
            <w:r w:rsidRPr="00F63BAB">
              <w:rPr>
                <w:rFonts w:ascii="Times New Roman" w:hAnsi="Times New Roman"/>
                <w:sz w:val="18"/>
                <w:szCs w:val="18"/>
              </w:rPr>
              <w:t xml:space="preserve"> </w:t>
            </w:r>
            <w:r w:rsidR="009D60D8">
              <w:rPr>
                <w:rFonts w:ascii="Times New Roman" w:hAnsi="Times New Roman"/>
                <w:sz w:val="18"/>
                <w:szCs w:val="18"/>
              </w:rPr>
              <w:t xml:space="preserve">a </w:t>
            </w:r>
            <w:r w:rsidRPr="00F63BAB">
              <w:rPr>
                <w:rFonts w:ascii="Times New Roman" w:hAnsi="Times New Roman"/>
                <w:sz w:val="18"/>
                <w:szCs w:val="18"/>
              </w:rPr>
              <w:t>ani iný právny predpis nevyžaduje fyzickú prítomnosť európskeho štandardného fondu na území Slovenskej republiky ani ustanovenie inej  osoby na účely odseku 5</w:t>
            </w:r>
            <w:r w:rsidRPr="006C668B">
              <w:rPr>
                <w:rFonts w:ascii="Times New Roman" w:hAnsi="Times New Roman"/>
              </w:rPr>
              <w:t>.</w:t>
            </w:r>
            <w:r w:rsidRPr="0057138A">
              <w:rPr>
                <w:rFonts w:ascii="Times New Roman" w:hAnsi="Times New Roman"/>
              </w:rPr>
              <w:t xml:space="preserve"> </w:t>
            </w:r>
          </w:p>
          <w:p w:rsidR="00F63BAB" w:rsidRPr="00F63BAB" w:rsidP="00F63BAB">
            <w:pPr>
              <w:bidi w:val="0"/>
              <w:rPr>
                <w:rFonts w:ascii="Times New Roman" w:hAnsi="Times New Roman"/>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A2757" w:rsidP="002A2757">
            <w:pPr>
              <w:autoSpaceDE w:val="0"/>
              <w:autoSpaceDN w:val="0"/>
              <w:bidi w:val="0"/>
              <w:spacing w:before="0"/>
              <w:jc w:val="center"/>
              <w:rPr>
                <w:rFonts w:ascii="Times New Roman" w:hAnsi="Times New Roman"/>
                <w:sz w:val="22"/>
                <w:szCs w:val="22"/>
              </w:rPr>
            </w:pPr>
            <w:r>
              <w:rPr>
                <w:rFonts w:ascii="Times New Roman" w:hAnsi="Times New Roman"/>
                <w:sz w:val="22"/>
                <w:szCs w:val="22"/>
              </w:rPr>
              <w:t>Čl. 1</w:t>
            </w:r>
          </w:p>
          <w:p w:rsidR="00A17274" w:rsidRPr="009D5B18" w:rsidP="002A2757">
            <w:pPr>
              <w:autoSpaceDE w:val="0"/>
              <w:autoSpaceDN w:val="0"/>
              <w:bidi w:val="0"/>
              <w:spacing w:before="0"/>
              <w:jc w:val="center"/>
              <w:rPr>
                <w:rFonts w:ascii="Times New Roman" w:hAnsi="Times New Roman"/>
                <w:sz w:val="22"/>
                <w:szCs w:val="22"/>
              </w:rPr>
            </w:pPr>
            <w:r>
              <w:rPr>
                <w:rFonts w:ascii="Times New Roman" w:hAnsi="Times New Roman"/>
                <w:sz w:val="22"/>
                <w:szCs w:val="22"/>
              </w:rPr>
              <w:t>Bod 5</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Layout w:type="fixed"/>
              <w:tblCellMar>
                <w:left w:w="0" w:type="dxa"/>
                <w:right w:w="0" w:type="dxa"/>
              </w:tblCellMar>
              <w:tblLook w:val="04A0"/>
            </w:tblPr>
            <w:tblGrid>
              <w:gridCol w:w="132"/>
              <w:gridCol w:w="6444"/>
            </w:tblGrid>
            <w:tr>
              <w:tblPrEx>
                <w:tblW w:w="5000" w:type="pct"/>
                <w:tblLayout w:type="fixed"/>
                <w:tblCellMar>
                  <w:left w:w="0" w:type="dxa"/>
                  <w:right w:w="0" w:type="dxa"/>
                </w:tblCellMar>
                <w:tblLook w:val="04A0"/>
              </w:tblPrEx>
              <w:tc>
                <w:tcPr>
                  <w:tcW w:w="180"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5.</w:t>
                  </w:r>
                </w:p>
              </w:tc>
              <w:tc>
                <w:tcPr>
                  <w:tcW w:w="9226"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Článok 93 sa mení takto:</w:t>
                  </w:r>
                </w:p>
                <w:tbl>
                  <w:tblPr>
                    <w:tblStyle w:val="TableNormal"/>
                    <w:tblW w:w="5000" w:type="pct"/>
                    <w:tblLayout w:type="fixed"/>
                    <w:tblCellMar>
                      <w:left w:w="0" w:type="dxa"/>
                      <w:right w:w="0" w:type="dxa"/>
                    </w:tblCellMar>
                    <w:tblLook w:val="04A0"/>
                  </w:tblPr>
                  <w:tblGrid>
                    <w:gridCol w:w="236"/>
                    <w:gridCol w:w="6208"/>
                  </w:tblGrid>
                  <w:tr>
                    <w:tblPrEx>
                      <w:tblW w:w="5000" w:type="pct"/>
                      <w:tblLayout w:type="fixed"/>
                      <w:tblCellMar>
                        <w:left w:w="0" w:type="dxa"/>
                        <w:right w:w="0" w:type="dxa"/>
                      </w:tblCellMar>
                      <w:tblLook w:val="04A0"/>
                    </w:tblPrEx>
                    <w:tc>
                      <w:tcPr>
                        <w:tcW w:w="245"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478"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V odseku 1 sa dopĺňa tento pododsek:</w:t>
                        </w:r>
                      </w:p>
                      <w:p w:rsidR="002A2757" w:rsidP="002A2757">
                        <w:pPr>
                          <w:bidi w:val="0"/>
                          <w:rPr>
                            <w:rFonts w:ascii="Times New Roman" w:hAnsi="Times New Roman"/>
                            <w:color w:val="000000"/>
                            <w:sz w:val="22"/>
                            <w:szCs w:val="22"/>
                          </w:rPr>
                        </w:pPr>
                        <w:r w:rsidRPr="009D5B18">
                          <w:rPr>
                            <w:rFonts w:ascii="Times New Roman" w:hAnsi="Times New Roman"/>
                            <w:color w:val="000000"/>
                            <w:sz w:val="22"/>
                            <w:szCs w:val="22"/>
                          </w:rPr>
                          <w:t>„Oznámenie obsahuje aj údaje – vrátane adresy –, ktoré sú potrebné na fakturáciu alebo na oznamovanie akýchkoľvek príslušných regulačných poplatkov alebo výdavkov zo strany príslušných orgánov hostiteľského členského štátu, a informácie o zariadeniach na vykonávanie úloh uvedených v článku 92 ods. 1.“;</w:t>
                        </w:r>
                      </w:p>
                      <w:p w:rsidR="00712FC3" w:rsidRPr="009D5B18" w:rsidP="002A2757">
                        <w:pPr>
                          <w:bidi w:val="0"/>
                          <w:rPr>
                            <w:rFonts w:ascii="Times New Roman" w:hAnsi="Times New Roman"/>
                            <w:color w:val="000000"/>
                            <w:sz w:val="22"/>
                            <w:szCs w:val="22"/>
                          </w:rPr>
                        </w:pPr>
                      </w:p>
                    </w:tc>
                  </w:tr>
                </w:tbl>
                <w:p w:rsidR="002A2757" w:rsidRPr="009D5B18" w:rsidP="002A2757">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37"/>
                    <w:gridCol w:w="6207"/>
                  </w:tblGrid>
                  <w:tr>
                    <w:tblPrEx>
                      <w:tblW w:w="5000" w:type="pct"/>
                      <w:tblLayout w:type="fixed"/>
                      <w:tblCellMar>
                        <w:left w:w="0" w:type="dxa"/>
                        <w:right w:w="0" w:type="dxa"/>
                      </w:tblCellMar>
                      <w:tblLook w:val="04A0"/>
                    </w:tblPrEx>
                    <w:tc>
                      <w:tcPr>
                        <w:tcW w:w="246"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477" w:type="dxa"/>
                        <w:tcBorders>
                          <w:top w:val="nil"/>
                          <w:left w:val="nil"/>
                          <w:bottom w:val="nil"/>
                          <w:right w:val="nil"/>
                        </w:tcBorders>
                        <w:textDirection w:val="lrTb"/>
                        <w:vAlign w:val="top"/>
                        <w:hideMark/>
                      </w:tcPr>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odsek 8 sa nahrádza takto:</w:t>
                        </w:r>
                      </w:p>
                      <w:p w:rsidR="002A2757" w:rsidP="002A2757">
                        <w:pPr>
                          <w:bidi w:val="0"/>
                          <w:rPr>
                            <w:rFonts w:ascii="Times New Roman" w:hAnsi="Times New Roman"/>
                            <w:color w:val="000000"/>
                            <w:sz w:val="22"/>
                            <w:szCs w:val="22"/>
                          </w:rPr>
                        </w:pPr>
                        <w:r w:rsidRPr="009128CB">
                          <w:rPr>
                            <w:rFonts w:ascii="Times New Roman" w:hAnsi="Times New Roman"/>
                            <w:color w:val="000000"/>
                            <w:sz w:val="22"/>
                            <w:szCs w:val="22"/>
                          </w:rPr>
                          <w:t>„8.   V prípade zmeny v informáciách obsiahnutých v oznámení predloženom v súlade s odsekom 1 alebo zmeny týkajúcej sa triedy akcií, ktoré sa majú uviesť na trh, PKIPCP o tom podajú písomné oznámenie príslušným orgánom tak domovského členského štátu PKIPCP, ako aj hostiteľského členského štátu PKIPCP najmenej jeden mesiac pred vykonaním uvedenej zmeny.</w:t>
                        </w: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9F601A" w:rsidP="002A2757">
                        <w:pPr>
                          <w:bidi w:val="0"/>
                          <w:rPr>
                            <w:rFonts w:ascii="Times New Roman" w:hAnsi="Times New Roman"/>
                            <w:color w:val="000000"/>
                            <w:sz w:val="22"/>
                            <w:szCs w:val="22"/>
                          </w:rPr>
                        </w:pPr>
                      </w:p>
                      <w:p w:rsidR="001810AF" w:rsidP="002A2757">
                        <w:pPr>
                          <w:bidi w:val="0"/>
                          <w:rPr>
                            <w:rFonts w:ascii="Times New Roman" w:hAnsi="Times New Roman"/>
                            <w:color w:val="000000"/>
                            <w:sz w:val="22"/>
                            <w:szCs w:val="22"/>
                          </w:rPr>
                        </w:pPr>
                      </w:p>
                      <w:p w:rsidR="001810AF" w:rsidP="002A2757">
                        <w:pPr>
                          <w:bidi w:val="0"/>
                          <w:rPr>
                            <w:rFonts w:ascii="Times New Roman" w:hAnsi="Times New Roman"/>
                            <w:color w:val="000000"/>
                            <w:sz w:val="22"/>
                            <w:szCs w:val="22"/>
                          </w:rPr>
                        </w:pPr>
                      </w:p>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Ak v dôsledku zmeny uvedenej v prvom pododseku prestane PKIPCP dodržiavať túto smernicu, príslušné orgány domovského štátu PKIPCP do 15 pracovných dní od doručenia všetkých informácií uvedených v prvom pododseku informujú PKIPCP, že danú zmenu nesmie vykonať. V uvedenom prípade príslušné orgány domovského členského štátu PKIPCP o tom informujú príslušné orgány hostiteľského členského štátu PKIPCP.</w:t>
                        </w:r>
                      </w:p>
                      <w:p w:rsidR="001810AF" w:rsidP="002A2757">
                        <w:pPr>
                          <w:bidi w:val="0"/>
                          <w:rPr>
                            <w:rFonts w:ascii="Times New Roman" w:hAnsi="Times New Roman"/>
                            <w:color w:val="000000"/>
                            <w:sz w:val="22"/>
                            <w:szCs w:val="22"/>
                          </w:rPr>
                        </w:pPr>
                      </w:p>
                      <w:p w:rsidR="00F8764E" w:rsidP="002A2757">
                        <w:pPr>
                          <w:bidi w:val="0"/>
                          <w:rPr>
                            <w:rFonts w:ascii="Times New Roman" w:hAnsi="Times New Roman"/>
                            <w:color w:val="000000"/>
                            <w:sz w:val="22"/>
                            <w:szCs w:val="22"/>
                          </w:rPr>
                        </w:pPr>
                      </w:p>
                      <w:p w:rsidR="00F8764E" w:rsidP="002A2757">
                        <w:pPr>
                          <w:bidi w:val="0"/>
                          <w:rPr>
                            <w:rFonts w:ascii="Times New Roman" w:hAnsi="Times New Roman"/>
                            <w:color w:val="000000"/>
                            <w:sz w:val="22"/>
                            <w:szCs w:val="22"/>
                          </w:rPr>
                        </w:pPr>
                      </w:p>
                      <w:p w:rsidR="002A2757" w:rsidRPr="009D5B18" w:rsidP="002A2757">
                        <w:pPr>
                          <w:bidi w:val="0"/>
                          <w:rPr>
                            <w:rFonts w:ascii="Times New Roman" w:hAnsi="Times New Roman"/>
                            <w:color w:val="000000"/>
                            <w:sz w:val="22"/>
                            <w:szCs w:val="22"/>
                          </w:rPr>
                        </w:pPr>
                        <w:r w:rsidRPr="009D5B18">
                          <w:rPr>
                            <w:rFonts w:ascii="Times New Roman" w:hAnsi="Times New Roman"/>
                            <w:color w:val="000000"/>
                            <w:sz w:val="22"/>
                            <w:szCs w:val="22"/>
                          </w:rPr>
                          <w:t xml:space="preserve">Ak sa zmena </w:t>
                        </w:r>
                        <w:r w:rsidRPr="00E937FC">
                          <w:rPr>
                            <w:rFonts w:ascii="Times New Roman" w:hAnsi="Times New Roman"/>
                            <w:color w:val="000000"/>
                            <w:sz w:val="22"/>
                            <w:szCs w:val="22"/>
                          </w:rPr>
                          <w:t>uvedená v prvom pododseku vykoná potom, ako došlo k zaslaniu informácií v súlade s druhým pododsekom, a PKIPCP prestane v dôsledku tejto zmeny dodržiavať túto smernicu</w:t>
                        </w:r>
                        <w:r w:rsidRPr="009D5B18">
                          <w:rPr>
                            <w:rFonts w:ascii="Times New Roman" w:hAnsi="Times New Roman"/>
                            <w:color w:val="000000"/>
                            <w:sz w:val="22"/>
                            <w:szCs w:val="22"/>
                          </w:rPr>
                          <w:t>, príslušné orgány domovského členského štátu PKIPCP prijmú všetky nevyhnutné opatrenia v súlade s článkom 98, v prípade potreby aj vrátane výslovného zákazu uvádzania PKIPCP na trh a bez zbytočného odkladu oznámia príslušným orgánom hostiteľského členského štátu PKIPCP prijaté opatrenia.“</w:t>
                        </w:r>
                      </w:p>
                    </w:tc>
                  </w:tr>
                </w:tbl>
                <w:p w:rsidR="002A2757" w:rsidRPr="009D5B18" w:rsidP="002A2757">
                  <w:pPr>
                    <w:bidi w:val="0"/>
                    <w:spacing w:before="0"/>
                    <w:jc w:val="left"/>
                    <w:rPr>
                      <w:rFonts w:ascii="Times New Roman" w:hAnsi="Times New Roman"/>
                      <w:color w:val="000000"/>
                      <w:sz w:val="22"/>
                      <w:szCs w:val="22"/>
                    </w:rPr>
                  </w:pPr>
                </w:p>
              </w:tc>
            </w:tr>
          </w:tbl>
          <w:p w:rsidR="002A2757" w:rsidRPr="009D5B18" w:rsidP="002A2757">
            <w:pPr>
              <w:bidi w:val="0"/>
              <w:rPr>
                <w:rFonts w:ascii="Times New Roman" w:hAnsi="Times New Roman"/>
                <w:color w:val="000000"/>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2A2757" w:rsidP="002A2757">
            <w:pPr>
              <w:autoSpaceDE w:val="0"/>
              <w:autoSpaceDN w:val="0"/>
              <w:bidi w:val="0"/>
              <w:spacing w:before="0"/>
              <w:jc w:val="center"/>
              <w:rPr>
                <w:rFonts w:ascii="Arial Narrow" w:hAnsi="Arial Narrow"/>
                <w:sz w:val="22"/>
                <w:szCs w:val="22"/>
              </w:rPr>
            </w:pPr>
            <w:r>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2A2757" w:rsidRPr="00380F43" w:rsidP="002A2757">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2A2757" w:rsidP="002A2757">
            <w:pPr>
              <w:autoSpaceDE w:val="0"/>
              <w:autoSpaceDN w:val="0"/>
              <w:bidi w:val="0"/>
              <w:spacing w:before="0"/>
              <w:jc w:val="center"/>
              <w:rPr>
                <w:rFonts w:ascii="Arial Narrow" w:hAnsi="Arial Narrow"/>
                <w:b/>
                <w:sz w:val="22"/>
                <w:szCs w:val="22"/>
              </w:rPr>
            </w:pPr>
          </w:p>
          <w:p w:rsidR="009128CB" w:rsidP="002A2757">
            <w:pPr>
              <w:autoSpaceDE w:val="0"/>
              <w:autoSpaceDN w:val="0"/>
              <w:bidi w:val="0"/>
              <w:spacing w:before="0"/>
              <w:jc w:val="center"/>
              <w:rPr>
                <w:rFonts w:ascii="Arial Narrow" w:hAnsi="Arial Narrow"/>
                <w:b/>
                <w:sz w:val="22"/>
                <w:szCs w:val="22"/>
              </w:rPr>
            </w:pPr>
          </w:p>
          <w:p w:rsidR="009128CB" w:rsidP="002A2757">
            <w:pPr>
              <w:autoSpaceDE w:val="0"/>
              <w:autoSpaceDN w:val="0"/>
              <w:bidi w:val="0"/>
              <w:spacing w:before="0"/>
              <w:jc w:val="center"/>
              <w:rPr>
                <w:rFonts w:ascii="Arial Narrow" w:hAnsi="Arial Narrow"/>
                <w:b/>
                <w:sz w:val="22"/>
                <w:szCs w:val="22"/>
              </w:rPr>
            </w:pPr>
          </w:p>
          <w:p w:rsidR="00DE2DB9" w:rsidP="002A2757">
            <w:pPr>
              <w:autoSpaceDE w:val="0"/>
              <w:autoSpaceDN w:val="0"/>
              <w:bidi w:val="0"/>
              <w:spacing w:before="0"/>
              <w:jc w:val="center"/>
              <w:rPr>
                <w:rFonts w:ascii="Arial Narrow" w:hAnsi="Arial Narrow"/>
                <w:b/>
                <w:sz w:val="22"/>
                <w:szCs w:val="22"/>
              </w:rPr>
            </w:pPr>
          </w:p>
          <w:p w:rsidR="00342851" w:rsidP="002A2757">
            <w:pPr>
              <w:autoSpaceDE w:val="0"/>
              <w:autoSpaceDN w:val="0"/>
              <w:bidi w:val="0"/>
              <w:spacing w:before="0"/>
              <w:jc w:val="center"/>
              <w:rPr>
                <w:rFonts w:ascii="Arial Narrow" w:hAnsi="Arial Narrow"/>
                <w:b/>
                <w:sz w:val="22"/>
                <w:szCs w:val="22"/>
              </w:rPr>
            </w:pPr>
          </w:p>
          <w:p w:rsidR="001810AF" w:rsidP="002A2757">
            <w:pPr>
              <w:autoSpaceDE w:val="0"/>
              <w:autoSpaceDN w:val="0"/>
              <w:bidi w:val="0"/>
              <w:spacing w:before="0"/>
              <w:jc w:val="center"/>
              <w:rPr>
                <w:rFonts w:ascii="Arial Narrow" w:hAnsi="Arial Narrow"/>
                <w:b/>
                <w:sz w:val="22"/>
                <w:szCs w:val="22"/>
              </w:rPr>
            </w:pPr>
          </w:p>
          <w:p w:rsidR="009F601A" w:rsidP="009128CB">
            <w:pPr>
              <w:autoSpaceDE w:val="0"/>
              <w:autoSpaceDN w:val="0"/>
              <w:bidi w:val="0"/>
              <w:spacing w:before="0"/>
              <w:jc w:val="center"/>
              <w:rPr>
                <w:rFonts w:ascii="Arial Narrow" w:hAnsi="Arial Narrow"/>
                <w:b/>
                <w:color w:val="0070C0"/>
                <w:sz w:val="22"/>
                <w:szCs w:val="22"/>
              </w:rPr>
            </w:pPr>
          </w:p>
          <w:p w:rsidR="00DC78D0" w:rsidRPr="00CF0B93" w:rsidP="00DC78D0">
            <w:pPr>
              <w:autoSpaceDE w:val="0"/>
              <w:autoSpaceDN w:val="0"/>
              <w:bidi w:val="0"/>
              <w:spacing w:before="0"/>
              <w:jc w:val="center"/>
              <w:rPr>
                <w:rFonts w:ascii="Arial Narrow" w:hAnsi="Arial Narrow"/>
                <w:color w:val="0070C0"/>
                <w:sz w:val="22"/>
                <w:szCs w:val="22"/>
              </w:rPr>
            </w:pPr>
            <w:r w:rsidRPr="00CF0B93">
              <w:rPr>
                <w:rFonts w:ascii="Arial Narrow" w:hAnsi="Arial Narrow"/>
                <w:sz w:val="22"/>
                <w:szCs w:val="22"/>
              </w:rPr>
              <w:t>203/2011 a </w:t>
            </w:r>
            <w:r w:rsidRPr="00CF0B93">
              <w:rPr>
                <w:rFonts w:ascii="Arial Narrow" w:hAnsi="Arial Narrow"/>
                <w:color w:val="0070C0"/>
                <w:sz w:val="22"/>
                <w:szCs w:val="22"/>
              </w:rPr>
              <w:t>návrh zákona čl.I</w:t>
            </w:r>
          </w:p>
          <w:p w:rsidR="009128CB" w:rsidP="002A2757">
            <w:pPr>
              <w:autoSpaceDE w:val="0"/>
              <w:autoSpaceDN w:val="0"/>
              <w:bidi w:val="0"/>
              <w:spacing w:before="0"/>
              <w:jc w:val="center"/>
              <w:rPr>
                <w:rFonts w:ascii="Arial Narrow" w:hAnsi="Arial Narrow"/>
                <w:b/>
                <w:sz w:val="22"/>
                <w:szCs w:val="22"/>
              </w:rPr>
            </w:pPr>
          </w:p>
          <w:p w:rsidR="009128CB"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RPr="00CF0B93" w:rsidP="005A04A2">
            <w:pPr>
              <w:autoSpaceDE w:val="0"/>
              <w:autoSpaceDN w:val="0"/>
              <w:bidi w:val="0"/>
              <w:spacing w:before="0"/>
              <w:jc w:val="center"/>
              <w:rPr>
                <w:rFonts w:ascii="Arial Narrow" w:hAnsi="Arial Narrow"/>
                <w:color w:val="0070C0"/>
                <w:sz w:val="22"/>
                <w:szCs w:val="22"/>
              </w:rPr>
            </w:pPr>
            <w:r w:rsidRPr="00CF0B93">
              <w:rPr>
                <w:rFonts w:ascii="Arial Narrow" w:hAnsi="Arial Narrow"/>
                <w:sz w:val="22"/>
                <w:szCs w:val="22"/>
              </w:rPr>
              <w:t>203/2011 a </w:t>
            </w:r>
            <w:r w:rsidRPr="00CF0B93">
              <w:rPr>
                <w:rFonts w:ascii="Arial Narrow" w:hAnsi="Arial Narrow"/>
                <w:color w:val="0070C0"/>
                <w:sz w:val="22"/>
                <w:szCs w:val="22"/>
              </w:rPr>
              <w:t>návrh zákona čl.I</w:t>
            </w: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F8764E" w:rsidP="002A2757">
            <w:pPr>
              <w:autoSpaceDE w:val="0"/>
              <w:autoSpaceDN w:val="0"/>
              <w:bidi w:val="0"/>
              <w:spacing w:before="0"/>
              <w:jc w:val="center"/>
              <w:rPr>
                <w:rFonts w:ascii="Arial Narrow" w:hAnsi="Arial Narrow"/>
                <w:b/>
                <w:sz w:val="22"/>
                <w:szCs w:val="22"/>
              </w:rPr>
            </w:pPr>
          </w:p>
          <w:p w:rsidR="005A04A2" w:rsidP="002A2757">
            <w:pPr>
              <w:autoSpaceDE w:val="0"/>
              <w:autoSpaceDN w:val="0"/>
              <w:bidi w:val="0"/>
              <w:spacing w:before="0"/>
              <w:jc w:val="center"/>
              <w:rPr>
                <w:rFonts w:ascii="Arial Narrow" w:hAnsi="Arial Narrow"/>
                <w:b/>
                <w:sz w:val="22"/>
                <w:szCs w:val="22"/>
              </w:rPr>
            </w:pPr>
          </w:p>
          <w:p w:rsidR="005A04A2" w:rsidRPr="002153F7" w:rsidP="002A2757">
            <w:pPr>
              <w:autoSpaceDE w:val="0"/>
              <w:autoSpaceDN w:val="0"/>
              <w:bidi w:val="0"/>
              <w:spacing w:before="0"/>
              <w:jc w:val="center"/>
              <w:rPr>
                <w:rFonts w:ascii="Arial Narrow" w:hAnsi="Arial Narrow"/>
                <w:b/>
                <w:sz w:val="22"/>
                <w:szCs w:val="22"/>
              </w:rPr>
            </w:pPr>
            <w:r w:rsidRPr="00CF0B93">
              <w:rPr>
                <w:rFonts w:ascii="Arial Narrow" w:hAnsi="Arial Narrow"/>
                <w:color w:val="0070C0"/>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12FC3" w:rsidRPr="00E937FC" w:rsidP="002A2757">
            <w:pPr>
              <w:pStyle w:val="Normlny"/>
              <w:bidi w:val="0"/>
              <w:rPr>
                <w:rFonts w:ascii="Arial Narrow" w:hAnsi="Arial Narrow"/>
                <w:sz w:val="22"/>
                <w:szCs w:val="22"/>
              </w:rPr>
            </w:pPr>
            <w:r w:rsidRPr="009128CB" w:rsidR="002A2757">
              <w:rPr>
                <w:rFonts w:ascii="Arial Narrow" w:hAnsi="Arial Narrow"/>
                <w:sz w:val="22"/>
                <w:szCs w:val="22"/>
              </w:rPr>
              <w:t xml:space="preserve">§ </w:t>
            </w:r>
            <w:r w:rsidR="009128CB">
              <w:rPr>
                <w:rFonts w:ascii="Arial Narrow" w:hAnsi="Arial Narrow"/>
                <w:sz w:val="22"/>
                <w:szCs w:val="22"/>
              </w:rPr>
              <w:t>139 ods</w:t>
            </w:r>
            <w:r w:rsidRPr="00E937FC" w:rsidR="009128CB">
              <w:rPr>
                <w:rFonts w:ascii="Arial Narrow" w:hAnsi="Arial Narrow"/>
                <w:sz w:val="22"/>
                <w:szCs w:val="22"/>
              </w:rPr>
              <w:t>. 1</w:t>
            </w:r>
            <w:r w:rsidRPr="00E937FC">
              <w:rPr>
                <w:rFonts w:ascii="Arial Narrow" w:hAnsi="Arial Narrow"/>
                <w:sz w:val="22"/>
                <w:szCs w:val="22"/>
              </w:rPr>
              <w:t xml:space="preserve"> </w:t>
            </w:r>
          </w:p>
          <w:p w:rsidR="002A2757" w:rsidP="002A2757">
            <w:pPr>
              <w:pStyle w:val="Normlny"/>
              <w:bidi w:val="0"/>
              <w:rPr>
                <w:rFonts w:ascii="Arial Narrow" w:hAnsi="Arial Narrow"/>
                <w:sz w:val="22"/>
                <w:szCs w:val="22"/>
              </w:rPr>
            </w:pPr>
            <w:r w:rsidRPr="00E937FC" w:rsidR="00712FC3">
              <w:rPr>
                <w:rFonts w:ascii="Arial Narrow" w:hAnsi="Arial Narrow"/>
                <w:sz w:val="22"/>
                <w:szCs w:val="22"/>
              </w:rPr>
              <w:t>4. veta</w:t>
            </w: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DE2DB9" w:rsidP="002A2757">
            <w:pPr>
              <w:pStyle w:val="Normlny"/>
              <w:bidi w:val="0"/>
              <w:rPr>
                <w:rFonts w:ascii="Arial Narrow" w:hAnsi="Arial Narrow"/>
                <w:sz w:val="22"/>
                <w:szCs w:val="22"/>
              </w:rPr>
            </w:pPr>
          </w:p>
          <w:p w:rsidR="00342851"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1810AF"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r>
              <w:rPr>
                <w:rFonts w:ascii="Arial Narrow" w:hAnsi="Arial Narrow"/>
                <w:sz w:val="22"/>
                <w:szCs w:val="22"/>
              </w:rPr>
              <w:t>§ 143 ods. 4</w:t>
            </w: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712FC3" w:rsidP="002A2757">
            <w:pPr>
              <w:pStyle w:val="Normlny"/>
              <w:bidi w:val="0"/>
              <w:rPr>
                <w:rFonts w:ascii="Arial Narrow" w:hAnsi="Arial Narrow"/>
                <w:sz w:val="22"/>
                <w:szCs w:val="22"/>
              </w:rPr>
            </w:pPr>
          </w:p>
          <w:p w:rsidR="00712FC3" w:rsidP="002A2757">
            <w:pPr>
              <w:pStyle w:val="Normlny"/>
              <w:bidi w:val="0"/>
              <w:rPr>
                <w:rFonts w:ascii="Arial Narrow" w:hAnsi="Arial Narrow"/>
                <w:sz w:val="22"/>
                <w:szCs w:val="22"/>
              </w:rPr>
            </w:pPr>
          </w:p>
          <w:p w:rsidR="00712FC3" w:rsidP="002A2757">
            <w:pPr>
              <w:pStyle w:val="Normlny"/>
              <w:bidi w:val="0"/>
              <w:rPr>
                <w:rFonts w:ascii="Arial Narrow" w:hAnsi="Arial Narrow"/>
                <w:sz w:val="22"/>
                <w:szCs w:val="22"/>
              </w:rPr>
            </w:pPr>
          </w:p>
          <w:p w:rsidR="009F601A" w:rsidP="009F601A">
            <w:pPr>
              <w:pStyle w:val="Normlny"/>
              <w:bidi w:val="0"/>
              <w:rPr>
                <w:rFonts w:ascii="Arial Narrow" w:hAnsi="Arial Narrow"/>
                <w:sz w:val="22"/>
                <w:szCs w:val="22"/>
              </w:rPr>
            </w:pPr>
            <w:r>
              <w:rPr>
                <w:rFonts w:ascii="Arial Narrow" w:hAnsi="Arial Narrow"/>
                <w:sz w:val="22"/>
                <w:szCs w:val="22"/>
              </w:rPr>
              <w:t>§ 140 ods. 4</w:t>
            </w:r>
          </w:p>
          <w:p w:rsidR="00BB1D59"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342851"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9F601A" w:rsidP="002A2757">
            <w:pPr>
              <w:pStyle w:val="Normlny"/>
              <w:bidi w:val="0"/>
              <w:rPr>
                <w:rFonts w:ascii="Arial Narrow" w:hAnsi="Arial Narrow"/>
                <w:sz w:val="22"/>
                <w:szCs w:val="22"/>
              </w:rPr>
            </w:pPr>
          </w:p>
          <w:p w:rsidR="001810AF" w:rsidP="002A2757">
            <w:pPr>
              <w:pStyle w:val="Normlny"/>
              <w:bidi w:val="0"/>
              <w:rPr>
                <w:rFonts w:ascii="Arial Narrow" w:hAnsi="Arial Narrow"/>
                <w:sz w:val="22"/>
                <w:szCs w:val="22"/>
              </w:rPr>
            </w:pPr>
          </w:p>
          <w:p w:rsidR="00F8764E"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r w:rsidR="009128CB">
              <w:rPr>
                <w:rFonts w:ascii="Arial Narrow" w:hAnsi="Arial Narrow"/>
                <w:sz w:val="22"/>
                <w:szCs w:val="22"/>
              </w:rPr>
              <w:t xml:space="preserve">ods. </w:t>
            </w:r>
            <w:r w:rsidR="009F601A">
              <w:rPr>
                <w:rFonts w:ascii="Arial Narrow" w:hAnsi="Arial Narrow"/>
                <w:sz w:val="22"/>
                <w:szCs w:val="22"/>
              </w:rPr>
              <w:t>5</w:t>
            </w:r>
            <w:r>
              <w:rPr>
                <w:rFonts w:ascii="Arial Narrow" w:hAnsi="Arial Narrow"/>
                <w:sz w:val="22"/>
                <w:szCs w:val="22"/>
              </w:rPr>
              <w:t xml:space="preserve"> </w:t>
            </w: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F8764E" w:rsidP="002A2757">
            <w:pPr>
              <w:pStyle w:val="Normlny"/>
              <w:bidi w:val="0"/>
              <w:rPr>
                <w:rFonts w:ascii="Arial Narrow" w:hAnsi="Arial Narrow"/>
                <w:sz w:val="22"/>
                <w:szCs w:val="22"/>
              </w:rPr>
            </w:pPr>
          </w:p>
          <w:p w:rsidR="00F8764E" w:rsidP="002A2757">
            <w:pPr>
              <w:pStyle w:val="Normlny"/>
              <w:bidi w:val="0"/>
              <w:rPr>
                <w:rFonts w:ascii="Arial Narrow" w:hAnsi="Arial Narrow"/>
                <w:sz w:val="22"/>
                <w:szCs w:val="22"/>
              </w:rPr>
            </w:pPr>
          </w:p>
          <w:p w:rsidR="00B4700F"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r w:rsidR="00B4700F">
              <w:rPr>
                <w:rFonts w:ascii="Arial Narrow" w:hAnsi="Arial Narrow"/>
                <w:sz w:val="22"/>
                <w:szCs w:val="22"/>
              </w:rPr>
              <w:t>ods.</w:t>
            </w:r>
            <w:r w:rsidR="009F601A">
              <w:rPr>
                <w:rFonts w:ascii="Arial Narrow" w:hAnsi="Arial Narrow"/>
                <w:sz w:val="22"/>
                <w:szCs w:val="22"/>
              </w:rPr>
              <w:t>6</w:t>
            </w: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P="002A2757">
            <w:pPr>
              <w:pStyle w:val="Normlny"/>
              <w:bidi w:val="0"/>
              <w:rPr>
                <w:rFonts w:ascii="Arial Narrow" w:hAnsi="Arial Narrow"/>
                <w:sz w:val="22"/>
                <w:szCs w:val="22"/>
              </w:rPr>
            </w:pPr>
          </w:p>
          <w:p w:rsidR="009128CB" w:rsidRPr="002153F7" w:rsidP="002A2757">
            <w:pPr>
              <w:pStyle w:val="Normlny"/>
              <w:bidi w:val="0"/>
              <w:rPr>
                <w:rFonts w:ascii="Arial Narrow" w:hAnsi="Arial Narrow"/>
                <w:sz w:val="22"/>
                <w:szCs w:val="22"/>
              </w:rPr>
            </w:pPr>
          </w:p>
          <w:p w:rsidR="002A2757" w:rsidRPr="002153F7" w:rsidP="002A2757">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A0D1E" w:rsidRPr="001076AA" w:rsidP="009A0D1E">
            <w:pPr>
              <w:bidi w:val="0"/>
              <w:rPr>
                <w:rFonts w:ascii="Times New Roman" w:hAnsi="Times New Roman"/>
                <w:color w:val="0070C0"/>
              </w:rPr>
            </w:pPr>
            <w:r w:rsidRPr="001076AA" w:rsidR="001076AA">
              <w:rPr>
                <w:rFonts w:ascii="Times New Roman" w:hAnsi="Times New Roman"/>
                <w:color w:val="0070C0"/>
              </w:rPr>
              <w:t>Oznámenie obsahuje aj údaje vrátane adresy, ktoré sú potrebné na fakturáciu alebo na oznamovanie akýchkoľvek príslušných regulačných poplatkov alebo výdavkov zo strany príslušných orgánov dohľadu hostiteľského členského štátu, a informácie o opatreniach na vykonávanie úloh uvedených v § 141 ods. 5</w:t>
            </w:r>
            <w:r w:rsidRPr="001076AA">
              <w:rPr>
                <w:rFonts w:ascii="Times New Roman" w:hAnsi="Times New Roman"/>
                <w:color w:val="0070C0"/>
              </w:rPr>
              <w:t xml:space="preserve">.        </w:t>
            </w:r>
          </w:p>
          <w:p w:rsidR="009128CB" w:rsidP="002A2757">
            <w:pPr>
              <w:pStyle w:val="Normlny"/>
              <w:bidi w:val="0"/>
              <w:jc w:val="both"/>
              <w:rPr>
                <w:rFonts w:ascii="Times New Roman" w:hAnsi="Times New Roman"/>
                <w:color w:val="0070C0"/>
                <w:sz w:val="22"/>
                <w:szCs w:val="22"/>
              </w:rPr>
            </w:pPr>
          </w:p>
          <w:p w:rsidR="005E29C5" w:rsidRPr="00767086" w:rsidP="002A2757">
            <w:pPr>
              <w:pStyle w:val="Normlny"/>
              <w:bidi w:val="0"/>
              <w:jc w:val="both"/>
              <w:rPr>
                <w:rFonts w:ascii="Times New Roman" w:hAnsi="Times New Roman"/>
                <w:color w:val="0070C0"/>
                <w:sz w:val="22"/>
                <w:szCs w:val="22"/>
              </w:rPr>
            </w:pPr>
          </w:p>
          <w:p w:rsidR="009A0D1E" w:rsidRPr="00DC78D0" w:rsidP="005E29C5">
            <w:pPr>
              <w:bidi w:val="0"/>
              <w:rPr>
                <w:rFonts w:ascii="Times New Roman" w:hAnsi="Times New Roman"/>
              </w:rPr>
            </w:pPr>
            <w:r w:rsidRPr="00DC78D0">
              <w:rPr>
                <w:rFonts w:ascii="Times New Roman" w:hAnsi="Times New Roman"/>
              </w:rPr>
              <w:t xml:space="preserve">(4) </w:t>
            </w:r>
            <w:r w:rsidRPr="00DC78D0" w:rsidR="001810AF">
              <w:rPr>
                <w:rFonts w:ascii="Times New Roman" w:hAnsi="Times New Roman"/>
              </w:rPr>
              <w:t xml:space="preserve">Európsky štandardný fond je povinný písomne informovať Národnú banku Slovenska o zmenách v spôsoboch distribúcie svojich cenných papierov na území Slovenskej republiky uvedených v oznámení podľa </w:t>
            </w:r>
            <w:hyperlink r:id="rId5" w:anchor="paragraf-142.odsek-1" w:tooltip="Odkaz na predpis alebo ustanovenie" w:history="1">
              <w:r w:rsidRPr="00DC78D0" w:rsidR="001810AF">
                <w:rPr>
                  <w:rFonts w:ascii="Times New Roman" w:hAnsi="Times New Roman"/>
                  <w:bCs/>
                </w:rPr>
                <w:t>§ 142 ods. 1</w:t>
              </w:r>
            </w:hyperlink>
            <w:r w:rsidRPr="00767086" w:rsidR="001810AF">
              <w:rPr>
                <w:rFonts w:ascii="Times New Roman" w:hAnsi="Times New Roman"/>
                <w:color w:val="0070C0"/>
              </w:rPr>
              <w:t xml:space="preserve"> alebo o zmene týkajúcej sa </w:t>
            </w:r>
            <w:r w:rsidRPr="00767086" w:rsidR="00561781">
              <w:rPr>
                <w:rFonts w:ascii="Times New Roman" w:hAnsi="Times New Roman"/>
                <w:color w:val="0070C0"/>
              </w:rPr>
              <w:t xml:space="preserve">jednotlivých emisií </w:t>
            </w:r>
            <w:r w:rsidRPr="00767086" w:rsidR="001810AF">
              <w:rPr>
                <w:rFonts w:ascii="Times New Roman" w:hAnsi="Times New Roman"/>
                <w:color w:val="0070C0"/>
              </w:rPr>
              <w:t>cenných papierov</w:t>
            </w:r>
            <w:r w:rsidRPr="00767086" w:rsidR="00561781">
              <w:rPr>
                <w:rFonts w:ascii="Times New Roman" w:hAnsi="Times New Roman"/>
                <w:color w:val="0070C0"/>
              </w:rPr>
              <w:t xml:space="preserve"> európskeho štandardného fondu</w:t>
            </w:r>
            <w:r w:rsidRPr="00767086" w:rsidR="001810AF">
              <w:rPr>
                <w:rFonts w:ascii="Times New Roman" w:hAnsi="Times New Roman"/>
                <w:color w:val="0070C0"/>
              </w:rPr>
              <w:t xml:space="preserve">, ktoré sú predmetom distribúcie, najmenej jeden mesiac </w:t>
            </w:r>
            <w:r w:rsidRPr="00DC78D0" w:rsidR="001810AF">
              <w:rPr>
                <w:rFonts w:ascii="Times New Roman" w:hAnsi="Times New Roman"/>
              </w:rPr>
              <w:t>pred ich uskutočnením</w:t>
            </w:r>
            <w:r w:rsidRPr="00DC78D0">
              <w:rPr>
                <w:rFonts w:ascii="Times New Roman" w:hAnsi="Times New Roman"/>
              </w:rPr>
              <w:t>.</w:t>
            </w:r>
          </w:p>
          <w:p w:rsidR="009128CB" w:rsidP="002A2757">
            <w:pPr>
              <w:pStyle w:val="Normlny"/>
              <w:bidi w:val="0"/>
              <w:jc w:val="both"/>
              <w:rPr>
                <w:rFonts w:ascii="Times New Roman" w:hAnsi="Times New Roman"/>
                <w:color w:val="0070C0"/>
                <w:sz w:val="22"/>
                <w:szCs w:val="22"/>
              </w:rPr>
            </w:pPr>
          </w:p>
          <w:p w:rsidR="00DC78D0" w:rsidRPr="00767086" w:rsidP="002A2757">
            <w:pPr>
              <w:pStyle w:val="Normlny"/>
              <w:bidi w:val="0"/>
              <w:jc w:val="both"/>
              <w:rPr>
                <w:rFonts w:ascii="Times New Roman" w:hAnsi="Times New Roman"/>
                <w:color w:val="0070C0"/>
                <w:sz w:val="22"/>
                <w:szCs w:val="22"/>
              </w:rPr>
            </w:pPr>
          </w:p>
          <w:p w:rsidR="00BB1D59" w:rsidRPr="00767086" w:rsidP="00B4700F">
            <w:pPr>
              <w:pStyle w:val="Normlny"/>
              <w:bidi w:val="0"/>
              <w:jc w:val="both"/>
              <w:rPr>
                <w:rFonts w:ascii="Times New Roman" w:hAnsi="Times New Roman"/>
                <w:color w:val="0070C0"/>
                <w:sz w:val="24"/>
                <w:szCs w:val="24"/>
              </w:rPr>
            </w:pPr>
            <w:r w:rsidRPr="00DC78D0" w:rsidR="009F601A">
              <w:rPr>
                <w:rFonts w:ascii="Times New Roman" w:hAnsi="Times New Roman"/>
                <w:sz w:val="24"/>
                <w:szCs w:val="24"/>
              </w:rPr>
              <w:t xml:space="preserve">(4) </w:t>
            </w:r>
            <w:r w:rsidRPr="005A04A2" w:rsidR="001810AF">
              <w:rPr>
                <w:rFonts w:ascii="Times New Roman" w:hAnsi="Times New Roman"/>
                <w:sz w:val="24"/>
                <w:szCs w:val="24"/>
              </w:rPr>
              <w:t>Správcovská spoločnosť je povinná písomne informovať</w:t>
            </w:r>
            <w:r w:rsidRPr="00767086" w:rsidR="001810AF">
              <w:rPr>
                <w:rFonts w:ascii="Times New Roman" w:hAnsi="Times New Roman"/>
                <w:color w:val="0070C0"/>
                <w:sz w:val="24"/>
                <w:szCs w:val="24"/>
              </w:rPr>
              <w:t xml:space="preserve"> Národnú banku Slovenska a </w:t>
            </w:r>
            <w:r w:rsidRPr="005A04A2" w:rsidR="001810AF">
              <w:rPr>
                <w:rFonts w:ascii="Times New Roman" w:hAnsi="Times New Roman"/>
                <w:sz w:val="24"/>
                <w:szCs w:val="24"/>
              </w:rPr>
              <w:t xml:space="preserve">príslušný orgán dohľadu hostiteľského členského štátu štandardného fondu o zmenách v informáciách v spôsoboch distribúcie cenných papierov na území hostiteľského členského štátu štandardného fondu uvedených v oznámení podľa </w:t>
            </w:r>
            <w:hyperlink r:id="rId5" w:anchor="paragraf-139.odsek-1" w:tooltip="Odkaz na predpis alebo ustanovenie" w:history="1">
              <w:r w:rsidRPr="005A04A2" w:rsidR="001810AF">
                <w:rPr>
                  <w:rFonts w:ascii="Times New Roman" w:hAnsi="Times New Roman"/>
                  <w:bCs/>
                  <w:sz w:val="24"/>
                  <w:szCs w:val="24"/>
                </w:rPr>
                <w:t>§ 139 ods. 1</w:t>
              </w:r>
            </w:hyperlink>
            <w:r w:rsidRPr="00767086" w:rsidR="001810AF">
              <w:rPr>
                <w:rFonts w:ascii="Times New Roman" w:hAnsi="Times New Roman"/>
                <w:color w:val="0070C0"/>
                <w:sz w:val="24"/>
                <w:szCs w:val="24"/>
              </w:rPr>
              <w:t xml:space="preserve"> alebo o zmene týkajúcej sa </w:t>
            </w:r>
            <w:r w:rsidRPr="00767086" w:rsidR="00561781">
              <w:rPr>
                <w:rFonts w:ascii="Times New Roman" w:hAnsi="Times New Roman"/>
                <w:color w:val="0070C0"/>
                <w:sz w:val="24"/>
                <w:szCs w:val="24"/>
              </w:rPr>
              <w:t>jednotlivých emisií</w:t>
            </w:r>
            <w:r w:rsidRPr="00767086" w:rsidR="001810AF">
              <w:rPr>
                <w:rFonts w:ascii="Times New Roman" w:hAnsi="Times New Roman"/>
                <w:color w:val="0070C0"/>
                <w:sz w:val="24"/>
                <w:szCs w:val="24"/>
              </w:rPr>
              <w:t xml:space="preserve"> cenných </w:t>
            </w:r>
            <w:r w:rsidRPr="00F8764E" w:rsidR="001810AF">
              <w:rPr>
                <w:rFonts w:ascii="Times New Roman" w:hAnsi="Times New Roman"/>
                <w:color w:val="0070C0"/>
                <w:sz w:val="24"/>
                <w:szCs w:val="24"/>
              </w:rPr>
              <w:t>papierov</w:t>
            </w:r>
            <w:r w:rsidRPr="00F8764E" w:rsidR="00F8764E">
              <w:rPr>
                <w:rFonts w:ascii="Times New Roman" w:hAnsi="Times New Roman"/>
                <w:color w:val="0070C0"/>
                <w:sz w:val="24"/>
                <w:szCs w:val="24"/>
              </w:rPr>
              <w:t xml:space="preserve"> štandardného fondu</w:t>
            </w:r>
            <w:r w:rsidRPr="00F8764E" w:rsidR="001810AF">
              <w:rPr>
                <w:rFonts w:ascii="Times New Roman" w:hAnsi="Times New Roman"/>
                <w:color w:val="0070C0"/>
                <w:sz w:val="24"/>
                <w:szCs w:val="24"/>
              </w:rPr>
              <w:t>, ktoré sú predmetom distribúcie, najmenej jeden mesiac</w:t>
            </w:r>
            <w:r w:rsidRPr="00767086" w:rsidR="001810AF">
              <w:rPr>
                <w:rFonts w:ascii="Times New Roman" w:hAnsi="Times New Roman"/>
                <w:color w:val="0070C0"/>
                <w:sz w:val="24"/>
                <w:szCs w:val="24"/>
              </w:rPr>
              <w:t xml:space="preserve"> </w:t>
            </w:r>
            <w:r w:rsidRPr="005A04A2" w:rsidR="001810AF">
              <w:rPr>
                <w:rFonts w:ascii="Times New Roman" w:hAnsi="Times New Roman"/>
                <w:sz w:val="24"/>
                <w:szCs w:val="24"/>
              </w:rPr>
              <w:t>pred ich uskutočnením</w:t>
            </w:r>
            <w:r w:rsidRPr="00767086" w:rsidR="009F601A">
              <w:rPr>
                <w:rFonts w:ascii="Times New Roman" w:hAnsi="Times New Roman"/>
                <w:color w:val="0070C0"/>
                <w:sz w:val="24"/>
                <w:szCs w:val="24"/>
              </w:rPr>
              <w:t>.</w:t>
            </w:r>
          </w:p>
          <w:p w:rsidR="00BB1D59" w:rsidRPr="00767086" w:rsidP="002A2757">
            <w:pPr>
              <w:pStyle w:val="Normlny"/>
              <w:bidi w:val="0"/>
              <w:jc w:val="both"/>
              <w:rPr>
                <w:rFonts w:ascii="Times New Roman" w:hAnsi="Times New Roman"/>
                <w:color w:val="0070C0"/>
                <w:sz w:val="22"/>
                <w:szCs w:val="22"/>
              </w:rPr>
            </w:pPr>
          </w:p>
          <w:p w:rsidR="001076AA" w:rsidRPr="001076AA" w:rsidP="001076AA">
            <w:pPr>
              <w:bidi w:val="0"/>
              <w:rPr>
                <w:rFonts w:ascii="Times New Roman" w:hAnsi="Times New Roman"/>
                <w:color w:val="0070C0"/>
              </w:rPr>
            </w:pPr>
            <w:r w:rsidRPr="00F8764E" w:rsidR="00282BD1">
              <w:rPr>
                <w:rFonts w:ascii="Times New Roman" w:hAnsi="Times New Roman"/>
                <w:color w:val="0070C0"/>
              </w:rPr>
              <w:t xml:space="preserve">(5) </w:t>
            </w:r>
            <w:r w:rsidRPr="001076AA">
              <w:rPr>
                <w:rFonts w:ascii="Times New Roman" w:hAnsi="Times New Roman"/>
                <w:color w:val="0070C0"/>
              </w:rPr>
              <w:t>Ak by v dôsledku plánovanej zmeny podľa odseku 4 prestalo byť spravovanie štandardného fondu správcovskou spoločnosťou v súlade s týmto zákonom, Národná banka Slovenska do 15 pracovných dní od doručenia všetkých informácií uvedených v odseku 4 oznámi správcovskej spoločnosti, že takúto zmenu nesmie vykonať. Národná banka Slovenska informuje o tejto skutočnosti príslušný orgán dohľadu hostiteľského členského štátu štandardného fondu.</w:t>
            </w:r>
          </w:p>
          <w:p w:rsidR="002A2757" w:rsidRPr="007B6307" w:rsidP="001076AA">
            <w:pPr>
              <w:bidi w:val="0"/>
              <w:rPr>
                <w:rFonts w:ascii="Times New Roman" w:hAnsi="Times New Roman"/>
                <w:sz w:val="22"/>
                <w:szCs w:val="22"/>
              </w:rPr>
            </w:pPr>
            <w:r w:rsidRPr="001076AA" w:rsidR="001076AA">
              <w:rPr>
                <w:rFonts w:ascii="Times New Roman" w:hAnsi="Times New Roman"/>
                <w:color w:val="0070C0"/>
              </w:rPr>
              <w:t>(6)  Ak sa zmena uvedená v odseku 4 vykoná po doručení informácií v súlade s odsekom 3 a ak v dôsledku tejto zmeny prestane byť spravovanie štandardného fondu správcovskou spoločnosťou v súlade s týmto zákonom, Národná banka Slovenska prijme všetky potrebné opatrenia podľa § 195 a 202, a ak je to nevyhnutné, aj zákaz distribúcie cenných papierov štandardného fondu a bez zbytočného odkladu o tom informuje príslušný orgán dohľadu hostiteľského členského štátu štandardného fondu.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A2757" w:rsidP="002A2757">
            <w:pPr>
              <w:autoSpaceDE w:val="0"/>
              <w:autoSpaceDN w:val="0"/>
              <w:bidi w:val="0"/>
              <w:spacing w:before="0"/>
              <w:jc w:val="center"/>
              <w:rPr>
                <w:rFonts w:ascii="Arial Narrow" w:hAnsi="Arial Narrow"/>
                <w:sz w:val="22"/>
                <w:szCs w:val="22"/>
              </w:rPr>
            </w:pPr>
            <w:r>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2A2757" w:rsidRPr="002153F7" w:rsidP="002A2757">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2F39" w:rsidRPr="009D5B18" w:rsidP="00162F39">
            <w:pPr>
              <w:autoSpaceDE w:val="0"/>
              <w:autoSpaceDN w:val="0"/>
              <w:bidi w:val="0"/>
              <w:spacing w:before="0"/>
              <w:jc w:val="center"/>
              <w:rPr>
                <w:rFonts w:ascii="Times New Roman" w:hAnsi="Times New Roman"/>
                <w:sz w:val="22"/>
                <w:szCs w:val="22"/>
              </w:rPr>
            </w:pPr>
            <w:r w:rsidRPr="00E937FC" w:rsidR="002A2757">
              <w:rPr>
                <w:rFonts w:ascii="Times New Roman" w:hAnsi="Times New Roman"/>
                <w:sz w:val="22"/>
                <w:szCs w:val="22"/>
              </w:rPr>
              <w:t>Čl. 1</w:t>
            </w:r>
            <w:r w:rsidRPr="00E937FC" w:rsidR="00B4700F">
              <w:rPr>
                <w:rFonts w:ascii="Times New Roman" w:hAnsi="Times New Roman"/>
                <w:sz w:val="22"/>
                <w:szCs w:val="22"/>
              </w:rPr>
              <w:t xml:space="preserve"> bod 6</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378" w:type="dxa"/>
              <w:tblInd w:w="241" w:type="dxa"/>
              <w:tblLayout w:type="fixed"/>
              <w:tblCellMar>
                <w:left w:w="0" w:type="dxa"/>
                <w:right w:w="0" w:type="dxa"/>
              </w:tblCellMar>
              <w:tblLook w:val="04A0"/>
            </w:tblPr>
            <w:tblGrid>
              <w:gridCol w:w="283"/>
              <w:gridCol w:w="6095"/>
            </w:tblGrid>
            <w:tr>
              <w:tblPrEx>
                <w:tblW w:w="6378" w:type="dxa"/>
                <w:tblInd w:w="241" w:type="dxa"/>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6.</w:t>
                  </w:r>
                </w:p>
              </w:tc>
              <w:tc>
                <w:tcPr>
                  <w:tcW w:w="6095" w:type="dxa"/>
                  <w:tcBorders>
                    <w:top w:val="nil"/>
                    <w:left w:val="nil"/>
                    <w:bottom w:val="nil"/>
                    <w:right w:val="nil"/>
                  </w:tcBorders>
                  <w:textDirection w:val="lrTb"/>
                  <w:vAlign w:val="top"/>
                  <w:hideMark/>
                </w:tcPr>
                <w:p w:rsidR="009D5B18" w:rsidRPr="009D5B18" w:rsidP="00FB43AB">
                  <w:pPr>
                    <w:bidi w:val="0"/>
                    <w:spacing w:before="0"/>
                    <w:rPr>
                      <w:rFonts w:ascii="Times New Roman" w:hAnsi="Times New Roman"/>
                      <w:color w:val="000000"/>
                      <w:sz w:val="22"/>
                      <w:szCs w:val="22"/>
                    </w:rPr>
                  </w:pPr>
                  <w:r w:rsidRPr="009D5B18">
                    <w:rPr>
                      <w:rFonts w:ascii="Times New Roman" w:hAnsi="Times New Roman"/>
                      <w:color w:val="000000"/>
                      <w:sz w:val="22"/>
                      <w:szCs w:val="22"/>
                    </w:rPr>
                    <w:t>Vkladá sa tento článok:</w:t>
                  </w:r>
                </w:p>
                <w:p w:rsidR="009D5B18" w:rsidRPr="009D5B18" w:rsidP="00FB43AB">
                  <w:pPr>
                    <w:bidi w:val="0"/>
                    <w:spacing w:before="0"/>
                    <w:jc w:val="center"/>
                    <w:rPr>
                      <w:rFonts w:ascii="Times New Roman" w:hAnsi="Times New Roman"/>
                      <w:i/>
                      <w:iCs/>
                      <w:color w:val="000000"/>
                      <w:sz w:val="22"/>
                      <w:szCs w:val="22"/>
                    </w:rPr>
                  </w:pPr>
                  <w:r w:rsidRPr="009D5B18">
                    <w:rPr>
                      <w:rFonts w:ascii="Times New Roman" w:hAnsi="Times New Roman"/>
                      <w:i/>
                      <w:iCs/>
                      <w:color w:val="000000"/>
                      <w:sz w:val="22"/>
                      <w:szCs w:val="22"/>
                    </w:rPr>
                    <w:t>„Článok 93a</w:t>
                  </w:r>
                </w:p>
                <w:p w:rsidR="009D5B18" w:rsidRPr="009D5B18" w:rsidP="005E29C5">
                  <w:pPr>
                    <w:bidi w:val="0"/>
                    <w:spacing w:before="0"/>
                    <w:ind w:right="283"/>
                    <w:rPr>
                      <w:rFonts w:ascii="Times New Roman" w:hAnsi="Times New Roman"/>
                      <w:color w:val="000000"/>
                      <w:sz w:val="22"/>
                      <w:szCs w:val="22"/>
                    </w:rPr>
                  </w:pPr>
                  <w:r w:rsidRPr="009D5B18">
                    <w:rPr>
                      <w:rFonts w:ascii="Times New Roman" w:hAnsi="Times New Roman"/>
                      <w:color w:val="000000"/>
                      <w:sz w:val="22"/>
                      <w:szCs w:val="22"/>
                    </w:rPr>
                    <w:t>1.   Členské štáty zabezpečia, aby PKIPCP mohol odvolať oznámenie o opatreniach prijatých na uvádzanie na trh, pokiaľ ide o podielové listy, a v prípade potreby aj triedy akcií, v členskom štáte, v prípade ktorých podal oznámenie v súlade s článkom 93, ak sú splnené všetky tieto podmienky:</w:t>
                  </w:r>
                </w:p>
                <w:tbl>
                  <w:tblPr>
                    <w:tblStyle w:val="TableNormal"/>
                    <w:tblW w:w="5985" w:type="dxa"/>
                    <w:tblInd w:w="142" w:type="dxa"/>
                    <w:tblLayout w:type="fixed"/>
                    <w:tblCellMar>
                      <w:left w:w="0" w:type="dxa"/>
                      <w:right w:w="0" w:type="dxa"/>
                    </w:tblCellMar>
                    <w:tblLook w:val="04A0"/>
                  </w:tblPr>
                  <w:tblGrid>
                    <w:gridCol w:w="425"/>
                    <w:gridCol w:w="5560"/>
                  </w:tblGrid>
                  <w:tr>
                    <w:tblPrEx>
                      <w:tblW w:w="5985" w:type="dxa"/>
                      <w:tblInd w:w="142" w:type="dxa"/>
                      <w:tblLayout w:type="fixed"/>
                      <w:tblCellMar>
                        <w:left w:w="0" w:type="dxa"/>
                        <w:right w:w="0" w:type="dxa"/>
                      </w:tblCellMar>
                      <w:tblLook w:val="04A0"/>
                    </w:tblPrEx>
                    <w:trPr>
                      <w:trHeight w:val="2522"/>
                    </w:trPr>
                    <w:tc>
                      <w:tcPr>
                        <w:tcW w:w="425" w:type="dxa"/>
                        <w:tcBorders>
                          <w:top w:val="nil"/>
                          <w:left w:val="nil"/>
                          <w:bottom w:val="nil"/>
                          <w:right w:val="nil"/>
                        </w:tcBorders>
                        <w:textDirection w:val="lrTb"/>
                        <w:vAlign w:val="top"/>
                        <w:hideMark/>
                      </w:tcPr>
                      <w:p w:rsidR="009D5B18" w:rsidRPr="009D5B18" w:rsidP="005E29C5">
                        <w:pPr>
                          <w:bidi w:val="0"/>
                          <w:spacing w:before="0"/>
                          <w:ind w:right="113"/>
                          <w:rPr>
                            <w:rFonts w:ascii="Times New Roman" w:hAnsi="Times New Roman"/>
                            <w:color w:val="000000"/>
                            <w:sz w:val="22"/>
                            <w:szCs w:val="22"/>
                          </w:rPr>
                        </w:pPr>
                        <w:r w:rsidRPr="009D5B18">
                          <w:rPr>
                            <w:rFonts w:ascii="Times New Roman" w:hAnsi="Times New Roman"/>
                            <w:color w:val="000000"/>
                            <w:sz w:val="22"/>
                            <w:szCs w:val="22"/>
                          </w:rPr>
                          <w:t>a)</w:t>
                        </w:r>
                      </w:p>
                    </w:tc>
                    <w:tc>
                      <w:tcPr>
                        <w:tcW w:w="5560" w:type="dxa"/>
                        <w:tcBorders>
                          <w:top w:val="nil"/>
                          <w:left w:val="nil"/>
                          <w:bottom w:val="nil"/>
                          <w:right w:val="nil"/>
                        </w:tcBorders>
                        <w:textDirection w:val="lrTb"/>
                        <w:vAlign w:val="top"/>
                        <w:hideMark/>
                      </w:tcPr>
                      <w:p w:rsidR="009D5B18" w:rsidP="005E29C5">
                        <w:pPr>
                          <w:bidi w:val="0"/>
                          <w:spacing w:before="0"/>
                          <w:ind w:right="283"/>
                          <w:rPr>
                            <w:rFonts w:ascii="Times New Roman" w:hAnsi="Times New Roman"/>
                            <w:color w:val="000000"/>
                            <w:sz w:val="22"/>
                            <w:szCs w:val="22"/>
                          </w:rPr>
                        </w:pPr>
                        <w:r w:rsidRPr="009D5B18">
                          <w:rPr>
                            <w:rFonts w:ascii="Times New Roman" w:hAnsi="Times New Roman"/>
                            <w:color w:val="000000"/>
                            <w:sz w:val="22"/>
                            <w:szCs w:val="22"/>
                          </w:rPr>
                          <w:t>je predložená paušálna ponuka na odkúpenie alebo vyplatenie, bez akýchkoľvek poplatkov alebo zrážok, všetkých takýchto podielových listov v držbe investorov v uvedenom členskom štáte, je sprístupnená verejnosti počas najmenej 30 pracovných dní a je priamo alebo prostredníctvom finančných sprostredkovateľov adresovaná jednotlivo všetkým investorom v uvedenom členskom štáte, ktorých totožnosť je známa;</w:t>
                        </w:r>
                      </w:p>
                      <w:p w:rsidR="00DE2DB9" w:rsidRPr="009D5B18" w:rsidP="005E29C5">
                        <w:pPr>
                          <w:bidi w:val="0"/>
                          <w:spacing w:before="0"/>
                          <w:ind w:right="283"/>
                          <w:rPr>
                            <w:rFonts w:ascii="Times New Roman" w:hAnsi="Times New Roman"/>
                            <w:color w:val="000000"/>
                            <w:sz w:val="22"/>
                            <w:szCs w:val="22"/>
                          </w:rPr>
                        </w:pPr>
                      </w:p>
                    </w:tc>
                  </w:tr>
                </w:tbl>
                <w:p w:rsidR="009D5B18" w:rsidRPr="009D5B18" w:rsidP="005E29C5">
                  <w:pPr>
                    <w:bidi w:val="0"/>
                    <w:spacing w:before="0"/>
                    <w:ind w:right="283"/>
                    <w:jc w:val="left"/>
                    <w:rPr>
                      <w:rFonts w:ascii="Times New Roman" w:hAnsi="Times New Roman"/>
                      <w:vanish/>
                      <w:color w:val="000000"/>
                      <w:sz w:val="22"/>
                      <w:szCs w:val="22"/>
                    </w:rPr>
                  </w:pPr>
                </w:p>
                <w:tbl>
                  <w:tblPr>
                    <w:tblStyle w:val="TableNormal"/>
                    <w:tblW w:w="4657" w:type="pct"/>
                    <w:tblLayout w:type="fixed"/>
                    <w:tblCellMar>
                      <w:left w:w="0" w:type="dxa"/>
                      <w:right w:w="0" w:type="dxa"/>
                    </w:tblCellMar>
                    <w:tblLook w:val="04A0"/>
                  </w:tblPr>
                  <w:tblGrid>
                    <w:gridCol w:w="246"/>
                    <w:gridCol w:w="5431"/>
                  </w:tblGrid>
                  <w:tr>
                    <w:tblPrEx>
                      <w:tblW w:w="4657" w:type="pct"/>
                      <w:tblLayout w:type="fixed"/>
                      <w:tblCellMar>
                        <w:left w:w="0" w:type="dxa"/>
                        <w:right w:w="0" w:type="dxa"/>
                      </w:tblCellMar>
                      <w:tblLook w:val="04A0"/>
                    </w:tblPrEx>
                    <w:trPr>
                      <w:trHeight w:val="2498"/>
                    </w:trPr>
                    <w:tc>
                      <w:tcPr>
                        <w:tcW w:w="251" w:type="dxa"/>
                        <w:tcBorders>
                          <w:top w:val="nil"/>
                          <w:left w:val="nil"/>
                          <w:bottom w:val="nil"/>
                          <w:right w:val="nil"/>
                        </w:tcBorders>
                        <w:textDirection w:val="lrTb"/>
                        <w:vAlign w:val="top"/>
                        <w:hideMark/>
                      </w:tcPr>
                      <w:p w:rsidR="009D5B18" w:rsidRPr="009D5B18" w:rsidP="005E29C5">
                        <w:pPr>
                          <w:bidi w:val="0"/>
                          <w:spacing w:before="0"/>
                          <w:rPr>
                            <w:rFonts w:ascii="Times New Roman" w:hAnsi="Times New Roman"/>
                            <w:color w:val="000000"/>
                            <w:sz w:val="22"/>
                            <w:szCs w:val="22"/>
                          </w:rPr>
                        </w:pPr>
                        <w:r w:rsidRPr="009D5B18">
                          <w:rPr>
                            <w:rFonts w:ascii="Times New Roman" w:hAnsi="Times New Roman"/>
                            <w:color w:val="000000"/>
                            <w:sz w:val="22"/>
                            <w:szCs w:val="22"/>
                          </w:rPr>
                          <w:t>b)</w:t>
                        </w:r>
                      </w:p>
                    </w:tc>
                    <w:tc>
                      <w:tcPr>
                        <w:tcW w:w="5558" w:type="dxa"/>
                        <w:tcBorders>
                          <w:top w:val="nil"/>
                          <w:left w:val="nil"/>
                          <w:bottom w:val="nil"/>
                          <w:right w:val="nil"/>
                        </w:tcBorders>
                        <w:textDirection w:val="lrTb"/>
                        <w:vAlign w:val="top"/>
                        <w:hideMark/>
                      </w:tcPr>
                      <w:p w:rsidR="00DE2DB9" w:rsidRPr="009D5B18" w:rsidP="005E29C5">
                        <w:pPr>
                          <w:bidi w:val="0"/>
                          <w:spacing w:before="0"/>
                          <w:rPr>
                            <w:rFonts w:ascii="Times New Roman" w:hAnsi="Times New Roman"/>
                            <w:color w:val="000000"/>
                            <w:sz w:val="22"/>
                            <w:szCs w:val="22"/>
                          </w:rPr>
                        </w:pPr>
                        <w:r w:rsidRPr="009D5B18" w:rsidR="009D5B18">
                          <w:rPr>
                            <w:rFonts w:ascii="Times New Roman" w:hAnsi="Times New Roman"/>
                            <w:color w:val="000000"/>
                            <w:sz w:val="22"/>
                            <w:szCs w:val="22"/>
                          </w:rPr>
                          <w:t>úmysel ukončiť opatrenia prijaté na uvádzanie takýchto podielových listov na trh v uvedenom členskom štáte sa zverejní prostredníctvom verejne dostupného média – vrátane elektronických prostriedkov –, ktoré sa bežne používa v prípade uvádzania PKIPCP na trh a je vhodné pre typického investora PKIPCP;</w:t>
                        </w:r>
                      </w:p>
                    </w:tc>
                  </w:tr>
                </w:tbl>
                <w:p w:rsidR="009D5B18" w:rsidRPr="009D5B18" w:rsidP="005E29C5">
                  <w:pPr>
                    <w:bidi w:val="0"/>
                    <w:spacing w:before="0"/>
                    <w:jc w:val="left"/>
                    <w:rPr>
                      <w:rFonts w:ascii="Times New Roman" w:hAnsi="Times New Roman"/>
                      <w:vanish/>
                      <w:color w:val="000000"/>
                      <w:sz w:val="22"/>
                      <w:szCs w:val="22"/>
                    </w:rPr>
                  </w:pPr>
                </w:p>
                <w:tbl>
                  <w:tblPr>
                    <w:tblStyle w:val="TableNormal"/>
                    <w:tblW w:w="4749" w:type="pct"/>
                    <w:tblLayout w:type="fixed"/>
                    <w:tblCellMar>
                      <w:left w:w="0" w:type="dxa"/>
                      <w:right w:w="0" w:type="dxa"/>
                    </w:tblCellMar>
                    <w:tblLook w:val="04A0"/>
                  </w:tblPr>
                  <w:tblGrid>
                    <w:gridCol w:w="251"/>
                    <w:gridCol w:w="5538"/>
                  </w:tblGrid>
                  <w:tr>
                    <w:tblPrEx>
                      <w:tblW w:w="4749" w:type="pct"/>
                      <w:tblLayout w:type="fixed"/>
                      <w:tblCellMar>
                        <w:left w:w="0" w:type="dxa"/>
                        <w:right w:w="0" w:type="dxa"/>
                      </w:tblCellMar>
                      <w:tblLook w:val="04A0"/>
                    </w:tblPrEx>
                    <w:trPr>
                      <w:trHeight w:val="1405"/>
                    </w:trPr>
                    <w:tc>
                      <w:tcPr>
                        <w:tcW w:w="256" w:type="dxa"/>
                        <w:tcBorders>
                          <w:top w:val="nil"/>
                          <w:left w:val="nil"/>
                          <w:bottom w:val="nil"/>
                          <w:right w:val="nil"/>
                        </w:tcBorders>
                        <w:textDirection w:val="lrTb"/>
                        <w:vAlign w:val="top"/>
                        <w:hideMark/>
                      </w:tcPr>
                      <w:p w:rsidR="009D5B18" w:rsidRPr="009D5B18" w:rsidP="005E29C5">
                        <w:pPr>
                          <w:bidi w:val="0"/>
                          <w:spacing w:before="0"/>
                          <w:rPr>
                            <w:rFonts w:ascii="Times New Roman" w:hAnsi="Times New Roman"/>
                            <w:color w:val="000000"/>
                            <w:sz w:val="22"/>
                            <w:szCs w:val="22"/>
                          </w:rPr>
                        </w:pPr>
                        <w:r w:rsidRPr="009D5B18">
                          <w:rPr>
                            <w:rFonts w:ascii="Times New Roman" w:hAnsi="Times New Roman"/>
                            <w:color w:val="000000"/>
                            <w:sz w:val="22"/>
                            <w:szCs w:val="22"/>
                          </w:rPr>
                          <w:t>c)</w:t>
                        </w:r>
                      </w:p>
                    </w:tc>
                    <w:tc>
                      <w:tcPr>
                        <w:tcW w:w="5668" w:type="dxa"/>
                        <w:tcBorders>
                          <w:top w:val="nil"/>
                          <w:left w:val="nil"/>
                          <w:bottom w:val="nil"/>
                          <w:right w:val="nil"/>
                        </w:tcBorders>
                        <w:textDirection w:val="lrTb"/>
                        <w:vAlign w:val="top"/>
                        <w:hideMark/>
                      </w:tcPr>
                      <w:p w:rsidR="009D5B18" w:rsidRPr="009D5B18" w:rsidP="005E29C5">
                        <w:pPr>
                          <w:bidi w:val="0"/>
                          <w:spacing w:before="0"/>
                          <w:rPr>
                            <w:rFonts w:ascii="Times New Roman" w:hAnsi="Times New Roman"/>
                            <w:color w:val="000000"/>
                            <w:sz w:val="22"/>
                            <w:szCs w:val="22"/>
                          </w:rPr>
                        </w:pPr>
                        <w:r w:rsidRPr="009D5B18">
                          <w:rPr>
                            <w:rFonts w:ascii="Times New Roman" w:hAnsi="Times New Roman"/>
                            <w:color w:val="000000"/>
                            <w:sz w:val="22"/>
                            <w:szCs w:val="22"/>
                          </w:rPr>
                          <w:t>všetky zmluvné dojednania s finančnými sprostredkovateľmi alebo zástupcami sa menia alebo ukončujú s účinnosťou odo dňa odvolania opatrení s cieľom zabrániť akejkoľvek novej alebo ďalšej priamej alebo nepriamej ponuke alebo umiestneniu podielových listov určených v oznámení uvedenom v odseku 2.</w:t>
                        </w:r>
                      </w:p>
                    </w:tc>
                  </w:tr>
                </w:tbl>
                <w:p w:rsidR="005E29C5" w:rsidP="009D5B18">
                  <w:pPr>
                    <w:bidi w:val="0"/>
                    <w:rPr>
                      <w:rFonts w:ascii="Times New Roman" w:hAnsi="Times New Roman"/>
                      <w:color w:val="000000"/>
                      <w:sz w:val="22"/>
                      <w:szCs w:val="22"/>
                    </w:rPr>
                  </w:pPr>
                </w:p>
                <w:p w:rsidR="009D5B18" w:rsidRPr="009D5B18" w:rsidP="00FB43AB">
                  <w:pPr>
                    <w:bidi w:val="0"/>
                    <w:ind w:right="283"/>
                    <w:rPr>
                      <w:rFonts w:ascii="Times New Roman" w:hAnsi="Times New Roman"/>
                      <w:color w:val="000000"/>
                      <w:sz w:val="22"/>
                      <w:szCs w:val="22"/>
                    </w:rPr>
                  </w:pPr>
                  <w:r w:rsidRPr="009D5B18">
                    <w:rPr>
                      <w:rFonts w:ascii="Times New Roman" w:hAnsi="Times New Roman"/>
                      <w:color w:val="000000"/>
                      <w:sz w:val="22"/>
                      <w:szCs w:val="22"/>
                    </w:rPr>
                    <w:t>Informácie uvedené v písmenách a) a b) prvého pododseku jasne popisujú dôsledky, ktoré budú musieť investori znášať, ak neprijmú ponuku na vyplatenie alebo odkúpenie ich podielových listov.</w:t>
                  </w:r>
                </w:p>
                <w:p w:rsidR="009D5B18" w:rsidRPr="009D5B18" w:rsidP="00FB43AB">
                  <w:pPr>
                    <w:bidi w:val="0"/>
                    <w:ind w:right="283"/>
                    <w:rPr>
                      <w:rFonts w:ascii="Times New Roman" w:hAnsi="Times New Roman"/>
                      <w:color w:val="000000"/>
                      <w:sz w:val="22"/>
                      <w:szCs w:val="22"/>
                    </w:rPr>
                  </w:pPr>
                  <w:r w:rsidRPr="009D5B18">
                    <w:rPr>
                      <w:rFonts w:ascii="Times New Roman" w:hAnsi="Times New Roman"/>
                      <w:color w:val="000000"/>
                      <w:sz w:val="22"/>
                      <w:szCs w:val="22"/>
                    </w:rPr>
                    <w:t>Informácie uvedené v písmenách a) a b) prvého pododseku sa poskytujú v úradnom jazyku alebo v jednom z úradných jazykov členského štátu v súvislosti, s ktorým PKIPCP predložil oznámenie v súlade s článkom 93, alebo v jazyku schválenom príslušnými orgánmi uvedeného členského štátu. K dátumu uvedenému v prvom pododseku písm. c) PKIPCP skončí s predkladaním nových alebo ďalších priamych či nepriamych ponúk alebo umiestňovaním podielových listov, ktoré boli predmetom odvolania v uvedenom členskom štáte.</w:t>
                  </w:r>
                </w:p>
                <w:p w:rsidR="001810AF" w:rsidP="009D5B18">
                  <w:pPr>
                    <w:bidi w:val="0"/>
                    <w:rPr>
                      <w:rFonts w:ascii="Times New Roman" w:hAnsi="Times New Roman"/>
                      <w:color w:val="000000"/>
                      <w:sz w:val="22"/>
                      <w:szCs w:val="22"/>
                    </w:rPr>
                  </w:pPr>
                </w:p>
                <w:p w:rsidR="001810AF" w:rsidP="009D5B18">
                  <w:pPr>
                    <w:bidi w:val="0"/>
                    <w:rPr>
                      <w:rFonts w:ascii="Times New Roman" w:hAnsi="Times New Roman"/>
                      <w:color w:val="000000"/>
                      <w:sz w:val="22"/>
                      <w:szCs w:val="22"/>
                    </w:rPr>
                  </w:pPr>
                </w:p>
                <w:p w:rsidR="009D5B18" w:rsidRPr="009D5B18" w:rsidP="00FB43AB">
                  <w:pPr>
                    <w:bidi w:val="0"/>
                    <w:ind w:right="283"/>
                    <w:rPr>
                      <w:rFonts w:ascii="Times New Roman" w:hAnsi="Times New Roman"/>
                      <w:color w:val="000000"/>
                      <w:sz w:val="22"/>
                      <w:szCs w:val="22"/>
                    </w:rPr>
                  </w:pPr>
                  <w:r w:rsidRPr="009D5B18">
                    <w:rPr>
                      <w:rFonts w:ascii="Times New Roman" w:hAnsi="Times New Roman"/>
                      <w:color w:val="000000"/>
                      <w:sz w:val="22"/>
                      <w:szCs w:val="22"/>
                    </w:rPr>
                    <w:t>2.   PKIPCP predloží príslušným orgánom svojho domovského členského štátu oznámenie obsahujúce informácie uvedené v odseku 1 prvom pododseku písm. a), b) a c).</w:t>
                  </w:r>
                </w:p>
                <w:p w:rsidR="009D5B18" w:rsidRPr="009D5B18" w:rsidP="00FB43AB">
                  <w:pPr>
                    <w:bidi w:val="0"/>
                    <w:ind w:right="283"/>
                    <w:rPr>
                      <w:rFonts w:ascii="Times New Roman" w:hAnsi="Times New Roman"/>
                      <w:color w:val="000000"/>
                      <w:sz w:val="22"/>
                      <w:szCs w:val="22"/>
                    </w:rPr>
                  </w:pPr>
                  <w:r w:rsidRPr="009D5B18">
                    <w:rPr>
                      <w:rFonts w:ascii="Times New Roman" w:hAnsi="Times New Roman"/>
                      <w:color w:val="000000"/>
                      <w:sz w:val="22"/>
                      <w:szCs w:val="22"/>
                    </w:rPr>
                    <w:t>3.   Príslušné orgány domovského členského štátu PKIPCP overia, či oznámenie, ktoré predložili PKIPCP na základe odsekov 1 a 2, je úplné. Príslušné orgány domovského členského štátu PKIPCP najneskôr do 15 pracovných dní po doručení úplného oznámenia zašlú toto oznámenie príslušným orgánom členského štátu určených v oznámení uvedenom v odseku 2 a orgánu ESMA.</w:t>
                  </w:r>
                </w:p>
                <w:p w:rsidR="00E170A8" w:rsidP="005E29C5">
                  <w:pPr>
                    <w:bidi w:val="0"/>
                    <w:ind w:left="104" w:right="283" w:hanging="104"/>
                    <w:rPr>
                      <w:rFonts w:ascii="Times New Roman" w:hAnsi="Times New Roman"/>
                      <w:color w:val="000000"/>
                      <w:sz w:val="22"/>
                      <w:szCs w:val="22"/>
                    </w:rPr>
                  </w:pPr>
                  <w:r w:rsidRPr="009D5B18" w:rsidR="009D5B18">
                    <w:rPr>
                      <w:rFonts w:ascii="Times New Roman" w:hAnsi="Times New Roman"/>
                      <w:color w:val="000000"/>
                      <w:sz w:val="22"/>
                      <w:szCs w:val="22"/>
                    </w:rPr>
                    <w:t>Po zaslaní oznámenia podľa prvého pododseku príslušné orgány domovského členského štátu PKIPCP bezodkladne in</w:t>
                  </w:r>
                  <w:r w:rsidR="005E29C5">
                    <w:rPr>
                      <w:rFonts w:ascii="Times New Roman" w:hAnsi="Times New Roman"/>
                      <w:color w:val="000000"/>
                      <w:sz w:val="22"/>
                      <w:szCs w:val="22"/>
                    </w:rPr>
                    <w:t>formujú PKIPCP o tomto zaslaní.</w:t>
                  </w:r>
                </w:p>
                <w:p w:rsidR="00E170A8" w:rsidP="009D5B18">
                  <w:pPr>
                    <w:bidi w:val="0"/>
                    <w:rPr>
                      <w:rFonts w:ascii="Times New Roman" w:hAnsi="Times New Roman"/>
                      <w:color w:val="000000"/>
                      <w:sz w:val="22"/>
                      <w:szCs w:val="22"/>
                    </w:rPr>
                  </w:pPr>
                </w:p>
                <w:p w:rsidR="009D5B18" w:rsidRPr="009D5B18" w:rsidP="00FB43AB">
                  <w:pPr>
                    <w:bidi w:val="0"/>
                    <w:ind w:right="283"/>
                    <w:rPr>
                      <w:rFonts w:ascii="Times New Roman" w:hAnsi="Times New Roman"/>
                      <w:color w:val="000000"/>
                      <w:sz w:val="22"/>
                      <w:szCs w:val="22"/>
                    </w:rPr>
                  </w:pPr>
                  <w:r w:rsidRPr="009D5B18">
                    <w:rPr>
                      <w:rFonts w:ascii="Times New Roman" w:hAnsi="Times New Roman"/>
                      <w:color w:val="000000"/>
                      <w:sz w:val="22"/>
                      <w:szCs w:val="22"/>
                    </w:rPr>
                    <w:t>4.   PKIPCP poskytuje investorom, ktorí v ňom naďalej majú investície, ako aj príslušným orgánom domovského členského štátu PKIPCP informácie požadované podľa článkov 68 až 82 a podľa článku 94.</w:t>
                  </w:r>
                </w:p>
                <w:p w:rsidR="00E170A8" w:rsidP="009D5B18">
                  <w:pPr>
                    <w:bidi w:val="0"/>
                    <w:rPr>
                      <w:rFonts w:ascii="Times New Roman" w:hAnsi="Times New Roman"/>
                      <w:color w:val="000000"/>
                      <w:sz w:val="22"/>
                      <w:szCs w:val="22"/>
                    </w:rPr>
                  </w:pPr>
                </w:p>
                <w:p w:rsidR="009D5B18" w:rsidRPr="009D5B18" w:rsidP="00FB43AB">
                  <w:pPr>
                    <w:bidi w:val="0"/>
                    <w:ind w:right="141"/>
                    <w:rPr>
                      <w:rFonts w:ascii="Times New Roman" w:hAnsi="Times New Roman"/>
                      <w:color w:val="000000"/>
                      <w:sz w:val="22"/>
                      <w:szCs w:val="22"/>
                    </w:rPr>
                  </w:pPr>
                  <w:r w:rsidRPr="009D5B18">
                    <w:rPr>
                      <w:rFonts w:ascii="Times New Roman" w:hAnsi="Times New Roman"/>
                      <w:color w:val="000000"/>
                      <w:sz w:val="22"/>
                      <w:szCs w:val="22"/>
                    </w:rPr>
                    <w:t>5.   Príslušné orgány domovského členského štátu PKIPCP zašlú príslušným orgánom členského štátu určených v oznámení uvedenom v odseku 2 tohto článku informácie o všetkých zmenách dokumentov uvedených v článku 93 ods. 2.</w:t>
                  </w:r>
                </w:p>
                <w:p w:rsidR="009D5B18" w:rsidRPr="009D5B18" w:rsidP="00FB43AB">
                  <w:pPr>
                    <w:bidi w:val="0"/>
                    <w:ind w:right="141"/>
                    <w:rPr>
                      <w:rFonts w:ascii="Times New Roman" w:hAnsi="Times New Roman"/>
                      <w:color w:val="000000"/>
                      <w:sz w:val="22"/>
                      <w:szCs w:val="22"/>
                    </w:rPr>
                  </w:pPr>
                  <w:r w:rsidRPr="009D5B18">
                    <w:rPr>
                      <w:rFonts w:ascii="Times New Roman" w:hAnsi="Times New Roman"/>
                      <w:color w:val="000000"/>
                      <w:sz w:val="22"/>
                      <w:szCs w:val="22"/>
                    </w:rPr>
                    <w:t>6.   Príslušné orgány členského štátu určené v oznámení uvedenom v odseku 2 tohto článku majú rovnaké práva a povinnosti ako príslušné orgány hostiteľského členského štátu PKIPCP, ako sa stanovuje v článku 21 ods. 2, článku 97 ods. 3 a článku 108. Bez toho, aby boli dotknuté iné monitorovacie činnosti a právomoci v oblasti dohľadu uvedené v článku 21 ods. 2 a článku 97, príslušné orgány členského štátu určené v oznámení uvedenom v odseku 2 tohto článku od dátumu zaslania podľa odseku 5 tohto článku nevyžadujú, aby dotknutý PKIPCP preukázal súlad s vnútroštátnymi zákonmi, inými právnymi predpismi a správnymi opatreniami, ktorými sa riadia požiadavky na uvádzanie na trh uvedené v článku 5 nariadenia Európskeho parlamentu a Rady (EÚ) 2019/1156</w:t>
                  </w:r>
                  <w:hyperlink r:id="rId6" w:anchor="ntr*1-L_2019188SK.01010601-E0007" w:history="1">
                    <w:r w:rsidRPr="009D5B18">
                      <w:rPr>
                        <w:rFonts w:ascii="Times New Roman" w:hAnsi="Times New Roman"/>
                        <w:color w:val="3366CC"/>
                        <w:sz w:val="22"/>
                        <w:szCs w:val="22"/>
                      </w:rPr>
                      <w:t> (</w:t>
                    </w:r>
                    <w:r w:rsidRPr="009D5B18">
                      <w:rPr>
                        <w:rFonts w:ascii="Times New Roman" w:hAnsi="Times New Roman"/>
                        <w:color w:val="3366CC"/>
                        <w:sz w:val="22"/>
                        <w:szCs w:val="22"/>
                        <w:vertAlign w:val="superscript"/>
                      </w:rPr>
                      <w:t>*1</w:t>
                    </w:r>
                    <w:r w:rsidRPr="009D5B18">
                      <w:rPr>
                        <w:rFonts w:ascii="Times New Roman" w:hAnsi="Times New Roman"/>
                        <w:color w:val="3366CC"/>
                        <w:sz w:val="22"/>
                        <w:szCs w:val="22"/>
                      </w:rPr>
                      <w:t>)</w:t>
                    </w:r>
                  </w:hyperlink>
                  <w:r w:rsidRPr="009D5B18">
                    <w:rPr>
                      <w:rFonts w:ascii="Times New Roman" w:hAnsi="Times New Roman"/>
                      <w:color w:val="000000"/>
                      <w:sz w:val="22"/>
                      <w:szCs w:val="22"/>
                    </w:rPr>
                    <w:t>.</w:t>
                  </w:r>
                </w:p>
                <w:p w:rsidR="009D5B18" w:rsidRPr="009D5B18" w:rsidP="00FB43AB">
                  <w:pPr>
                    <w:bidi w:val="0"/>
                    <w:ind w:right="141"/>
                    <w:rPr>
                      <w:rFonts w:ascii="Times New Roman" w:hAnsi="Times New Roman"/>
                      <w:color w:val="000000"/>
                      <w:sz w:val="22"/>
                      <w:szCs w:val="22"/>
                    </w:rPr>
                  </w:pPr>
                  <w:r w:rsidRPr="00E937FC">
                    <w:rPr>
                      <w:rFonts w:ascii="Times New Roman" w:hAnsi="Times New Roman"/>
                      <w:color w:val="000000"/>
                      <w:sz w:val="22"/>
                      <w:szCs w:val="22"/>
                    </w:rPr>
                    <w:t>7.   Členské štáty umožnia, aby sa na účely odseku 4 mohli používať všetky elektronické komunikačné prostriedky alebo iné prostriedky komunikácie na diaľku, za predpokladu, že informácie a komunikačné prostriedky sú investorom k dispozícii v úradnom jazyku alebo v jednom z úradných jazykov členského štátu, v ktorom je investor usadený, alebo v jazyku schválenom príslušnými orgánmi uvedeného členského štátu.</w:t>
                  </w:r>
                </w:p>
                <w:p w:rsidR="00B1183A"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CF74FD" w:rsidP="00B1183A">
                  <w:pPr>
                    <w:bidi w:val="0"/>
                    <w:spacing w:before="60" w:after="60"/>
                    <w:rPr>
                      <w:rFonts w:ascii="Times New Roman" w:hAnsi="Times New Roman"/>
                      <w:color w:val="000000"/>
                      <w:sz w:val="22"/>
                      <w:szCs w:val="22"/>
                    </w:rPr>
                  </w:pPr>
                </w:p>
                <w:p w:rsidR="007E7056" w:rsidP="00B1183A">
                  <w:pPr>
                    <w:bidi w:val="0"/>
                    <w:spacing w:before="60" w:after="60"/>
                    <w:rPr>
                      <w:rFonts w:ascii="Times New Roman" w:hAnsi="Times New Roman"/>
                      <w:color w:val="000000"/>
                      <w:sz w:val="22"/>
                      <w:szCs w:val="22"/>
                    </w:rPr>
                  </w:pPr>
                </w:p>
                <w:p w:rsidR="009A1BB9" w:rsidP="00B1183A">
                  <w:pPr>
                    <w:bidi w:val="0"/>
                    <w:spacing w:before="60" w:after="60"/>
                    <w:rPr>
                      <w:rFonts w:ascii="Times New Roman" w:hAnsi="Times New Roman"/>
                      <w:color w:val="000000"/>
                      <w:sz w:val="22"/>
                      <w:szCs w:val="22"/>
                    </w:rPr>
                  </w:pPr>
                </w:p>
                <w:p w:rsidR="009A1BB9" w:rsidP="00B1183A">
                  <w:pPr>
                    <w:bidi w:val="0"/>
                    <w:spacing w:before="60" w:after="60"/>
                    <w:rPr>
                      <w:rFonts w:ascii="Times New Roman" w:hAnsi="Times New Roman"/>
                      <w:color w:val="000000"/>
                      <w:sz w:val="22"/>
                      <w:szCs w:val="22"/>
                    </w:rPr>
                  </w:pPr>
                </w:p>
                <w:p w:rsidR="009A1BB9" w:rsidP="00B1183A">
                  <w:pPr>
                    <w:bidi w:val="0"/>
                    <w:spacing w:before="60" w:after="60"/>
                    <w:rPr>
                      <w:rFonts w:ascii="Times New Roman" w:hAnsi="Times New Roman"/>
                      <w:color w:val="000000"/>
                      <w:sz w:val="22"/>
                      <w:szCs w:val="22"/>
                    </w:rPr>
                  </w:pPr>
                </w:p>
                <w:p w:rsidR="001076AA" w:rsidP="00B1183A">
                  <w:pPr>
                    <w:bidi w:val="0"/>
                    <w:spacing w:before="60" w:after="60"/>
                    <w:rPr>
                      <w:rFonts w:ascii="Times New Roman" w:hAnsi="Times New Roman"/>
                      <w:color w:val="000000"/>
                      <w:sz w:val="22"/>
                      <w:szCs w:val="22"/>
                    </w:rPr>
                  </w:pPr>
                </w:p>
                <w:p w:rsidR="001076AA" w:rsidP="00B1183A">
                  <w:pPr>
                    <w:bidi w:val="0"/>
                    <w:spacing w:before="60" w:after="60"/>
                    <w:rPr>
                      <w:rFonts w:ascii="Times New Roman" w:hAnsi="Times New Roman"/>
                      <w:color w:val="000000"/>
                      <w:sz w:val="22"/>
                      <w:szCs w:val="22"/>
                    </w:rPr>
                  </w:pPr>
                </w:p>
                <w:p w:rsidR="004930E0" w:rsidRPr="009D5B18" w:rsidP="00B1183A">
                  <w:pPr>
                    <w:bidi w:val="0"/>
                    <w:spacing w:before="60" w:after="60"/>
                    <w:rPr>
                      <w:rFonts w:ascii="Times New Roman" w:hAnsi="Times New Roman"/>
                      <w:color w:val="000000"/>
                      <w:sz w:val="22"/>
                      <w:szCs w:val="22"/>
                    </w:rPr>
                  </w:pPr>
                </w:p>
              </w:tc>
            </w:tr>
          </w:tbl>
          <w:p w:rsidR="009D5B18" w:rsidRPr="009D5B18" w:rsidP="009D5B18">
            <w:pPr>
              <w:shd w:val="clear" w:color="auto" w:fill="FFFFFF"/>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83"/>
              <w:gridCol w:w="6293"/>
            </w:tblGrid>
            <w:tr>
              <w:tblPrEx>
                <w:tblW w:w="5000" w:type="pct"/>
                <w:tblLayout w:type="fixed"/>
                <w:tblCellMar>
                  <w:left w:w="0" w:type="dxa"/>
                  <w:right w:w="0" w:type="dxa"/>
                </w:tblCellMar>
                <w:tblLook w:val="04A0"/>
              </w:tblPrEx>
              <w:tc>
                <w:tcPr>
                  <w:tcW w:w="397"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7.</w:t>
                  </w:r>
                </w:p>
              </w:tc>
              <w:tc>
                <w:tcPr>
                  <w:tcW w:w="9009" w:type="dxa"/>
                  <w:tcBorders>
                    <w:top w:val="nil"/>
                    <w:left w:val="nil"/>
                    <w:bottom w:val="nil"/>
                    <w:right w:val="nil"/>
                  </w:tcBorders>
                  <w:textDirection w:val="lrTb"/>
                  <w:vAlign w:val="top"/>
                  <w:hideMark/>
                </w:tcPr>
                <w:p w:rsidR="009D5B18" w:rsidRPr="009D5B18" w:rsidP="009D5B18">
                  <w:pPr>
                    <w:bidi w:val="0"/>
                    <w:rPr>
                      <w:rFonts w:ascii="Times New Roman" w:hAnsi="Times New Roman"/>
                      <w:color w:val="000000"/>
                      <w:sz w:val="22"/>
                      <w:szCs w:val="22"/>
                    </w:rPr>
                  </w:pPr>
                  <w:r w:rsidRPr="009D5B18">
                    <w:rPr>
                      <w:rFonts w:ascii="Times New Roman" w:hAnsi="Times New Roman"/>
                      <w:color w:val="000000"/>
                      <w:sz w:val="22"/>
                      <w:szCs w:val="22"/>
                    </w:rPr>
                    <w:t>V článku 95 ods. 1 sa písmeno a) vypúšťa.</w:t>
                  </w:r>
                </w:p>
              </w:tc>
            </w:tr>
            <w:tr>
              <w:tblPrEx>
                <w:tblW w:w="5000" w:type="pct"/>
                <w:tblLayout w:type="fixed"/>
                <w:tblCellMar>
                  <w:left w:w="0" w:type="dxa"/>
                  <w:right w:w="0" w:type="dxa"/>
                </w:tblCellMar>
                <w:tblLook w:val="04A0"/>
              </w:tblPrEx>
              <w:tc>
                <w:tcPr>
                  <w:tcW w:w="397" w:type="dxa"/>
                  <w:tcBorders>
                    <w:top w:val="nil"/>
                    <w:left w:val="nil"/>
                    <w:bottom w:val="nil"/>
                    <w:right w:val="nil"/>
                  </w:tcBorders>
                  <w:textDirection w:val="lrTb"/>
                  <w:vAlign w:val="top"/>
                </w:tcPr>
                <w:p w:rsidR="00E621F4" w:rsidRPr="009D5B18" w:rsidP="009D5B18">
                  <w:pPr>
                    <w:bidi w:val="0"/>
                    <w:rPr>
                      <w:rFonts w:ascii="Times New Roman" w:hAnsi="Times New Roman"/>
                      <w:color w:val="000000"/>
                      <w:sz w:val="22"/>
                      <w:szCs w:val="22"/>
                    </w:rPr>
                  </w:pPr>
                </w:p>
              </w:tc>
              <w:tc>
                <w:tcPr>
                  <w:tcW w:w="9009" w:type="dxa"/>
                  <w:tcBorders>
                    <w:top w:val="nil"/>
                    <w:left w:val="nil"/>
                    <w:bottom w:val="nil"/>
                    <w:right w:val="nil"/>
                  </w:tcBorders>
                  <w:textDirection w:val="lrTb"/>
                  <w:vAlign w:val="top"/>
                </w:tcPr>
                <w:p w:rsidR="00E621F4" w:rsidRPr="009D5B18" w:rsidP="009D5B18">
                  <w:pPr>
                    <w:bidi w:val="0"/>
                    <w:rPr>
                      <w:rFonts w:ascii="Times New Roman" w:hAnsi="Times New Roman"/>
                      <w:color w:val="000000"/>
                      <w:sz w:val="22"/>
                      <w:szCs w:val="22"/>
                    </w:rPr>
                  </w:pPr>
                </w:p>
              </w:tc>
            </w:tr>
          </w:tbl>
          <w:p w:rsidR="00162F39" w:rsidRPr="009D5B18" w:rsidP="00D83E5B">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162F39">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p>
          <w:p w:rsidR="007E7056" w:rsidP="005E29C5">
            <w:pPr>
              <w:autoSpaceDE w:val="0"/>
              <w:autoSpaceDN w:val="0"/>
              <w:bidi w:val="0"/>
              <w:spacing w:before="0"/>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4930E0">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1076AA">
            <w:pPr>
              <w:autoSpaceDE w:val="0"/>
              <w:autoSpaceDN w:val="0"/>
              <w:bidi w:val="0"/>
              <w:spacing w:before="0"/>
              <w:jc w:val="center"/>
              <w:rPr>
                <w:rFonts w:ascii="Arial Narrow" w:hAnsi="Arial Narrow"/>
                <w:sz w:val="22"/>
                <w:szCs w:val="22"/>
              </w:rPr>
            </w:pPr>
          </w:p>
          <w:p w:rsidR="004930E0">
            <w:pPr>
              <w:autoSpaceDE w:val="0"/>
              <w:autoSpaceDN w:val="0"/>
              <w:bidi w:val="0"/>
              <w:spacing w:before="0"/>
              <w:jc w:val="center"/>
              <w:rPr>
                <w:rFonts w:ascii="Arial Narrow" w:hAnsi="Arial Narrow"/>
                <w:sz w:val="22"/>
                <w:szCs w:val="22"/>
              </w:rPr>
            </w:pPr>
          </w:p>
          <w:p w:rsidR="007E7056">
            <w:pPr>
              <w:autoSpaceDE w:val="0"/>
              <w:autoSpaceDN w:val="0"/>
              <w:bidi w:val="0"/>
              <w:spacing w:before="0"/>
              <w:jc w:val="center"/>
              <w:rPr>
                <w:rFonts w:ascii="Arial Narrow" w:hAnsi="Arial Narrow"/>
                <w:sz w:val="22"/>
                <w:szCs w:val="22"/>
              </w:rPr>
            </w:pPr>
            <w:r w:rsidR="00E170A8">
              <w:rPr>
                <w:rFonts w:ascii="Arial Narrow" w:hAnsi="Arial Narrow"/>
                <w:sz w:val="22"/>
                <w:szCs w:val="22"/>
              </w:rPr>
              <w:t>n.a.</w:t>
            </w:r>
          </w:p>
          <w:p w:rsidR="007E7056">
            <w:pPr>
              <w:autoSpaceDE w:val="0"/>
              <w:autoSpaceDN w:val="0"/>
              <w:bidi w:val="0"/>
              <w:spacing w:before="0"/>
              <w:jc w:val="center"/>
              <w:rPr>
                <w:rFonts w:ascii="Arial Narrow" w:hAnsi="Arial Narrow"/>
                <w:sz w:val="22"/>
                <w:szCs w:val="22"/>
              </w:rPr>
            </w:pPr>
          </w:p>
          <w:p w:rsidR="007E7056" w:rsidRPr="002153F7" w:rsidP="00E170A8">
            <w:pPr>
              <w:autoSpaceDE w:val="0"/>
              <w:autoSpaceDN w:val="0"/>
              <w:bidi w:val="0"/>
              <w:spacing w:before="0"/>
              <w:jc w:val="center"/>
              <w:rPr>
                <w:rFonts w:ascii="Arial Narrow" w:hAnsi="Arial Narrow"/>
                <w:sz w:val="22"/>
                <w:szCs w:val="22"/>
              </w:rPr>
            </w:pPr>
          </w:p>
        </w:tc>
        <w:tc>
          <w:tcPr>
            <w:tcW w:w="708" w:type="dxa"/>
            <w:tcBorders>
              <w:top w:val="single" w:sz="4" w:space="0" w:color="auto"/>
              <w:left w:val="nil"/>
              <w:bottom w:val="single" w:sz="4" w:space="0" w:color="auto"/>
              <w:right w:val="single" w:sz="4" w:space="0" w:color="auto"/>
            </w:tcBorders>
            <w:textDirection w:val="lrTb"/>
            <w:vAlign w:val="top"/>
          </w:tcPr>
          <w:p w:rsidR="00E621F4" w:rsidRPr="00380F43" w:rsidP="00E621F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162F39">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271A7E">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1076AA">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271A7E" w:rsidRPr="00380F43" w:rsidP="00271A7E">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color w:val="0070C0"/>
                <w:sz w:val="22"/>
                <w:szCs w:val="22"/>
              </w:rPr>
            </w:pPr>
          </w:p>
          <w:p w:rsidR="007C28AB">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pPr>
              <w:autoSpaceDE w:val="0"/>
              <w:autoSpaceDN w:val="0"/>
              <w:bidi w:val="0"/>
              <w:spacing w:before="0"/>
              <w:jc w:val="center"/>
              <w:rPr>
                <w:rFonts w:ascii="Arial Narrow" w:hAnsi="Arial Narrow"/>
                <w:b/>
                <w:sz w:val="22"/>
                <w:szCs w:val="22"/>
              </w:rPr>
            </w:pPr>
          </w:p>
          <w:p w:rsidR="007E7056" w:rsidRPr="002153F7">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r w:rsidRPr="009128CB">
              <w:rPr>
                <w:rFonts w:ascii="Arial Narrow" w:hAnsi="Arial Narrow"/>
                <w:sz w:val="22"/>
                <w:szCs w:val="22"/>
              </w:rPr>
              <w:t xml:space="preserve">§ </w:t>
            </w:r>
            <w:r w:rsidRPr="009128CB" w:rsidR="009128CB">
              <w:rPr>
                <w:rFonts w:ascii="Arial Narrow" w:hAnsi="Arial Narrow"/>
                <w:sz w:val="22"/>
                <w:szCs w:val="22"/>
              </w:rPr>
              <w:t>14</w:t>
            </w:r>
            <w:r w:rsidR="007E7056">
              <w:rPr>
                <w:rFonts w:ascii="Arial Narrow" w:hAnsi="Arial Narrow"/>
                <w:sz w:val="22"/>
                <w:szCs w:val="22"/>
              </w:rPr>
              <w:t>1</w:t>
            </w:r>
            <w:r w:rsidRPr="009128CB" w:rsidR="009128CB">
              <w:rPr>
                <w:rFonts w:ascii="Arial Narrow" w:hAnsi="Arial Narrow"/>
                <w:sz w:val="22"/>
                <w:szCs w:val="22"/>
              </w:rPr>
              <w:t>a</w:t>
            </w:r>
          </w:p>
          <w:p w:rsidR="00162F39"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1076AA" w:rsidP="00162F39">
            <w:pPr>
              <w:pStyle w:val="Normlny"/>
              <w:bidi w:val="0"/>
              <w:rPr>
                <w:rFonts w:ascii="Arial Narrow" w:hAnsi="Arial Narrow"/>
                <w:sz w:val="22"/>
                <w:szCs w:val="22"/>
              </w:rPr>
            </w:pPr>
          </w:p>
          <w:p w:rsidR="00333A53" w:rsidP="00162F39">
            <w:pPr>
              <w:pStyle w:val="Normlny"/>
              <w:bidi w:val="0"/>
              <w:rPr>
                <w:rFonts w:ascii="Arial Narrow" w:hAnsi="Arial Narrow"/>
                <w:sz w:val="22"/>
                <w:szCs w:val="22"/>
              </w:rPr>
            </w:pPr>
          </w:p>
          <w:p w:rsidR="007E7056" w:rsidRPr="002153F7" w:rsidP="007E7056">
            <w:pPr>
              <w:pStyle w:val="Normlny"/>
              <w:bidi w:val="0"/>
              <w:rPr>
                <w:rFonts w:ascii="Arial Narrow" w:hAnsi="Arial Narrow"/>
                <w:sz w:val="22"/>
                <w:szCs w:val="22"/>
              </w:rPr>
            </w:pPr>
            <w:r w:rsidRPr="009128CB">
              <w:rPr>
                <w:rFonts w:ascii="Arial Narrow" w:hAnsi="Arial Narrow"/>
                <w:sz w:val="22"/>
                <w:szCs w:val="22"/>
              </w:rPr>
              <w:t>§ 14</w:t>
            </w:r>
            <w:r>
              <w:rPr>
                <w:rFonts w:ascii="Arial Narrow" w:hAnsi="Arial Narrow"/>
                <w:sz w:val="22"/>
                <w:szCs w:val="22"/>
              </w:rPr>
              <w:t>4</w:t>
            </w:r>
            <w:r w:rsidRPr="009128CB">
              <w:rPr>
                <w:rFonts w:ascii="Arial Narrow" w:hAnsi="Arial Narrow"/>
                <w:sz w:val="22"/>
                <w:szCs w:val="22"/>
              </w:rPr>
              <w:t>a</w:t>
            </w: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P="00162F39">
            <w:pPr>
              <w:pStyle w:val="Normlny"/>
              <w:bidi w:val="0"/>
              <w:rPr>
                <w:rFonts w:ascii="Arial Narrow" w:hAnsi="Arial Narrow"/>
                <w:sz w:val="22"/>
                <w:szCs w:val="22"/>
              </w:rPr>
            </w:pPr>
          </w:p>
          <w:p w:rsidR="007E7056" w:rsidRPr="002153F7" w:rsidP="00162F39">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275" w:type="dxa"/>
              <w:tblInd w:w="98" w:type="dxa"/>
              <w:tblLayout w:type="fixed"/>
              <w:tblCellMar>
                <w:left w:w="0" w:type="dxa"/>
                <w:right w:w="0" w:type="dxa"/>
              </w:tblCellMar>
              <w:tblLook w:val="04A0"/>
            </w:tblPr>
            <w:tblGrid>
              <w:gridCol w:w="20"/>
              <w:gridCol w:w="5255"/>
            </w:tblGrid>
            <w:tr>
              <w:tblPrEx>
                <w:tblW w:w="5275" w:type="dxa"/>
                <w:tblInd w:w="98" w:type="dxa"/>
                <w:tblLayout w:type="fixed"/>
                <w:tblCellMar>
                  <w:left w:w="0" w:type="dxa"/>
                  <w:right w:w="0" w:type="dxa"/>
                </w:tblCellMar>
                <w:tblLook w:val="04A0"/>
              </w:tblPrEx>
              <w:trPr>
                <w:trHeight w:val="1845"/>
              </w:trPr>
              <w:tc>
                <w:tcPr>
                  <w:tcW w:w="19" w:type="pct"/>
                  <w:tcBorders>
                    <w:top w:val="none" w:sz="0" w:space="0" w:color="auto"/>
                    <w:left w:val="none" w:sz="0" w:space="0" w:color="auto"/>
                    <w:bottom w:val="none" w:sz="0" w:space="0" w:color="auto"/>
                    <w:right w:val="none" w:sz="0" w:space="0" w:color="auto"/>
                  </w:tcBorders>
                  <w:textDirection w:val="lrTb"/>
                  <w:vAlign w:val="top"/>
                  <w:hideMark/>
                </w:tcPr>
                <w:p w:rsidR="007E7056" w:rsidRPr="00F8764E" w:rsidP="007E7056">
                  <w:pPr>
                    <w:bidi w:val="0"/>
                    <w:rPr>
                      <w:rFonts w:ascii="Times New Roman" w:hAnsi="Times New Roman"/>
                      <w:color w:val="0070C0"/>
                    </w:rPr>
                  </w:pPr>
                </w:p>
              </w:tc>
              <w:tc>
                <w:tcPr>
                  <w:tcW w:w="4981" w:type="pct"/>
                  <w:tcBorders>
                    <w:top w:val="none" w:sz="0" w:space="0" w:color="auto"/>
                    <w:left w:val="none" w:sz="0" w:space="0" w:color="auto"/>
                    <w:bottom w:val="none" w:sz="0" w:space="0" w:color="auto"/>
                    <w:right w:val="none" w:sz="0" w:space="0" w:color="auto"/>
                  </w:tcBorders>
                  <w:textDirection w:val="lrTb"/>
                  <w:vAlign w:val="top"/>
                  <w:hideMark/>
                </w:tcPr>
                <w:p w:rsidR="007E7056" w:rsidRPr="00F8764E" w:rsidP="007E7056">
                  <w:pPr>
                    <w:bidi w:val="0"/>
                    <w:ind w:left="547" w:hanging="567"/>
                    <w:jc w:val="center"/>
                    <w:rPr>
                      <w:rFonts w:ascii="Times New Roman" w:hAnsi="Times New Roman"/>
                      <w:color w:val="0070C0"/>
                    </w:rPr>
                  </w:pPr>
                </w:p>
                <w:p w:rsidR="001076AA" w:rsidRPr="001076AA" w:rsidP="001076AA">
                  <w:pPr>
                    <w:pStyle w:val="ListParagraph"/>
                    <w:numPr>
                      <w:numId w:val="25"/>
                    </w:numPr>
                    <w:bidi w:val="0"/>
                    <w:ind w:left="0" w:right="582" w:firstLine="0"/>
                    <w:jc w:val="both"/>
                    <w:rPr>
                      <w:rFonts w:ascii="Times New Roman" w:hAnsi="Times New Roman"/>
                      <w:color w:val="0070C0"/>
                    </w:rPr>
                  </w:pPr>
                  <w:r w:rsidRPr="001076AA">
                    <w:rPr>
                      <w:rFonts w:ascii="Times New Roman" w:hAnsi="Times New Roman"/>
                      <w:color w:val="0070C0"/>
                    </w:rPr>
                    <w:t>Správcovská spoločnosť, ktorá distribuuje cenné papiere ňou spravovaného štandardného fondu na území iného členského štátu, môže odvolať oznámenie podľa §139 ods. 1, ktoré sa môže týkať všetkých emisií cenných papierov štandardného fondu alebo jednotlivých emisií cenných papierov štandardného fondu, ktoré sú predmetom distribúcie, ak sú splnené  tieto podmienky:</w:t>
                  </w:r>
                </w:p>
                <w:p w:rsidR="001076AA" w:rsidRPr="001076AA" w:rsidP="001076AA">
                  <w:pPr>
                    <w:pStyle w:val="ListParagraph"/>
                    <w:numPr>
                      <w:numId w:val="26"/>
                    </w:numPr>
                    <w:bidi w:val="0"/>
                    <w:spacing w:before="240" w:after="120"/>
                    <w:ind w:left="0" w:right="582" w:firstLine="0"/>
                    <w:jc w:val="both"/>
                    <w:rPr>
                      <w:rFonts w:ascii="Times New Roman" w:hAnsi="Times New Roman"/>
                      <w:color w:val="0070C0"/>
                    </w:rPr>
                  </w:pPr>
                  <w:r w:rsidRPr="001076AA">
                    <w:rPr>
                      <w:rFonts w:ascii="Times New Roman" w:hAnsi="Times New Roman"/>
                      <w:color w:val="0070C0"/>
                    </w:rPr>
                    <w:t>bola predložená paušálna ponuka na vyplatenie alebo odkúpenie cenných papierov investorov v tomto členskom štáte bez akýchkoľvek poplatkov alebo zrážok, ktorá je sprístupnená verejnosti počas najmenej 30 pracovných dní a je priamo alebo prostredníctvom  oprávnených osôb adresovaná jednotlivo všetkým investorom v tomto členskom štáte, ktorých totožnosť je známa,</w:t>
                  </w:r>
                </w:p>
                <w:p w:rsidR="001076AA" w:rsidRPr="001076AA" w:rsidP="001076AA">
                  <w:pPr>
                    <w:pStyle w:val="ListParagraph"/>
                    <w:numPr>
                      <w:numId w:val="26"/>
                    </w:numPr>
                    <w:bidi w:val="0"/>
                    <w:spacing w:before="240" w:after="120"/>
                    <w:ind w:left="0" w:right="582" w:firstLine="0"/>
                    <w:jc w:val="both"/>
                    <w:rPr>
                      <w:rFonts w:ascii="Times New Roman" w:hAnsi="Times New Roman"/>
                      <w:color w:val="0070C0"/>
                    </w:rPr>
                  </w:pPr>
                  <w:r w:rsidRPr="001076AA">
                    <w:rPr>
                      <w:rFonts w:ascii="Times New Roman" w:hAnsi="Times New Roman"/>
                      <w:color w:val="0070C0"/>
                    </w:rPr>
                    <w:t>bol zverejnený úmysel správcovskej spoločnosti štandardného fondu ukončiť distribúciu takýchto cenných papierov v tomto členskom štáte prostredníctvom prostriedkov zverejnenia vrátane elektronických prostriedkov, ktoré sa bežne používajú pri distribúcii štandardných fondov a ktoré sú vhodné pre typického investora štandardného fondu,</w:t>
                  </w:r>
                </w:p>
                <w:p w:rsidR="001076AA" w:rsidRPr="001076AA" w:rsidP="001076AA">
                  <w:pPr>
                    <w:pStyle w:val="ListParagraph"/>
                    <w:numPr>
                      <w:numId w:val="26"/>
                    </w:numPr>
                    <w:bidi w:val="0"/>
                    <w:spacing w:before="360"/>
                    <w:ind w:left="0" w:right="582" w:firstLine="0"/>
                    <w:jc w:val="both"/>
                    <w:rPr>
                      <w:rFonts w:ascii="Times New Roman" w:hAnsi="Times New Roman"/>
                      <w:color w:val="0070C0"/>
                    </w:rPr>
                  </w:pPr>
                  <w:r w:rsidRPr="001076AA">
                    <w:rPr>
                      <w:rFonts w:ascii="Times New Roman" w:hAnsi="Times New Roman"/>
                      <w:color w:val="0070C0"/>
                    </w:rPr>
                    <w:t>boli ukončené alebo zmenené všetky zmluvy s účinnosťou odo dňa odvolania oznámenia podľa § 139 ods. 1 s osobami oprávnenými na distribúciu štandardného fondu v danom členskom štáte s cieľom zabrániť akejkoľvek novej alebo ďalšej priamej ponuke alebo nepriamej ponuke alebo umiestňovaniu cenných papierov štandardného fondu.</w:t>
                  </w:r>
                </w:p>
                <w:p w:rsidR="001076AA" w:rsidRPr="001076AA" w:rsidP="001076AA">
                  <w:pPr>
                    <w:pStyle w:val="NoSpacing"/>
                    <w:bidi w:val="0"/>
                    <w:rPr>
                      <w:color w:val="0070C0"/>
                    </w:rPr>
                  </w:pPr>
                </w:p>
                <w:p w:rsidR="001076AA" w:rsidRPr="001076AA" w:rsidP="001076AA">
                  <w:pPr>
                    <w:pStyle w:val="ListParagraph"/>
                    <w:numPr>
                      <w:numId w:val="25"/>
                    </w:numPr>
                    <w:bidi w:val="0"/>
                    <w:ind w:left="0" w:right="582" w:firstLine="0"/>
                    <w:jc w:val="both"/>
                    <w:rPr>
                      <w:rFonts w:ascii="Times New Roman" w:hAnsi="Times New Roman"/>
                      <w:color w:val="0070C0"/>
                    </w:rPr>
                  </w:pPr>
                  <w:r w:rsidRPr="001076AA">
                    <w:rPr>
                      <w:rFonts w:ascii="Times New Roman" w:hAnsi="Times New Roman"/>
                      <w:color w:val="0070C0"/>
                    </w:rPr>
                    <w:t xml:space="preserve">Informácie podľa odseku 1 písm. a) a b)  musia zrozumiteľným spôsobom popisovať dôsledky pre investorov, ak neprijmú ponuku na vyplatenie alebo odkúpenie cenných papierov štandardného fondu.  </w:t>
                  </w:r>
                </w:p>
                <w:p w:rsidR="001076AA" w:rsidRPr="001076AA" w:rsidP="001076AA">
                  <w:pPr>
                    <w:bidi w:val="0"/>
                    <w:ind w:right="582"/>
                    <w:rPr>
                      <w:rFonts w:ascii="Times New Roman" w:hAnsi="Times New Roman"/>
                      <w:color w:val="0070C0"/>
                    </w:rPr>
                  </w:pPr>
                  <w:r w:rsidRPr="001076AA">
                    <w:rPr>
                      <w:rFonts w:ascii="Times New Roman" w:hAnsi="Times New Roman"/>
                      <w:color w:val="0070C0"/>
                    </w:rPr>
                    <w:t>(3) Informácie uvedené v  odseku 1 písm. a) a b) sa poskytujú v úradnom jazyku alebo v jednom z úradných jazykov hostiteľského členského štátu, v ktorom sa cenné papiere štandardného fondu distribuujú, alebo v jazyku schválenom príslušným orgánom dohľadu tohto hostiteľského členského štátu. Odo dňa odvolania oznámenia podľa § 139 ods. 1 správcovská spoločnosť ukončí predkladanie nových alebo ďalších priamych ponúk alebo nepriamych ponúk alebo umiestňovanie cenných papierov štandardného fondu, ktoré boli predmetom odvolania oznámenia podľa odseku 1 v tomto členskom štáte.</w:t>
                  </w:r>
                </w:p>
                <w:p w:rsidR="001076AA" w:rsidRPr="001076AA" w:rsidP="001076AA">
                  <w:pPr>
                    <w:bidi w:val="0"/>
                    <w:ind w:right="582"/>
                    <w:rPr>
                      <w:rFonts w:ascii="Times New Roman" w:hAnsi="Times New Roman"/>
                      <w:color w:val="0070C0"/>
                    </w:rPr>
                  </w:pPr>
                  <w:r w:rsidRPr="001076AA">
                    <w:rPr>
                      <w:rFonts w:ascii="Times New Roman" w:hAnsi="Times New Roman"/>
                      <w:color w:val="0070C0"/>
                    </w:rPr>
                    <w:t>(4) Správcovská spoločnosť podľa odseku 1 predloží Národnej banke Slovenska oznámenie obsahujúce informácie uvedené v odseku 1.</w:t>
                  </w:r>
                </w:p>
                <w:p w:rsidR="001076AA" w:rsidRPr="001076AA" w:rsidP="001076AA">
                  <w:pPr>
                    <w:autoSpaceDE w:val="0"/>
                    <w:autoSpaceDN w:val="0"/>
                    <w:bidi w:val="0"/>
                    <w:adjustRightInd w:val="0"/>
                    <w:ind w:right="582"/>
                    <w:rPr>
                      <w:rFonts w:ascii="Times New Roman" w:hAnsi="Times New Roman"/>
                      <w:color w:val="0070C0"/>
                    </w:rPr>
                  </w:pPr>
                  <w:r w:rsidRPr="001076AA">
                    <w:rPr>
                      <w:rFonts w:ascii="Times New Roman" w:hAnsi="Times New Roman"/>
                      <w:color w:val="0070C0"/>
                    </w:rPr>
                    <w:t>(5)  Národná banka Slovenska overí, či oznámenie, ktoré predložila správcovská spoločnosť podľa odseku 4, je úplné. Národná banka Slovenska najneskôr do 15 pracovných dní po doručení úplného oznámenia zašle toto oznámenie príslušným orgánom dohľadu hostiteľského členského štátu určeným v tomto oznámení a Európskemu orgánu dohľadu (Európskemu orgánu pre cenné papiere a trhy). O zaslaní oznámenia podľa druhej vety Národná banka Slovenska bezodkladne informuje správcovskú spoločnosť.</w:t>
                  </w:r>
                </w:p>
                <w:p w:rsidR="001076AA" w:rsidRPr="001076AA" w:rsidP="001076AA">
                  <w:pPr>
                    <w:bidi w:val="0"/>
                    <w:ind w:right="582"/>
                    <w:rPr>
                      <w:rFonts w:ascii="Times New Roman" w:hAnsi="Times New Roman"/>
                      <w:color w:val="0070C0"/>
                    </w:rPr>
                  </w:pPr>
                  <w:r w:rsidRPr="001076AA">
                    <w:rPr>
                      <w:rFonts w:ascii="Times New Roman" w:hAnsi="Times New Roman"/>
                      <w:color w:val="0070C0"/>
                    </w:rPr>
                    <w:t>(6)  Správcovská spoločnosť je povinná poskytovať investorom štandardného fondu na území hostiteľského členského štátu, ktorým v ňom zostali investície, informácie podľa príslušných právnych predpisov tohto hostiteľského členského štátu obdobné ako podľa § 141,  § 152 až 159 a 160.</w:t>
                  </w:r>
                </w:p>
                <w:p w:rsidR="001076AA" w:rsidRPr="001076AA" w:rsidP="001076AA">
                  <w:pPr>
                    <w:bidi w:val="0"/>
                    <w:ind w:right="582"/>
                    <w:rPr>
                      <w:rFonts w:ascii="Times New Roman" w:hAnsi="Times New Roman"/>
                      <w:color w:val="0070C0"/>
                    </w:rPr>
                  </w:pPr>
                  <w:r w:rsidRPr="001076AA">
                    <w:rPr>
                      <w:rFonts w:ascii="Times New Roman" w:hAnsi="Times New Roman"/>
                      <w:color w:val="0070C0"/>
                    </w:rPr>
                    <w:t xml:space="preserve">(7)   Národná banka Slovenska zašle príslušným orgánom dohľadu hostiteľského členského štátu informácie o všetkých zmenách dokumentov uvedených v § 139 ods. 2. </w:t>
                  </w:r>
                </w:p>
                <w:p w:rsidR="00FB43AB" w:rsidRPr="001076AA" w:rsidP="001076AA">
                  <w:pPr>
                    <w:bidi w:val="0"/>
                    <w:spacing w:before="0"/>
                    <w:ind w:right="29"/>
                    <w:rPr>
                      <w:rFonts w:ascii="Times New Roman" w:hAnsi="Times New Roman"/>
                      <w:color w:val="0070C0"/>
                    </w:rPr>
                  </w:pPr>
                  <w:r w:rsidRPr="001076AA" w:rsidR="001076AA">
                    <w:rPr>
                      <w:rFonts w:ascii="Times New Roman" w:hAnsi="Times New Roman"/>
                      <w:color w:val="0070C0"/>
                    </w:rPr>
                    <w:t>(8) Správcovská spoločnosť je povinná vyhovieť žiadosti príslušného orgánu dohľadu jej hostiteľského členského štátu o predkladanie pravidelných hlásení o jej činnosti na svojom území na štatistické účely alebo informácií, výkazov alebo správ nevyhnutných na sledovanie súladu jej činnosti s ustanoveniami príslušných právnych predpisov hostiteľského členského štátu vzťahujúcej sa na distribúciu cenných papierov na území tohto  hostiteľského členského štátu</w:t>
                  </w:r>
                  <w:r w:rsidRPr="001076AA">
                    <w:rPr>
                      <w:rFonts w:ascii="Times New Roman" w:hAnsi="Times New Roman"/>
                      <w:color w:val="0070C0"/>
                    </w:rPr>
                    <w:t xml:space="preserve">. </w:t>
                  </w:r>
                </w:p>
                <w:p w:rsidR="007E7056" w:rsidRPr="00F8764E" w:rsidP="009A1BB9">
                  <w:pPr>
                    <w:bidi w:val="0"/>
                    <w:spacing w:before="0"/>
                    <w:ind w:left="-19"/>
                    <w:rPr>
                      <w:rFonts w:ascii="Times New Roman" w:hAnsi="Times New Roman"/>
                      <w:color w:val="0070C0"/>
                    </w:rPr>
                  </w:pPr>
                </w:p>
              </w:tc>
            </w:tr>
          </w:tbl>
          <w:p w:rsidR="001076AA" w:rsidRPr="001076AA" w:rsidP="001076AA">
            <w:pPr>
              <w:pStyle w:val="ListParagraph"/>
              <w:numPr>
                <w:numId w:val="27"/>
              </w:numPr>
              <w:bidi w:val="0"/>
              <w:spacing w:before="120"/>
              <w:ind w:left="99" w:firstLine="0"/>
              <w:jc w:val="both"/>
              <w:rPr>
                <w:rFonts w:ascii="Times New Roman" w:hAnsi="Times New Roman"/>
                <w:color w:val="0070C0"/>
              </w:rPr>
            </w:pPr>
            <w:r w:rsidRPr="001076AA">
              <w:rPr>
                <w:rFonts w:ascii="Times New Roman" w:hAnsi="Times New Roman"/>
                <w:color w:val="0070C0"/>
              </w:rPr>
              <w:t>Európsky štandardný fond môže odvolať oznámenie  podľa § 142 ods. 1, ktoré sa môže týkať všetkých emisií cenných papierov európskeho štandardného fondu alebo jednotlivých emisií cenných papierov európskeho štandardného fondu, ktoré sú predmetom distribúcie, ak sú splnené  tieto podmienky:</w:t>
            </w:r>
          </w:p>
          <w:p w:rsidR="001076AA" w:rsidRPr="001076AA" w:rsidP="001076AA">
            <w:pPr>
              <w:pStyle w:val="NoSpacing"/>
              <w:bidi w:val="0"/>
              <w:ind w:left="99"/>
              <w:rPr>
                <w:rFonts w:ascii="Times New Roman" w:hAnsi="Times New Roman"/>
                <w:color w:val="0070C0"/>
                <w:sz w:val="24"/>
                <w:szCs w:val="24"/>
              </w:rPr>
            </w:pPr>
          </w:p>
          <w:p w:rsidR="001076AA" w:rsidRPr="001076AA" w:rsidP="001076AA">
            <w:pPr>
              <w:pStyle w:val="ListParagraph"/>
              <w:numPr>
                <w:numId w:val="28"/>
              </w:numPr>
              <w:bidi w:val="0"/>
              <w:ind w:left="99" w:firstLine="0"/>
              <w:jc w:val="both"/>
              <w:rPr>
                <w:rFonts w:ascii="Times New Roman" w:hAnsi="Times New Roman"/>
                <w:color w:val="0070C0"/>
              </w:rPr>
            </w:pPr>
            <w:r w:rsidRPr="001076AA">
              <w:rPr>
                <w:rFonts w:ascii="Times New Roman" w:hAnsi="Times New Roman"/>
                <w:color w:val="0070C0"/>
              </w:rPr>
              <w:t>bola predložená paušálna ponuka na vyplatenie cenných papierov investorom  na území  Slovenskej republiky bez akýchkoľvek poplatkov alebo zrážok, ktorá je sprístupnená verejnosti počas najmenej 30 pracovných dní a je priamo alebo prostredníctvom oprávnených osôb</w:t>
            </w:r>
            <w:r w:rsidRPr="001076AA">
              <w:rPr>
                <w:rFonts w:ascii="Times New Roman" w:hAnsi="Times New Roman"/>
                <w:color w:val="0070C0"/>
              </w:rPr>
              <w:t xml:space="preserve"> </w:t>
            </w:r>
            <w:r w:rsidRPr="001076AA">
              <w:rPr>
                <w:rFonts w:ascii="Times New Roman" w:hAnsi="Times New Roman"/>
                <w:color w:val="0070C0"/>
              </w:rPr>
              <w:t>adresovaná jednotlivo všetkým investorom  na území Slovenskej republiky, ktorých totožnosť je známa,</w:t>
            </w:r>
          </w:p>
          <w:p w:rsidR="001076AA" w:rsidRPr="001076AA" w:rsidP="001076AA">
            <w:pPr>
              <w:pStyle w:val="NoSpacing"/>
              <w:bidi w:val="0"/>
              <w:ind w:left="99"/>
              <w:rPr>
                <w:rFonts w:ascii="Times New Roman" w:hAnsi="Times New Roman"/>
                <w:color w:val="0070C0"/>
                <w:sz w:val="24"/>
                <w:szCs w:val="24"/>
              </w:rPr>
            </w:pPr>
          </w:p>
          <w:p w:rsidR="001076AA" w:rsidRPr="001076AA" w:rsidP="001076AA">
            <w:pPr>
              <w:pStyle w:val="ListParagraph"/>
              <w:numPr>
                <w:numId w:val="28"/>
              </w:numPr>
              <w:bidi w:val="0"/>
              <w:ind w:left="99" w:firstLine="0"/>
              <w:jc w:val="both"/>
              <w:rPr>
                <w:rFonts w:ascii="Times New Roman" w:hAnsi="Times New Roman"/>
                <w:color w:val="0070C0"/>
              </w:rPr>
            </w:pPr>
            <w:r w:rsidRPr="001076AA">
              <w:rPr>
                <w:rFonts w:ascii="Times New Roman" w:hAnsi="Times New Roman"/>
                <w:color w:val="0070C0"/>
              </w:rPr>
              <w:t>bol zverejnený úmysel správcovskej spoločnosti európskeho štandardného fondu ukončiť distribúciu cenných papierov tohto fondu na území Slovenskej republiky prostredníctvom prostriedkov zverejnenia vrátane elektronických prostriedkov, ktoré sa bežne používajú pri distribúcii európskych štandardných fondov a ktoré sú vhodné pre typického investora európskeho štandardného fondu,</w:t>
            </w:r>
          </w:p>
          <w:p w:rsidR="001076AA" w:rsidRPr="001076AA" w:rsidP="001076AA">
            <w:pPr>
              <w:pStyle w:val="ListParagraph"/>
              <w:bidi w:val="0"/>
              <w:ind w:left="99"/>
              <w:rPr>
                <w:rFonts w:ascii="Times New Roman" w:hAnsi="Times New Roman"/>
                <w:color w:val="0070C0"/>
              </w:rPr>
            </w:pPr>
          </w:p>
          <w:p w:rsidR="001076AA" w:rsidRPr="001076AA" w:rsidP="001076AA">
            <w:pPr>
              <w:pStyle w:val="ListParagraph"/>
              <w:numPr>
                <w:numId w:val="28"/>
              </w:numPr>
              <w:bidi w:val="0"/>
              <w:ind w:left="99" w:firstLine="0"/>
              <w:jc w:val="both"/>
              <w:rPr>
                <w:rFonts w:ascii="Times New Roman" w:hAnsi="Times New Roman"/>
                <w:color w:val="0070C0"/>
              </w:rPr>
            </w:pPr>
            <w:r w:rsidRPr="001076AA">
              <w:rPr>
                <w:rFonts w:ascii="Times New Roman" w:hAnsi="Times New Roman"/>
                <w:color w:val="0070C0"/>
              </w:rPr>
              <w:t>boli ukončené alebo zmenené všetky zmluvy s účinnosťou odo dňa odvolania oznámenia podľa § 142 ods. 1 s osobami oprávnenými na distribúciu cenných papierov európskeho štandardného fondu na území Slovenskej republiky  s cieľom zabrániť akejkoľvek novej alebo ďalšej priamej ponuke alebo nepriamej ponuke alebo umiestňovaniu cenných papierov európskeho štandardného fondu.</w:t>
            </w:r>
          </w:p>
          <w:p w:rsidR="001076AA" w:rsidRPr="001076AA" w:rsidP="001076AA">
            <w:pPr>
              <w:bidi w:val="0"/>
              <w:ind w:left="99"/>
              <w:rPr>
                <w:rFonts w:ascii="Times New Roman" w:hAnsi="Times New Roman"/>
                <w:color w:val="0070C0"/>
              </w:rPr>
            </w:pPr>
            <w:r w:rsidRPr="001076AA">
              <w:rPr>
                <w:rFonts w:ascii="Times New Roman" w:hAnsi="Times New Roman"/>
                <w:color w:val="0070C0"/>
              </w:rPr>
              <w:t xml:space="preserve"> (2) Informácie uvedené v odseku 1 písm. a) a b)  musia zrozumiteľným spôsobom popisovať dôsledky pre investorov, ak neprijmú ponuku na vyplatenie alebo odkúpenie cenných papierov európskeho štandardného fondu.</w:t>
            </w:r>
          </w:p>
          <w:p w:rsidR="001076AA" w:rsidRPr="001076AA" w:rsidP="001076AA">
            <w:pPr>
              <w:bidi w:val="0"/>
              <w:ind w:left="99"/>
              <w:rPr>
                <w:rFonts w:ascii="Times New Roman" w:hAnsi="Times New Roman"/>
                <w:color w:val="0070C0"/>
              </w:rPr>
            </w:pPr>
            <w:r w:rsidRPr="001076AA">
              <w:rPr>
                <w:rFonts w:ascii="Times New Roman" w:hAnsi="Times New Roman"/>
                <w:color w:val="0070C0"/>
              </w:rPr>
              <w:t>(3)  Informácie uvedené v odseku 1 písm. a) a b) sa poskytujú v slovenskom jazyku alebo v jazyku, ktorý môže na tento účel ustanoviť Národná banka Slovenska vo všeobecne záväznom právnom predpise vydanom podľa osobitného predpisu.</w:t>
            </w:r>
            <w:r w:rsidRPr="001076AA">
              <w:rPr>
                <w:rFonts w:ascii="Times New Roman" w:hAnsi="Times New Roman"/>
                <w:color w:val="0070C0"/>
                <w:vertAlign w:val="superscript"/>
              </w:rPr>
              <w:t>58a</w:t>
            </w:r>
            <w:r w:rsidRPr="001076AA">
              <w:rPr>
                <w:rFonts w:ascii="Times New Roman" w:hAnsi="Times New Roman"/>
                <w:color w:val="0070C0"/>
              </w:rPr>
              <w:t xml:space="preserve">) Odo dňa odvolania oznámenia podľa § 142 ods. 1  európsky štandardný fond ukončí predkladanie nových alebo ďalších priamych ponúk alebo nepriamych ponúk alebo umiestňovanie cenných papierov európskeho štandardného fondu na území  Slovenskej republiky. </w:t>
            </w:r>
          </w:p>
          <w:p w:rsidR="001076AA" w:rsidRPr="001076AA" w:rsidP="001076AA">
            <w:pPr>
              <w:bidi w:val="0"/>
              <w:ind w:left="99"/>
              <w:rPr>
                <w:rFonts w:ascii="Times New Roman" w:hAnsi="Times New Roman"/>
                <w:color w:val="0070C0"/>
              </w:rPr>
            </w:pPr>
            <w:r w:rsidRPr="001076AA">
              <w:rPr>
                <w:rFonts w:ascii="Times New Roman" w:hAnsi="Times New Roman"/>
                <w:color w:val="0070C0"/>
              </w:rPr>
              <w:t>(4)  Európsky štandardný fond je povinný poskytovať investorom, ktorým v ňom zostali investície, ako aj Národnej banke Slovenska informácie požadované podľa § 144, § 152 až 159 a 160.</w:t>
            </w:r>
          </w:p>
          <w:p w:rsidR="001076AA" w:rsidRPr="001076AA" w:rsidP="001076AA">
            <w:pPr>
              <w:bidi w:val="0"/>
              <w:ind w:left="99"/>
              <w:rPr>
                <w:rFonts w:ascii="Times New Roman" w:hAnsi="Times New Roman"/>
                <w:color w:val="0070C0"/>
              </w:rPr>
            </w:pPr>
            <w:r w:rsidRPr="001076AA">
              <w:rPr>
                <w:rFonts w:ascii="Times New Roman" w:hAnsi="Times New Roman"/>
                <w:color w:val="0070C0"/>
              </w:rPr>
              <w:t xml:space="preserve"> (5)  Ak Národnej banke Slovenska doručí oznámenie príslušný orgán dohľadu domovského členského štátu európskeho štandardného fondu obsahujúce informácie uvedené v odseku 1, Národná banka Slovenska má oprávnenie postupovať podľa § 192. </w:t>
            </w:r>
          </w:p>
          <w:p w:rsidR="001076AA" w:rsidRPr="001076AA" w:rsidP="001076AA">
            <w:pPr>
              <w:bidi w:val="0"/>
              <w:ind w:left="99"/>
              <w:rPr>
                <w:rFonts w:ascii="Times New Roman" w:hAnsi="Times New Roman"/>
                <w:color w:val="0070C0"/>
              </w:rPr>
            </w:pPr>
            <w:r w:rsidRPr="001076AA">
              <w:rPr>
                <w:rFonts w:ascii="Times New Roman" w:hAnsi="Times New Roman"/>
                <w:color w:val="0070C0"/>
              </w:rPr>
              <w:t>(6)  Národná banka Slovenska odo dňa doručenia informácií  podľa odseku 1 nevyžaduje, aby dotknutý európsky štandardný fond preukázal súlad s týmto zákonom, inými všeobecne záväznými právnymi predpismi a inými rozhodnutiami a opatreniami, ktorými sa riadia požiadavky na distribúciu uvedené v osobitnom predpise;</w:t>
            </w:r>
            <w:r w:rsidRPr="001076AA">
              <w:rPr>
                <w:rFonts w:ascii="Times New Roman" w:hAnsi="Times New Roman"/>
                <w:color w:val="0070C0"/>
                <w:vertAlign w:val="superscript"/>
              </w:rPr>
              <w:t>58b</w:t>
            </w:r>
            <w:r w:rsidRPr="001076AA">
              <w:rPr>
                <w:rFonts w:ascii="Times New Roman" w:hAnsi="Times New Roman"/>
                <w:color w:val="0070C0"/>
              </w:rPr>
              <w:t xml:space="preserve">) tým nie sú dotknuté ustanovenia § 198. </w:t>
            </w:r>
          </w:p>
          <w:p w:rsidR="001076AA" w:rsidRPr="001076AA" w:rsidP="001076AA">
            <w:pPr>
              <w:bidi w:val="0"/>
              <w:ind w:left="99"/>
              <w:rPr>
                <w:rFonts w:ascii="Times New Roman" w:hAnsi="Times New Roman"/>
                <w:color w:val="0070C0"/>
              </w:rPr>
            </w:pPr>
            <w:r w:rsidRPr="001076AA">
              <w:rPr>
                <w:rFonts w:ascii="Times New Roman" w:hAnsi="Times New Roman"/>
                <w:color w:val="0070C0"/>
              </w:rPr>
              <w:t>(7)   Na účely odseku 4 môže európsky štandardný fond používať všetky elektronické komunikačné prostriedky alebo iné prostriedky komunikácie na diaľku, ak sú informácie a komunikačné prostriedky k dispozícii investorom v slovenskom jazyku alebo v jazyku, ktorý môže na tento účel ustanoviť Národná banka Slovenska vo všeobecne záväznom právnom predpise vydanom podľa osobitného predpisu.</w:t>
            </w:r>
            <w:r w:rsidRPr="001076AA">
              <w:rPr>
                <w:rFonts w:ascii="Times New Roman" w:hAnsi="Times New Roman"/>
                <w:color w:val="0070C0"/>
                <w:vertAlign w:val="superscript"/>
              </w:rPr>
              <w:t>58a</w:t>
            </w:r>
            <w:r w:rsidRPr="001076AA">
              <w:rPr>
                <w:rFonts w:ascii="Times New Roman" w:hAnsi="Times New Roman"/>
                <w:color w:val="0070C0"/>
              </w:rPr>
              <w:t>)</w:t>
            </w:r>
          </w:p>
          <w:p w:rsidR="00B1183A" w:rsidRPr="007B6307" w:rsidP="001076AA">
            <w:pPr>
              <w:bidi w:val="0"/>
              <w:ind w:left="382" w:right="99" w:hanging="382"/>
              <w:rPr>
                <w:rFonts w:ascii="Times New Roman" w:hAnsi="Times New Roman"/>
                <w:sz w:val="22"/>
                <w:szCs w:val="22"/>
              </w:rPr>
            </w:pPr>
            <w:r w:rsidRPr="001076AA" w:rsidR="001076AA">
              <w:rPr>
                <w:rFonts w:ascii="Times New Roman" w:hAnsi="Times New Roman"/>
                <w:color w:val="0070C0"/>
              </w:rPr>
              <w:t xml:space="preserve"> </w:t>
            </w:r>
            <w:r w:rsidRPr="001076AA" w:rsidR="001076AA">
              <w:rPr>
                <w:rFonts w:ascii="Times New Roman" w:hAnsi="Times New Roman"/>
                <w:color w:val="0070C0"/>
              </w:rPr>
              <w:t>(8)   Národná banka Slovenska zašle príslušným orgánom dohľadu hostiteľského členského štátu informácie o všetkých zmenách dokumentov uvedených v § 139 ods. 2</w:t>
            </w:r>
            <w:r w:rsidRPr="001076AA" w:rsidR="00333A53">
              <w:rPr>
                <w:rFonts w:ascii="Times New Roman" w:hAnsi="Times New Roman"/>
                <w:color w:val="0070C0"/>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2F39">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rsidP="005E29C5">
            <w:pPr>
              <w:autoSpaceDE w:val="0"/>
              <w:autoSpaceDN w:val="0"/>
              <w:bidi w:val="0"/>
              <w:spacing w:before="0"/>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E170A8">
            <w:pPr>
              <w:autoSpaceDE w:val="0"/>
              <w:autoSpaceDN w:val="0"/>
              <w:bidi w:val="0"/>
              <w:spacing w:before="0"/>
              <w:jc w:val="center"/>
              <w:rPr>
                <w:rFonts w:ascii="Arial Narrow" w:hAnsi="Arial Narrow"/>
                <w:sz w:val="22"/>
                <w:szCs w:val="22"/>
              </w:rPr>
            </w:pPr>
          </w:p>
          <w:p w:rsidR="00CF74FD">
            <w:pPr>
              <w:autoSpaceDE w:val="0"/>
              <w:autoSpaceDN w:val="0"/>
              <w:bidi w:val="0"/>
              <w:spacing w:before="0"/>
              <w:jc w:val="center"/>
              <w:rPr>
                <w:rFonts w:ascii="Arial Narrow" w:hAnsi="Arial Narrow"/>
                <w:sz w:val="22"/>
                <w:szCs w:val="22"/>
              </w:rPr>
            </w:pPr>
          </w:p>
          <w:p w:rsidR="004930E0">
            <w:pPr>
              <w:autoSpaceDE w:val="0"/>
              <w:autoSpaceDN w:val="0"/>
              <w:bidi w:val="0"/>
              <w:spacing w:before="0"/>
              <w:jc w:val="center"/>
              <w:rPr>
                <w:rFonts w:ascii="Arial Narrow" w:hAnsi="Arial Narrow"/>
                <w:sz w:val="22"/>
                <w:szCs w:val="22"/>
              </w:rPr>
            </w:pPr>
          </w:p>
          <w:p w:rsidR="004930E0">
            <w:pPr>
              <w:autoSpaceDE w:val="0"/>
              <w:autoSpaceDN w:val="0"/>
              <w:bidi w:val="0"/>
              <w:spacing w:before="0"/>
              <w:jc w:val="center"/>
              <w:rPr>
                <w:rFonts w:ascii="Arial Narrow" w:hAnsi="Arial Narrow"/>
                <w:sz w:val="22"/>
                <w:szCs w:val="22"/>
              </w:rPr>
            </w:pPr>
          </w:p>
          <w:p w:rsidR="009A1BB9">
            <w:pPr>
              <w:autoSpaceDE w:val="0"/>
              <w:autoSpaceDN w:val="0"/>
              <w:bidi w:val="0"/>
              <w:spacing w:before="0"/>
              <w:jc w:val="center"/>
              <w:rPr>
                <w:rFonts w:ascii="Arial Narrow" w:hAnsi="Arial Narrow"/>
                <w:sz w:val="22"/>
                <w:szCs w:val="22"/>
              </w:rPr>
            </w:pPr>
          </w:p>
          <w:p w:rsidR="00532D62">
            <w:pPr>
              <w:autoSpaceDE w:val="0"/>
              <w:autoSpaceDN w:val="0"/>
              <w:bidi w:val="0"/>
              <w:spacing w:before="0"/>
              <w:jc w:val="center"/>
              <w:rPr>
                <w:rFonts w:ascii="Arial Narrow" w:hAnsi="Arial Narrow"/>
                <w:sz w:val="22"/>
                <w:szCs w:val="22"/>
              </w:rPr>
            </w:pPr>
            <w:r w:rsidR="00E170A8">
              <w:rPr>
                <w:rFonts w:ascii="Arial Narrow" w:hAnsi="Arial Narrow"/>
                <w:sz w:val="22"/>
                <w:szCs w:val="22"/>
              </w:rPr>
              <w:t>n.a.</w:t>
            </w:r>
          </w:p>
          <w:p w:rsidR="00532D62" w:rsidRPr="002153F7" w:rsidP="00E170A8">
            <w:pPr>
              <w:autoSpaceDE w:val="0"/>
              <w:autoSpaceDN w:val="0"/>
              <w:bidi w:val="0"/>
              <w:spacing w:before="0"/>
              <w:jc w:val="center"/>
              <w:rPr>
                <w:rFonts w:ascii="Arial Narrow" w:hAnsi="Arial Narrow"/>
                <w:sz w:val="22"/>
                <w:szCs w:val="22"/>
              </w:rPr>
            </w:pP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162F39" w:rsidRPr="002153F7" w:rsidP="003172BB">
            <w:pPr>
              <w:pStyle w:val="Heading1"/>
              <w:bidi w:val="0"/>
              <w:jc w:val="both"/>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2</w:t>
            </w:r>
          </w:p>
          <w:p w:rsidR="00DE2DB9" w:rsidRPr="009D5B18" w:rsidP="00E621F4">
            <w:pPr>
              <w:autoSpaceDE w:val="0"/>
              <w:autoSpaceDN w:val="0"/>
              <w:bidi w:val="0"/>
              <w:spacing w:before="0"/>
              <w:jc w:val="center"/>
              <w:rPr>
                <w:rFonts w:ascii="Times New Roman" w:hAnsi="Times New Roman"/>
                <w:sz w:val="22"/>
                <w:szCs w:val="22"/>
              </w:rPr>
            </w:pPr>
            <w:r>
              <w:rPr>
                <w:rFonts w:ascii="Times New Roman" w:hAnsi="Times New Roman"/>
                <w:sz w:val="22"/>
                <w:szCs w:val="22"/>
              </w:rPr>
              <w:t>Bod 1</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shd w:val="clear" w:color="auto" w:fill="FFFFFF"/>
              <w:bidi w:val="0"/>
              <w:spacing w:before="60" w:after="120"/>
              <w:jc w:val="center"/>
              <w:rPr>
                <w:rFonts w:ascii="Times New Roman" w:hAnsi="Times New Roman"/>
                <w:b/>
                <w:bCs/>
                <w:color w:val="000000"/>
                <w:sz w:val="22"/>
                <w:szCs w:val="22"/>
              </w:rPr>
            </w:pPr>
            <w:r w:rsidRPr="009D5B18">
              <w:rPr>
                <w:rFonts w:ascii="Times New Roman" w:hAnsi="Times New Roman"/>
                <w:b/>
                <w:bCs/>
                <w:color w:val="000000"/>
                <w:sz w:val="22"/>
                <w:szCs w:val="22"/>
              </w:rPr>
              <w:t>Zmeny smernice 2011/61/EÚ</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Smernica 2011/61/EÚ sa mení takto:</w:t>
            </w:r>
          </w:p>
          <w:tbl>
            <w:tblPr>
              <w:tblStyle w:val="TableNormal"/>
              <w:tblW w:w="5000" w:type="pct"/>
              <w:tblLayout w:type="fixed"/>
              <w:tblCellMar>
                <w:left w:w="0" w:type="dxa"/>
                <w:right w:w="0" w:type="dxa"/>
              </w:tblCellMar>
              <w:tblLook w:val="04A0"/>
            </w:tblPr>
            <w:tblGrid>
              <w:gridCol w:w="232"/>
              <w:gridCol w:w="6344"/>
            </w:tblGrid>
            <w:tr>
              <w:tblPrEx>
                <w:tblW w:w="5000" w:type="pct"/>
                <w:tblLayout w:type="fixed"/>
                <w:tblCellMar>
                  <w:left w:w="0" w:type="dxa"/>
                  <w:right w:w="0" w:type="dxa"/>
                </w:tblCellMar>
                <w:tblLook w:val="04A0"/>
              </w:tblPrEx>
              <w:tc>
                <w:tcPr>
                  <w:tcW w:w="241"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1.</w:t>
                  </w:r>
                </w:p>
              </w:tc>
              <w:tc>
                <w:tcPr>
                  <w:tcW w:w="6619"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V článku 4 ods. 1 sa vkladá toto písmeno:</w:t>
                  </w:r>
                </w:p>
                <w:tbl>
                  <w:tblPr>
                    <w:tblStyle w:val="TableNormal"/>
                    <w:tblW w:w="6246" w:type="dxa"/>
                    <w:tblLayout w:type="fixed"/>
                    <w:tblCellMar>
                      <w:left w:w="0" w:type="dxa"/>
                      <w:right w:w="0" w:type="dxa"/>
                    </w:tblCellMar>
                    <w:tblLook w:val="04A0"/>
                  </w:tblPr>
                  <w:tblGrid>
                    <w:gridCol w:w="576"/>
                    <w:gridCol w:w="5670"/>
                  </w:tblGrid>
                  <w:tr>
                    <w:tblPrEx>
                      <w:tblW w:w="6246" w:type="dxa"/>
                      <w:tblLayout w:type="fixed"/>
                      <w:tblCellMar>
                        <w:left w:w="0" w:type="dxa"/>
                        <w:right w:w="0" w:type="dxa"/>
                      </w:tblCellMar>
                      <w:tblLook w:val="04A0"/>
                    </w:tblPrEx>
                    <w:tc>
                      <w:tcPr>
                        <w:tcW w:w="576"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„aea)</w:t>
                        </w:r>
                      </w:p>
                    </w:tc>
                    <w:tc>
                      <w:tcPr>
                        <w:tcW w:w="5670"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„predmarketing“ je priame alebo nepriame poskytnutie informácií o investičných stratégiách alebo investičných zámeroch zo strany správcu AIF z EÚ alebo v jeho mene potenciálnym profesionálnym investorom s bydliskom alebo so sídlom v Únii, alebo priama či nepriama komunikácia s týmito investormi, s cieľom preveriť ich záujem o AIF alebo podfond, ktorý ešte nebol zriadený, alebo ktorý je zriadený, ale ešte nebolo vydané oznámenie na účely uvedenia na trh v súlade s článkom 31 alebo 32 v tom členskom štáte, v ktorom majú potenciálni investori bydlisko alebo sídlo, a ktoré v jednotlivých prípadoch nepredstavuje ponuku ani umiestnenie u potenciálneho investora vo vzťahu k investovaniu do podielových listov alebo akcií tohto AIF alebo podfondu;“</w:t>
                        </w:r>
                      </w:p>
                    </w:tc>
                  </w:tr>
                </w:tbl>
                <w:p w:rsidR="00E621F4" w:rsidRPr="009D5B18" w:rsidP="00E621F4">
                  <w:pPr>
                    <w:bidi w:val="0"/>
                    <w:spacing w:before="0"/>
                    <w:jc w:val="left"/>
                    <w:rPr>
                      <w:rFonts w:ascii="Times New Roman" w:hAnsi="Times New Roman"/>
                      <w:color w:val="000000"/>
                      <w:sz w:val="22"/>
                      <w:szCs w:val="22"/>
                    </w:rPr>
                  </w:pPr>
                </w:p>
              </w:tc>
            </w:tr>
          </w:tbl>
          <w:p w:rsidR="00E621F4" w:rsidRPr="009D5B18" w:rsidP="00E621F4">
            <w:pPr>
              <w:shd w:val="clear" w:color="auto" w:fill="FFFFFF"/>
              <w:bidi w:val="0"/>
              <w:spacing w:before="0"/>
              <w:jc w:val="left"/>
              <w:rPr>
                <w:rFonts w:ascii="Times New Roman" w:hAnsi="Times New Roman"/>
                <w:vanish/>
                <w:color w:val="000000"/>
                <w:sz w:val="22"/>
                <w:szCs w:val="22"/>
              </w:rPr>
            </w:pPr>
          </w:p>
          <w:p w:rsidR="00E621F4" w:rsidRPr="009D5B18" w:rsidP="00E621F4">
            <w:pPr>
              <w:bidi w:val="0"/>
              <w:rPr>
                <w:rFonts w:ascii="Times New Roman" w:hAnsi="Times New Roman"/>
                <w:color w:val="000000"/>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B4035A" w:rsidRPr="00E937FC" w:rsidP="00E621F4">
            <w:pPr>
              <w:autoSpaceDE w:val="0"/>
              <w:autoSpaceDN w:val="0"/>
              <w:bidi w:val="0"/>
              <w:spacing w:before="0"/>
              <w:jc w:val="center"/>
              <w:rPr>
                <w:rFonts w:ascii="Arial Narrow" w:hAnsi="Arial Narrow"/>
                <w:sz w:val="22"/>
                <w:szCs w:val="22"/>
              </w:rPr>
            </w:pPr>
            <w:r w:rsidRPr="00E937FC">
              <w:rPr>
                <w:rFonts w:ascii="Arial Narrow" w:hAnsi="Arial Narrow"/>
                <w:sz w:val="22"/>
                <w:szCs w:val="22"/>
              </w:rPr>
              <w:t>203/</w:t>
            </w:r>
          </w:p>
          <w:p w:rsidR="00E621F4" w:rsidRPr="00380F43" w:rsidP="00E621F4">
            <w:pPr>
              <w:autoSpaceDE w:val="0"/>
              <w:autoSpaceDN w:val="0"/>
              <w:bidi w:val="0"/>
              <w:spacing w:before="0"/>
              <w:jc w:val="center"/>
              <w:rPr>
                <w:rFonts w:ascii="Arial Narrow" w:hAnsi="Arial Narrow"/>
                <w:b/>
                <w:color w:val="0070C0"/>
                <w:sz w:val="22"/>
                <w:szCs w:val="22"/>
              </w:rPr>
            </w:pPr>
            <w:r w:rsidRPr="00E937FC" w:rsidR="00B4035A">
              <w:rPr>
                <w:rFonts w:ascii="Arial Narrow" w:hAnsi="Arial Narrow"/>
                <w:sz w:val="22"/>
                <w:szCs w:val="22"/>
              </w:rPr>
              <w:t>2011 a</w:t>
            </w:r>
            <w:r w:rsidR="00B4035A">
              <w:rPr>
                <w:rFonts w:ascii="Arial Narrow" w:hAnsi="Arial Narrow"/>
                <w:b/>
                <w:color w:val="0070C0"/>
                <w:sz w:val="22"/>
                <w:szCs w:val="22"/>
              </w:rPr>
              <w:t xml:space="preserve"> </w:t>
            </w:r>
            <w:r w:rsidRPr="00380F43">
              <w:rPr>
                <w:rFonts w:ascii="Arial Narrow" w:hAnsi="Arial Narrow"/>
                <w:b/>
                <w:color w:val="0070C0"/>
                <w:sz w:val="22"/>
                <w:szCs w:val="22"/>
              </w:rPr>
              <w:t>Návrh zákona čl.</w:t>
            </w:r>
            <w:r>
              <w:rPr>
                <w:rFonts w:ascii="Arial Narrow" w:hAnsi="Arial Narrow"/>
                <w:b/>
                <w:color w:val="0070C0"/>
                <w:sz w:val="22"/>
                <w:szCs w:val="22"/>
              </w:rPr>
              <w:t>I</w:t>
            </w:r>
          </w:p>
          <w:p w:rsidR="00E621F4"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r w:rsidRPr="00E621F4">
              <w:rPr>
                <w:rFonts w:ascii="Arial Narrow" w:hAnsi="Arial Narrow"/>
                <w:sz w:val="22"/>
                <w:szCs w:val="22"/>
              </w:rPr>
              <w:t xml:space="preserve">§ 3 </w:t>
            </w:r>
            <w:r>
              <w:rPr>
                <w:rFonts w:ascii="Arial Narrow" w:hAnsi="Arial Narrow"/>
                <w:sz w:val="22"/>
                <w:szCs w:val="22"/>
              </w:rPr>
              <w:t>písm. ao)</w:t>
            </w:r>
          </w:p>
          <w:p w:rsidR="00E621F4" w:rsidRPr="002153F7" w:rsidP="00E621F4">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E2DB9" w:rsidRPr="007B6307" w:rsidP="009128CB">
            <w:pPr>
              <w:pStyle w:val="Normlny"/>
              <w:bidi w:val="0"/>
              <w:ind w:left="382" w:hanging="382"/>
              <w:jc w:val="both"/>
              <w:rPr>
                <w:rFonts w:ascii="Times New Roman" w:hAnsi="Times New Roman"/>
                <w:color w:val="0070C0"/>
                <w:sz w:val="22"/>
                <w:szCs w:val="22"/>
                <w:lang w:eastAsia="sk-SK"/>
              </w:rPr>
            </w:pPr>
            <w:r w:rsidRPr="007B6307">
              <w:rPr>
                <w:rFonts w:ascii="Times New Roman" w:hAnsi="Times New Roman"/>
                <w:color w:val="494949"/>
                <w:sz w:val="22"/>
                <w:szCs w:val="22"/>
              </w:rPr>
              <w:t>Na účely tohto zákona sa rozumie</w:t>
            </w:r>
          </w:p>
          <w:p w:rsidR="00E621F4" w:rsidRPr="007B6307" w:rsidP="00225CF4">
            <w:pPr>
              <w:pStyle w:val="Normlny"/>
              <w:bidi w:val="0"/>
              <w:ind w:left="382" w:hanging="382"/>
              <w:jc w:val="both"/>
              <w:rPr>
                <w:rFonts w:ascii="Times New Roman" w:hAnsi="Times New Roman"/>
                <w:sz w:val="22"/>
                <w:szCs w:val="22"/>
              </w:rPr>
            </w:pPr>
            <w:r w:rsidRPr="007B6307" w:rsidR="009128CB">
              <w:rPr>
                <w:rFonts w:ascii="Times New Roman" w:hAnsi="Times New Roman"/>
                <w:color w:val="0070C0"/>
                <w:sz w:val="22"/>
                <w:szCs w:val="22"/>
                <w:lang w:eastAsia="sk-SK"/>
              </w:rPr>
              <w:t>ao</w:t>
            </w:r>
            <w:r w:rsidRPr="004930E0" w:rsidR="009128CB">
              <w:rPr>
                <w:rFonts w:ascii="Times New Roman" w:hAnsi="Times New Roman"/>
                <w:color w:val="0070C0"/>
                <w:sz w:val="24"/>
                <w:szCs w:val="24"/>
                <w:lang w:eastAsia="sk-SK"/>
              </w:rPr>
              <w:t xml:space="preserve">)  </w:t>
            </w:r>
            <w:r w:rsidRPr="00F8764E" w:rsidR="00F8764E">
              <w:rPr>
                <w:rFonts w:ascii="Times New Roman" w:hAnsi="Times New Roman"/>
                <w:color w:val="0070C0"/>
                <w:sz w:val="24"/>
                <w:szCs w:val="24"/>
                <w:lang w:eastAsia="sk-SK"/>
              </w:rPr>
              <w:t>predmarketingom priame alebo nepriame poskytnutie informácií o investičných stratégiách alebo investičných zámeroch správcovskej spoločnosti alebo zahraničnej správcovskej spoločnosti európskeho alternatívneho investičného fondu alebo v jeho mene potenciálnym profesionálnym investorom s bydliskom alebo so sídlom v členskom štáte, alebo priama alebo nepriama komunikácia s týmito investormi, s cieľom preveriť ich záujem o investíciu do alternatívneho investičného fondu alebo podfondu alternatívneho investičného fondu, ktorý ešte nebol zriadený, alebo ktorý je zriadený, ale ešte nebolo Národnou bankou Slovenska prijaté oznámenie v súlade s § 150b alebo s 150d v tom členskom štáte, v ktorom majú potenciálni investori bydlisko alebo sídlo, a ktoré za žiadnych okolností nepredstavuje ponuku ani umiestnenie u potenciálneho investora vo vzťahu k investovaniu do cenných papierov tohto alternatívneho investičného fondu alebo podfondu alternatívneho investičného fondu</w:t>
            </w:r>
            <w:r w:rsidRPr="00F8764E" w:rsidR="008A635A">
              <w:rPr>
                <w:rFonts w:ascii="Times New Roman" w:hAnsi="Times New Roman"/>
                <w:color w:val="0070C0"/>
                <w:sz w:val="24"/>
                <w:szCs w:val="24"/>
                <w:lang w:eastAsia="sk-SK"/>
              </w:rPr>
              <w:t>.</w:t>
            </w:r>
            <w:r w:rsidRPr="008A635A" w:rsidR="008A635A">
              <w:rPr>
                <w:rFonts w:ascii="Times New Roman" w:hAnsi="Times New Roman"/>
                <w:color w:val="0070C0"/>
                <w:sz w:val="24"/>
                <w:szCs w:val="24"/>
                <w:vertAlign w:val="superscript"/>
                <w:lang w:eastAsia="sk-SK"/>
              </w:rPr>
              <w:t>3bb</w:t>
            </w:r>
            <w:r w:rsidRPr="008A635A" w:rsidR="008A635A">
              <w:rPr>
                <w:rFonts w:ascii="Times New Roman" w:hAnsi="Times New Roman"/>
                <w:color w:val="0070C0"/>
                <w:sz w:val="24"/>
                <w:szCs w:val="24"/>
                <w:lang w:eastAsia="sk-SK"/>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E2DB9" w:rsidP="00E621F4">
            <w:pPr>
              <w:autoSpaceDE w:val="0"/>
              <w:autoSpaceDN w:val="0"/>
              <w:bidi w:val="0"/>
              <w:spacing w:before="0"/>
              <w:jc w:val="center"/>
              <w:rPr>
                <w:rFonts w:ascii="Times New Roman" w:hAnsi="Times New Roman"/>
                <w:sz w:val="22"/>
                <w:szCs w:val="22"/>
              </w:rPr>
            </w:pPr>
            <w:r w:rsidRPr="009D5B18" w:rsidR="00E621F4">
              <w:rPr>
                <w:rFonts w:ascii="Times New Roman" w:hAnsi="Times New Roman"/>
                <w:sz w:val="22"/>
                <w:szCs w:val="22"/>
              </w:rPr>
              <w:t>Čl. 2</w:t>
            </w:r>
          </w:p>
          <w:p w:rsidR="00E621F4" w:rsidRPr="009D5B18"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Body 2 a 3</w:t>
            </w:r>
            <w:r w:rsidRPr="009D5B18">
              <w:rPr>
                <w:rFonts w:ascii="Times New Roman" w:hAnsi="Times New Roman"/>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4824" w:type="pct"/>
              <w:tblLayout w:type="fixed"/>
              <w:tblCellMar>
                <w:left w:w="0" w:type="dxa"/>
                <w:right w:w="0" w:type="dxa"/>
              </w:tblCellMar>
              <w:tblLook w:val="04A0"/>
            </w:tblPr>
            <w:tblGrid>
              <w:gridCol w:w="232"/>
              <w:gridCol w:w="6113"/>
            </w:tblGrid>
            <w:tr>
              <w:tblPrEx>
                <w:tblW w:w="4824" w:type="pct"/>
                <w:tblLayout w:type="fixed"/>
                <w:tblCellMar>
                  <w:left w:w="0" w:type="dxa"/>
                  <w:right w:w="0" w:type="dxa"/>
                </w:tblCellMar>
                <w:tblLook w:val="04A0"/>
              </w:tblPrEx>
              <w:tc>
                <w:tcPr>
                  <w:tcW w:w="241"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2.</w:t>
                  </w:r>
                </w:p>
              </w:tc>
              <w:tc>
                <w:tcPr>
                  <w:tcW w:w="6378"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Na začiatku Kapitoly VI sa vkladá tento článok:</w:t>
                  </w:r>
                </w:p>
                <w:p w:rsidR="00E621F4" w:rsidRPr="009D5B18" w:rsidP="00E621F4">
                  <w:pPr>
                    <w:bidi w:val="0"/>
                    <w:spacing w:before="360" w:after="120"/>
                    <w:jc w:val="center"/>
                    <w:rPr>
                      <w:rFonts w:ascii="Times New Roman" w:hAnsi="Times New Roman"/>
                      <w:i/>
                      <w:iCs/>
                      <w:color w:val="000000"/>
                      <w:sz w:val="22"/>
                      <w:szCs w:val="22"/>
                    </w:rPr>
                  </w:pPr>
                  <w:r w:rsidRPr="009D5B18">
                    <w:rPr>
                      <w:rFonts w:ascii="Times New Roman" w:hAnsi="Times New Roman"/>
                      <w:i/>
                      <w:iCs/>
                      <w:color w:val="000000"/>
                      <w:sz w:val="22"/>
                      <w:szCs w:val="22"/>
                    </w:rPr>
                    <w:t>„Článok 30a</w:t>
                  </w:r>
                </w:p>
                <w:p w:rsidR="00E621F4" w:rsidRPr="009D5B18" w:rsidP="00E621F4">
                  <w:pPr>
                    <w:bidi w:val="0"/>
                    <w:spacing w:before="60" w:after="120"/>
                    <w:jc w:val="center"/>
                    <w:rPr>
                      <w:rFonts w:ascii="Times New Roman" w:hAnsi="Times New Roman"/>
                      <w:b/>
                      <w:bCs/>
                      <w:color w:val="000000"/>
                      <w:sz w:val="22"/>
                      <w:szCs w:val="22"/>
                    </w:rPr>
                  </w:pPr>
                  <w:r w:rsidRPr="009D5B18">
                    <w:rPr>
                      <w:rFonts w:ascii="Times New Roman" w:hAnsi="Times New Roman"/>
                      <w:b/>
                      <w:bCs/>
                      <w:color w:val="000000"/>
                      <w:sz w:val="22"/>
                      <w:szCs w:val="22"/>
                    </w:rPr>
                    <w:t>Podmienky uskutočňovania predmarketingu v Únii správcom AIF z EÚ</w:t>
                  </w:r>
                </w:p>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1.   Členské štáty zabezpečia, aby správca AIF z EÚ, ktorému bolo udelené povolenie, mohol v Únii vykonávať predmarketing, okrem prípadov, keď informácie predložené potenciálnym profesionálnym investorom:</w:t>
                  </w:r>
                </w:p>
                <w:tbl>
                  <w:tblPr>
                    <w:tblStyle w:val="TableNormal"/>
                    <w:tblW w:w="5000" w:type="pct"/>
                    <w:tblLayout w:type="fixed"/>
                    <w:tblCellMar>
                      <w:left w:w="0" w:type="dxa"/>
                      <w:right w:w="0" w:type="dxa"/>
                    </w:tblCellMar>
                    <w:tblLook w:val="04A0"/>
                  </w:tblPr>
                  <w:tblGrid>
                    <w:gridCol w:w="263"/>
                    <w:gridCol w:w="5850"/>
                  </w:tblGrid>
                  <w:tr>
                    <w:tblPrEx>
                      <w:tblW w:w="5000" w:type="pct"/>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336" w:type="dxa"/>
                        <w:tcBorders>
                          <w:top w:val="nil"/>
                          <w:left w:val="nil"/>
                          <w:bottom w:val="nil"/>
                          <w:right w:val="nil"/>
                        </w:tcBorders>
                        <w:textDirection w:val="lrTb"/>
                        <w:vAlign w:val="top"/>
                        <w:hideMark/>
                      </w:tcPr>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sú dostatočné na to, aby umožnili investorom zaviazať sa k nadobúdaniu podielových listov alebo akcií konkrétneho AIF;</w:t>
                        </w:r>
                      </w:p>
                      <w:p w:rsidR="00250283" w:rsidP="00E621F4">
                        <w:pPr>
                          <w:bidi w:val="0"/>
                          <w:rPr>
                            <w:rFonts w:ascii="Times New Roman" w:hAnsi="Times New Roman"/>
                            <w:color w:val="000000"/>
                            <w:sz w:val="22"/>
                            <w:szCs w:val="22"/>
                          </w:rPr>
                        </w:pPr>
                      </w:p>
                      <w:p w:rsidR="007D53D7" w:rsidP="00E621F4">
                        <w:pPr>
                          <w:bidi w:val="0"/>
                          <w:rPr>
                            <w:rFonts w:ascii="Times New Roman" w:hAnsi="Times New Roman"/>
                            <w:color w:val="000000"/>
                            <w:sz w:val="22"/>
                            <w:szCs w:val="22"/>
                          </w:rPr>
                        </w:pPr>
                      </w:p>
                      <w:p w:rsidR="007D53D7" w:rsidRPr="009D5B18" w:rsidP="00E621F4">
                        <w:pPr>
                          <w:bidi w:val="0"/>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3"/>
                    <w:gridCol w:w="5850"/>
                  </w:tblGrid>
                  <w:tr>
                    <w:tblPrEx>
                      <w:tblW w:w="5000" w:type="pct"/>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336" w:type="dxa"/>
                        <w:tcBorders>
                          <w:top w:val="nil"/>
                          <w:left w:val="nil"/>
                          <w:bottom w:val="nil"/>
                          <w:right w:val="nil"/>
                        </w:tcBorders>
                        <w:textDirection w:val="lrTb"/>
                        <w:vAlign w:val="top"/>
                        <w:hideMark/>
                      </w:tcPr>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predstavujú upisovacie formuláre alebo podobné dokumenty vo forme návrhu alebo v konečnej podobe; alebo</w:t>
                        </w:r>
                      </w:p>
                      <w:p w:rsidR="00250283" w:rsidP="00E621F4">
                        <w:pPr>
                          <w:bidi w:val="0"/>
                          <w:rPr>
                            <w:rFonts w:ascii="Times New Roman" w:hAnsi="Times New Roman"/>
                            <w:color w:val="000000"/>
                            <w:sz w:val="22"/>
                            <w:szCs w:val="22"/>
                          </w:rPr>
                        </w:pPr>
                      </w:p>
                      <w:p w:rsidR="00250283" w:rsidP="00E621F4">
                        <w:pPr>
                          <w:bidi w:val="0"/>
                          <w:rPr>
                            <w:rFonts w:ascii="Times New Roman" w:hAnsi="Times New Roman"/>
                            <w:color w:val="000000"/>
                            <w:sz w:val="22"/>
                            <w:szCs w:val="22"/>
                          </w:rPr>
                        </w:pPr>
                      </w:p>
                      <w:p w:rsidR="00250283" w:rsidRPr="009D5B18" w:rsidP="00E621F4">
                        <w:pPr>
                          <w:bidi w:val="0"/>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3"/>
                    <w:gridCol w:w="5850"/>
                  </w:tblGrid>
                  <w:tr>
                    <w:tblPrEx>
                      <w:tblW w:w="5000" w:type="pct"/>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c)</w:t>
                        </w:r>
                      </w:p>
                    </w:tc>
                    <w:tc>
                      <w:tcPr>
                        <w:tcW w:w="6336" w:type="dxa"/>
                        <w:tcBorders>
                          <w:top w:val="nil"/>
                          <w:left w:val="nil"/>
                          <w:bottom w:val="nil"/>
                          <w:right w:val="nil"/>
                        </w:tcBorders>
                        <w:textDirection w:val="lrTb"/>
                        <w:vAlign w:val="top"/>
                        <w:hideMark/>
                      </w:tcPr>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predstavujú zakladajúce dokumenty, prospekt alebo ponukové materiály ešte nezriadeného AIF v konečnej podobe.</w:t>
                        </w:r>
                      </w:p>
                      <w:p w:rsidR="00250283" w:rsidP="00E621F4">
                        <w:pPr>
                          <w:bidi w:val="0"/>
                          <w:rPr>
                            <w:rFonts w:ascii="Times New Roman" w:hAnsi="Times New Roman"/>
                            <w:color w:val="000000"/>
                            <w:sz w:val="22"/>
                            <w:szCs w:val="22"/>
                          </w:rPr>
                        </w:pPr>
                      </w:p>
                      <w:p w:rsidR="00250283" w:rsidP="00E621F4">
                        <w:pPr>
                          <w:bidi w:val="0"/>
                          <w:rPr>
                            <w:rFonts w:ascii="Times New Roman" w:hAnsi="Times New Roman"/>
                            <w:color w:val="000000"/>
                            <w:sz w:val="22"/>
                            <w:szCs w:val="22"/>
                          </w:rPr>
                        </w:pPr>
                      </w:p>
                      <w:p w:rsidR="007D53D7" w:rsidRPr="009D5B18" w:rsidP="00E621F4">
                        <w:pPr>
                          <w:bidi w:val="0"/>
                          <w:rPr>
                            <w:rFonts w:ascii="Times New Roman" w:hAnsi="Times New Roman"/>
                            <w:color w:val="000000"/>
                            <w:sz w:val="22"/>
                            <w:szCs w:val="22"/>
                          </w:rPr>
                        </w:pPr>
                      </w:p>
                    </w:tc>
                  </w:tr>
                </w:tbl>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Ak sa poskytuje návrh prospektu alebo ponukové materiály, nesmú obsahovať informácie umožňujúce investorom prijať investičné rozhodnutie a musí sa v nich jasne uvádzať, že:</w:t>
                  </w:r>
                </w:p>
                <w:p w:rsidR="00BA300C" w:rsidP="00E621F4">
                  <w:pPr>
                    <w:bidi w:val="0"/>
                    <w:rPr>
                      <w:rFonts w:ascii="Times New Roman" w:hAnsi="Times New Roman"/>
                      <w:color w:val="000000"/>
                      <w:sz w:val="22"/>
                      <w:szCs w:val="22"/>
                    </w:rPr>
                  </w:pPr>
                </w:p>
                <w:p w:rsidR="00BA300C" w:rsidRPr="009D5B18" w:rsidP="00E621F4">
                  <w:pPr>
                    <w:bidi w:val="0"/>
                    <w:rPr>
                      <w:rFonts w:ascii="Times New Roman" w:hAnsi="Times New Roman"/>
                      <w:color w:val="000000"/>
                      <w:sz w:val="22"/>
                      <w:szCs w:val="22"/>
                    </w:rPr>
                  </w:pPr>
                </w:p>
                <w:tbl>
                  <w:tblPr>
                    <w:tblStyle w:val="TableNormal"/>
                    <w:tblW w:w="5000" w:type="pct"/>
                    <w:tblLayout w:type="fixed"/>
                    <w:tblCellMar>
                      <w:left w:w="0" w:type="dxa"/>
                      <w:right w:w="0" w:type="dxa"/>
                    </w:tblCellMar>
                    <w:tblLook w:val="04A0"/>
                  </w:tblPr>
                  <w:tblGrid>
                    <w:gridCol w:w="263"/>
                    <w:gridCol w:w="5850"/>
                  </w:tblGrid>
                  <w:tr>
                    <w:tblPrEx>
                      <w:tblW w:w="5000" w:type="pct"/>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336" w:type="dxa"/>
                        <w:tcBorders>
                          <w:top w:val="nil"/>
                          <w:left w:val="nil"/>
                          <w:bottom w:val="nil"/>
                          <w:right w:val="nil"/>
                        </w:tcBorders>
                        <w:textDirection w:val="lrTb"/>
                        <w:vAlign w:val="top"/>
                        <w:hideMark/>
                      </w:tcPr>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 xml:space="preserve">nepredstavujú </w:t>
                        </w:r>
                        <w:r w:rsidRPr="004930E0">
                          <w:rPr>
                            <w:rFonts w:ascii="Times New Roman" w:hAnsi="Times New Roman"/>
                            <w:color w:val="000000"/>
                            <w:sz w:val="22"/>
                            <w:szCs w:val="22"/>
                          </w:rPr>
                          <w:t>ponuku alebo výzvu na upísanie podielových listov alebo akcií AIF; a</w:t>
                        </w:r>
                      </w:p>
                      <w:p w:rsidR="00BA300C" w:rsidP="00E621F4">
                        <w:pPr>
                          <w:bidi w:val="0"/>
                          <w:rPr>
                            <w:rFonts w:ascii="Times New Roman" w:hAnsi="Times New Roman"/>
                            <w:color w:val="000000"/>
                            <w:sz w:val="22"/>
                            <w:szCs w:val="22"/>
                          </w:rPr>
                        </w:pPr>
                      </w:p>
                      <w:p w:rsidR="00BA300C" w:rsidRPr="009D5B18" w:rsidP="00E621F4">
                        <w:pPr>
                          <w:bidi w:val="0"/>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3"/>
                    <w:gridCol w:w="5850"/>
                  </w:tblGrid>
                  <w:tr>
                    <w:tblPrEx>
                      <w:tblW w:w="5000" w:type="pct"/>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336"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o informácie, ktoré sú v nich predložené, sa nemožno opierať, pretože nie sú úplné a môžu sa zmeniť.</w:t>
                        </w:r>
                      </w:p>
                    </w:tc>
                  </w:tr>
                </w:tbl>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Členské štáty zabezpečia, aby správca AIF z EÚ predtým, ako začne vykonávať predmarketing, nebol povinní oznámiť príslušným orgánom obsah alebo adresátov predmarketingu ani splniť iné podmienky alebo požiadavky než tie, ktoré sú stanovené v tomto článku.</w:t>
                  </w: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4930E0" w:rsidRPr="009D5B18" w:rsidP="00E621F4">
                  <w:pPr>
                    <w:bidi w:val="0"/>
                    <w:rPr>
                      <w:rFonts w:ascii="Times New Roman" w:hAnsi="Times New Roman"/>
                      <w:color w:val="000000"/>
                      <w:sz w:val="22"/>
                      <w:szCs w:val="22"/>
                    </w:rPr>
                  </w:pPr>
                </w:p>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2.   Správcovia AIF z EÚ zabezpečia, aby investori nenadobudli podielové listy alebo akcie v AIF prostredníctvom predmarketingu a aby investori kontaktovaní v rámci predmarketingu mohli nadobudnúť podielové listy alebo akcie len v danom AIF prostredníctvom uvedenia na trh, ktoré je povolené podľa článkov 31 alebo 32.</w:t>
                  </w: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RPr="009D5B18" w:rsidP="00E621F4">
                  <w:pPr>
                    <w:bidi w:val="0"/>
                    <w:rPr>
                      <w:rFonts w:ascii="Times New Roman" w:hAnsi="Times New Roman"/>
                      <w:color w:val="000000"/>
                      <w:sz w:val="22"/>
                      <w:szCs w:val="22"/>
                    </w:rPr>
                  </w:pPr>
                </w:p>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Každé upisovanie profesionálnymi investormi do 18 mesiacov po tom, ako sa správca AIF z EÚ zapojil do predmarketingu, vzťahujúce sa na podielové listy alebo akcie AIF, na ktoré sa odkazuje v informáciách poskytnutých v súvislosti s predmarketingom, alebo AIF zriadeného v dôsledku predmarketingu, sa považuje za výsledok uvádzania na trh a podlieha príslušným postupom oznamovania uvedeným v článkoch 31 a 32.</w:t>
                  </w: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4930E0" w:rsidP="00E621F4">
                  <w:pPr>
                    <w:bidi w:val="0"/>
                    <w:rPr>
                      <w:rFonts w:ascii="Times New Roman" w:hAnsi="Times New Roman"/>
                      <w:color w:val="000000"/>
                      <w:sz w:val="22"/>
                      <w:szCs w:val="22"/>
                    </w:rPr>
                  </w:pPr>
                </w:p>
                <w:p w:rsidR="00BA300C" w:rsidP="00E621F4">
                  <w:pPr>
                    <w:bidi w:val="0"/>
                    <w:rPr>
                      <w:rFonts w:ascii="Times New Roman" w:hAnsi="Times New Roman"/>
                      <w:color w:val="000000"/>
                      <w:sz w:val="22"/>
                      <w:szCs w:val="22"/>
                    </w:rPr>
                  </w:pPr>
                </w:p>
                <w:p w:rsidR="00BA300C" w:rsidRPr="009D5B18" w:rsidP="00E621F4">
                  <w:pPr>
                    <w:bidi w:val="0"/>
                    <w:rPr>
                      <w:rFonts w:ascii="Times New Roman" w:hAnsi="Times New Roman"/>
                      <w:color w:val="000000"/>
                      <w:sz w:val="22"/>
                      <w:szCs w:val="22"/>
                    </w:rPr>
                  </w:pPr>
                </w:p>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Členské štáty zabezpečia, aby správca AIF z EÚ do dvoch týždňov po tom, ako začal predmarketing, zaslal príslušným orgánom svojho domovského členského štátu neformálny list v tlačenej podobe alebo elektronicky. V tomto liste sa uvedú členské štáty, v ktorých sa predmarketing uskutočňuje alebo uskutočnil, ako aj príslušné obdobie, stručný opis predmarketingu vrátane informácií o predložených investičných stratégiách a prípadne zoznam AIF a podfondov AIF, ktoré sú alebo boli predmetom predmarketingu. Príslušné orgány domovského členského štátu správcu AIF z EÚ o tom bezodkladne informujú príslušné orgány členského štátu, v ktorom správca AIF z EÚ je alebo bol zapojený do predmarketingu. Príslušné orgány členského štátu, v ktorom sa predmarketing uskutočňuje alebo uskutočnil, môžu o ďalšie informácie o predmarketingu, ktorý sa uskutočňuje alebo uskutočnil na jeho území, požiadať príslušné orgány domovského členského štátu správcu AIF z EÚ.</w:t>
                  </w:r>
                </w:p>
                <w:p w:rsidR="009D3258" w:rsidP="00E621F4">
                  <w:pPr>
                    <w:bidi w:val="0"/>
                    <w:rPr>
                      <w:rFonts w:ascii="Times New Roman" w:hAnsi="Times New Roman"/>
                      <w:color w:val="000000"/>
                      <w:sz w:val="22"/>
                      <w:szCs w:val="22"/>
                    </w:rPr>
                  </w:pPr>
                </w:p>
                <w:p w:rsidR="009D3258" w:rsidP="00E621F4">
                  <w:pPr>
                    <w:bidi w:val="0"/>
                    <w:rPr>
                      <w:rFonts w:ascii="Times New Roman" w:hAnsi="Times New Roman"/>
                      <w:color w:val="000000"/>
                      <w:sz w:val="22"/>
                      <w:szCs w:val="22"/>
                    </w:rPr>
                  </w:pPr>
                </w:p>
                <w:p w:rsidR="004930E0" w:rsidP="00E621F4">
                  <w:pPr>
                    <w:bidi w:val="0"/>
                    <w:rPr>
                      <w:rFonts w:ascii="Times New Roman" w:hAnsi="Times New Roman"/>
                      <w:color w:val="000000"/>
                      <w:sz w:val="22"/>
                      <w:szCs w:val="22"/>
                    </w:rPr>
                  </w:pPr>
                </w:p>
                <w:p w:rsidR="009D3258" w:rsidP="00E621F4">
                  <w:pPr>
                    <w:bidi w:val="0"/>
                    <w:rPr>
                      <w:rFonts w:ascii="Times New Roman" w:hAnsi="Times New Roman"/>
                      <w:color w:val="000000"/>
                      <w:sz w:val="22"/>
                      <w:szCs w:val="22"/>
                    </w:rPr>
                  </w:pPr>
                </w:p>
                <w:p w:rsidR="009D3258" w:rsidRPr="009D5B18" w:rsidP="00E621F4">
                  <w:pPr>
                    <w:bidi w:val="0"/>
                    <w:rPr>
                      <w:rFonts w:ascii="Times New Roman" w:hAnsi="Times New Roman"/>
                      <w:color w:val="000000"/>
                      <w:sz w:val="22"/>
                      <w:szCs w:val="22"/>
                    </w:rPr>
                  </w:pPr>
                </w:p>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3.   Tretia strana smie vykonávať predmarketing v mene správcu AIF z EÚ, ktorému bolo udelené povolenie, iba ak jej bolo udelené povolenie ako investičnej spoločnosti v súlade so smernicou Európskeho parlamentu a Rady 2014/65/EÚ</w:t>
                  </w:r>
                  <w:hyperlink r:id="rId6" w:anchor="ntr*2-L_2019188SK.01010601-E0008" w:history="1">
                    <w:r w:rsidRPr="009D5B18">
                      <w:rPr>
                        <w:rFonts w:ascii="Times New Roman" w:hAnsi="Times New Roman"/>
                        <w:color w:val="3366CC"/>
                        <w:sz w:val="22"/>
                        <w:szCs w:val="22"/>
                      </w:rPr>
                      <w:t> (</w:t>
                    </w:r>
                    <w:r w:rsidRPr="009D5B18">
                      <w:rPr>
                        <w:rFonts w:ascii="Times New Roman" w:hAnsi="Times New Roman"/>
                        <w:color w:val="3366CC"/>
                        <w:sz w:val="22"/>
                        <w:szCs w:val="22"/>
                        <w:vertAlign w:val="superscript"/>
                      </w:rPr>
                      <w:t>*2</w:t>
                    </w:r>
                    <w:r w:rsidRPr="009D5B18">
                      <w:rPr>
                        <w:rFonts w:ascii="Times New Roman" w:hAnsi="Times New Roman"/>
                        <w:color w:val="3366CC"/>
                        <w:sz w:val="22"/>
                        <w:szCs w:val="22"/>
                      </w:rPr>
                      <w:t>)</w:t>
                    </w:r>
                  </w:hyperlink>
                  <w:r w:rsidRPr="009D5B18">
                    <w:rPr>
                      <w:rFonts w:ascii="Times New Roman" w:hAnsi="Times New Roman"/>
                      <w:color w:val="000000"/>
                      <w:sz w:val="22"/>
                      <w:szCs w:val="22"/>
                    </w:rPr>
                    <w:t>, ako úverová inštitúcia v súlade so smernicou Európskeho parlamentu a Rady 2013/36/EÚ</w:t>
                  </w:r>
                  <w:hyperlink r:id="rId6" w:anchor="ntr*3-L_2019188SK.01010601-E0009" w:history="1">
                    <w:r w:rsidRPr="009D5B18">
                      <w:rPr>
                        <w:rFonts w:ascii="Times New Roman" w:hAnsi="Times New Roman"/>
                        <w:color w:val="3366CC"/>
                        <w:sz w:val="22"/>
                        <w:szCs w:val="22"/>
                      </w:rPr>
                      <w:t> (</w:t>
                    </w:r>
                    <w:r w:rsidRPr="009D5B18">
                      <w:rPr>
                        <w:rFonts w:ascii="Times New Roman" w:hAnsi="Times New Roman"/>
                        <w:color w:val="3366CC"/>
                        <w:sz w:val="22"/>
                        <w:szCs w:val="22"/>
                        <w:vertAlign w:val="superscript"/>
                      </w:rPr>
                      <w:t>*3</w:t>
                    </w:r>
                    <w:r w:rsidRPr="009D5B18">
                      <w:rPr>
                        <w:rFonts w:ascii="Times New Roman" w:hAnsi="Times New Roman"/>
                        <w:color w:val="3366CC"/>
                        <w:sz w:val="22"/>
                        <w:szCs w:val="22"/>
                      </w:rPr>
                      <w:t>)</w:t>
                    </w:r>
                  </w:hyperlink>
                  <w:r w:rsidRPr="009D5B18">
                    <w:rPr>
                      <w:rFonts w:ascii="Times New Roman" w:hAnsi="Times New Roman"/>
                      <w:color w:val="000000"/>
                      <w:sz w:val="22"/>
                      <w:szCs w:val="22"/>
                    </w:rPr>
                    <w:t>, ako správcovská spoločnosť PKIPCP v súlade so smernicou 2009/65/ES, ako správca AIF v súlade s touto smernicou, alebo ak koná ako viazaný sprostredkovateľ v súlade so smernicou 2014/65/EÚ. Na takúto tretiu stranu sa vzťahujú podmienky stanovené v tomto článku.</w:t>
                  </w:r>
                </w:p>
                <w:p w:rsidR="000E5DD7" w:rsidP="00E621F4">
                  <w:pPr>
                    <w:bidi w:val="0"/>
                    <w:rPr>
                      <w:rFonts w:ascii="Times New Roman" w:hAnsi="Times New Roman"/>
                      <w:color w:val="000000"/>
                      <w:sz w:val="22"/>
                      <w:szCs w:val="22"/>
                    </w:rPr>
                  </w:pPr>
                </w:p>
                <w:p w:rsidR="000E5DD7" w:rsidP="00E621F4">
                  <w:pPr>
                    <w:bidi w:val="0"/>
                    <w:rPr>
                      <w:rFonts w:ascii="Times New Roman" w:hAnsi="Times New Roman"/>
                      <w:color w:val="000000"/>
                      <w:sz w:val="22"/>
                      <w:szCs w:val="22"/>
                    </w:rPr>
                  </w:pPr>
                </w:p>
                <w:p w:rsidR="000E5DD7" w:rsidP="00E621F4">
                  <w:pPr>
                    <w:bidi w:val="0"/>
                    <w:rPr>
                      <w:rFonts w:ascii="Times New Roman" w:hAnsi="Times New Roman"/>
                      <w:color w:val="000000"/>
                      <w:sz w:val="22"/>
                      <w:szCs w:val="22"/>
                    </w:rPr>
                  </w:pPr>
                </w:p>
                <w:p w:rsidR="000E5DD7" w:rsidP="00E621F4">
                  <w:pPr>
                    <w:bidi w:val="0"/>
                    <w:rPr>
                      <w:rFonts w:ascii="Times New Roman" w:hAnsi="Times New Roman"/>
                      <w:color w:val="000000"/>
                      <w:sz w:val="22"/>
                      <w:szCs w:val="22"/>
                    </w:rPr>
                  </w:pPr>
                </w:p>
                <w:p w:rsidR="000E5DD7"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1076AA" w:rsidP="00E621F4">
                  <w:pPr>
                    <w:bidi w:val="0"/>
                    <w:rPr>
                      <w:rFonts w:ascii="Times New Roman" w:hAnsi="Times New Roman"/>
                      <w:color w:val="000000"/>
                      <w:sz w:val="22"/>
                      <w:szCs w:val="22"/>
                    </w:rPr>
                  </w:pPr>
                </w:p>
                <w:p w:rsidR="000E5DD7" w:rsidRPr="009D5B18" w:rsidP="00E621F4">
                  <w:pPr>
                    <w:bidi w:val="0"/>
                    <w:rPr>
                      <w:rFonts w:ascii="Times New Roman" w:hAnsi="Times New Roman"/>
                      <w:color w:val="000000"/>
                      <w:sz w:val="22"/>
                      <w:szCs w:val="22"/>
                    </w:rPr>
                  </w:pPr>
                </w:p>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4.   Správca AIF z EÚ zabezpečuje, aby sa predmarketing primerane zdokumentoval.</w:t>
                  </w:r>
                </w:p>
                <w:p w:rsidR="001657CD" w:rsidP="00E621F4">
                  <w:pPr>
                    <w:bidi w:val="0"/>
                    <w:spacing w:before="60" w:after="60"/>
                    <w:rPr>
                      <w:rFonts w:ascii="Times New Roman" w:hAnsi="Times New Roman"/>
                      <w:color w:val="000000"/>
                      <w:sz w:val="22"/>
                      <w:szCs w:val="22"/>
                    </w:rPr>
                  </w:pPr>
                </w:p>
                <w:p w:rsidR="008A635A" w:rsidP="00E621F4">
                  <w:pPr>
                    <w:bidi w:val="0"/>
                    <w:spacing w:before="60" w:after="60"/>
                    <w:rPr>
                      <w:rFonts w:ascii="Times New Roman" w:hAnsi="Times New Roman"/>
                      <w:color w:val="000000"/>
                      <w:sz w:val="22"/>
                      <w:szCs w:val="22"/>
                    </w:rPr>
                  </w:pPr>
                </w:p>
                <w:p w:rsidR="008A635A" w:rsidP="00E621F4">
                  <w:pPr>
                    <w:bidi w:val="0"/>
                    <w:spacing w:before="60" w:after="60"/>
                    <w:rPr>
                      <w:rFonts w:ascii="Times New Roman" w:hAnsi="Times New Roman"/>
                      <w:color w:val="000000"/>
                      <w:sz w:val="22"/>
                      <w:szCs w:val="22"/>
                    </w:rPr>
                  </w:pPr>
                </w:p>
                <w:p w:rsidR="008A635A" w:rsidP="00E621F4">
                  <w:pPr>
                    <w:bidi w:val="0"/>
                    <w:spacing w:before="60" w:after="60"/>
                    <w:rPr>
                      <w:rFonts w:ascii="Times New Roman" w:hAnsi="Times New Roman"/>
                      <w:color w:val="000000"/>
                      <w:sz w:val="22"/>
                      <w:szCs w:val="22"/>
                    </w:rPr>
                  </w:pPr>
                </w:p>
                <w:p w:rsidR="004930E0" w:rsidP="00E621F4">
                  <w:pPr>
                    <w:bidi w:val="0"/>
                    <w:spacing w:before="60" w:after="60"/>
                    <w:rPr>
                      <w:rFonts w:ascii="Times New Roman" w:hAnsi="Times New Roman"/>
                      <w:color w:val="000000"/>
                      <w:sz w:val="22"/>
                      <w:szCs w:val="22"/>
                    </w:rPr>
                  </w:pPr>
                </w:p>
                <w:p w:rsidR="004930E0" w:rsidP="00E621F4">
                  <w:pPr>
                    <w:bidi w:val="0"/>
                    <w:spacing w:before="60" w:after="60"/>
                    <w:rPr>
                      <w:rFonts w:ascii="Times New Roman" w:hAnsi="Times New Roman"/>
                      <w:color w:val="000000"/>
                      <w:sz w:val="22"/>
                      <w:szCs w:val="22"/>
                    </w:rPr>
                  </w:pPr>
                </w:p>
                <w:p w:rsidR="004930E0" w:rsidRPr="009D5B18" w:rsidP="00E621F4">
                  <w:pPr>
                    <w:bidi w:val="0"/>
                    <w:spacing w:before="60" w:after="60"/>
                    <w:rPr>
                      <w:rFonts w:ascii="Times New Roman" w:hAnsi="Times New Roman"/>
                      <w:color w:val="000000"/>
                      <w:sz w:val="22"/>
                      <w:szCs w:val="22"/>
                    </w:rPr>
                  </w:pPr>
                </w:p>
              </w:tc>
            </w:tr>
          </w:tbl>
          <w:p w:rsidR="00E621F4" w:rsidRPr="009D5B18" w:rsidP="00E621F4">
            <w:pPr>
              <w:shd w:val="clear" w:color="auto" w:fill="FFFFFF"/>
              <w:bidi w:val="0"/>
              <w:spacing w:before="0"/>
              <w:jc w:val="left"/>
              <w:rPr>
                <w:rFonts w:ascii="Times New Roman" w:hAnsi="Times New Roman"/>
                <w:vanish/>
                <w:color w:val="000000"/>
                <w:sz w:val="22"/>
                <w:szCs w:val="22"/>
              </w:rPr>
            </w:pPr>
          </w:p>
          <w:tbl>
            <w:tblPr>
              <w:tblStyle w:val="TableNormal"/>
              <w:tblW w:w="6619" w:type="dxa"/>
              <w:tblLayout w:type="fixed"/>
              <w:tblCellMar>
                <w:left w:w="0" w:type="dxa"/>
                <w:right w:w="0" w:type="dxa"/>
              </w:tblCellMar>
              <w:tblLook w:val="04A0"/>
            </w:tblPr>
            <w:tblGrid>
              <w:gridCol w:w="241"/>
              <w:gridCol w:w="6378"/>
            </w:tblGrid>
            <w:tr>
              <w:tblPrEx>
                <w:tblW w:w="6619" w:type="dxa"/>
                <w:tblLayout w:type="fixed"/>
                <w:tblCellMar>
                  <w:left w:w="0" w:type="dxa"/>
                  <w:right w:w="0" w:type="dxa"/>
                </w:tblCellMar>
                <w:tblLook w:val="04A0"/>
              </w:tblPrEx>
              <w:tc>
                <w:tcPr>
                  <w:tcW w:w="241"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3.</w:t>
                  </w:r>
                </w:p>
              </w:tc>
              <w:tc>
                <w:tcPr>
                  <w:tcW w:w="6378"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V článku 32 ods. 7 sa druhý, tretí a štvrtý pododsek nahrádzajú takto:</w:t>
                  </w:r>
                </w:p>
                <w:p w:rsidR="00E621F4" w:rsidP="00807D3E">
                  <w:pPr>
                    <w:bidi w:val="0"/>
                    <w:ind w:right="141"/>
                    <w:rPr>
                      <w:rFonts w:ascii="Times New Roman" w:hAnsi="Times New Roman"/>
                      <w:color w:val="000000"/>
                      <w:sz w:val="22"/>
                      <w:szCs w:val="22"/>
                    </w:rPr>
                  </w:pPr>
                  <w:r w:rsidRPr="009D5B18">
                    <w:rPr>
                      <w:rFonts w:ascii="Times New Roman" w:hAnsi="Times New Roman"/>
                      <w:color w:val="000000"/>
                      <w:sz w:val="22"/>
                      <w:szCs w:val="22"/>
                    </w:rPr>
                    <w:t>„Ak v dôsledku plánovanej zmeny prestane byť spravovanie AIF správcom AIF v súlade s touto smernicou alebo ak správca AIF prestane inak dodržiavať túto smernicu, relevantné príslušné orgány domovského členského štátu správcu AIF do 15 pracovných dní od doručenia všetkých informácií uvedených v prvom pododseku informujú správcu AIF, že danú zmenu nesmie vykonať. V uvedenom prípade príslušné orgány domovského členského štátu správcu AIF o tom informujú príslušné orgány hostiteľského členského štátu správcu AIF.</w:t>
                  </w:r>
                </w:p>
                <w:p w:rsidR="0068235D" w:rsidP="00807D3E">
                  <w:pPr>
                    <w:bidi w:val="0"/>
                    <w:ind w:right="141"/>
                    <w:rPr>
                      <w:rFonts w:ascii="Times New Roman" w:hAnsi="Times New Roman"/>
                      <w:color w:val="000000"/>
                      <w:sz w:val="22"/>
                      <w:szCs w:val="22"/>
                    </w:rPr>
                  </w:pPr>
                </w:p>
                <w:p w:rsidR="0068235D" w:rsidP="00807D3E">
                  <w:pPr>
                    <w:bidi w:val="0"/>
                    <w:ind w:right="141"/>
                    <w:rPr>
                      <w:rFonts w:ascii="Times New Roman" w:hAnsi="Times New Roman"/>
                      <w:color w:val="000000"/>
                      <w:sz w:val="22"/>
                      <w:szCs w:val="22"/>
                    </w:rPr>
                  </w:pPr>
                </w:p>
                <w:p w:rsidR="0068235D" w:rsidP="00807D3E">
                  <w:pPr>
                    <w:bidi w:val="0"/>
                    <w:ind w:right="141"/>
                    <w:rPr>
                      <w:rFonts w:ascii="Times New Roman" w:hAnsi="Times New Roman"/>
                      <w:color w:val="000000"/>
                      <w:sz w:val="22"/>
                      <w:szCs w:val="22"/>
                    </w:rPr>
                  </w:pPr>
                </w:p>
                <w:p w:rsidR="0068235D" w:rsidRPr="009D5B18" w:rsidP="00807D3E">
                  <w:pPr>
                    <w:bidi w:val="0"/>
                    <w:ind w:right="141"/>
                    <w:rPr>
                      <w:rFonts w:ascii="Times New Roman" w:hAnsi="Times New Roman"/>
                      <w:color w:val="000000"/>
                      <w:sz w:val="22"/>
                      <w:szCs w:val="22"/>
                    </w:rPr>
                  </w:pPr>
                </w:p>
                <w:p w:rsidR="00E621F4" w:rsidRPr="009D5B18" w:rsidP="0068235D">
                  <w:pPr>
                    <w:bidi w:val="0"/>
                    <w:ind w:right="141"/>
                    <w:rPr>
                      <w:rFonts w:ascii="Times New Roman" w:hAnsi="Times New Roman"/>
                      <w:color w:val="000000"/>
                      <w:sz w:val="22"/>
                      <w:szCs w:val="22"/>
                    </w:rPr>
                  </w:pPr>
                  <w:r w:rsidRPr="009D5B18">
                    <w:rPr>
                      <w:rFonts w:ascii="Times New Roman" w:hAnsi="Times New Roman"/>
                      <w:color w:val="000000"/>
                      <w:sz w:val="22"/>
                      <w:szCs w:val="22"/>
                    </w:rPr>
                    <w:t>Ak sa napriek prvému a druhému pododseku vykoná plánovaná zmena alebo ak dôjde k neplánovanej zmene, v dôsledku ktorej prestane byť spravovanie AIF zo strany správcu AIF v súlade s touto smernicou alebo správca AIF prestane inak dodržiavať túto smernicu, príslušné orgány domovského členského štátu správcu AIF prijmú všetky náležité opatrenia v súlade s článkom 46, ktorými je v prípade potreby aj výslovný zákaz uvádzania daného AIF na trh, a bez zbytočného odkladu o tom informujú príslušné orgány hostiteľského členského štátu správcu AIF.</w:t>
                  </w:r>
                </w:p>
                <w:p w:rsidR="00C50E73" w:rsidP="0068235D">
                  <w:pPr>
                    <w:bidi w:val="0"/>
                    <w:ind w:right="141"/>
                    <w:rPr>
                      <w:rFonts w:ascii="Times New Roman" w:hAnsi="Times New Roman"/>
                      <w:color w:val="000000"/>
                      <w:sz w:val="22"/>
                      <w:szCs w:val="22"/>
                    </w:rPr>
                  </w:pPr>
                </w:p>
                <w:p w:rsidR="00C50E73" w:rsidP="0068235D">
                  <w:pPr>
                    <w:bidi w:val="0"/>
                    <w:ind w:right="141"/>
                    <w:rPr>
                      <w:rFonts w:ascii="Times New Roman" w:hAnsi="Times New Roman"/>
                      <w:color w:val="000000"/>
                      <w:sz w:val="22"/>
                      <w:szCs w:val="22"/>
                    </w:rPr>
                  </w:pPr>
                </w:p>
                <w:p w:rsidR="00C50E73" w:rsidP="0068235D">
                  <w:pPr>
                    <w:bidi w:val="0"/>
                    <w:ind w:right="141"/>
                    <w:rPr>
                      <w:rFonts w:ascii="Times New Roman" w:hAnsi="Times New Roman"/>
                      <w:color w:val="000000"/>
                      <w:sz w:val="22"/>
                      <w:szCs w:val="22"/>
                    </w:rPr>
                  </w:pPr>
                </w:p>
                <w:p w:rsidR="00C50E73" w:rsidP="0068235D">
                  <w:pPr>
                    <w:bidi w:val="0"/>
                    <w:ind w:right="141"/>
                    <w:rPr>
                      <w:rFonts w:ascii="Times New Roman" w:hAnsi="Times New Roman"/>
                      <w:color w:val="000000"/>
                      <w:sz w:val="22"/>
                      <w:szCs w:val="22"/>
                    </w:rPr>
                  </w:pPr>
                </w:p>
                <w:p w:rsidR="00C50E73" w:rsidP="0068235D">
                  <w:pPr>
                    <w:bidi w:val="0"/>
                    <w:ind w:right="141"/>
                    <w:rPr>
                      <w:rFonts w:ascii="Times New Roman" w:hAnsi="Times New Roman"/>
                      <w:color w:val="000000"/>
                      <w:sz w:val="22"/>
                      <w:szCs w:val="22"/>
                    </w:rPr>
                  </w:pPr>
                </w:p>
                <w:p w:rsidR="00E621F4" w:rsidRPr="009D5B18" w:rsidP="0068235D">
                  <w:pPr>
                    <w:bidi w:val="0"/>
                    <w:ind w:right="141"/>
                    <w:rPr>
                      <w:rFonts w:ascii="Times New Roman" w:hAnsi="Times New Roman"/>
                      <w:color w:val="000000"/>
                      <w:sz w:val="22"/>
                      <w:szCs w:val="22"/>
                    </w:rPr>
                  </w:pPr>
                  <w:r w:rsidRPr="009D5B18">
                    <w:rPr>
                      <w:rFonts w:ascii="Times New Roman" w:hAnsi="Times New Roman"/>
                      <w:color w:val="000000"/>
                      <w:sz w:val="22"/>
                      <w:szCs w:val="22"/>
                    </w:rPr>
                    <w:t>Ak zmeny nemajú dosah na súlad spravovania AIF správcom AIF s touto smernicou ani na inak dodržiavanie tejto smernice správcom AIF, príslušné orgány domovského členského štátu správcu AIF do jedného mesiaca informujú o týchto zmenách príslušné orgány hostiteľského členského štátu správcu AIF.“</w:t>
                  </w:r>
                </w:p>
              </w:tc>
            </w:tr>
          </w:tbl>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E621F4" w:rsidRPr="00380F43" w:rsidP="00E621F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E621F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3063D9" w:rsidP="00E621F4">
            <w:pPr>
              <w:autoSpaceDE w:val="0"/>
              <w:autoSpaceDN w:val="0"/>
              <w:bidi w:val="0"/>
              <w:spacing w:before="0"/>
              <w:jc w:val="center"/>
              <w:rPr>
                <w:rFonts w:ascii="Arial Narrow" w:hAnsi="Arial Narrow"/>
                <w:b/>
                <w:sz w:val="22"/>
                <w:szCs w:val="22"/>
              </w:rPr>
            </w:pPr>
          </w:p>
          <w:p w:rsidR="003063D9"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8A635A" w:rsidP="00E621F4">
            <w:pPr>
              <w:autoSpaceDE w:val="0"/>
              <w:autoSpaceDN w:val="0"/>
              <w:bidi w:val="0"/>
              <w:spacing w:before="0"/>
              <w:jc w:val="center"/>
              <w:rPr>
                <w:rFonts w:ascii="Arial Narrow" w:hAnsi="Arial Narrow"/>
                <w:b/>
                <w:sz w:val="22"/>
                <w:szCs w:val="22"/>
              </w:rPr>
            </w:pPr>
          </w:p>
          <w:p w:rsidR="003063D9" w:rsidP="00E621F4">
            <w:pPr>
              <w:autoSpaceDE w:val="0"/>
              <w:autoSpaceDN w:val="0"/>
              <w:bidi w:val="0"/>
              <w:spacing w:before="0"/>
              <w:jc w:val="center"/>
              <w:rPr>
                <w:rFonts w:ascii="Arial Narrow" w:hAnsi="Arial Narrow"/>
                <w:b/>
                <w:sz w:val="22"/>
                <w:szCs w:val="22"/>
              </w:rPr>
            </w:pPr>
          </w:p>
          <w:p w:rsidR="00B87EBC"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4930E0" w:rsidP="00E621F4">
            <w:pPr>
              <w:autoSpaceDE w:val="0"/>
              <w:autoSpaceDN w:val="0"/>
              <w:bidi w:val="0"/>
              <w:spacing w:before="0"/>
              <w:jc w:val="center"/>
              <w:rPr>
                <w:rFonts w:ascii="Arial Narrow" w:hAnsi="Arial Narrow"/>
                <w:b/>
                <w:sz w:val="22"/>
                <w:szCs w:val="22"/>
              </w:rPr>
            </w:pPr>
          </w:p>
          <w:p w:rsidR="001076AA" w:rsidP="00E621F4">
            <w:pPr>
              <w:autoSpaceDE w:val="0"/>
              <w:autoSpaceDN w:val="0"/>
              <w:bidi w:val="0"/>
              <w:spacing w:before="0"/>
              <w:jc w:val="center"/>
              <w:rPr>
                <w:rFonts w:ascii="Arial Narrow" w:hAnsi="Arial Narrow"/>
                <w:b/>
                <w:sz w:val="22"/>
                <w:szCs w:val="22"/>
              </w:rPr>
            </w:pPr>
          </w:p>
          <w:p w:rsidR="001657CD" w:rsidP="00E621F4">
            <w:pPr>
              <w:autoSpaceDE w:val="0"/>
              <w:autoSpaceDN w:val="0"/>
              <w:bidi w:val="0"/>
              <w:spacing w:before="0"/>
              <w:jc w:val="center"/>
              <w:rPr>
                <w:rFonts w:ascii="Arial Narrow" w:hAnsi="Arial Narrow"/>
                <w:b/>
                <w:sz w:val="22"/>
                <w:szCs w:val="22"/>
              </w:rPr>
            </w:pPr>
          </w:p>
          <w:p w:rsidR="00FE7B54" w:rsidRPr="00380F43" w:rsidP="00FE7B54">
            <w:pPr>
              <w:autoSpaceDE w:val="0"/>
              <w:autoSpaceDN w:val="0"/>
              <w:bidi w:val="0"/>
              <w:spacing w:before="0"/>
              <w:jc w:val="center"/>
              <w:rPr>
                <w:rFonts w:ascii="Arial Narrow" w:hAnsi="Arial Narrow"/>
                <w:b/>
                <w:color w:val="0070C0"/>
                <w:sz w:val="22"/>
                <w:szCs w:val="22"/>
              </w:rPr>
            </w:pPr>
            <w:r w:rsidRPr="009A1BB9">
              <w:rPr>
                <w:rFonts w:ascii="Arial Narrow" w:hAnsi="Arial Narrow"/>
                <w:b/>
                <w:color w:val="0070C0"/>
                <w:sz w:val="22"/>
                <w:szCs w:val="22"/>
              </w:rPr>
              <w:t>Návrh zákona čl.I</w:t>
            </w: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P="00E621F4">
            <w:pPr>
              <w:autoSpaceDE w:val="0"/>
              <w:autoSpaceDN w:val="0"/>
              <w:bidi w:val="0"/>
              <w:spacing w:before="0"/>
              <w:jc w:val="center"/>
              <w:rPr>
                <w:rFonts w:ascii="Arial Narrow" w:hAnsi="Arial Narrow"/>
                <w:b/>
                <w:sz w:val="22"/>
                <w:szCs w:val="22"/>
              </w:rPr>
            </w:pPr>
          </w:p>
          <w:p w:rsidR="00FE7B54"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r w:rsidRPr="00FE7B54">
              <w:rPr>
                <w:rFonts w:ascii="Arial Narrow" w:hAnsi="Arial Narrow"/>
                <w:sz w:val="22"/>
                <w:szCs w:val="22"/>
              </w:rPr>
              <w:t xml:space="preserve">§ </w:t>
            </w:r>
            <w:r w:rsidRPr="00FE7B54" w:rsidR="00FE7B54">
              <w:rPr>
                <w:rFonts w:ascii="Arial Narrow" w:hAnsi="Arial Narrow"/>
                <w:sz w:val="22"/>
                <w:szCs w:val="22"/>
              </w:rPr>
              <w:t>14</w:t>
            </w:r>
            <w:r w:rsidR="008A635A">
              <w:rPr>
                <w:rFonts w:ascii="Arial Narrow" w:hAnsi="Arial Narrow"/>
                <w:sz w:val="22"/>
                <w:szCs w:val="22"/>
              </w:rPr>
              <w:t>7</w:t>
            </w:r>
            <w:r w:rsidRPr="00FE7B54" w:rsidR="00FE7B54">
              <w:rPr>
                <w:rFonts w:ascii="Arial Narrow" w:hAnsi="Arial Narrow"/>
                <w:sz w:val="22"/>
                <w:szCs w:val="22"/>
              </w:rPr>
              <w:t>a</w:t>
            </w:r>
          </w:p>
          <w:p w:rsidR="00E621F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8A635A"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4930E0" w:rsidP="00E621F4">
            <w:pPr>
              <w:pStyle w:val="Normlny"/>
              <w:bidi w:val="0"/>
              <w:rPr>
                <w:rFonts w:ascii="Arial Narrow" w:hAnsi="Arial Narrow"/>
                <w:sz w:val="22"/>
                <w:szCs w:val="22"/>
              </w:rPr>
            </w:pPr>
          </w:p>
          <w:p w:rsidR="001076AA" w:rsidP="00E621F4">
            <w:pPr>
              <w:pStyle w:val="Normlny"/>
              <w:bidi w:val="0"/>
              <w:rPr>
                <w:rFonts w:ascii="Arial Narrow" w:hAnsi="Arial Narrow"/>
                <w:sz w:val="22"/>
                <w:szCs w:val="22"/>
              </w:rPr>
            </w:pPr>
          </w:p>
          <w:p w:rsidR="001657CD" w:rsidP="00E621F4">
            <w:pPr>
              <w:pStyle w:val="Normlny"/>
              <w:bidi w:val="0"/>
              <w:rPr>
                <w:rFonts w:ascii="Arial Narrow" w:hAnsi="Arial Narrow"/>
                <w:sz w:val="22"/>
                <w:szCs w:val="22"/>
              </w:rPr>
            </w:pPr>
          </w:p>
          <w:p w:rsidR="00FE7B54" w:rsidRPr="00E937FC" w:rsidP="00FE7B54">
            <w:pPr>
              <w:pStyle w:val="Normlny"/>
              <w:bidi w:val="0"/>
              <w:rPr>
                <w:rFonts w:ascii="Arial Narrow" w:hAnsi="Arial Narrow"/>
                <w:sz w:val="22"/>
                <w:szCs w:val="22"/>
              </w:rPr>
            </w:pPr>
            <w:r w:rsidRPr="00FE7B54">
              <w:rPr>
                <w:rFonts w:ascii="Arial Narrow" w:hAnsi="Arial Narrow"/>
                <w:sz w:val="22"/>
                <w:szCs w:val="22"/>
              </w:rPr>
              <w:t xml:space="preserve">§ </w:t>
            </w:r>
            <w:r w:rsidRPr="00E937FC">
              <w:rPr>
                <w:rFonts w:ascii="Arial Narrow" w:hAnsi="Arial Narrow"/>
                <w:sz w:val="22"/>
                <w:szCs w:val="22"/>
              </w:rPr>
              <w:t>1</w:t>
            </w:r>
            <w:r w:rsidRPr="00E937FC" w:rsidR="003063D9">
              <w:rPr>
                <w:rFonts w:ascii="Arial Narrow" w:hAnsi="Arial Narrow"/>
                <w:sz w:val="22"/>
                <w:szCs w:val="22"/>
              </w:rPr>
              <w:t>50</w:t>
            </w:r>
            <w:r w:rsidRPr="00E937FC" w:rsidR="00424A65">
              <w:rPr>
                <w:rFonts w:ascii="Arial Narrow" w:hAnsi="Arial Narrow"/>
                <w:sz w:val="22"/>
                <w:szCs w:val="22"/>
              </w:rPr>
              <w:t>c</w:t>
            </w:r>
            <w:r w:rsidRPr="00E937FC" w:rsidR="00B87EBC">
              <w:rPr>
                <w:rFonts w:ascii="Arial Narrow" w:hAnsi="Arial Narrow"/>
                <w:sz w:val="22"/>
                <w:szCs w:val="22"/>
              </w:rPr>
              <w:t xml:space="preserve"> ods.4</w:t>
            </w: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P="00FE7B54">
            <w:pPr>
              <w:pStyle w:val="Normlny"/>
              <w:bidi w:val="0"/>
              <w:rPr>
                <w:rFonts w:ascii="Arial Narrow" w:hAnsi="Arial Narrow"/>
                <w:sz w:val="22"/>
                <w:szCs w:val="22"/>
              </w:rPr>
            </w:pPr>
          </w:p>
          <w:p w:rsidR="004930E0" w:rsidRPr="00E937FC" w:rsidP="00FE7B54">
            <w:pPr>
              <w:pStyle w:val="Normlny"/>
              <w:bidi w:val="0"/>
              <w:rPr>
                <w:rFonts w:ascii="Arial Narrow" w:hAnsi="Arial Narrow"/>
                <w:sz w:val="22"/>
                <w:szCs w:val="22"/>
              </w:rPr>
            </w:pPr>
          </w:p>
          <w:p w:rsidR="0068235D" w:rsidRPr="00E937FC" w:rsidP="00FE7B54">
            <w:pPr>
              <w:pStyle w:val="Normlny"/>
              <w:bidi w:val="0"/>
              <w:rPr>
                <w:rFonts w:ascii="Arial Narrow" w:hAnsi="Arial Narrow"/>
                <w:sz w:val="22"/>
                <w:szCs w:val="22"/>
              </w:rPr>
            </w:pPr>
          </w:p>
          <w:p w:rsidR="0068235D" w:rsidRPr="002153F7" w:rsidP="00FE7B54">
            <w:pPr>
              <w:pStyle w:val="Normlny"/>
              <w:bidi w:val="0"/>
              <w:rPr>
                <w:rFonts w:ascii="Arial Narrow" w:hAnsi="Arial Narrow"/>
                <w:sz w:val="22"/>
                <w:szCs w:val="22"/>
              </w:rPr>
            </w:pPr>
            <w:r w:rsidRPr="00E937FC">
              <w:rPr>
                <w:rFonts w:ascii="Arial Narrow" w:hAnsi="Arial Narrow"/>
                <w:sz w:val="22"/>
                <w:szCs w:val="22"/>
              </w:rPr>
              <w:t>ods.5</w:t>
            </w: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P="00E621F4">
            <w:pPr>
              <w:pStyle w:val="Normlny"/>
              <w:bidi w:val="0"/>
              <w:rPr>
                <w:rFonts w:ascii="Arial Narrow" w:hAnsi="Arial Narrow"/>
                <w:sz w:val="22"/>
                <w:szCs w:val="22"/>
              </w:rPr>
            </w:pPr>
          </w:p>
          <w:p w:rsidR="00FE7B54" w:rsidRPr="002153F7" w:rsidP="00E621F4">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930E0" w:rsidRPr="00241AA3" w:rsidP="004930E0">
            <w:pPr>
              <w:bidi w:val="0"/>
              <w:rPr>
                <w:rFonts w:ascii="Times New Roman" w:hAnsi="Times New Roman"/>
                <w:iCs/>
                <w:color w:val="0070C0"/>
              </w:rPr>
            </w:pPr>
            <w:r w:rsidRPr="00E77CB2">
              <w:rPr>
                <w:rFonts w:ascii="Times New Roman" w:hAnsi="Times New Roman"/>
                <w:iCs/>
                <w:color w:val="0070C0"/>
              </w:rPr>
              <w:t>§ 147a</w:t>
            </w:r>
          </w:p>
          <w:p w:rsidR="004930E0" w:rsidRPr="00241AA3" w:rsidP="004930E0">
            <w:pPr>
              <w:pStyle w:val="NoSpacing"/>
              <w:bidi w:val="0"/>
              <w:jc w:val="both"/>
              <w:rPr>
                <w:rFonts w:ascii="Times New Roman" w:hAnsi="Times New Roman"/>
                <w:b/>
                <w:color w:val="0070C0"/>
                <w:sz w:val="24"/>
                <w:szCs w:val="24"/>
                <w:lang w:eastAsia="sk-SK"/>
              </w:rPr>
            </w:pPr>
            <w:r w:rsidRPr="00241AA3">
              <w:rPr>
                <w:rFonts w:ascii="Times New Roman" w:hAnsi="Times New Roman"/>
                <w:b/>
                <w:color w:val="0070C0"/>
                <w:sz w:val="24"/>
                <w:szCs w:val="24"/>
                <w:lang w:eastAsia="sk-SK"/>
              </w:rPr>
              <w:t xml:space="preserve">    Podmienky uskutočňovania predmarketingu na území Slovenskej republiky </w:t>
            </w:r>
          </w:p>
          <w:p w:rsidR="007D53D7" w:rsidRPr="007D53D7" w:rsidP="007D53D7">
            <w:pPr>
              <w:bidi w:val="0"/>
              <w:ind w:left="141" w:right="285" w:hanging="141"/>
              <w:rPr>
                <w:rFonts w:ascii="Times New Roman" w:hAnsi="Times New Roman"/>
                <w:color w:val="0070C0"/>
              </w:rPr>
            </w:pPr>
            <w:r w:rsidRPr="00241AA3" w:rsidR="004930E0">
              <w:rPr>
                <w:rFonts w:ascii="Times New Roman" w:hAnsi="Times New Roman"/>
                <w:color w:val="0070C0"/>
              </w:rPr>
              <w:t>(1)   </w:t>
            </w:r>
            <w:r w:rsidRPr="007D53D7">
              <w:rPr>
                <w:rFonts w:ascii="Times New Roman" w:hAnsi="Times New Roman"/>
                <w:color w:val="0070C0"/>
              </w:rPr>
              <w:t>Správcovská spoločnosť alebo zahraničná správcovská spoločnosť so sídlom v členskom štáte s povolením vydaným v súlade s právne záväzným aktom Európskej únie upravujúcim správcov alternatívnych investičných fondov môže na území Slovenskej republiky vykonávať predmarketing, okrem situácií, ak informácie predložené potenciálnym profesionálnym investorom</w:t>
            </w:r>
          </w:p>
          <w:p w:rsidR="007D53D7" w:rsidRPr="007D53D7" w:rsidP="007D53D7">
            <w:pPr>
              <w:pStyle w:val="ListParagraph"/>
              <w:numPr>
                <w:numId w:val="20"/>
              </w:numPr>
              <w:bidi w:val="0"/>
              <w:spacing w:before="120"/>
              <w:ind w:left="141" w:right="285" w:firstLine="0"/>
              <w:jc w:val="both"/>
              <w:rPr>
                <w:rFonts w:ascii="Times New Roman" w:hAnsi="Times New Roman"/>
                <w:color w:val="0070C0"/>
              </w:rPr>
            </w:pPr>
            <w:r w:rsidRPr="007D53D7">
              <w:rPr>
                <w:rFonts w:ascii="Times New Roman" w:hAnsi="Times New Roman"/>
                <w:color w:val="0070C0"/>
              </w:rPr>
              <w:t>postačujú na to, aby umožnili investorom zaviazať sa k nadobúdaniu cenných papierov alternatívneho investičného fondu alebo zahraničného alternatívneho investičného fondu,</w:t>
            </w:r>
          </w:p>
          <w:p w:rsidR="007D53D7" w:rsidRPr="007D53D7" w:rsidP="007D53D7">
            <w:pPr>
              <w:pStyle w:val="ListParagraph"/>
              <w:numPr>
                <w:numId w:val="20"/>
              </w:numPr>
              <w:bidi w:val="0"/>
              <w:spacing w:before="120"/>
              <w:ind w:left="141" w:right="285" w:firstLine="0"/>
              <w:jc w:val="both"/>
              <w:rPr>
                <w:rFonts w:ascii="Times New Roman" w:hAnsi="Times New Roman"/>
                <w:color w:val="0070C0"/>
              </w:rPr>
            </w:pPr>
            <w:r w:rsidRPr="007D53D7">
              <w:rPr>
                <w:rFonts w:ascii="Times New Roman" w:hAnsi="Times New Roman"/>
                <w:color w:val="0070C0"/>
              </w:rPr>
              <w:t>predstavujú formuláre na vydanie alebo upísanie cenných papierov alternatívneho investičného fondu alebo zahraničného alternatívneho investičného fondu alebo obdobné dokumenty vo forme návrhu alebo v konečnom znení, alebo</w:t>
            </w:r>
          </w:p>
          <w:p w:rsidR="007D53D7" w:rsidRPr="007D53D7" w:rsidP="007D53D7">
            <w:pPr>
              <w:pStyle w:val="ListParagraph"/>
              <w:numPr>
                <w:numId w:val="20"/>
              </w:numPr>
              <w:bidi w:val="0"/>
              <w:spacing w:before="120"/>
              <w:ind w:left="141" w:right="285" w:firstLine="0"/>
              <w:jc w:val="both"/>
              <w:rPr>
                <w:rFonts w:ascii="Times New Roman" w:hAnsi="Times New Roman"/>
                <w:color w:val="0070C0"/>
              </w:rPr>
            </w:pPr>
            <w:r w:rsidRPr="007D53D7">
              <w:rPr>
                <w:rFonts w:ascii="Times New Roman" w:hAnsi="Times New Roman"/>
                <w:color w:val="0070C0"/>
              </w:rPr>
              <w:t>predstavujú štatút, stanovy alebo obdobné zakladajúce dokumenty, prospekt alebo propagačné materiály ešte nevytvoreného alternatívneho investičného fondu alebo zahraničného alternatívneho investičného fondu v ich  konečnom znení.</w:t>
            </w:r>
          </w:p>
          <w:p w:rsidR="007D53D7" w:rsidRPr="007D53D7" w:rsidP="007D53D7">
            <w:pPr>
              <w:bidi w:val="0"/>
              <w:ind w:left="141" w:right="285"/>
              <w:rPr>
                <w:rFonts w:ascii="Times New Roman" w:hAnsi="Times New Roman"/>
                <w:color w:val="0070C0"/>
              </w:rPr>
            </w:pPr>
            <w:r w:rsidRPr="007D53D7">
              <w:rPr>
                <w:rFonts w:ascii="Times New Roman" w:hAnsi="Times New Roman"/>
                <w:color w:val="0070C0"/>
              </w:rPr>
              <w:t xml:space="preserve"> (2) Ak sa v rámci predmarketingu podľa odseku 1 poskytuje návrh prospektu alebo propagačné materiály, nesmú obsahovať informácie umožňujúce investorom prijať investičné rozhodnutie a musí sa v nich jasne uvádzať, že</w:t>
            </w:r>
          </w:p>
          <w:p w:rsidR="007D53D7" w:rsidRPr="007D53D7" w:rsidP="007D53D7">
            <w:pPr>
              <w:pStyle w:val="ListParagraph"/>
              <w:numPr>
                <w:numId w:val="19"/>
              </w:numPr>
              <w:bidi w:val="0"/>
              <w:spacing w:before="120"/>
              <w:ind w:left="141" w:right="285" w:firstLine="0"/>
              <w:jc w:val="both"/>
              <w:rPr>
                <w:rFonts w:ascii="Times New Roman" w:hAnsi="Times New Roman"/>
                <w:color w:val="0070C0"/>
              </w:rPr>
            </w:pPr>
            <w:r w:rsidRPr="007D53D7">
              <w:rPr>
                <w:rFonts w:ascii="Times New Roman" w:hAnsi="Times New Roman"/>
                <w:color w:val="0070C0"/>
              </w:rPr>
              <w:t xml:space="preserve">nepredstavujú ponuku alebo výzvu na nákup alebo upísanie cenných papierov alternatívneho investičného fondu alebo zahraničného alternatívneho investičného fondu, </w:t>
            </w:r>
          </w:p>
          <w:p w:rsidR="007D53D7" w:rsidRPr="007D53D7" w:rsidP="007D53D7">
            <w:pPr>
              <w:pStyle w:val="ListParagraph"/>
              <w:numPr>
                <w:numId w:val="19"/>
              </w:numPr>
              <w:bidi w:val="0"/>
              <w:spacing w:before="120"/>
              <w:ind w:left="141" w:right="285" w:firstLine="0"/>
              <w:jc w:val="both"/>
              <w:rPr>
                <w:rFonts w:ascii="Times New Roman" w:hAnsi="Times New Roman"/>
                <w:color w:val="0070C0"/>
              </w:rPr>
            </w:pPr>
            <w:r w:rsidRPr="007D53D7">
              <w:rPr>
                <w:rFonts w:ascii="Times New Roman" w:hAnsi="Times New Roman"/>
                <w:color w:val="0070C0"/>
              </w:rPr>
              <w:t>na informácie, ktoré sú v nich uvedené, sa nemožno spoliehať, pretože nie sú úplné a môžu sa zmeniť.</w:t>
            </w:r>
          </w:p>
          <w:p w:rsidR="007D53D7" w:rsidRPr="007D53D7" w:rsidP="007D53D7">
            <w:pPr>
              <w:bidi w:val="0"/>
              <w:ind w:left="141" w:right="285" w:firstLine="1"/>
              <w:rPr>
                <w:rFonts w:ascii="Times New Roman" w:hAnsi="Times New Roman"/>
                <w:color w:val="0070C0"/>
              </w:rPr>
            </w:pPr>
            <w:r w:rsidRPr="007D53D7">
              <w:rPr>
                <w:rFonts w:ascii="Times New Roman" w:hAnsi="Times New Roman"/>
                <w:color w:val="0070C0"/>
              </w:rPr>
              <w:t xml:space="preserve"> (3)  Správcovská spoločnosť alebo zahraničná správcovská spoločnosť s povolením vydaným v súlade s právne záväzným aktom Európskej únie upravujúcim správcov alternatívnych investičných fondov</w:t>
            </w:r>
            <w:r w:rsidRPr="007D53D7">
              <w:rPr>
                <w:rFonts w:ascii="Times New Roman" w:hAnsi="Times New Roman"/>
                <w:color w:val="0070C0"/>
              </w:rPr>
              <w:t xml:space="preserve"> </w:t>
            </w:r>
            <w:r w:rsidRPr="007D53D7">
              <w:rPr>
                <w:rFonts w:ascii="Times New Roman" w:hAnsi="Times New Roman"/>
                <w:color w:val="0070C0"/>
              </w:rPr>
              <w:t>predtým, ako začne vykonávať predmarketing, nie je povinná oznámiť Národnej banke Slovenska obsah alebo adresátov predmarketingu, ani splniť iné podmienky alebo požiadavky než tie, ktoré sú uvedené v tomto paragrafe.</w:t>
            </w:r>
          </w:p>
          <w:p w:rsidR="007D53D7" w:rsidRPr="007D53D7" w:rsidP="007D53D7">
            <w:pPr>
              <w:bidi w:val="0"/>
              <w:ind w:left="141" w:right="285" w:firstLine="1"/>
              <w:rPr>
                <w:rFonts w:ascii="Times New Roman" w:hAnsi="Times New Roman"/>
                <w:color w:val="0070C0"/>
              </w:rPr>
            </w:pPr>
            <w:r w:rsidRPr="007D53D7">
              <w:rPr>
                <w:rFonts w:ascii="Times New Roman" w:hAnsi="Times New Roman"/>
                <w:color w:val="0070C0"/>
              </w:rPr>
              <w:t>(4)  Správcovská spoločnosť alebo zahraničná správcovská spoločnosť s povolením vydaným v súlade s právne záväzným aktom Európskej únie upravujúcim správcov alternatívnych investičných fondov</w:t>
            </w:r>
            <w:r w:rsidRPr="007D53D7">
              <w:rPr>
                <w:rFonts w:ascii="Times New Roman" w:hAnsi="Times New Roman"/>
                <w:color w:val="0070C0"/>
              </w:rPr>
              <w:t xml:space="preserve"> </w:t>
            </w:r>
            <w:r w:rsidRPr="007D53D7">
              <w:rPr>
                <w:rFonts w:ascii="Times New Roman" w:hAnsi="Times New Roman"/>
                <w:color w:val="0070C0"/>
              </w:rPr>
              <w:t>je povinná zabezpečiť, aby investori nenadobudli cenné papiere alternatívneho investičného fondu alebo zahraničného alternatívneho  investičného fondu v rámci predmarketingu a aby investori kontaktovaní v rámci predmarketingu mohli nadobudnúť cenné papiere v danom fonde len po splnení povinností podľa § 150b alebo § 150d.</w:t>
            </w:r>
          </w:p>
          <w:p w:rsidR="007D53D7" w:rsidRPr="007D53D7" w:rsidP="007D53D7">
            <w:pPr>
              <w:bidi w:val="0"/>
              <w:ind w:left="141" w:right="285" w:firstLine="1"/>
              <w:rPr>
                <w:rFonts w:ascii="Times New Roman" w:hAnsi="Times New Roman"/>
                <w:color w:val="0070C0"/>
              </w:rPr>
            </w:pPr>
            <w:r w:rsidRPr="007D53D7">
              <w:rPr>
                <w:rFonts w:ascii="Times New Roman" w:hAnsi="Times New Roman"/>
                <w:color w:val="0070C0"/>
              </w:rPr>
              <w:t>(5) Každé upisovanie cenných papierov alternatívneho investičného fondu alebo zahraničného alternatívneho investičného fondu profesionálnymi investormi uskutočnené do uplynutia 18 mesiacov po tom ako správcovská spoločnosť alebo zahraničná správcovská spoločnosť s povolením vydaným v súlade s právne záväzným aktom Európskej únie upravujúcim správcov alternatívnych investičných fondov začala vykonávať predmarketing vzťahujúci sa na cenné papiere alternatívneho investičného fondu alebo zahraničného alternatívneho investičného fondu, na ktorý sa odkazuje v informáciách poskytnutých v rámci predmarketingu, alebo vzťahujúci sa na cenné papiere alternatívneho investičného fondu alebo zahraničného alternatívneho investičného fondu vytvoreného v dôsledku predmarketingu, sa považuje za distribúciu a podlieha príslušným postupom oznamovania uvedeným v § 150b alebo v § 150d.</w:t>
            </w:r>
          </w:p>
          <w:p w:rsidR="007D53D7" w:rsidRPr="007D53D7" w:rsidP="007D53D7">
            <w:pPr>
              <w:bidi w:val="0"/>
              <w:ind w:left="141" w:right="285" w:firstLine="1"/>
              <w:rPr>
                <w:rFonts w:ascii="Times New Roman" w:hAnsi="Times New Roman"/>
                <w:color w:val="0070C0"/>
              </w:rPr>
            </w:pPr>
            <w:r w:rsidRPr="007D53D7">
              <w:rPr>
                <w:rFonts w:ascii="Times New Roman" w:hAnsi="Times New Roman"/>
                <w:color w:val="0070C0"/>
              </w:rPr>
              <w:t xml:space="preserve"> (6) Správcovská spoločnosť s povolením podľa </w:t>
            </w:r>
            <w:hyperlink r:id="rId5" w:anchor="paragraf-28a" w:tooltip="Odkaz na predpis alebo ustanovenie" w:history="1">
              <w:r w:rsidRPr="007D53D7">
                <w:rPr>
                  <w:rFonts w:ascii="Times New Roman" w:hAnsi="Times New Roman"/>
                  <w:bCs/>
                  <w:color w:val="0070C0"/>
                </w:rPr>
                <w:t>§ 28a</w:t>
              </w:r>
            </w:hyperlink>
            <w:r w:rsidRPr="007D53D7">
              <w:rPr>
                <w:rFonts w:ascii="Times New Roman" w:hAnsi="Times New Roman"/>
                <w:color w:val="0070C0"/>
              </w:rPr>
              <w:t xml:space="preserve"> je do dvoch týždňov po tom, ako začala vykonávať predmarketing, povinná zaslať Národnej banke Slovenska dokument v písomnej forme alebo elektronicky, v ktorom uvedie členské štáty, v ktorých sa predmarketing uskutočnil alebo uskutočňuje, ako aj príslušné obdobie, stručný opis činností v rámci predmarketingu vrátane informácií o predložených investičných stratégiách a zoznamu alternatívnych investičných fondov a podfondov alternatívnych investičných fondov, ktoré sú alebo boli predmetom predmarketingu. Národná banka Slovenska o tom bezodkladne informuje príslušné orgány dohľadu členského štátu, v ktorom správcovská spoločnosť s povolením podľa </w:t>
            </w:r>
            <w:hyperlink r:id="rId5" w:anchor="paragraf-28a" w:tooltip="Odkaz na predpis alebo ustanovenie" w:history="1">
              <w:r w:rsidRPr="007D53D7">
                <w:rPr>
                  <w:rFonts w:ascii="Times New Roman" w:hAnsi="Times New Roman"/>
                  <w:bCs/>
                  <w:color w:val="0070C0"/>
                </w:rPr>
                <w:t>§ 28a</w:t>
              </w:r>
            </w:hyperlink>
            <w:r w:rsidRPr="007D53D7">
              <w:rPr>
                <w:rFonts w:ascii="Times New Roman" w:hAnsi="Times New Roman"/>
                <w:color w:val="0070C0"/>
              </w:rPr>
              <w:t xml:space="preserve"> uskutočnila alebo uskutočňuje predmarketing. Národná banka Slovenska je povinná na žiadosť príslušných orgánov dohľadu členského štátu, v ktorom sa predmarketing uskutočnil alebo uskutočňuje, poskytnúť ďalšie informácie o predmarketingu, ktorý sa uskutočnil alebo uskutočňuje na území Slovenskej republiky.</w:t>
            </w:r>
          </w:p>
          <w:p w:rsidR="001076AA" w:rsidRPr="001076AA" w:rsidP="001076AA">
            <w:pPr>
              <w:bidi w:val="0"/>
              <w:ind w:left="142" w:right="285" w:firstLine="1"/>
              <w:rPr>
                <w:rFonts w:ascii="Times New Roman" w:hAnsi="Times New Roman"/>
                <w:color w:val="0070C0"/>
              </w:rPr>
            </w:pPr>
            <w:r w:rsidRPr="007D53D7" w:rsidR="007D53D7">
              <w:rPr>
                <w:rFonts w:ascii="Times New Roman" w:hAnsi="Times New Roman"/>
                <w:color w:val="0070C0"/>
              </w:rPr>
              <w:t>(7)  </w:t>
            </w:r>
            <w:r w:rsidRPr="001076AA">
              <w:rPr>
                <w:rFonts w:ascii="Times New Roman" w:hAnsi="Times New Roman"/>
                <w:color w:val="0070C0"/>
              </w:rPr>
              <w:t>Iná osoba môže vykonávať predmarketing v mene správcovskej spoločnosti s povolením podľa § 28a alebo zahraničnej správcovskej spoločnosti s povolením vydaným v súlade s právne záväzným aktom Európskej únie upravujúcim správcov alternatívnych investičných fondov, iba ak jej bolo udelené povolenie ako obchodníkovi s cennými papiermi alebo ako zahraničnému obchodníkovi s cennými papiermi, ako banke alebo ako zahraničnej banke v súlade s osobitnými predpismi,</w:t>
            </w:r>
            <w:r w:rsidRPr="001076AA">
              <w:rPr>
                <w:rFonts w:ascii="Times New Roman" w:hAnsi="Times New Roman"/>
                <w:color w:val="0070C0"/>
                <w:vertAlign w:val="superscript"/>
              </w:rPr>
              <w:t>21a</w:t>
            </w:r>
            <w:r w:rsidRPr="001076AA">
              <w:rPr>
                <w:rFonts w:ascii="Times New Roman" w:hAnsi="Times New Roman"/>
                <w:color w:val="0070C0"/>
              </w:rPr>
              <w:t>) ako správcovskej spoločnosti podľa § 28a, ako zahraničnej správcovskej spoločnosti so sídlom v členskom štáte v súlade s právne záväzným aktom Európskej únie upravujúcim správcov alternatívnych investičných fondov, alebo ak koná ako viazaný agent v súlade s osobitným predpisom.</w:t>
            </w:r>
            <w:r w:rsidRPr="001076AA">
              <w:rPr>
                <w:rFonts w:ascii="Times New Roman" w:hAnsi="Times New Roman"/>
                <w:color w:val="0070C0"/>
                <w:vertAlign w:val="superscript"/>
              </w:rPr>
              <w:t>7</w:t>
            </w:r>
            <w:r w:rsidRPr="001076AA">
              <w:rPr>
                <w:rFonts w:ascii="Times New Roman" w:hAnsi="Times New Roman"/>
                <w:color w:val="0070C0"/>
              </w:rPr>
              <w:t xml:space="preserve">) </w:t>
            </w:r>
          </w:p>
          <w:p w:rsidR="001076AA" w:rsidRPr="001076AA" w:rsidP="001076AA">
            <w:pPr>
              <w:bidi w:val="0"/>
              <w:ind w:left="142" w:right="285" w:firstLine="23"/>
              <w:rPr>
                <w:rFonts w:ascii="Times New Roman" w:hAnsi="Times New Roman"/>
                <w:color w:val="0070C0"/>
              </w:rPr>
            </w:pPr>
            <w:r w:rsidRPr="001076AA">
              <w:rPr>
                <w:rFonts w:ascii="Times New Roman" w:hAnsi="Times New Roman"/>
                <w:color w:val="0070C0"/>
              </w:rPr>
              <w:t>(8)  Správcovská spoločnosť s povolením podľa § 28a  alebo zahraničná správcovská spoločnosť s povolením vydaným v súlade s právne záväzným aktom Európskej únie upravujúcim správcov alternatívnych investičných fondov je povinná viesť záznamy o všetkých činnostiach vykonávaných v rámci predmarketingu.</w:t>
            </w:r>
          </w:p>
          <w:p w:rsidR="00250283" w:rsidRPr="001076AA" w:rsidP="001076AA">
            <w:pPr>
              <w:bidi w:val="0"/>
              <w:rPr>
                <w:rFonts w:ascii="Times New Roman" w:hAnsi="Times New Roman"/>
                <w:color w:val="0070C0"/>
              </w:rPr>
            </w:pPr>
            <w:r w:rsidRPr="001076AA" w:rsidR="001076AA">
              <w:rPr>
                <w:rFonts w:ascii="Times New Roman" w:hAnsi="Times New Roman"/>
                <w:color w:val="0070C0"/>
              </w:rPr>
              <w:t>(9) Na inú osobu podľa odseku 7 sa vzťahujú podmienky uvedené v odsekoch 1 až 8</w:t>
            </w:r>
            <w:r w:rsidRPr="001076AA">
              <w:rPr>
                <w:rFonts w:ascii="Times New Roman" w:hAnsi="Times New Roman"/>
                <w:color w:val="0070C0"/>
              </w:rPr>
              <w:t>.</w:t>
            </w:r>
          </w:p>
          <w:p w:rsidR="000E5DD7" w:rsidP="00250283">
            <w:pPr>
              <w:bidi w:val="0"/>
              <w:ind w:left="99"/>
              <w:rPr>
                <w:rFonts w:ascii="Times New Roman" w:hAnsi="Times New Roman"/>
                <w:color w:val="0070C0"/>
              </w:rPr>
            </w:pPr>
          </w:p>
          <w:p w:rsidR="00B87EBC" w:rsidRPr="007D53D7" w:rsidP="00807D3E">
            <w:pPr>
              <w:bidi w:val="0"/>
              <w:ind w:right="99"/>
              <w:rPr>
                <w:rFonts w:ascii="Times New Roman" w:hAnsi="Times New Roman"/>
                <w:color w:val="0070C0"/>
              </w:rPr>
            </w:pPr>
            <w:r w:rsidRPr="00532929" w:rsidR="0068235D">
              <w:rPr>
                <w:rFonts w:ascii="Times New Roman" w:hAnsi="Times New Roman"/>
                <w:color w:val="0070C0"/>
              </w:rPr>
              <w:t>(4)</w:t>
            </w:r>
            <w:r w:rsidRPr="00B67FBD" w:rsidR="004930E0">
              <w:rPr>
                <w:rFonts w:ascii="Times New Roman" w:hAnsi="Times New Roman"/>
              </w:rPr>
              <w:t xml:space="preserve"> </w:t>
            </w:r>
            <w:r w:rsidRPr="007D53D7" w:rsidR="007D53D7">
              <w:rPr>
                <w:rFonts w:ascii="Times New Roman" w:hAnsi="Times New Roman"/>
                <w:color w:val="0070C0"/>
              </w:rPr>
              <w:t>Ak by v dôsledku plánovanej zmeny prestalo byť spravovanie alternatívneho investičného fondu alebo európskeho alternatívneho investičného fondu správcovskou spoločnosťou v súlade s týmto zákonom alebo ak by správcovská spoločnosť prestala iným spôsobom spĺňať ustanovenia tohto zákona, Národná banka Slovenska do 15 pracovných dní od doručenia všetkých informácií uvedených v odseku 1 informuje správcovskú spoločnosť, že takúto zmenu nemôže vykonať. O tejto skutočnosti Národná banka Slovenska informuje príslušné orgány dohľadu hostiteľského členského štátu, v ktorom sa uskutočňuje distribúcia alternatívneho investičného fondu alebo európskeho alternatívneho investičného fondu</w:t>
            </w:r>
            <w:r w:rsidRPr="007D53D7">
              <w:rPr>
                <w:rFonts w:ascii="Times New Roman" w:hAnsi="Times New Roman"/>
                <w:color w:val="0070C0"/>
              </w:rPr>
              <w:t xml:space="preserve">. </w:t>
            </w:r>
          </w:p>
          <w:p w:rsidR="00FE7B54" w:rsidRPr="004930E0" w:rsidP="0068235D">
            <w:pPr>
              <w:bidi w:val="0"/>
              <w:ind w:left="99"/>
              <w:rPr>
                <w:rFonts w:ascii="Times New Roman" w:hAnsi="Times New Roman"/>
                <w:color w:val="0070C0"/>
              </w:rPr>
            </w:pPr>
            <w:r w:rsidRPr="007D53D7" w:rsidR="00E170A8">
              <w:rPr>
                <w:rFonts w:ascii="Times New Roman" w:hAnsi="Times New Roman"/>
                <w:color w:val="0070C0"/>
              </w:rPr>
              <w:t xml:space="preserve">(5)   </w:t>
            </w:r>
            <w:r w:rsidRPr="007D53D7" w:rsidR="007D53D7">
              <w:rPr>
                <w:rFonts w:ascii="Times New Roman" w:hAnsi="Times New Roman"/>
                <w:color w:val="0070C0"/>
              </w:rPr>
              <w:t>Ak sa vykoná plánovaná zmena  podľa odseku 4 v rozpore s ustanoveniami odsekov 3 a 4 alebo ak dôjde k neplánovanej zmene, v dôsledku ktorej prestane byť spravovanie alternatívneho investičného fondu alebo európskeho alternatívneho investičného fondu správcovskou spoločnosťou v súlade s týmto zákonom, alebo ak správcovská spoločnosť prestala iným spôsobom spĺňať ustanovenia tohto zákona, Národná banka Slovenska prijme všetky opatrenia v súlade s § 202 vrátane zákazu distribúcie cenných papierov alebo majetkových účastí alternatívneho investičného fondu alebo európskeho alternatívneho investičného fondu na území Slovenskej republiky, ak je to nevyhnutné,  a bez zbytočného odkladu o tom informuje príslušné orgány dohľadu hostiteľského členského štátu správcovskej spoločnosti alternatívneho investičného fondu. Ak zmeny nemajú vplyv na súlad spravovania alternatívneho investičného fondu jeho správcovskou spoločnosťou s týmto zákonom ani na dodržiavanie tohto zákona správcovskou spoločnosťou alternatívneho investičného fondu, Národná banka Slovenska informuje o týchto zmenách do jedného mesiaca príslušné orgány dohľadu hostiteľského členského štátu správcovskej spoločnosti alternatívneho investičného fondu</w:t>
            </w:r>
            <w:r w:rsidRPr="004930E0" w:rsidR="0068235D">
              <w:rPr>
                <w:rFonts w:ascii="Times New Roman" w:hAnsi="Times New Roman"/>
                <w:color w:val="0070C0"/>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P="00E621F4">
            <w:pPr>
              <w:pStyle w:val="Heading1"/>
              <w:bidi w:val="0"/>
              <w:rPr>
                <w:rFonts w:ascii="Arial Narrow" w:hAnsi="Arial Narrow"/>
                <w:b w:val="0"/>
                <w:bCs w:val="0"/>
                <w:sz w:val="22"/>
                <w:szCs w:val="22"/>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P="00B87EBC">
            <w:pPr>
              <w:bidi w:val="0"/>
              <w:rPr>
                <w:rFonts w:ascii="Times New Roman" w:hAnsi="Times New Roman"/>
              </w:rPr>
            </w:pPr>
          </w:p>
          <w:p w:rsidR="00B87EBC" w:rsidRPr="00B87EBC" w:rsidP="00DD2C4B">
            <w:pPr>
              <w:bidi w:val="0"/>
              <w:rPr>
                <w:rFonts w:ascii="Times New Roman" w:hAnsi="Times New Roman"/>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Čl. 2 bod 4</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378" w:type="dxa"/>
              <w:tblInd w:w="241" w:type="dxa"/>
              <w:tblLayout w:type="fixed"/>
              <w:tblCellMar>
                <w:left w:w="0" w:type="dxa"/>
                <w:right w:w="0" w:type="dxa"/>
              </w:tblCellMar>
              <w:tblLook w:val="04A0"/>
            </w:tblPr>
            <w:tblGrid>
              <w:gridCol w:w="283"/>
              <w:gridCol w:w="6095"/>
            </w:tblGrid>
            <w:tr>
              <w:tblPrEx>
                <w:tblW w:w="6378" w:type="dxa"/>
                <w:tblInd w:w="241" w:type="dxa"/>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4.</w:t>
                  </w:r>
                </w:p>
              </w:tc>
              <w:tc>
                <w:tcPr>
                  <w:tcW w:w="6095"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Vkladá sa tento článok:</w:t>
                  </w:r>
                </w:p>
                <w:p w:rsidR="00E621F4" w:rsidRPr="009D5B18" w:rsidP="00E621F4">
                  <w:pPr>
                    <w:bidi w:val="0"/>
                    <w:spacing w:before="360" w:after="120"/>
                    <w:jc w:val="center"/>
                    <w:rPr>
                      <w:rFonts w:ascii="Times New Roman" w:hAnsi="Times New Roman"/>
                      <w:i/>
                      <w:iCs/>
                      <w:color w:val="000000"/>
                      <w:sz w:val="22"/>
                      <w:szCs w:val="22"/>
                    </w:rPr>
                  </w:pPr>
                  <w:r w:rsidRPr="009D5B18">
                    <w:rPr>
                      <w:rFonts w:ascii="Times New Roman" w:hAnsi="Times New Roman"/>
                      <w:i/>
                      <w:iCs/>
                      <w:color w:val="000000"/>
                      <w:sz w:val="22"/>
                      <w:szCs w:val="22"/>
                    </w:rPr>
                    <w:t>„Článok 32a</w:t>
                  </w:r>
                </w:p>
                <w:p w:rsidR="00E621F4" w:rsidRPr="009D5B18" w:rsidP="00E621F4">
                  <w:pPr>
                    <w:bidi w:val="0"/>
                    <w:spacing w:before="60" w:after="120"/>
                    <w:jc w:val="center"/>
                    <w:rPr>
                      <w:rFonts w:ascii="Times New Roman" w:hAnsi="Times New Roman"/>
                      <w:b/>
                      <w:bCs/>
                      <w:color w:val="000000"/>
                      <w:sz w:val="22"/>
                      <w:szCs w:val="22"/>
                    </w:rPr>
                  </w:pPr>
                  <w:r w:rsidRPr="009D5B18">
                    <w:rPr>
                      <w:rFonts w:ascii="Times New Roman" w:hAnsi="Times New Roman"/>
                      <w:b/>
                      <w:bCs/>
                      <w:color w:val="000000"/>
                      <w:sz w:val="22"/>
                      <w:szCs w:val="22"/>
                    </w:rPr>
                    <w:t>Odvolanie oznámenia o opatreniach prijatých na uvádzanie na trh podielových listov alebo akcií niektorých alebo všetkých AIF z EÚ na trh v iných členských štátoch ako v domovskom členskom štáte správcu AIF</w:t>
                  </w:r>
                </w:p>
                <w:p w:rsidR="00E621F4" w:rsidRPr="009D5B18" w:rsidP="00C50E73">
                  <w:pPr>
                    <w:bidi w:val="0"/>
                    <w:ind w:right="141"/>
                    <w:rPr>
                      <w:rFonts w:ascii="Times New Roman" w:hAnsi="Times New Roman"/>
                      <w:color w:val="000000"/>
                      <w:sz w:val="22"/>
                      <w:szCs w:val="22"/>
                    </w:rPr>
                  </w:pPr>
                  <w:r w:rsidRPr="009D5B18">
                    <w:rPr>
                      <w:rFonts w:ascii="Times New Roman" w:hAnsi="Times New Roman"/>
                      <w:color w:val="000000"/>
                      <w:sz w:val="22"/>
                      <w:szCs w:val="22"/>
                    </w:rPr>
                    <w:t>1.   Členské štáty zabezpečia, aby správca AIF z EÚ mohol odvolať oznámenia o opatreniach prijatých na uvádzanie na trh, pokiaľ ide o podielové listy alebo akcie niektorých alebo všetkých jeho AIF v členskom štáte, v prípade ktorých podal oznámenie v súlade s článkom 32, ak sú splnené všetky tieto podmienky:</w:t>
                  </w: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293" w:type="dxa"/>
                        <w:tcBorders>
                          <w:top w:val="nil"/>
                          <w:left w:val="nil"/>
                          <w:bottom w:val="nil"/>
                          <w:right w:val="nil"/>
                        </w:tcBorders>
                        <w:textDirection w:val="lrTb"/>
                        <w:vAlign w:val="top"/>
                        <w:hideMark/>
                      </w:tcPr>
                      <w:p w:rsidR="00E621F4" w:rsidP="00C50E73">
                        <w:pPr>
                          <w:bidi w:val="0"/>
                          <w:ind w:right="141"/>
                          <w:rPr>
                            <w:rFonts w:ascii="Times New Roman" w:hAnsi="Times New Roman"/>
                            <w:color w:val="000000"/>
                            <w:sz w:val="22"/>
                            <w:szCs w:val="22"/>
                          </w:rPr>
                        </w:pPr>
                        <w:r w:rsidRPr="009D5B18">
                          <w:rPr>
                            <w:rFonts w:ascii="Times New Roman" w:hAnsi="Times New Roman"/>
                            <w:color w:val="000000"/>
                            <w:sz w:val="22"/>
                            <w:szCs w:val="22"/>
                          </w:rPr>
                          <w:t>s výnimkou uzavretých AIF a fondov, ktoré sú upravené nariadením Európskeho parlamentu a Rady (EÚ) 2015/760</w:t>
                        </w:r>
                        <w:hyperlink r:id="rId6" w:anchor="ntr*4-L_2019188SK.01010601-E0010" w:history="1">
                          <w:r w:rsidRPr="009D5B18">
                            <w:rPr>
                              <w:rFonts w:ascii="Times New Roman" w:hAnsi="Times New Roman"/>
                              <w:color w:val="3366CC"/>
                              <w:sz w:val="22"/>
                              <w:szCs w:val="22"/>
                            </w:rPr>
                            <w:t> (</w:t>
                          </w:r>
                          <w:r w:rsidRPr="009D5B18">
                            <w:rPr>
                              <w:rFonts w:ascii="Times New Roman" w:hAnsi="Times New Roman"/>
                              <w:color w:val="3366CC"/>
                              <w:sz w:val="22"/>
                              <w:szCs w:val="22"/>
                              <w:vertAlign w:val="superscript"/>
                            </w:rPr>
                            <w:t>*4</w:t>
                          </w:r>
                          <w:r w:rsidRPr="009D5B18">
                            <w:rPr>
                              <w:rFonts w:ascii="Times New Roman" w:hAnsi="Times New Roman"/>
                              <w:color w:val="3366CC"/>
                              <w:sz w:val="22"/>
                              <w:szCs w:val="22"/>
                            </w:rPr>
                            <w:t>)</w:t>
                          </w:r>
                        </w:hyperlink>
                        <w:r w:rsidRPr="009D5B18">
                          <w:rPr>
                            <w:rFonts w:ascii="Times New Roman" w:hAnsi="Times New Roman"/>
                            <w:color w:val="000000"/>
                            <w:sz w:val="22"/>
                            <w:szCs w:val="22"/>
                          </w:rPr>
                          <w:t>, je predložená paušálna ponuka na odkúpenie alebo vyplatenie, bez akýchkoľvek poplatkov alebo zrážok, všetkých takýchto podielových listov alebo akcií AIF v držbe investorov v uvedenom členskom štáte, je sprístupnená verejnosti počas najmenej 30 pracovných dní a je priamo alebo prostredníctvom finančných sprostredkovateľov adresovaná jednotlivo všetkým investorom v uvedenom členskom štáte, ktorých totožnosť je známa;</w:t>
                        </w:r>
                      </w:p>
                      <w:p w:rsidR="008D47A4" w:rsidP="00C50E73">
                        <w:pPr>
                          <w:bidi w:val="0"/>
                          <w:ind w:right="141"/>
                          <w:rPr>
                            <w:rFonts w:ascii="Times New Roman" w:hAnsi="Times New Roman"/>
                            <w:color w:val="000000"/>
                            <w:sz w:val="22"/>
                            <w:szCs w:val="22"/>
                          </w:rPr>
                        </w:pPr>
                      </w:p>
                      <w:p w:rsidR="008D47A4" w:rsidRPr="009D5B18" w:rsidP="00C50E73">
                        <w:pPr>
                          <w:bidi w:val="0"/>
                          <w:ind w:right="141"/>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293" w:type="dxa"/>
                        <w:tcBorders>
                          <w:top w:val="nil"/>
                          <w:left w:val="nil"/>
                          <w:bottom w:val="nil"/>
                          <w:right w:val="nil"/>
                        </w:tcBorders>
                        <w:textDirection w:val="lrTb"/>
                        <w:vAlign w:val="top"/>
                        <w:hideMark/>
                      </w:tcPr>
                      <w:p w:rsidR="00E621F4" w:rsidP="008D47A4">
                        <w:pPr>
                          <w:bidi w:val="0"/>
                          <w:ind w:right="283"/>
                          <w:rPr>
                            <w:rFonts w:ascii="Times New Roman" w:hAnsi="Times New Roman"/>
                            <w:color w:val="000000"/>
                            <w:sz w:val="22"/>
                            <w:szCs w:val="22"/>
                          </w:rPr>
                        </w:pPr>
                        <w:r w:rsidRPr="009D5B18">
                          <w:rPr>
                            <w:rFonts w:ascii="Times New Roman" w:hAnsi="Times New Roman"/>
                            <w:color w:val="000000"/>
                            <w:sz w:val="22"/>
                            <w:szCs w:val="22"/>
                          </w:rPr>
                          <w:t>úmysel ukončiť opatrenia prijaté na uvádzanie podielových listov alebo akcií niektorých alebo všetkých jeho AIF na trh v uvedenom členskom štáte sa zverejní prostredníctvom verejne dostupného média – vrátane elektronických prostriedkov –, ktoré sa bežne používa v prípade uvádzania AIF na trh a je vhodné pre typického investora AIF;</w:t>
                        </w:r>
                      </w:p>
                      <w:p w:rsidR="008D47A4" w:rsidP="008D47A4">
                        <w:pPr>
                          <w:bidi w:val="0"/>
                          <w:ind w:right="283"/>
                          <w:rPr>
                            <w:rFonts w:ascii="Times New Roman" w:hAnsi="Times New Roman"/>
                            <w:color w:val="000000"/>
                            <w:sz w:val="22"/>
                            <w:szCs w:val="22"/>
                          </w:rPr>
                        </w:pPr>
                      </w:p>
                      <w:p w:rsidR="008D47A4" w:rsidP="008D47A4">
                        <w:pPr>
                          <w:bidi w:val="0"/>
                          <w:ind w:right="283"/>
                          <w:rPr>
                            <w:rFonts w:ascii="Times New Roman" w:hAnsi="Times New Roman"/>
                            <w:color w:val="000000"/>
                            <w:sz w:val="22"/>
                            <w:szCs w:val="22"/>
                          </w:rPr>
                        </w:pPr>
                      </w:p>
                      <w:p w:rsidR="008D47A4" w:rsidP="008D47A4">
                        <w:pPr>
                          <w:bidi w:val="0"/>
                          <w:ind w:right="283"/>
                          <w:rPr>
                            <w:rFonts w:ascii="Times New Roman" w:hAnsi="Times New Roman"/>
                            <w:color w:val="000000"/>
                            <w:sz w:val="22"/>
                            <w:szCs w:val="22"/>
                          </w:rPr>
                        </w:pPr>
                      </w:p>
                      <w:p w:rsidR="008D47A4" w:rsidRPr="009D5B18" w:rsidP="008D47A4">
                        <w:pPr>
                          <w:bidi w:val="0"/>
                          <w:ind w:right="283"/>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c)</w:t>
                        </w:r>
                      </w:p>
                    </w:tc>
                    <w:tc>
                      <w:tcPr>
                        <w:tcW w:w="6293" w:type="dxa"/>
                        <w:tcBorders>
                          <w:top w:val="nil"/>
                          <w:left w:val="nil"/>
                          <w:bottom w:val="nil"/>
                          <w:right w:val="nil"/>
                        </w:tcBorders>
                        <w:textDirection w:val="lrTb"/>
                        <w:vAlign w:val="top"/>
                        <w:hideMark/>
                      </w:tcPr>
                      <w:p w:rsidR="00E621F4" w:rsidRPr="009D5B18" w:rsidP="008D47A4">
                        <w:pPr>
                          <w:bidi w:val="0"/>
                          <w:ind w:right="141"/>
                          <w:rPr>
                            <w:rFonts w:ascii="Times New Roman" w:hAnsi="Times New Roman"/>
                            <w:color w:val="000000"/>
                            <w:sz w:val="22"/>
                            <w:szCs w:val="22"/>
                          </w:rPr>
                        </w:pPr>
                        <w:r w:rsidRPr="009D5B18">
                          <w:rPr>
                            <w:rFonts w:ascii="Times New Roman" w:hAnsi="Times New Roman"/>
                            <w:color w:val="000000"/>
                            <w:sz w:val="22"/>
                            <w:szCs w:val="22"/>
                          </w:rPr>
                          <w:t>všetky zmluvné dojednania s finančnými sprostredkovateľmi alebo zástupcami sa menia alebo ukončujú s účinnosťou odo dňa odvolania opatrení s cieľom zabrániť akejkoľvek novej alebo ďalšej priamej alebo nepriamej ponuke alebo umiestneniu podielových listov alebo akcií určených v oznámení uvedenom v odseku 2.</w:t>
                        </w:r>
                      </w:p>
                    </w:tc>
                  </w:tr>
                </w:tbl>
                <w:p w:rsidR="00385F7A" w:rsidP="00E621F4">
                  <w:pPr>
                    <w:bidi w:val="0"/>
                    <w:rPr>
                      <w:rFonts w:ascii="Times New Roman" w:hAnsi="Times New Roman"/>
                      <w:color w:val="000000"/>
                      <w:sz w:val="22"/>
                      <w:szCs w:val="22"/>
                    </w:rPr>
                  </w:pPr>
                </w:p>
                <w:p w:rsidR="00E621F4" w:rsidRPr="009D5B18" w:rsidP="008D47A4">
                  <w:pPr>
                    <w:bidi w:val="0"/>
                    <w:ind w:right="141"/>
                    <w:rPr>
                      <w:rFonts w:ascii="Times New Roman" w:hAnsi="Times New Roman"/>
                      <w:color w:val="000000"/>
                      <w:sz w:val="22"/>
                      <w:szCs w:val="22"/>
                    </w:rPr>
                  </w:pPr>
                  <w:r w:rsidRPr="009D5B18">
                    <w:rPr>
                      <w:rFonts w:ascii="Times New Roman" w:hAnsi="Times New Roman"/>
                      <w:color w:val="000000"/>
                      <w:sz w:val="22"/>
                      <w:szCs w:val="22"/>
                    </w:rPr>
                    <w:t>K dátumu uvedenému v prvom pododseku písm. c) správca AIF skončí s predkladaním nových alebo ďalších priamych či nepriamych ponúk alebo umiestňovaním podielových listov alebo akcií AIF, ktoré spravuje v členskom štáte v prípade ktorých podal oznámenie v súlade s odsekom 2.</w:t>
                  </w:r>
                </w:p>
                <w:p w:rsidR="00385F7A" w:rsidP="00E621F4">
                  <w:pPr>
                    <w:bidi w:val="0"/>
                    <w:rPr>
                      <w:rFonts w:ascii="Times New Roman" w:hAnsi="Times New Roman"/>
                      <w:color w:val="000000"/>
                      <w:sz w:val="22"/>
                      <w:szCs w:val="22"/>
                    </w:rPr>
                  </w:pPr>
                </w:p>
                <w:p w:rsidR="00385F7A" w:rsidP="00E621F4">
                  <w:pPr>
                    <w:bidi w:val="0"/>
                    <w:rPr>
                      <w:rFonts w:ascii="Times New Roman" w:hAnsi="Times New Roman"/>
                      <w:color w:val="000000"/>
                      <w:sz w:val="22"/>
                      <w:szCs w:val="22"/>
                    </w:rPr>
                  </w:pPr>
                </w:p>
                <w:p w:rsidR="00DA3EFA" w:rsidP="00E621F4">
                  <w:pPr>
                    <w:bidi w:val="0"/>
                    <w:rPr>
                      <w:rFonts w:ascii="Times New Roman" w:hAnsi="Times New Roman"/>
                      <w:color w:val="000000"/>
                      <w:sz w:val="22"/>
                      <w:szCs w:val="22"/>
                    </w:rPr>
                  </w:pPr>
                </w:p>
                <w:p w:rsidR="00E621F4" w:rsidRPr="009D5B18" w:rsidP="008D47A4">
                  <w:pPr>
                    <w:bidi w:val="0"/>
                    <w:ind w:right="141"/>
                    <w:rPr>
                      <w:rFonts w:ascii="Times New Roman" w:hAnsi="Times New Roman"/>
                      <w:color w:val="000000"/>
                      <w:sz w:val="22"/>
                      <w:szCs w:val="22"/>
                    </w:rPr>
                  </w:pPr>
                  <w:r w:rsidRPr="009D5B18">
                    <w:rPr>
                      <w:rFonts w:ascii="Times New Roman" w:hAnsi="Times New Roman"/>
                      <w:color w:val="000000"/>
                      <w:sz w:val="22"/>
                      <w:szCs w:val="22"/>
                    </w:rPr>
                    <w:t>2.   Správca AIF predloží príslušným orgánom svojho domovského členského štátu oznámenie obsahujúce informácie uvedené v odseku 1 prvom pododseku písm. a), b) a c).</w:t>
                  </w:r>
                </w:p>
                <w:p w:rsidR="00385F7A" w:rsidP="00E621F4">
                  <w:pPr>
                    <w:bidi w:val="0"/>
                    <w:rPr>
                      <w:rFonts w:ascii="Times New Roman" w:hAnsi="Times New Roman"/>
                      <w:color w:val="000000"/>
                      <w:sz w:val="22"/>
                      <w:szCs w:val="22"/>
                    </w:rPr>
                  </w:pPr>
                </w:p>
                <w:p w:rsidR="00385F7A" w:rsidP="00E621F4">
                  <w:pPr>
                    <w:bidi w:val="0"/>
                    <w:rPr>
                      <w:rFonts w:ascii="Times New Roman" w:hAnsi="Times New Roman"/>
                      <w:color w:val="000000"/>
                      <w:sz w:val="22"/>
                      <w:szCs w:val="22"/>
                    </w:rPr>
                  </w:pPr>
                </w:p>
                <w:p w:rsidR="00E621F4" w:rsidRPr="009D5B18" w:rsidP="008D47A4">
                  <w:pPr>
                    <w:bidi w:val="0"/>
                    <w:ind w:right="141"/>
                    <w:rPr>
                      <w:rFonts w:ascii="Times New Roman" w:hAnsi="Times New Roman"/>
                      <w:color w:val="000000"/>
                      <w:sz w:val="22"/>
                      <w:szCs w:val="22"/>
                    </w:rPr>
                  </w:pPr>
                  <w:r w:rsidRPr="009D5B18">
                    <w:rPr>
                      <w:rFonts w:ascii="Times New Roman" w:hAnsi="Times New Roman"/>
                      <w:color w:val="000000"/>
                      <w:sz w:val="22"/>
                      <w:szCs w:val="22"/>
                    </w:rPr>
                    <w:t>3.   Príslušné orgány domovského členského štátu správcu AIF overia, či je oznámenie, ktoré predložil správca AIF, v súlade s odsekom 2, úplné. Príslušné orgány domovského členského štátu správcu AIF najneskôr do 15 pracovných dní po doručení úplného oznámenia zašlú toto oznámenie príslušným orgánom členského štátu určených v oznámení uvedenom v odseku 2 a orgánu ESMA.</w:t>
                  </w:r>
                </w:p>
                <w:p w:rsidR="00DA3EFA" w:rsidP="0050517D">
                  <w:pPr>
                    <w:bidi w:val="0"/>
                    <w:ind w:right="141"/>
                    <w:rPr>
                      <w:rFonts w:ascii="Times New Roman" w:hAnsi="Times New Roman"/>
                      <w:color w:val="000000"/>
                      <w:sz w:val="22"/>
                      <w:szCs w:val="22"/>
                    </w:rPr>
                  </w:pPr>
                </w:p>
                <w:p w:rsidR="00385F7A" w:rsidP="0050517D">
                  <w:pPr>
                    <w:bidi w:val="0"/>
                    <w:ind w:right="141"/>
                    <w:rPr>
                      <w:rFonts w:ascii="Times New Roman" w:hAnsi="Times New Roman"/>
                      <w:color w:val="000000"/>
                      <w:sz w:val="22"/>
                      <w:szCs w:val="22"/>
                    </w:rPr>
                  </w:pPr>
                  <w:r w:rsidRPr="009D5B18" w:rsidR="00E621F4">
                    <w:rPr>
                      <w:rFonts w:ascii="Times New Roman" w:hAnsi="Times New Roman"/>
                      <w:color w:val="000000"/>
                      <w:sz w:val="22"/>
                      <w:szCs w:val="22"/>
                    </w:rPr>
                    <w:t>Po odoslaní oznámenia podľa prvého pododseku príslušné orgány domovského členského štátu správcu AIF bezodkladne informujú správcu AIF o tomto zaslaní.</w:t>
                  </w:r>
                </w:p>
                <w:p w:rsidR="00385F7A" w:rsidP="00E621F4">
                  <w:pPr>
                    <w:bidi w:val="0"/>
                    <w:rPr>
                      <w:rFonts w:ascii="Times New Roman" w:hAnsi="Times New Roman"/>
                      <w:color w:val="000000"/>
                      <w:sz w:val="22"/>
                      <w:szCs w:val="22"/>
                    </w:rPr>
                  </w:pPr>
                </w:p>
                <w:p w:rsidR="00E621F4" w:rsidRPr="009D5B18" w:rsidP="0050517D">
                  <w:pPr>
                    <w:bidi w:val="0"/>
                    <w:ind w:right="141"/>
                    <w:rPr>
                      <w:rFonts w:ascii="Times New Roman" w:hAnsi="Times New Roman"/>
                      <w:color w:val="000000"/>
                      <w:sz w:val="22"/>
                      <w:szCs w:val="22"/>
                    </w:rPr>
                  </w:pPr>
                  <w:r w:rsidRPr="009D5B18">
                    <w:rPr>
                      <w:rFonts w:ascii="Times New Roman" w:hAnsi="Times New Roman"/>
                      <w:color w:val="000000"/>
                      <w:sz w:val="22"/>
                      <w:szCs w:val="22"/>
                    </w:rPr>
                    <w:t>Počas obdobia 36 mesiacov od dátumu uvedeného v odseku 1 prvom pododseku písm. c) sa správca AIF nesmie zapojiť do predmarketingu podielových listov alebo akcií AIF z EÚ uvedených v oznámení alebo pokiaľ ide o podobné investičné stratégie alebo investičné zámery v členskom štáte určenom v oznámení uvedenom v odseku 2.</w:t>
                  </w:r>
                </w:p>
                <w:p w:rsidR="00385F7A" w:rsidP="00E621F4">
                  <w:pPr>
                    <w:bidi w:val="0"/>
                    <w:rPr>
                      <w:rFonts w:ascii="Times New Roman" w:hAnsi="Times New Roman"/>
                      <w:color w:val="000000"/>
                      <w:sz w:val="22"/>
                      <w:szCs w:val="22"/>
                    </w:rPr>
                  </w:pPr>
                </w:p>
                <w:p w:rsidR="00E621F4" w:rsidRPr="009D5B18" w:rsidP="001948CC">
                  <w:pPr>
                    <w:bidi w:val="0"/>
                    <w:ind w:right="141"/>
                    <w:rPr>
                      <w:rFonts w:ascii="Times New Roman" w:hAnsi="Times New Roman"/>
                      <w:color w:val="000000"/>
                      <w:sz w:val="22"/>
                      <w:szCs w:val="22"/>
                    </w:rPr>
                  </w:pPr>
                  <w:r w:rsidRPr="009D5B18">
                    <w:rPr>
                      <w:rFonts w:ascii="Times New Roman" w:hAnsi="Times New Roman"/>
                      <w:color w:val="000000"/>
                      <w:sz w:val="22"/>
                      <w:szCs w:val="22"/>
                    </w:rPr>
                    <w:t>4.   Správca AIF poskytuje investorom, ktorí naďalej majú investície v AIF z EÚ, ako aj príslušným orgánom domovského členského štátu správcu AIF informácie požadované podľa článkov 22 a 23.</w:t>
                  </w:r>
                </w:p>
                <w:p w:rsidR="00385F7A" w:rsidP="00E621F4">
                  <w:pPr>
                    <w:bidi w:val="0"/>
                    <w:rPr>
                      <w:rFonts w:ascii="Times New Roman" w:hAnsi="Times New Roman"/>
                      <w:color w:val="000000"/>
                      <w:sz w:val="22"/>
                      <w:szCs w:val="22"/>
                    </w:rPr>
                  </w:pPr>
                </w:p>
                <w:p w:rsidR="0050517D" w:rsidP="00E621F4">
                  <w:pPr>
                    <w:bidi w:val="0"/>
                    <w:rPr>
                      <w:rFonts w:ascii="Times New Roman" w:hAnsi="Times New Roman"/>
                      <w:color w:val="000000"/>
                      <w:sz w:val="22"/>
                      <w:szCs w:val="22"/>
                    </w:rPr>
                  </w:pPr>
                </w:p>
                <w:p w:rsidR="0050517D" w:rsidP="00E621F4">
                  <w:pPr>
                    <w:bidi w:val="0"/>
                    <w:rPr>
                      <w:rFonts w:ascii="Times New Roman" w:hAnsi="Times New Roman"/>
                      <w:color w:val="000000"/>
                      <w:sz w:val="22"/>
                      <w:szCs w:val="22"/>
                    </w:rPr>
                  </w:pPr>
                </w:p>
                <w:p w:rsidR="00E621F4" w:rsidRPr="009D5B18" w:rsidP="0050517D">
                  <w:pPr>
                    <w:bidi w:val="0"/>
                    <w:ind w:right="141"/>
                    <w:rPr>
                      <w:rFonts w:ascii="Times New Roman" w:hAnsi="Times New Roman"/>
                      <w:color w:val="000000"/>
                      <w:sz w:val="22"/>
                      <w:szCs w:val="22"/>
                    </w:rPr>
                  </w:pPr>
                  <w:r w:rsidRPr="009D5B18">
                    <w:rPr>
                      <w:rFonts w:ascii="Times New Roman" w:hAnsi="Times New Roman"/>
                      <w:color w:val="000000"/>
                      <w:sz w:val="22"/>
                      <w:szCs w:val="22"/>
                    </w:rPr>
                    <w:t>5.   Príslušné orgány domovského členského štátu správcu AIF zašlú príslušným orgánom členského štátu určeným v oznámení uvedenom v odseku 2 informácie o všetkých zmenách dokumentácie a informácie uvedené v písmenách b) až f) prílohy IV.</w:t>
                  </w:r>
                </w:p>
                <w:p w:rsidR="00A61517" w:rsidP="00E621F4">
                  <w:pPr>
                    <w:bidi w:val="0"/>
                    <w:rPr>
                      <w:rFonts w:ascii="Times New Roman" w:hAnsi="Times New Roman"/>
                      <w:color w:val="000000"/>
                      <w:sz w:val="22"/>
                      <w:szCs w:val="22"/>
                    </w:rPr>
                  </w:pPr>
                </w:p>
                <w:p w:rsidR="00532929" w:rsidP="00E621F4">
                  <w:pPr>
                    <w:bidi w:val="0"/>
                    <w:rPr>
                      <w:rFonts w:ascii="Times New Roman" w:hAnsi="Times New Roman"/>
                      <w:color w:val="000000"/>
                      <w:sz w:val="22"/>
                      <w:szCs w:val="22"/>
                    </w:rPr>
                  </w:pPr>
                </w:p>
                <w:p w:rsidR="00E621F4" w:rsidP="0050517D">
                  <w:pPr>
                    <w:bidi w:val="0"/>
                    <w:ind w:right="141"/>
                    <w:rPr>
                      <w:rFonts w:ascii="Times New Roman" w:hAnsi="Times New Roman"/>
                      <w:color w:val="000000"/>
                      <w:sz w:val="22"/>
                      <w:szCs w:val="22"/>
                    </w:rPr>
                  </w:pPr>
                  <w:r w:rsidRPr="009D5B18">
                    <w:rPr>
                      <w:rFonts w:ascii="Times New Roman" w:hAnsi="Times New Roman"/>
                      <w:color w:val="000000"/>
                      <w:sz w:val="22"/>
                      <w:szCs w:val="22"/>
                    </w:rPr>
                    <w:t>6.   Príslušné orgány členského štátu určené v oznámení uvedenom v odseku 2 tohto článku majú rovnaké práva a povinnosti ako príslušné orgány hostiteľského členského štátu správcu AIF, ako sa stanovuje v článku 45.</w:t>
                  </w:r>
                </w:p>
                <w:p w:rsidR="00DA3EFA" w:rsidP="00E621F4">
                  <w:pPr>
                    <w:bidi w:val="0"/>
                    <w:rPr>
                      <w:rFonts w:ascii="Times New Roman" w:hAnsi="Times New Roman"/>
                      <w:color w:val="000000"/>
                      <w:sz w:val="22"/>
                      <w:szCs w:val="22"/>
                    </w:rPr>
                  </w:pPr>
                </w:p>
                <w:p w:rsidR="00DA3EFA" w:rsidP="00E621F4">
                  <w:pPr>
                    <w:bidi w:val="0"/>
                    <w:rPr>
                      <w:rFonts w:ascii="Times New Roman" w:hAnsi="Times New Roman"/>
                      <w:color w:val="000000"/>
                      <w:sz w:val="22"/>
                      <w:szCs w:val="22"/>
                    </w:rPr>
                  </w:pPr>
                </w:p>
                <w:p w:rsidR="00E621F4" w:rsidRPr="00986D0B" w:rsidP="006662FB">
                  <w:pPr>
                    <w:bidi w:val="0"/>
                    <w:ind w:right="141"/>
                    <w:rPr>
                      <w:rFonts w:ascii="Times New Roman" w:hAnsi="Times New Roman"/>
                      <w:sz w:val="22"/>
                      <w:szCs w:val="22"/>
                    </w:rPr>
                  </w:pPr>
                  <w:r w:rsidRPr="009D5B18">
                    <w:rPr>
                      <w:rFonts w:ascii="Times New Roman" w:hAnsi="Times New Roman"/>
                      <w:color w:val="000000"/>
                      <w:sz w:val="22"/>
                      <w:szCs w:val="22"/>
                    </w:rPr>
                    <w:t xml:space="preserve">7.   Bez toho, aby boli dotknuté iné právomoci v oblasti dohľadu uvedené v článku 45 ods. 3, príslušné orgány členského štátu určené v oznámení uvedenom v odseku 2 tohto článku od dátumu zaslania podľa odseku 5 tohto článku nevyžadujú, aby dotknutý správca AIF preukázal súlad s vnútroštátnymi zákonmi, inými právnymi predpismi a správnymi opatreniami, ktorými sa upravujú požiadavky na uvádzanie na trh uvedené v článku 5 nariadenia Európskeho </w:t>
                  </w:r>
                  <w:r w:rsidRPr="00E937FC">
                    <w:rPr>
                      <w:rFonts w:ascii="Times New Roman" w:hAnsi="Times New Roman"/>
                      <w:color w:val="000000"/>
                      <w:sz w:val="22"/>
                      <w:szCs w:val="22"/>
                    </w:rPr>
                    <w:t>parlamentu a Rady (EÚ) 2019/</w:t>
                  </w:r>
                  <w:r w:rsidRPr="00986D0B">
                    <w:rPr>
                      <w:rFonts w:ascii="Times New Roman" w:hAnsi="Times New Roman"/>
                      <w:sz w:val="22"/>
                      <w:szCs w:val="22"/>
                    </w:rPr>
                    <w:t>1156</w:t>
                  </w:r>
                  <w:hyperlink r:id="rId6" w:anchor="ntr*5-L_2019188SK.01010601-E0011" w:history="1">
                    <w:r w:rsidRPr="00986D0B">
                      <w:rPr>
                        <w:rFonts w:ascii="Times New Roman" w:hAnsi="Times New Roman"/>
                        <w:sz w:val="22"/>
                        <w:szCs w:val="22"/>
                      </w:rPr>
                      <w:t> (</w:t>
                    </w:r>
                    <w:r w:rsidRPr="00986D0B">
                      <w:rPr>
                        <w:rFonts w:ascii="Times New Roman" w:hAnsi="Times New Roman"/>
                        <w:sz w:val="22"/>
                        <w:szCs w:val="22"/>
                        <w:vertAlign w:val="superscript"/>
                      </w:rPr>
                      <w:t>*5</w:t>
                    </w:r>
                    <w:r w:rsidRPr="00986D0B">
                      <w:rPr>
                        <w:rFonts w:ascii="Times New Roman" w:hAnsi="Times New Roman"/>
                        <w:sz w:val="22"/>
                        <w:szCs w:val="22"/>
                      </w:rPr>
                      <w:t>)</w:t>
                    </w:r>
                  </w:hyperlink>
                  <w:r w:rsidRPr="00986D0B">
                    <w:rPr>
                      <w:rFonts w:ascii="Times New Roman" w:hAnsi="Times New Roman"/>
                      <w:sz w:val="22"/>
                      <w:szCs w:val="22"/>
                    </w:rPr>
                    <w:t>.</w:t>
                  </w:r>
                </w:p>
                <w:p w:rsidR="00023207" w:rsidRPr="00E937FC" w:rsidP="00E621F4">
                  <w:pPr>
                    <w:bidi w:val="0"/>
                    <w:rPr>
                      <w:rFonts w:ascii="Times New Roman" w:hAnsi="Times New Roman"/>
                      <w:color w:val="000000"/>
                      <w:sz w:val="22"/>
                      <w:szCs w:val="22"/>
                    </w:rPr>
                  </w:pPr>
                </w:p>
                <w:p w:rsidR="00E621F4" w:rsidP="00E621F4">
                  <w:pPr>
                    <w:bidi w:val="0"/>
                    <w:rPr>
                      <w:rFonts w:ascii="Times New Roman" w:hAnsi="Times New Roman"/>
                      <w:color w:val="000000"/>
                      <w:sz w:val="22"/>
                      <w:szCs w:val="22"/>
                    </w:rPr>
                  </w:pPr>
                  <w:r w:rsidRPr="00E937FC">
                    <w:rPr>
                      <w:rFonts w:ascii="Times New Roman" w:hAnsi="Times New Roman"/>
                      <w:color w:val="000000"/>
                      <w:sz w:val="22"/>
                      <w:szCs w:val="22"/>
                    </w:rPr>
                    <w:t>8.   Členské štáty umožnia, aby sa na účely odseku 4 mohli používať všetky elektronické komunikačné prostriedky alebo iné prostriedky komunikácie na diaľku.</w:t>
                  </w:r>
                </w:p>
                <w:p w:rsidR="00023207" w:rsidRPr="009D5B18" w:rsidP="00E621F4">
                  <w:pPr>
                    <w:bidi w:val="0"/>
                    <w:rPr>
                      <w:rFonts w:ascii="Times New Roman" w:hAnsi="Times New Roman"/>
                      <w:color w:val="000000"/>
                      <w:sz w:val="22"/>
                      <w:szCs w:val="22"/>
                    </w:rPr>
                  </w:pPr>
                </w:p>
                <w:p w:rsidR="00E621F4" w:rsidRPr="009D5B18" w:rsidP="00E621F4">
                  <w:pPr>
                    <w:bidi w:val="0"/>
                    <w:spacing w:before="60" w:after="60"/>
                    <w:rPr>
                      <w:rFonts w:ascii="Times New Roman" w:hAnsi="Times New Roman"/>
                      <w:color w:val="000000"/>
                      <w:sz w:val="22"/>
                      <w:szCs w:val="22"/>
                    </w:rPr>
                  </w:pPr>
                  <w:r w:rsidRPr="009D5B18">
                    <w:rPr>
                      <w:rFonts w:ascii="Times New Roman" w:hAnsi="Times New Roman"/>
                      <w:color w:val="000000"/>
                      <w:sz w:val="22"/>
                      <w:szCs w:val="22"/>
                    </w:rPr>
                    <w:t xml:space="preserve"> </w:t>
                  </w:r>
                </w:p>
              </w:tc>
            </w:tr>
          </w:tbl>
          <w:p w:rsidR="00E621F4" w:rsidRPr="009D5B18" w:rsidP="00E621F4">
            <w:pPr>
              <w:shd w:val="clear" w:color="auto" w:fill="FFFFFF"/>
              <w:bidi w:val="0"/>
              <w:spacing w:before="0"/>
              <w:jc w:val="left"/>
              <w:rPr>
                <w:rFonts w:ascii="Times New Roman" w:hAnsi="Times New Roman"/>
                <w:vanish/>
                <w:color w:val="000000"/>
                <w:sz w:val="22"/>
                <w:szCs w:val="22"/>
              </w:rPr>
            </w:pP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7D53D7" w:rsidP="00E621F4">
            <w:pPr>
              <w:autoSpaceDE w:val="0"/>
              <w:autoSpaceDN w:val="0"/>
              <w:bidi w:val="0"/>
              <w:spacing w:before="0"/>
              <w:jc w:val="center"/>
              <w:rPr>
                <w:rFonts w:ascii="Arial Narrow" w:hAnsi="Arial Narrow"/>
                <w:b/>
                <w:color w:val="0070C0"/>
                <w:sz w:val="22"/>
                <w:szCs w:val="22"/>
              </w:rPr>
            </w:pPr>
          </w:p>
          <w:p w:rsidR="00E621F4" w:rsidRPr="00380F43" w:rsidP="00E621F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E621F4"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6C668B" w:rsidP="00E621F4">
            <w:pPr>
              <w:autoSpaceDE w:val="0"/>
              <w:autoSpaceDN w:val="0"/>
              <w:bidi w:val="0"/>
              <w:spacing w:before="0"/>
              <w:jc w:val="center"/>
              <w:rPr>
                <w:rFonts w:ascii="Arial Narrow" w:hAnsi="Arial Narrow"/>
                <w:b/>
                <w:sz w:val="22"/>
                <w:szCs w:val="22"/>
              </w:rPr>
            </w:pPr>
          </w:p>
          <w:p w:rsidR="00424A65" w:rsidP="00E621F4">
            <w:pPr>
              <w:autoSpaceDE w:val="0"/>
              <w:autoSpaceDN w:val="0"/>
              <w:bidi w:val="0"/>
              <w:spacing w:before="0"/>
              <w:jc w:val="center"/>
              <w:rPr>
                <w:rFonts w:ascii="Arial Narrow" w:hAnsi="Arial Narrow"/>
                <w:b/>
                <w:color w:val="0070C0"/>
                <w:sz w:val="22"/>
                <w:szCs w:val="22"/>
              </w:rPr>
            </w:pPr>
          </w:p>
          <w:p w:rsidR="001948CC" w:rsidP="00E621F4">
            <w:pPr>
              <w:autoSpaceDE w:val="0"/>
              <w:autoSpaceDN w:val="0"/>
              <w:bidi w:val="0"/>
              <w:spacing w:before="0"/>
              <w:jc w:val="center"/>
              <w:rPr>
                <w:rFonts w:ascii="Arial Narrow" w:hAnsi="Arial Narrow"/>
                <w:b/>
                <w:color w:val="0070C0"/>
                <w:sz w:val="22"/>
                <w:szCs w:val="22"/>
              </w:rPr>
            </w:pPr>
          </w:p>
          <w:p w:rsidR="001948CC" w:rsidP="00E621F4">
            <w:pPr>
              <w:autoSpaceDE w:val="0"/>
              <w:autoSpaceDN w:val="0"/>
              <w:bidi w:val="0"/>
              <w:spacing w:before="0"/>
              <w:jc w:val="center"/>
              <w:rPr>
                <w:rFonts w:ascii="Arial Narrow" w:hAnsi="Arial Narrow"/>
                <w:b/>
                <w:color w:val="0070C0"/>
                <w:sz w:val="22"/>
                <w:szCs w:val="22"/>
              </w:rPr>
            </w:pPr>
          </w:p>
          <w:p w:rsidR="001948CC" w:rsidP="00E621F4">
            <w:pPr>
              <w:autoSpaceDE w:val="0"/>
              <w:autoSpaceDN w:val="0"/>
              <w:bidi w:val="0"/>
              <w:spacing w:before="0"/>
              <w:jc w:val="center"/>
              <w:rPr>
                <w:rFonts w:ascii="Arial Narrow" w:hAnsi="Arial Narrow"/>
                <w:b/>
                <w:sz w:val="22"/>
                <w:szCs w:val="22"/>
              </w:rPr>
            </w:pPr>
          </w:p>
          <w:p w:rsidR="00DA3EFA" w:rsidP="00E621F4">
            <w:pPr>
              <w:autoSpaceDE w:val="0"/>
              <w:autoSpaceDN w:val="0"/>
              <w:bidi w:val="0"/>
              <w:spacing w:before="0"/>
              <w:jc w:val="center"/>
              <w:rPr>
                <w:rFonts w:ascii="Arial Narrow" w:hAnsi="Arial Narrow"/>
                <w:b/>
                <w:sz w:val="22"/>
                <w:szCs w:val="22"/>
              </w:rPr>
            </w:pPr>
          </w:p>
          <w:p w:rsidR="00DA3EFA" w:rsidP="00E621F4">
            <w:pPr>
              <w:autoSpaceDE w:val="0"/>
              <w:autoSpaceDN w:val="0"/>
              <w:bidi w:val="0"/>
              <w:spacing w:before="0"/>
              <w:jc w:val="center"/>
              <w:rPr>
                <w:rFonts w:ascii="Arial Narrow" w:hAnsi="Arial Narrow"/>
                <w:b/>
                <w:sz w:val="22"/>
                <w:szCs w:val="22"/>
              </w:rPr>
            </w:pPr>
          </w:p>
          <w:p w:rsidR="00DA3EFA" w:rsidRPr="00380F43" w:rsidP="00DA3EFA">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A61517" w:rsidP="00E621F4">
            <w:pPr>
              <w:autoSpaceDE w:val="0"/>
              <w:autoSpaceDN w:val="0"/>
              <w:bidi w:val="0"/>
              <w:spacing w:before="0"/>
              <w:jc w:val="center"/>
              <w:rPr>
                <w:rFonts w:ascii="Arial Narrow" w:hAnsi="Arial Narrow"/>
                <w:b/>
                <w:sz w:val="22"/>
                <w:szCs w:val="22"/>
              </w:rPr>
            </w:pPr>
          </w:p>
          <w:p w:rsidR="00A61517" w:rsidP="00E621F4">
            <w:pPr>
              <w:autoSpaceDE w:val="0"/>
              <w:autoSpaceDN w:val="0"/>
              <w:bidi w:val="0"/>
              <w:spacing w:before="0"/>
              <w:jc w:val="center"/>
              <w:rPr>
                <w:rFonts w:ascii="Arial Narrow" w:hAnsi="Arial Narrow"/>
                <w:b/>
                <w:sz w:val="22"/>
                <w:szCs w:val="22"/>
              </w:rPr>
            </w:pPr>
          </w:p>
          <w:p w:rsidR="00A61517" w:rsidP="00E621F4">
            <w:pPr>
              <w:autoSpaceDE w:val="0"/>
              <w:autoSpaceDN w:val="0"/>
              <w:bidi w:val="0"/>
              <w:spacing w:before="0"/>
              <w:jc w:val="center"/>
              <w:rPr>
                <w:rFonts w:ascii="Arial Narrow" w:hAnsi="Arial Narrow"/>
                <w:b/>
                <w:sz w:val="22"/>
                <w:szCs w:val="22"/>
              </w:rPr>
            </w:pPr>
          </w:p>
          <w:p w:rsidR="00DA3EFA" w:rsidP="00E621F4">
            <w:pPr>
              <w:autoSpaceDE w:val="0"/>
              <w:autoSpaceDN w:val="0"/>
              <w:bidi w:val="0"/>
              <w:spacing w:before="0"/>
              <w:jc w:val="center"/>
              <w:rPr>
                <w:rFonts w:ascii="Arial Narrow" w:hAnsi="Arial Narrow"/>
                <w:b/>
                <w:sz w:val="22"/>
                <w:szCs w:val="22"/>
              </w:rPr>
            </w:pPr>
          </w:p>
          <w:p w:rsidR="00DA3EFA" w:rsidRPr="00380F43" w:rsidP="00DA3EFA">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6C668B" w:rsidRPr="00380F43" w:rsidP="006C668B">
            <w:pPr>
              <w:autoSpaceDE w:val="0"/>
              <w:autoSpaceDN w:val="0"/>
              <w:bidi w:val="0"/>
              <w:spacing w:before="0"/>
              <w:jc w:val="center"/>
              <w:rPr>
                <w:rFonts w:ascii="Arial Narrow" w:hAnsi="Arial Narrow"/>
                <w:b/>
                <w:color w:val="0070C0"/>
                <w:sz w:val="22"/>
                <w:szCs w:val="22"/>
              </w:rPr>
            </w:pPr>
          </w:p>
          <w:p w:rsidR="006C668B"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E621F4" w:rsidP="00E621F4">
            <w:pPr>
              <w:pStyle w:val="Normlny"/>
              <w:bidi w:val="0"/>
              <w:rPr>
                <w:rFonts w:ascii="Arial Narrow" w:hAnsi="Arial Narrow"/>
                <w:sz w:val="22"/>
                <w:szCs w:val="22"/>
              </w:rPr>
            </w:pPr>
            <w:r w:rsidRPr="00FE7B54">
              <w:rPr>
                <w:rFonts w:ascii="Arial Narrow" w:hAnsi="Arial Narrow"/>
                <w:sz w:val="22"/>
                <w:szCs w:val="22"/>
              </w:rPr>
              <w:t xml:space="preserve">§ </w:t>
            </w:r>
            <w:r w:rsidRPr="00E937FC" w:rsidR="00FE7B54">
              <w:rPr>
                <w:rFonts w:ascii="Arial Narrow" w:hAnsi="Arial Narrow"/>
                <w:sz w:val="22"/>
                <w:szCs w:val="22"/>
              </w:rPr>
              <w:t>150c</w:t>
            </w:r>
            <w:r w:rsidRPr="00E937FC" w:rsidR="00C50E73">
              <w:rPr>
                <w:rFonts w:ascii="Arial Narrow" w:hAnsi="Arial Narrow"/>
                <w:sz w:val="22"/>
                <w:szCs w:val="22"/>
              </w:rPr>
              <w:t xml:space="preserve"> ods. 7</w:t>
            </w: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P="00E621F4">
            <w:pPr>
              <w:pStyle w:val="Normlny"/>
              <w:bidi w:val="0"/>
              <w:rPr>
                <w:rFonts w:ascii="Arial Narrow" w:hAnsi="Arial Narrow"/>
                <w:sz w:val="22"/>
                <w:szCs w:val="22"/>
              </w:rPr>
            </w:pPr>
          </w:p>
          <w:p w:rsidR="00C50E73" w:rsidRPr="002153F7" w:rsidP="00E621F4">
            <w:pPr>
              <w:pStyle w:val="Normlny"/>
              <w:bidi w:val="0"/>
              <w:rPr>
                <w:rFonts w:ascii="Arial Narrow" w:hAnsi="Arial Narrow"/>
                <w:sz w:val="22"/>
                <w:szCs w:val="22"/>
              </w:rPr>
            </w:pPr>
          </w:p>
          <w:p w:rsidR="00E621F4"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RPr="00E937FC" w:rsidP="00E621F4">
            <w:pPr>
              <w:pStyle w:val="Normlny"/>
              <w:bidi w:val="0"/>
              <w:rPr>
                <w:rFonts w:ascii="Arial Narrow" w:hAnsi="Arial Narrow"/>
                <w:sz w:val="22"/>
                <w:szCs w:val="22"/>
              </w:rPr>
            </w:pPr>
            <w:r w:rsidRPr="00E937FC" w:rsidR="005A04A2">
              <w:rPr>
                <w:rFonts w:ascii="Arial Narrow" w:hAnsi="Arial Narrow"/>
                <w:sz w:val="22"/>
                <w:szCs w:val="22"/>
              </w:rPr>
              <w:t>ods.8</w:t>
            </w: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P="00E621F4">
            <w:pPr>
              <w:pStyle w:val="Normlny"/>
              <w:bidi w:val="0"/>
              <w:rPr>
                <w:rFonts w:ascii="Arial Narrow" w:hAnsi="Arial Narrow"/>
                <w:sz w:val="22"/>
                <w:szCs w:val="22"/>
              </w:rPr>
            </w:pPr>
          </w:p>
          <w:p w:rsidR="00DA3EFA" w:rsidP="00E621F4">
            <w:pPr>
              <w:pStyle w:val="Normlny"/>
              <w:bidi w:val="0"/>
              <w:rPr>
                <w:rFonts w:ascii="Arial Narrow" w:hAnsi="Arial Narrow"/>
                <w:sz w:val="22"/>
                <w:szCs w:val="22"/>
              </w:rPr>
            </w:pPr>
          </w:p>
          <w:p w:rsidR="00DA3EFA"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r w:rsidRPr="00E937FC">
              <w:rPr>
                <w:rFonts w:ascii="Arial Narrow" w:hAnsi="Arial Narrow"/>
                <w:sz w:val="22"/>
                <w:szCs w:val="22"/>
              </w:rPr>
              <w:t xml:space="preserve">ods.9 </w:t>
            </w:r>
          </w:p>
          <w:p w:rsidR="005A04A2" w:rsidRPr="00E937FC" w:rsidP="00E621F4">
            <w:pPr>
              <w:pStyle w:val="Normlny"/>
              <w:bidi w:val="0"/>
              <w:rPr>
                <w:rFonts w:ascii="Arial Narrow" w:hAnsi="Arial Narrow"/>
                <w:sz w:val="22"/>
                <w:szCs w:val="22"/>
              </w:rPr>
            </w:pPr>
          </w:p>
          <w:p w:rsidR="005A04A2" w:rsidP="00E621F4">
            <w:pPr>
              <w:pStyle w:val="Normlny"/>
              <w:bidi w:val="0"/>
              <w:rPr>
                <w:rFonts w:ascii="Arial Narrow" w:hAnsi="Arial Narrow"/>
                <w:sz w:val="22"/>
                <w:szCs w:val="22"/>
                <w:highlight w:val="yellow"/>
              </w:rPr>
            </w:pPr>
          </w:p>
          <w:p w:rsidR="005A04A2" w:rsidRPr="00E937FC" w:rsidP="00E621F4">
            <w:pPr>
              <w:pStyle w:val="Normlny"/>
              <w:bidi w:val="0"/>
              <w:rPr>
                <w:rFonts w:ascii="Arial Narrow" w:hAnsi="Arial Narrow"/>
                <w:sz w:val="22"/>
                <w:szCs w:val="22"/>
              </w:rPr>
            </w:pPr>
          </w:p>
          <w:p w:rsidR="005A04A2" w:rsidP="00E621F4">
            <w:pPr>
              <w:pStyle w:val="Normlny"/>
              <w:bidi w:val="0"/>
              <w:rPr>
                <w:rFonts w:ascii="Arial Narrow" w:hAnsi="Arial Narrow"/>
                <w:sz w:val="22"/>
                <w:szCs w:val="22"/>
              </w:rPr>
            </w:pPr>
          </w:p>
          <w:p w:rsidR="007D53D7"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r w:rsidRPr="00E937FC">
              <w:rPr>
                <w:rFonts w:ascii="Arial Narrow" w:hAnsi="Arial Narrow"/>
                <w:sz w:val="22"/>
                <w:szCs w:val="22"/>
              </w:rPr>
              <w:t xml:space="preserve">ods.10 </w:t>
            </w: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DA3EFA"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r w:rsidRPr="00E937FC">
              <w:rPr>
                <w:rFonts w:ascii="Arial Narrow" w:hAnsi="Arial Narrow"/>
                <w:sz w:val="22"/>
                <w:szCs w:val="22"/>
              </w:rPr>
              <w:t>ods.11</w:t>
            </w:r>
          </w:p>
          <w:p w:rsidR="005A04A2" w:rsidRPr="00E937FC" w:rsidP="00E621F4">
            <w:pPr>
              <w:pStyle w:val="Normlny"/>
              <w:bidi w:val="0"/>
              <w:rPr>
                <w:rFonts w:ascii="Arial Narrow" w:hAnsi="Arial Narrow"/>
                <w:sz w:val="22"/>
                <w:szCs w:val="22"/>
              </w:rPr>
            </w:pPr>
          </w:p>
          <w:p w:rsidR="005A04A2"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P="00E621F4">
            <w:pPr>
              <w:pStyle w:val="Normlny"/>
              <w:bidi w:val="0"/>
              <w:rPr>
                <w:rFonts w:ascii="Arial Narrow" w:hAnsi="Arial Narrow"/>
                <w:sz w:val="22"/>
                <w:szCs w:val="22"/>
              </w:rPr>
            </w:pPr>
          </w:p>
          <w:p w:rsidR="007D53D7" w:rsidRPr="00E937FC" w:rsidP="00E621F4">
            <w:pPr>
              <w:pStyle w:val="Normlny"/>
              <w:bidi w:val="0"/>
              <w:rPr>
                <w:rFonts w:ascii="Arial Narrow" w:hAnsi="Arial Narrow"/>
                <w:sz w:val="22"/>
                <w:szCs w:val="22"/>
              </w:rPr>
            </w:pPr>
          </w:p>
          <w:p w:rsidR="005A04A2" w:rsidRPr="00E937FC" w:rsidP="00E621F4">
            <w:pPr>
              <w:pStyle w:val="Normlny"/>
              <w:bidi w:val="0"/>
              <w:rPr>
                <w:rFonts w:ascii="Arial Narrow" w:hAnsi="Arial Narrow"/>
                <w:sz w:val="22"/>
                <w:szCs w:val="22"/>
              </w:rPr>
            </w:pPr>
          </w:p>
          <w:p w:rsidR="005A04A2" w:rsidRPr="00E937FC" w:rsidP="005A04A2">
            <w:pPr>
              <w:pStyle w:val="Normlny"/>
              <w:bidi w:val="0"/>
              <w:rPr>
                <w:rFonts w:ascii="Arial Narrow" w:hAnsi="Arial Narrow"/>
                <w:sz w:val="22"/>
                <w:szCs w:val="22"/>
              </w:rPr>
            </w:pPr>
            <w:r w:rsidRPr="00E937FC">
              <w:rPr>
                <w:rFonts w:ascii="Arial Narrow" w:hAnsi="Arial Narrow"/>
                <w:sz w:val="22"/>
                <w:szCs w:val="22"/>
              </w:rPr>
              <w:t>ods.12</w:t>
            </w:r>
          </w:p>
          <w:p w:rsidR="005A04A2"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7D53D7" w:rsidP="005A04A2">
            <w:pPr>
              <w:pStyle w:val="Normlny"/>
              <w:bidi w:val="0"/>
              <w:rPr>
                <w:rFonts w:ascii="Arial Narrow" w:hAnsi="Arial Narrow"/>
                <w:sz w:val="22"/>
                <w:szCs w:val="22"/>
              </w:rPr>
            </w:pPr>
          </w:p>
          <w:p w:rsidR="007D53D7" w:rsidP="005A04A2">
            <w:pPr>
              <w:pStyle w:val="Normlny"/>
              <w:bidi w:val="0"/>
              <w:rPr>
                <w:rFonts w:ascii="Arial Narrow" w:hAnsi="Arial Narrow"/>
                <w:sz w:val="22"/>
                <w:szCs w:val="22"/>
              </w:rPr>
            </w:pPr>
          </w:p>
          <w:p w:rsidR="005A04A2" w:rsidP="005A04A2">
            <w:pPr>
              <w:pStyle w:val="Normlny"/>
              <w:bidi w:val="0"/>
              <w:rPr>
                <w:rFonts w:ascii="Arial Narrow" w:hAnsi="Arial Narrow"/>
                <w:sz w:val="22"/>
                <w:szCs w:val="22"/>
              </w:rPr>
            </w:pPr>
          </w:p>
          <w:p w:rsidR="005A04A2" w:rsidRPr="00E937FC" w:rsidP="005A04A2">
            <w:pPr>
              <w:pStyle w:val="Normlny"/>
              <w:bidi w:val="0"/>
              <w:rPr>
                <w:rFonts w:ascii="Arial Narrow" w:hAnsi="Arial Narrow"/>
                <w:sz w:val="22"/>
                <w:szCs w:val="22"/>
              </w:rPr>
            </w:pPr>
            <w:r w:rsidRPr="00E937FC">
              <w:rPr>
                <w:rFonts w:ascii="Arial Narrow" w:hAnsi="Arial Narrow"/>
                <w:sz w:val="22"/>
                <w:szCs w:val="22"/>
              </w:rPr>
              <w:t>ods.13</w:t>
            </w:r>
          </w:p>
          <w:p w:rsidR="005A04A2" w:rsidRPr="00E937FC" w:rsidP="005A04A2">
            <w:pPr>
              <w:pStyle w:val="Normlny"/>
              <w:bidi w:val="0"/>
              <w:rPr>
                <w:rFonts w:ascii="Arial Narrow" w:hAnsi="Arial Narrow"/>
                <w:sz w:val="22"/>
                <w:szCs w:val="22"/>
              </w:rPr>
            </w:pPr>
          </w:p>
          <w:p w:rsidR="005A04A2" w:rsidRPr="00E937FC" w:rsidP="005A04A2">
            <w:pPr>
              <w:pStyle w:val="Normlny"/>
              <w:bidi w:val="0"/>
              <w:rPr>
                <w:rFonts w:ascii="Arial Narrow" w:hAnsi="Arial Narrow"/>
                <w:sz w:val="22"/>
                <w:szCs w:val="22"/>
              </w:rPr>
            </w:pPr>
          </w:p>
          <w:p w:rsidR="005A04A2" w:rsidRPr="00E937FC" w:rsidP="005A04A2">
            <w:pPr>
              <w:pStyle w:val="Normlny"/>
              <w:bidi w:val="0"/>
              <w:rPr>
                <w:rFonts w:ascii="Arial Narrow" w:hAnsi="Arial Narrow"/>
                <w:sz w:val="22"/>
                <w:szCs w:val="22"/>
              </w:rPr>
            </w:pPr>
          </w:p>
          <w:p w:rsidR="005A04A2" w:rsidRPr="00E937FC" w:rsidP="005A04A2">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A61517" w:rsidP="00A61517">
            <w:pPr>
              <w:pStyle w:val="Normlny"/>
              <w:bidi w:val="0"/>
              <w:rPr>
                <w:rFonts w:ascii="Arial Narrow" w:hAnsi="Arial Narrow"/>
                <w:sz w:val="22"/>
                <w:szCs w:val="22"/>
              </w:rPr>
            </w:pPr>
            <w:r w:rsidRPr="00FE7B54">
              <w:rPr>
                <w:rFonts w:ascii="Arial Narrow" w:hAnsi="Arial Narrow"/>
                <w:sz w:val="22"/>
                <w:szCs w:val="22"/>
              </w:rPr>
              <w:t xml:space="preserve">§ </w:t>
            </w:r>
            <w:r>
              <w:rPr>
                <w:rFonts w:ascii="Arial Narrow" w:hAnsi="Arial Narrow"/>
                <w:sz w:val="22"/>
                <w:szCs w:val="22"/>
              </w:rPr>
              <w:t>201a</w:t>
            </w:r>
          </w:p>
          <w:p w:rsidR="00A61517" w:rsidRPr="002153F7" w:rsidP="00A61517">
            <w:pPr>
              <w:pStyle w:val="Normlny"/>
              <w:bidi w:val="0"/>
              <w:rPr>
                <w:rFonts w:ascii="Arial Narrow" w:hAnsi="Arial Narrow"/>
                <w:sz w:val="22"/>
                <w:szCs w:val="22"/>
              </w:rPr>
            </w:pPr>
            <w:r w:rsidR="006662FB">
              <w:rPr>
                <w:rFonts w:ascii="Arial Narrow" w:hAnsi="Arial Narrow"/>
                <w:sz w:val="22"/>
                <w:szCs w:val="22"/>
              </w:rPr>
              <w:t>o</w:t>
            </w:r>
            <w:r>
              <w:rPr>
                <w:rFonts w:ascii="Arial Narrow" w:hAnsi="Arial Narrow"/>
                <w:sz w:val="22"/>
                <w:szCs w:val="22"/>
              </w:rPr>
              <w:t>ds. 11</w:t>
            </w:r>
          </w:p>
          <w:p w:rsidR="00A61517" w:rsidP="00E621F4">
            <w:pPr>
              <w:pStyle w:val="Normlny"/>
              <w:bidi w:val="0"/>
              <w:rPr>
                <w:rFonts w:ascii="Arial Narrow" w:hAnsi="Arial Narrow"/>
                <w:sz w:val="22"/>
                <w:szCs w:val="22"/>
              </w:rPr>
            </w:pPr>
          </w:p>
          <w:p w:rsidR="00A61517"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DA3EFA" w:rsidP="00E621F4">
            <w:pPr>
              <w:pStyle w:val="Normlny"/>
              <w:bidi w:val="0"/>
              <w:rPr>
                <w:rFonts w:ascii="Arial Narrow" w:hAnsi="Arial Narrow"/>
                <w:sz w:val="22"/>
                <w:szCs w:val="22"/>
              </w:rPr>
            </w:pPr>
          </w:p>
          <w:p w:rsidR="006C668B" w:rsidP="00E621F4">
            <w:pPr>
              <w:pStyle w:val="Normlny"/>
              <w:bidi w:val="0"/>
              <w:rPr>
                <w:rFonts w:ascii="Arial Narrow" w:hAnsi="Arial Narrow"/>
                <w:sz w:val="22"/>
                <w:szCs w:val="22"/>
              </w:rPr>
            </w:pPr>
          </w:p>
          <w:p w:rsidR="006C668B" w:rsidRPr="002153F7" w:rsidP="006C668B">
            <w:pPr>
              <w:pStyle w:val="Normlny"/>
              <w:bidi w:val="0"/>
              <w:rPr>
                <w:rFonts w:ascii="Arial Narrow" w:hAnsi="Arial Narrow"/>
                <w:sz w:val="22"/>
                <w:szCs w:val="22"/>
              </w:rPr>
            </w:pPr>
            <w:r w:rsidRPr="00FE7B54">
              <w:rPr>
                <w:rFonts w:ascii="Arial Narrow" w:hAnsi="Arial Narrow"/>
                <w:sz w:val="22"/>
                <w:szCs w:val="22"/>
              </w:rPr>
              <w:t>§ 150</w:t>
            </w:r>
            <w:r>
              <w:rPr>
                <w:rFonts w:ascii="Arial Narrow" w:hAnsi="Arial Narrow"/>
                <w:sz w:val="22"/>
                <w:szCs w:val="22"/>
              </w:rPr>
              <w:t>d</w:t>
            </w:r>
          </w:p>
          <w:p w:rsidR="006C668B" w:rsidRPr="002153F7" w:rsidP="00E621F4">
            <w:pPr>
              <w:pStyle w:val="Normlny"/>
              <w:bidi w:val="0"/>
              <w:rPr>
                <w:rFonts w:ascii="Arial Narrow" w:hAnsi="Arial Narrow"/>
                <w:sz w:val="22"/>
                <w:szCs w:val="22"/>
              </w:rPr>
            </w:pPr>
            <w:r w:rsidR="006662FB">
              <w:rPr>
                <w:rFonts w:ascii="Arial Narrow" w:hAnsi="Arial Narrow"/>
                <w:sz w:val="22"/>
                <w:szCs w:val="22"/>
              </w:rPr>
              <w:t>o</w:t>
            </w:r>
            <w:r w:rsidR="002C2B0C">
              <w:rPr>
                <w:rFonts w:ascii="Arial Narrow" w:hAnsi="Arial Narrow"/>
                <w:sz w:val="22"/>
                <w:szCs w:val="22"/>
              </w:rPr>
              <w:t>ds. 4</w:t>
            </w:r>
            <w:r w:rsidR="00424A65">
              <w:rPr>
                <w:rFonts w:ascii="Arial Narrow" w:hAnsi="Arial Narrow"/>
                <w:sz w:val="22"/>
                <w:szCs w:val="22"/>
              </w:rPr>
              <w:t xml:space="preserve"> a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D53D7" w:rsidP="007D53D7">
            <w:pPr>
              <w:bidi w:val="0"/>
              <w:ind w:left="136" w:hanging="136"/>
              <w:rPr>
                <w:rFonts w:ascii="Times New Roman" w:hAnsi="Times New Roman"/>
                <w:color w:val="0070C0"/>
              </w:rPr>
            </w:pPr>
          </w:p>
          <w:p w:rsidR="007D53D7" w:rsidP="007D53D7">
            <w:pPr>
              <w:bidi w:val="0"/>
              <w:ind w:left="136" w:hanging="136"/>
              <w:rPr>
                <w:rFonts w:ascii="Times New Roman" w:hAnsi="Times New Roman"/>
                <w:color w:val="0070C0"/>
              </w:rPr>
            </w:pPr>
          </w:p>
          <w:p w:rsidR="007D53D7" w:rsidP="007D53D7">
            <w:pPr>
              <w:bidi w:val="0"/>
              <w:ind w:left="136" w:hanging="136"/>
              <w:rPr>
                <w:rFonts w:ascii="Times New Roman" w:hAnsi="Times New Roman"/>
                <w:color w:val="0070C0"/>
              </w:rPr>
            </w:pPr>
          </w:p>
          <w:p w:rsidR="007D53D7" w:rsidP="007D53D7">
            <w:pPr>
              <w:bidi w:val="0"/>
              <w:ind w:left="136" w:hanging="136"/>
              <w:rPr>
                <w:rFonts w:ascii="Times New Roman" w:hAnsi="Times New Roman"/>
                <w:color w:val="0070C0"/>
              </w:rPr>
            </w:pPr>
          </w:p>
          <w:p w:rsidR="007D53D7" w:rsidP="007D53D7">
            <w:pPr>
              <w:bidi w:val="0"/>
              <w:ind w:left="136" w:hanging="136"/>
              <w:rPr>
                <w:rFonts w:ascii="Times New Roman" w:hAnsi="Times New Roman"/>
                <w:color w:val="0070C0"/>
              </w:rPr>
            </w:pPr>
            <w:r w:rsidRPr="007D53D7">
              <w:rPr>
                <w:rFonts w:ascii="Times New Roman" w:hAnsi="Times New Roman"/>
                <w:color w:val="0070C0"/>
              </w:rPr>
              <w:t>(7) Správcovská spoločnosť podľa odseku 1, môže  odvolať oznámenie podľa odseku 1 týkajúce sa distribúcie cenných papierov niektorých alebo všetkých jej alternatívnych investičných fondov v inom členskom štáte, ak sú splnené tieto podmienky:</w:t>
            </w:r>
          </w:p>
          <w:p w:rsidR="007D53D7" w:rsidRPr="007D53D7" w:rsidP="007D53D7">
            <w:pPr>
              <w:bidi w:val="0"/>
              <w:ind w:left="136" w:hanging="136"/>
              <w:rPr>
                <w:rFonts w:ascii="Times New Roman" w:hAnsi="Times New Roman"/>
                <w:color w:val="0070C0"/>
              </w:rPr>
            </w:pPr>
          </w:p>
          <w:p w:rsidR="007D53D7" w:rsidRPr="007D53D7" w:rsidP="007D53D7">
            <w:pPr>
              <w:pStyle w:val="ListParagraph"/>
              <w:numPr>
                <w:numId w:val="23"/>
              </w:numPr>
              <w:bidi w:val="0"/>
              <w:spacing w:before="120"/>
              <w:ind w:left="136" w:firstLine="0"/>
              <w:jc w:val="both"/>
              <w:rPr>
                <w:rFonts w:ascii="Times New Roman" w:hAnsi="Times New Roman"/>
                <w:color w:val="0070C0"/>
              </w:rPr>
            </w:pPr>
            <w:r w:rsidRPr="007D53D7">
              <w:rPr>
                <w:rFonts w:ascii="Times New Roman" w:hAnsi="Times New Roman"/>
                <w:color w:val="0070C0"/>
              </w:rPr>
              <w:t>bola predložená paušálna ponuka na vyplatenie alebo odkúpenie, bez akýchkoľvek poplatkov alebo zrážok, všetkých cenných papierov tohto alternatívneho investičného fondu distribuovaných v členskom štáte uvedenom v oznámení podľa odseku 1, ktorá je sprístupnená verejnosti počas najmenej 30 pracovných dní a  je adresovaná priamo alebo prostredníctvom oprávnených osôb jednotlivo všetkým investorom v uvedenom členskom štáte, ktorých totožnosť je známa; to neplatí pre uzavreté alternatívne investičné fondy a fondy, ktoré sú upravené osobitným predpisom,</w:t>
            </w:r>
            <w:r w:rsidRPr="007D53D7">
              <w:rPr>
                <w:rFonts w:ascii="Times New Roman" w:hAnsi="Times New Roman"/>
                <w:color w:val="0070C0"/>
                <w:vertAlign w:val="superscript"/>
              </w:rPr>
              <w:t>58d</w:t>
            </w:r>
            <w:r w:rsidRPr="007D53D7">
              <w:rPr>
                <w:rFonts w:ascii="Times New Roman" w:hAnsi="Times New Roman"/>
                <w:color w:val="0070C0"/>
              </w:rPr>
              <w:t>)</w:t>
            </w:r>
          </w:p>
          <w:p w:rsidR="007D53D7" w:rsidRPr="007D53D7" w:rsidP="007D53D7">
            <w:pPr>
              <w:pStyle w:val="NoSpacing"/>
              <w:bidi w:val="0"/>
              <w:ind w:left="136"/>
              <w:rPr>
                <w:color w:val="0070C0"/>
              </w:rPr>
            </w:pPr>
          </w:p>
          <w:p w:rsidR="007D53D7" w:rsidRPr="007D53D7" w:rsidP="007D53D7">
            <w:pPr>
              <w:pStyle w:val="ListParagraph"/>
              <w:numPr>
                <w:numId w:val="23"/>
              </w:numPr>
              <w:bidi w:val="0"/>
              <w:ind w:left="136" w:firstLine="0"/>
              <w:jc w:val="both"/>
              <w:rPr>
                <w:rFonts w:ascii="Times New Roman" w:hAnsi="Times New Roman"/>
                <w:color w:val="0070C0"/>
              </w:rPr>
            </w:pPr>
            <w:r w:rsidRPr="007D53D7">
              <w:rPr>
                <w:rFonts w:ascii="Times New Roman" w:hAnsi="Times New Roman"/>
                <w:color w:val="0070C0"/>
              </w:rPr>
              <w:t>bol zverejnený úmysel správcovskej spoločnosti podľa odseku 1 ukončiť distribúciu cenných papierov  niektorých alebo všetkých alternatívnych investičných fondov v členskom štáte, uvedenom v oznámení podľa odseku 1, prostredníctvom prostriedkov zverejnenia vrátane elektronických prostriedkov, ktoré sa bežne používajú pri distribúcii alternatívneho investičného fondu alebo európskeho alternatívneho investičného fondu a sú vhodné pre typického investora alternatívneho investičného fondu,</w:t>
            </w:r>
          </w:p>
          <w:p w:rsidR="007D53D7" w:rsidRPr="007D53D7" w:rsidP="007D53D7">
            <w:pPr>
              <w:pStyle w:val="NoSpacing"/>
              <w:bidi w:val="0"/>
              <w:ind w:left="136"/>
              <w:rPr>
                <w:color w:val="0070C0"/>
              </w:rPr>
            </w:pPr>
          </w:p>
          <w:p w:rsidR="007D53D7" w:rsidRPr="007D53D7" w:rsidP="007D53D7">
            <w:pPr>
              <w:pStyle w:val="ListParagraph"/>
              <w:numPr>
                <w:numId w:val="23"/>
              </w:numPr>
              <w:bidi w:val="0"/>
              <w:ind w:left="136" w:firstLine="0"/>
              <w:jc w:val="both"/>
              <w:rPr>
                <w:rFonts w:ascii="Times New Roman" w:hAnsi="Times New Roman"/>
                <w:color w:val="0070C0"/>
              </w:rPr>
            </w:pPr>
            <w:r w:rsidRPr="007D53D7">
              <w:rPr>
                <w:rFonts w:ascii="Times New Roman" w:hAnsi="Times New Roman"/>
                <w:color w:val="0070C0"/>
              </w:rPr>
              <w:t>odo dňa odvolania oznámenia podľa odseku 1 boli ukončené alebo zmenené všetky zmluvy s osobami oprávnenými na distribúciu alternatívneho investičného fondu alebo európskeho alternatívneho investičného fondu s cieľom zabrániť akejkoľvek novej alebo ďalšej priamej ponuke alebo nepriamej ponuke alebo umiestňovaniu cenných papierov určených v odvolaní oznámenia podľa odseku 1.</w:t>
            </w:r>
          </w:p>
          <w:p w:rsidR="007D53D7" w:rsidRPr="007D53D7" w:rsidP="007D53D7">
            <w:pPr>
              <w:bidi w:val="0"/>
              <w:ind w:left="136"/>
              <w:rPr>
                <w:rFonts w:ascii="Times New Roman" w:hAnsi="Times New Roman"/>
                <w:color w:val="0070C0"/>
              </w:rPr>
            </w:pPr>
            <w:r w:rsidRPr="007D53D7">
              <w:rPr>
                <w:rFonts w:ascii="Times New Roman" w:hAnsi="Times New Roman"/>
                <w:color w:val="0070C0"/>
              </w:rPr>
              <w:t xml:space="preserve"> (8) Odo dňa odvolania oznámenia podľa odseku 1 správcovská spoločnosť podľa odseku 1 je povinná ukončiť predkladanie nových alebo ďalších priamych ponúk alebo nepriamych ponúk alebo umiestňovanie cenných papierov alternatívneho investičného fondu alebo európskeho alternatívneho investičného fondu, ktorý spravuje, pri ktorých odvolala oznámenie v súlade s odsekom 9.</w:t>
            </w:r>
          </w:p>
          <w:p w:rsidR="007D53D7" w:rsidRPr="007D53D7" w:rsidP="007D53D7">
            <w:pPr>
              <w:bidi w:val="0"/>
              <w:spacing w:after="120"/>
              <w:ind w:left="136"/>
              <w:rPr>
                <w:rFonts w:ascii="Times New Roman" w:hAnsi="Times New Roman"/>
                <w:color w:val="0070C0"/>
              </w:rPr>
            </w:pPr>
            <w:r w:rsidRPr="007D53D7">
              <w:rPr>
                <w:rFonts w:ascii="Times New Roman" w:hAnsi="Times New Roman"/>
                <w:color w:val="0070C0"/>
              </w:rPr>
              <w:t>(9)  Správcovská spoločnosť podľa odseku 1 je povinná predložiť Národnej banke Slovenska oznámenie obsahujúce informácie uvedené v odseku 7.</w:t>
            </w:r>
          </w:p>
          <w:p w:rsidR="007D53D7" w:rsidP="007D53D7">
            <w:pPr>
              <w:autoSpaceDE w:val="0"/>
              <w:autoSpaceDN w:val="0"/>
              <w:bidi w:val="0"/>
              <w:adjustRightInd w:val="0"/>
              <w:spacing w:after="120"/>
              <w:ind w:left="136"/>
              <w:rPr>
                <w:rFonts w:ascii="Times New Roman" w:hAnsi="Times New Roman"/>
                <w:color w:val="0070C0"/>
              </w:rPr>
            </w:pPr>
          </w:p>
          <w:p w:rsidR="007D53D7" w:rsidP="007D53D7">
            <w:pPr>
              <w:autoSpaceDE w:val="0"/>
              <w:autoSpaceDN w:val="0"/>
              <w:bidi w:val="0"/>
              <w:adjustRightInd w:val="0"/>
              <w:spacing w:after="120"/>
              <w:ind w:left="136"/>
              <w:rPr>
                <w:rFonts w:ascii="Times New Roman" w:hAnsi="Times New Roman"/>
                <w:color w:val="0070C0"/>
              </w:rPr>
            </w:pPr>
          </w:p>
          <w:p w:rsidR="007D53D7" w:rsidRPr="007D53D7" w:rsidP="007D53D7">
            <w:pPr>
              <w:autoSpaceDE w:val="0"/>
              <w:autoSpaceDN w:val="0"/>
              <w:bidi w:val="0"/>
              <w:adjustRightInd w:val="0"/>
              <w:spacing w:after="120"/>
              <w:ind w:left="136"/>
              <w:rPr>
                <w:rFonts w:ascii="Times New Roman" w:hAnsi="Times New Roman"/>
                <w:color w:val="0070C0"/>
              </w:rPr>
            </w:pPr>
            <w:r w:rsidRPr="007D53D7">
              <w:rPr>
                <w:rFonts w:ascii="Times New Roman" w:hAnsi="Times New Roman"/>
                <w:color w:val="0070C0"/>
              </w:rPr>
              <w:t>(10)  Národná banka Slovenska overí, či je oznámenie, ktoré predložila správcovská spoločnosť  podľa odseku 9, úplné. Národná banka Slovenska najneskôr do 15 pracovných dní po doručení úplného oznámenia zašle toto oznámenie príslušným orgánom dohľadu hostiteľského členského štátu a Európskemu orgánu dohľadu (Európskemu orgánu pre cenné papiere a trhy). Po odoslaní oznámenia podľa odseku 9 Národná banka Slovenska o tomto zaslaní bezodkladne informuje dotknutú správcovskú spoločnosť.</w:t>
            </w:r>
          </w:p>
          <w:p w:rsidR="007D53D7" w:rsidP="007D53D7">
            <w:pPr>
              <w:autoSpaceDE w:val="0"/>
              <w:autoSpaceDN w:val="0"/>
              <w:bidi w:val="0"/>
              <w:adjustRightInd w:val="0"/>
              <w:ind w:left="136"/>
              <w:rPr>
                <w:rFonts w:ascii="Times New Roman" w:hAnsi="Times New Roman"/>
                <w:color w:val="0070C0"/>
              </w:rPr>
            </w:pPr>
          </w:p>
          <w:p w:rsidR="007D53D7" w:rsidRPr="007D53D7" w:rsidP="007D53D7">
            <w:pPr>
              <w:autoSpaceDE w:val="0"/>
              <w:autoSpaceDN w:val="0"/>
              <w:bidi w:val="0"/>
              <w:adjustRightInd w:val="0"/>
              <w:ind w:left="136"/>
              <w:rPr>
                <w:rFonts w:ascii="Times New Roman" w:hAnsi="Times New Roman"/>
                <w:color w:val="0070C0"/>
              </w:rPr>
            </w:pPr>
            <w:r w:rsidRPr="007D53D7">
              <w:rPr>
                <w:rFonts w:ascii="Times New Roman" w:hAnsi="Times New Roman"/>
                <w:color w:val="0070C0"/>
              </w:rPr>
              <w:t>(11) Počas obdobia 36 mesiacov od odvolania oznámenia podľa odseku 1 správcovská spoločnosť podľa odseku 1 nesmie vykonávať predmarketing alternatívneho investičného fondu alebo európskeho alternatívneho investičného fondu uvedených v odvolaní oznámenia podľa odseku 1 v príslušnom hostiteľskom členskom štáte.</w:t>
            </w:r>
          </w:p>
          <w:p w:rsidR="007D53D7" w:rsidRPr="007D53D7" w:rsidP="007D53D7">
            <w:pPr>
              <w:bidi w:val="0"/>
              <w:ind w:left="136"/>
              <w:rPr>
                <w:rFonts w:ascii="Times New Roman" w:hAnsi="Times New Roman"/>
                <w:color w:val="0070C0"/>
              </w:rPr>
            </w:pPr>
            <w:r w:rsidRPr="007D53D7">
              <w:rPr>
                <w:rFonts w:ascii="Times New Roman" w:hAnsi="Times New Roman"/>
                <w:color w:val="0070C0"/>
              </w:rPr>
              <w:t>(12)  Správcovská spoločnosť podľa odseku 1 je povinná poskytovať investorom alternatívneho investičného fondu alebo európskeho alternatívneho investičného fondu, ktorým v ňom zostali investície, a Národnej banke Slovenska, informácie požadované podľa § 159a a 160a. Na tento účel je správcovská spoločnosť oprávnená používať všetky elektronické komunikačné prostriedky alebo iné prostriedky komunikácie na diaľku.</w:t>
            </w:r>
          </w:p>
          <w:p w:rsidR="007D53D7" w:rsidRPr="007D53D7" w:rsidP="007D53D7">
            <w:pPr>
              <w:bidi w:val="0"/>
              <w:ind w:left="136"/>
              <w:rPr>
                <w:rFonts w:ascii="Times New Roman" w:hAnsi="Times New Roman"/>
                <w:color w:val="0070C0"/>
              </w:rPr>
            </w:pPr>
            <w:r w:rsidRPr="007D53D7">
              <w:rPr>
                <w:rFonts w:ascii="Times New Roman" w:hAnsi="Times New Roman"/>
                <w:color w:val="0070C0"/>
              </w:rPr>
              <w:t xml:space="preserve">(13)   Národná banka Slovenska zašle príslušným orgánom dohľadu členského štátu určeným v odvolaní oznámenia  podľa odseku 9 informácie o všetkých zmenách dokumentov a informácií uvedených  v tomto paragrafe. </w:t>
            </w:r>
          </w:p>
          <w:p w:rsidR="006C668B" w:rsidRPr="007D53D7" w:rsidP="00DA3EFA">
            <w:pPr>
              <w:bidi w:val="0"/>
              <w:spacing w:before="60" w:after="60"/>
              <w:ind w:left="524" w:hanging="524"/>
              <w:rPr>
                <w:rFonts w:ascii="Arial Narrow" w:hAnsi="Arial Narrow"/>
                <w:color w:val="0070C0"/>
                <w:sz w:val="22"/>
                <w:szCs w:val="22"/>
              </w:rPr>
            </w:pPr>
          </w:p>
          <w:p w:rsidR="007D53D7" w:rsidRPr="007D53D7" w:rsidP="00DA3EFA">
            <w:pPr>
              <w:bidi w:val="0"/>
              <w:spacing w:before="60" w:after="60"/>
              <w:ind w:left="524" w:hanging="524"/>
              <w:rPr>
                <w:rFonts w:ascii="Arial Narrow" w:hAnsi="Arial Narrow"/>
                <w:color w:val="0070C0"/>
                <w:sz w:val="22"/>
                <w:szCs w:val="22"/>
              </w:rPr>
            </w:pPr>
          </w:p>
          <w:p w:rsidR="007D53D7" w:rsidRPr="007D53D7" w:rsidP="007D53D7">
            <w:pPr>
              <w:shd w:val="clear" w:color="auto" w:fill="FFFFFF"/>
              <w:bidi w:val="0"/>
              <w:ind w:left="65" w:hanging="65"/>
              <w:rPr>
                <w:rFonts w:ascii="Times New Roman" w:hAnsi="Times New Roman"/>
                <w:iCs/>
                <w:color w:val="0070C0"/>
              </w:rPr>
            </w:pPr>
            <w:r w:rsidRPr="007D53D7">
              <w:rPr>
                <w:rFonts w:ascii="Times New Roman" w:hAnsi="Times New Roman"/>
                <w:color w:val="0070C0"/>
              </w:rPr>
              <w:t>(11) Národná banka Slovenska má rovnaké práva a povinnosti ako majú orgány dohľadu hostiteľského členského štátu správcovskej spoločnosti alternatívneho investičného fondu uvedené v oznámení podľa § 150c ods. 9.</w:t>
            </w:r>
          </w:p>
          <w:p w:rsidR="007D53D7" w:rsidRPr="007D53D7" w:rsidP="00DA3EFA">
            <w:pPr>
              <w:bidi w:val="0"/>
              <w:spacing w:before="60" w:after="60"/>
              <w:ind w:left="524" w:hanging="524"/>
              <w:rPr>
                <w:rFonts w:ascii="Arial Narrow" w:hAnsi="Arial Narrow"/>
                <w:color w:val="0070C0"/>
                <w:sz w:val="22"/>
                <w:szCs w:val="22"/>
              </w:rPr>
            </w:pPr>
          </w:p>
          <w:p w:rsidR="007D53D7" w:rsidRPr="007D53D7" w:rsidP="007D53D7">
            <w:pPr>
              <w:bidi w:val="0"/>
              <w:ind w:left="65"/>
              <w:rPr>
                <w:rFonts w:ascii="Times New Roman" w:hAnsi="Times New Roman"/>
                <w:color w:val="0070C0"/>
              </w:rPr>
            </w:pPr>
            <w:r w:rsidRPr="007D53D7">
              <w:rPr>
                <w:rFonts w:ascii="Times New Roman" w:hAnsi="Times New Roman"/>
                <w:color w:val="0070C0"/>
              </w:rPr>
              <w:t>(4) Národná banka Slovenska odo dňa prijatia odvolania oznámenia podľa odseku 1 od príslušného orgánu domovského členského štátu zahraničnej správcovskej spoločnosti nevyžaduje od dotknutej zahraničnej správcovskej spoločnosti preukázanie súladu s právnymi predpismi zverejnenými podľa osobitného predpisu;</w:t>
            </w:r>
            <w:r w:rsidRPr="007D53D7">
              <w:rPr>
                <w:rFonts w:ascii="Times New Roman" w:hAnsi="Times New Roman"/>
                <w:color w:val="0070C0"/>
                <w:vertAlign w:val="superscript"/>
              </w:rPr>
              <w:t>58b</w:t>
            </w:r>
            <w:r w:rsidRPr="007D53D7">
              <w:rPr>
                <w:rFonts w:ascii="Times New Roman" w:hAnsi="Times New Roman"/>
                <w:color w:val="0070C0"/>
              </w:rPr>
              <w:t>) tým nie sú dotknuté ostatné právomoci Národnej banky Slovenska v oblasti dohľadu.</w:t>
            </w:r>
          </w:p>
          <w:p w:rsidR="007D53D7" w:rsidRPr="007D53D7" w:rsidP="007D53D7">
            <w:pPr>
              <w:bidi w:val="0"/>
              <w:ind w:left="65"/>
              <w:rPr>
                <w:rFonts w:ascii="Times New Roman" w:hAnsi="Times New Roman"/>
                <w:color w:val="0070C0"/>
              </w:rPr>
            </w:pPr>
            <w:r w:rsidRPr="007D53D7">
              <w:rPr>
                <w:rFonts w:ascii="Times New Roman" w:hAnsi="Times New Roman"/>
                <w:color w:val="0070C0"/>
              </w:rPr>
              <w:t xml:space="preserve">(5) Odo dňa odvolania oznámenia podľa odseku 1 správcovská spoločnosť podľa odseku 1 je povinná ukončiť predkladanie nových alebo ďalších priamych ponúk alebo nepriamych ponúk alebo umiestňovanie cenných papierov alternatívneho investičného fondu alebo európskeho alternatívneho investičného fondu na území Slovenskej republiky, pri ktorých odvolala oznámenie podľa odseku 1. </w:t>
            </w:r>
          </w:p>
          <w:p w:rsidR="007D53D7" w:rsidP="00DA3EFA">
            <w:pPr>
              <w:bidi w:val="0"/>
              <w:spacing w:before="60" w:after="60"/>
              <w:ind w:left="524" w:hanging="524"/>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rPr>
          <w:trHeight w:val="6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FE7B54" w:rsidRPr="009D5B18"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Čl. 2 bod 5</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520" w:type="dxa"/>
              <w:tblInd w:w="99" w:type="dxa"/>
              <w:tblLayout w:type="fixed"/>
              <w:tblCellMar>
                <w:left w:w="0" w:type="dxa"/>
                <w:right w:w="0" w:type="dxa"/>
              </w:tblCellMar>
              <w:tblLook w:val="04A0"/>
            </w:tblPr>
            <w:tblGrid>
              <w:gridCol w:w="283"/>
              <w:gridCol w:w="6237"/>
            </w:tblGrid>
            <w:tr>
              <w:tblPrEx>
                <w:tblW w:w="6520" w:type="dxa"/>
                <w:tblInd w:w="99" w:type="dxa"/>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FE7B54" w:rsidRPr="009D5B18" w:rsidP="00FE7B54">
                  <w:pPr>
                    <w:bidi w:val="0"/>
                    <w:rPr>
                      <w:rFonts w:ascii="Times New Roman" w:hAnsi="Times New Roman"/>
                      <w:color w:val="000000"/>
                      <w:sz w:val="22"/>
                      <w:szCs w:val="22"/>
                    </w:rPr>
                  </w:pPr>
                  <w:r w:rsidRPr="009D5B18">
                    <w:rPr>
                      <w:rFonts w:ascii="Times New Roman" w:hAnsi="Times New Roman"/>
                      <w:color w:val="000000"/>
                      <w:sz w:val="22"/>
                      <w:szCs w:val="22"/>
                    </w:rPr>
                    <w:t>5.</w:t>
                  </w:r>
                </w:p>
              </w:tc>
              <w:tc>
                <w:tcPr>
                  <w:tcW w:w="6237" w:type="dxa"/>
                  <w:tcBorders>
                    <w:top w:val="nil"/>
                    <w:left w:val="nil"/>
                    <w:bottom w:val="nil"/>
                    <w:right w:val="nil"/>
                  </w:tcBorders>
                  <w:textDirection w:val="lrTb"/>
                  <w:vAlign w:val="top"/>
                  <w:hideMark/>
                </w:tcPr>
                <w:p w:rsidR="00FE7B54" w:rsidRPr="009D5B18" w:rsidP="00FE7B54">
                  <w:pPr>
                    <w:bidi w:val="0"/>
                    <w:rPr>
                      <w:rFonts w:ascii="Times New Roman" w:hAnsi="Times New Roman"/>
                      <w:color w:val="000000"/>
                      <w:sz w:val="22"/>
                      <w:szCs w:val="22"/>
                    </w:rPr>
                  </w:pPr>
                  <w:r w:rsidRPr="009D5B18">
                    <w:rPr>
                      <w:rFonts w:ascii="Times New Roman" w:hAnsi="Times New Roman"/>
                      <w:color w:val="000000"/>
                      <w:sz w:val="22"/>
                      <w:szCs w:val="22"/>
                    </w:rPr>
                    <w:t>V článku 33 ods. 6 sa druhý a tretí pododsek nahrádzajú takto:</w:t>
                  </w:r>
                </w:p>
                <w:p w:rsidR="00FE7B54" w:rsidRPr="009D5B18" w:rsidP="00D01A8F">
                  <w:pPr>
                    <w:bidi w:val="0"/>
                    <w:ind w:right="141"/>
                    <w:rPr>
                      <w:rFonts w:ascii="Times New Roman" w:hAnsi="Times New Roman"/>
                      <w:color w:val="000000"/>
                      <w:sz w:val="22"/>
                      <w:szCs w:val="22"/>
                    </w:rPr>
                  </w:pPr>
                  <w:r w:rsidRPr="009D5B18">
                    <w:rPr>
                      <w:rFonts w:ascii="Times New Roman" w:hAnsi="Times New Roman"/>
                      <w:color w:val="000000"/>
                      <w:sz w:val="22"/>
                      <w:szCs w:val="22"/>
                    </w:rPr>
                    <w:t>„Ak v dôsledku plánovanej zmeny prestane byť spravovanie AIF správcom AIF v súlade s touto smernicou alebo ak správca AIF prestane inak dodržiavať túto smernicu, relevantné príslušné orgány domovského členského štátu správcu AIF do 15 pracovných dní od doručenia všetkých informácií uvedených v prvom pododseku informujú správcu AIF, že danú zmenu nesmie vykonať.</w:t>
                  </w:r>
                </w:p>
                <w:p w:rsidR="00385F7A" w:rsidP="00FE7B54">
                  <w:pPr>
                    <w:bidi w:val="0"/>
                    <w:rPr>
                      <w:rFonts w:ascii="Times New Roman" w:hAnsi="Times New Roman"/>
                      <w:color w:val="000000"/>
                      <w:sz w:val="22"/>
                      <w:szCs w:val="22"/>
                    </w:rPr>
                  </w:pPr>
                </w:p>
                <w:p w:rsidR="007D53D7" w:rsidP="00FE7B54">
                  <w:pPr>
                    <w:bidi w:val="0"/>
                    <w:rPr>
                      <w:rFonts w:ascii="Times New Roman" w:hAnsi="Times New Roman"/>
                      <w:color w:val="000000"/>
                      <w:sz w:val="22"/>
                      <w:szCs w:val="22"/>
                    </w:rPr>
                  </w:pPr>
                </w:p>
                <w:p w:rsidR="00FE7B54" w:rsidRPr="009D5B18" w:rsidP="00D01A8F">
                  <w:pPr>
                    <w:bidi w:val="0"/>
                    <w:ind w:right="141"/>
                    <w:rPr>
                      <w:rFonts w:ascii="Times New Roman" w:hAnsi="Times New Roman"/>
                      <w:color w:val="000000"/>
                      <w:sz w:val="22"/>
                      <w:szCs w:val="22"/>
                    </w:rPr>
                  </w:pPr>
                  <w:r w:rsidRPr="009D5B18">
                    <w:rPr>
                      <w:rFonts w:ascii="Times New Roman" w:hAnsi="Times New Roman"/>
                      <w:color w:val="000000"/>
                      <w:sz w:val="22"/>
                      <w:szCs w:val="22"/>
                    </w:rPr>
                    <w:t>Ak sa napriek prvému a druhému pododseku vykoná plánovaná zmena alebo ak dôjde k neplánovanej zmene, v dôsledku ktorej prestane byť spravovanie AIF zo strany správcu AIF v súlade s touto smernicou alebo správca AIF prestane inak dodržiavať túto smernicu, príslušné orgány domovského členského štátu správcu AIF prijmú všetky náležité opatrenia v súlade s článkom 46 a bez zbytočného odkladu o tom informujú príslušné orgány hostiteľského členského štátu správcu AIF.“</w:t>
                  </w:r>
                </w:p>
              </w:tc>
            </w:tr>
          </w:tbl>
          <w:p w:rsidR="00FE7B54" w:rsidRPr="009D5B18" w:rsidP="00E621F4">
            <w:pPr>
              <w:bidi w:val="0"/>
              <w:rPr>
                <w:rFonts w:ascii="Times New Roman" w:hAnsi="Times New Roman"/>
                <w:color w:val="000000"/>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FE7B54" w:rsidP="00E621F4">
            <w:pPr>
              <w:autoSpaceDE w:val="0"/>
              <w:autoSpaceDN w:val="0"/>
              <w:bidi w:val="0"/>
              <w:spacing w:before="0"/>
              <w:jc w:val="center"/>
              <w:rPr>
                <w:rFonts w:ascii="Arial Narrow" w:hAnsi="Arial Narrow"/>
                <w:sz w:val="22"/>
                <w:szCs w:val="22"/>
              </w:rPr>
            </w:pPr>
            <w:r w:rsidR="00DE2DB9">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FE7B54" w:rsidRPr="00380F43" w:rsidP="00FE7B5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FE7B54" w:rsidRPr="00380F43" w:rsidP="00FE7B54">
            <w:pPr>
              <w:autoSpaceDE w:val="0"/>
              <w:autoSpaceDN w:val="0"/>
              <w:bidi w:val="0"/>
              <w:spacing w:before="0"/>
              <w:jc w:val="center"/>
              <w:rPr>
                <w:rFonts w:ascii="Arial Narrow" w:hAnsi="Arial Narrow"/>
                <w:b/>
                <w:color w:val="0070C0"/>
                <w:sz w:val="22"/>
                <w:szCs w:val="22"/>
              </w:rPr>
            </w:pPr>
            <w:r>
              <w:rPr>
                <w:rFonts w:ascii="Arial Narrow" w:hAnsi="Arial Narrow"/>
                <w:b/>
                <w:color w:val="0070C0"/>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E7B54" w:rsidRPr="007B6307" w:rsidP="00E621F4">
            <w:pPr>
              <w:pStyle w:val="Normlny"/>
              <w:bidi w:val="0"/>
              <w:rPr>
                <w:rFonts w:ascii="Times New Roman" w:hAnsi="Times New Roman"/>
                <w:sz w:val="22"/>
                <w:szCs w:val="22"/>
                <w:highlight w:val="yellow"/>
              </w:rPr>
            </w:pPr>
            <w:r w:rsidRPr="007B6307">
              <w:rPr>
                <w:rFonts w:ascii="Times New Roman" w:hAnsi="Times New Roman"/>
                <w:sz w:val="22"/>
                <w:szCs w:val="22"/>
              </w:rPr>
              <w:t>§ 63a ods. 6 a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D53D7" w:rsidRPr="007D53D7" w:rsidP="007D53D7">
            <w:pPr>
              <w:bidi w:val="0"/>
              <w:ind w:left="98"/>
              <w:rPr>
                <w:rFonts w:ascii="Times New Roman" w:hAnsi="Times New Roman"/>
                <w:color w:val="0070C0"/>
              </w:rPr>
            </w:pPr>
            <w:r w:rsidRPr="00986D0B" w:rsidR="00385F7A">
              <w:rPr>
                <w:rFonts w:ascii="Times New Roman" w:hAnsi="Times New Roman"/>
                <w:color w:val="0070C0"/>
                <w:sz w:val="22"/>
                <w:szCs w:val="22"/>
              </w:rPr>
              <w:t>(6</w:t>
            </w:r>
            <w:r w:rsidRPr="007D53D7" w:rsidR="00385F7A">
              <w:rPr>
                <w:rFonts w:ascii="Times New Roman" w:hAnsi="Times New Roman"/>
                <w:color w:val="0070C0"/>
                <w:sz w:val="22"/>
                <w:szCs w:val="22"/>
              </w:rPr>
              <w:t xml:space="preserve">) </w:t>
            </w:r>
            <w:r w:rsidRPr="007D53D7">
              <w:rPr>
                <w:rFonts w:ascii="Times New Roman" w:hAnsi="Times New Roman"/>
                <w:color w:val="0070C0"/>
              </w:rPr>
              <w:t xml:space="preserve">Ak by v dôsledku plánovanej zmeny podľa odseku 5 prestalo byť spravovanie európskeho alternatívneho investičného fondu správcovskou spoločnosťou v súlade s týmto zákonom alebo ak by správcovská spoločnosť prestala iným spôsobom spĺňať ustanovenia tohto zákona, Národná banka Slovenska do </w:t>
            </w:r>
            <w:r w:rsidR="00225CF4">
              <w:rPr>
                <w:rFonts w:ascii="Times New Roman" w:hAnsi="Times New Roman"/>
                <w:color w:val="0070C0"/>
              </w:rPr>
              <w:t>15</w:t>
            </w:r>
            <w:r w:rsidRPr="007D53D7">
              <w:rPr>
                <w:rFonts w:ascii="Times New Roman" w:hAnsi="Times New Roman"/>
                <w:color w:val="0070C0"/>
              </w:rPr>
              <w:t xml:space="preserve"> pracovných dní od doručenia všetkých informácií uvedených v odseku 5 oznámi správcovskej spoločnosti, že takúto zmenu nemôže vykonať. </w:t>
            </w:r>
          </w:p>
          <w:p w:rsidR="007D53D7" w:rsidP="007D53D7">
            <w:pPr>
              <w:pStyle w:val="Normlny"/>
              <w:bidi w:val="0"/>
              <w:ind w:left="99" w:hanging="1"/>
              <w:jc w:val="both"/>
              <w:rPr>
                <w:rFonts w:ascii="Times New Roman" w:hAnsi="Times New Roman"/>
                <w:color w:val="0070C0"/>
                <w:sz w:val="24"/>
                <w:szCs w:val="24"/>
                <w:lang w:eastAsia="sk-SK"/>
              </w:rPr>
            </w:pPr>
          </w:p>
          <w:p w:rsidR="00FE7B54" w:rsidRPr="00023207" w:rsidP="007D53D7">
            <w:pPr>
              <w:pStyle w:val="Normlny"/>
              <w:bidi w:val="0"/>
              <w:ind w:left="99" w:hanging="1"/>
              <w:jc w:val="both"/>
              <w:rPr>
                <w:rFonts w:ascii="Times New Roman" w:hAnsi="Times New Roman"/>
                <w:sz w:val="22"/>
                <w:szCs w:val="22"/>
              </w:rPr>
            </w:pPr>
            <w:r w:rsidRPr="007D53D7" w:rsidR="007D53D7">
              <w:rPr>
                <w:rFonts w:ascii="Times New Roman" w:hAnsi="Times New Roman"/>
                <w:color w:val="0070C0"/>
                <w:sz w:val="24"/>
                <w:szCs w:val="24"/>
                <w:lang w:eastAsia="sk-SK"/>
              </w:rPr>
              <w:t xml:space="preserve">(7) Ak sa vykoná plánovaná zmena v rozpore s odsekmi 5 a 6 alebo ak dôjde k neplánovanej zmene, v ktorej dôsledku prestane byť spravovanie európskeho alternatívneho investičného fondu správcovskou spoločnosťou v súlade s týmto zákonom, alebo ak správcovská spoločnosť prestane spĺňať iné ustanovenia tohto zákona, Národná banka Slovenska prijme všetky potrebné opatrenia podľa </w:t>
            </w:r>
            <w:hyperlink r:id="rId5" w:anchor="paragraf-202" w:tooltip="Odkaz na predpis alebo ustanovenie" w:history="1">
              <w:r w:rsidRPr="007D53D7" w:rsidR="007D53D7">
                <w:rPr>
                  <w:rFonts w:ascii="Times New Roman" w:hAnsi="Times New Roman"/>
                  <w:bCs/>
                  <w:color w:val="0070C0"/>
                  <w:sz w:val="24"/>
                  <w:szCs w:val="24"/>
                  <w:lang w:eastAsia="sk-SK"/>
                </w:rPr>
                <w:t>§ 202</w:t>
              </w:r>
            </w:hyperlink>
            <w:r w:rsidRPr="007D53D7" w:rsidR="007D53D7">
              <w:rPr>
                <w:rFonts w:ascii="Times New Roman" w:hAnsi="Times New Roman"/>
                <w:color w:val="0070C0"/>
                <w:sz w:val="24"/>
                <w:szCs w:val="24"/>
                <w:lang w:eastAsia="sk-SK"/>
              </w:rPr>
              <w:t xml:space="preserve"> a bez zbytočného odkladu o tom informuje príslušný orgán dohľadu hostiteľského členského štátu správcovskej spoločnosti európskeho alternatívneho investičného fondu</w:t>
            </w:r>
            <w:r w:rsidRPr="007D53D7" w:rsidR="00385F7A">
              <w:rPr>
                <w:rFonts w:ascii="Times New Roman" w:hAnsi="Times New Roman"/>
                <w:b/>
                <w:color w:val="0070C0"/>
                <w:sz w:val="24"/>
                <w:szCs w:val="24"/>
                <w:lang w:eastAsia="sk-SK"/>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E7B54" w:rsidP="00E621F4">
            <w:pPr>
              <w:autoSpaceDE w:val="0"/>
              <w:autoSpaceDN w:val="0"/>
              <w:bidi w:val="0"/>
              <w:spacing w:before="0"/>
              <w:jc w:val="center"/>
              <w:rPr>
                <w:rFonts w:ascii="Arial Narrow" w:hAnsi="Arial Narrow"/>
                <w:sz w:val="22"/>
                <w:szCs w:val="22"/>
              </w:rPr>
            </w:pPr>
            <w:r w:rsidR="00DE2DB9">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FE7B5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 xml:space="preserve">ČL. 2 body 6 a 7 </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378" w:type="dxa"/>
              <w:tblInd w:w="241" w:type="dxa"/>
              <w:tblLayout w:type="fixed"/>
              <w:tblCellMar>
                <w:left w:w="0" w:type="dxa"/>
                <w:right w:w="0" w:type="dxa"/>
              </w:tblCellMar>
              <w:tblLook w:val="04A0"/>
            </w:tblPr>
            <w:tblGrid>
              <w:gridCol w:w="283"/>
              <w:gridCol w:w="6095"/>
            </w:tblGrid>
            <w:tr>
              <w:tblPrEx>
                <w:tblW w:w="6378" w:type="dxa"/>
                <w:tblInd w:w="241" w:type="dxa"/>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6.</w:t>
                  </w:r>
                </w:p>
              </w:tc>
              <w:tc>
                <w:tcPr>
                  <w:tcW w:w="6095"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Vkladá sa tento článok:</w:t>
                  </w:r>
                </w:p>
                <w:p w:rsidR="00E621F4" w:rsidRPr="009D5B18" w:rsidP="00E621F4">
                  <w:pPr>
                    <w:bidi w:val="0"/>
                    <w:spacing w:before="360" w:after="120"/>
                    <w:jc w:val="center"/>
                    <w:rPr>
                      <w:rFonts w:ascii="Times New Roman" w:hAnsi="Times New Roman"/>
                      <w:i/>
                      <w:iCs/>
                      <w:color w:val="000000"/>
                      <w:sz w:val="22"/>
                      <w:szCs w:val="22"/>
                    </w:rPr>
                  </w:pPr>
                  <w:r w:rsidRPr="009D5B18">
                    <w:rPr>
                      <w:rFonts w:ascii="Times New Roman" w:hAnsi="Times New Roman"/>
                      <w:i/>
                      <w:iCs/>
                      <w:color w:val="000000"/>
                      <w:sz w:val="22"/>
                      <w:szCs w:val="22"/>
                    </w:rPr>
                    <w:t>„Článok 43a</w:t>
                  </w:r>
                </w:p>
                <w:p w:rsidR="00E621F4" w:rsidRPr="009D5B18" w:rsidP="00E621F4">
                  <w:pPr>
                    <w:bidi w:val="0"/>
                    <w:spacing w:before="60" w:after="120"/>
                    <w:jc w:val="center"/>
                    <w:rPr>
                      <w:rFonts w:ascii="Times New Roman" w:hAnsi="Times New Roman"/>
                      <w:b/>
                      <w:bCs/>
                      <w:color w:val="000000"/>
                      <w:sz w:val="22"/>
                      <w:szCs w:val="22"/>
                    </w:rPr>
                  </w:pPr>
                  <w:r w:rsidRPr="009D5B18">
                    <w:rPr>
                      <w:rFonts w:ascii="Times New Roman" w:hAnsi="Times New Roman"/>
                      <w:b/>
                      <w:bCs/>
                      <w:color w:val="000000"/>
                      <w:sz w:val="22"/>
                      <w:szCs w:val="22"/>
                    </w:rPr>
                    <w:t>Zariadenia, ktoré sú k dispozícii retailovým investorom</w:t>
                  </w:r>
                </w:p>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1.   Bez toho, aby bol dotknutý článok 26 nariadenia (EÚ) 2015/760, členské štáty zabezpečia, aby správca AIF sprístupnil v každom členskom štáte, v ktorom má v úmysle uvádzať na trh podielové listy alebo akcie AIF pre retailových investorov, zariadenia na vykonávanie týchto úloh:</w:t>
                  </w: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293" w:type="dxa"/>
                        <w:tcBorders>
                          <w:top w:val="nil"/>
                          <w:left w:val="nil"/>
                          <w:bottom w:val="nil"/>
                          <w:right w:val="nil"/>
                        </w:tcBorders>
                        <w:textDirection w:val="lrTb"/>
                        <w:vAlign w:val="top"/>
                        <w:hideMark/>
                      </w:tcPr>
                      <w:p w:rsidR="00E621F4"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spracovávanie pokynov investorov na upísanie, platbu, odkúpenie a vyplatenie vo vzťahu k podielovým listom alebo akciám AIF v súlade s podmienkami stanovenými v dokumentoch AIF;</w:t>
                        </w:r>
                      </w:p>
                      <w:p w:rsidR="00D961DA" w:rsidP="00D961DA">
                        <w:pPr>
                          <w:bidi w:val="0"/>
                          <w:ind w:right="141"/>
                          <w:rPr>
                            <w:rFonts w:ascii="Times New Roman" w:hAnsi="Times New Roman"/>
                            <w:color w:val="000000"/>
                            <w:sz w:val="22"/>
                            <w:szCs w:val="22"/>
                          </w:rPr>
                        </w:pPr>
                      </w:p>
                      <w:p w:rsidR="007D53D7" w:rsidP="00D961DA">
                        <w:pPr>
                          <w:bidi w:val="0"/>
                          <w:ind w:right="141"/>
                          <w:rPr>
                            <w:rFonts w:ascii="Times New Roman" w:hAnsi="Times New Roman"/>
                            <w:color w:val="000000"/>
                            <w:sz w:val="22"/>
                            <w:szCs w:val="22"/>
                          </w:rPr>
                        </w:pPr>
                      </w:p>
                      <w:p w:rsidR="007D53D7" w:rsidRPr="009D5B18" w:rsidP="00D961DA">
                        <w:pPr>
                          <w:bidi w:val="0"/>
                          <w:ind w:right="141"/>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293" w:type="dxa"/>
                        <w:tcBorders>
                          <w:top w:val="nil"/>
                          <w:left w:val="nil"/>
                          <w:bottom w:val="nil"/>
                          <w:right w:val="nil"/>
                        </w:tcBorders>
                        <w:textDirection w:val="lrTb"/>
                        <w:vAlign w:val="top"/>
                        <w:hideMark/>
                      </w:tcPr>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poskytovanie informácií investorom o tom, ako možno vykonať pokyny uvedené v písmene a) a ako sa vyplácajú výnosy z odkúpenia a vyplatenia;</w:t>
                        </w: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7D53D7" w:rsidP="00E621F4">
                        <w:pPr>
                          <w:bidi w:val="0"/>
                          <w:rPr>
                            <w:rFonts w:ascii="Times New Roman" w:hAnsi="Times New Roman"/>
                            <w:color w:val="000000"/>
                            <w:sz w:val="22"/>
                            <w:szCs w:val="22"/>
                          </w:rPr>
                        </w:pPr>
                      </w:p>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c)</w:t>
                        </w:r>
                      </w:p>
                    </w:tc>
                    <w:tc>
                      <w:tcPr>
                        <w:tcW w:w="6293" w:type="dxa"/>
                        <w:tcBorders>
                          <w:top w:val="nil"/>
                          <w:left w:val="nil"/>
                          <w:bottom w:val="nil"/>
                          <w:right w:val="nil"/>
                        </w:tcBorders>
                        <w:textDirection w:val="lrTb"/>
                        <w:vAlign w:val="top"/>
                        <w:hideMark/>
                      </w:tcPr>
                      <w:p w:rsidR="007D53D7" w:rsidP="00D961DA">
                        <w:pPr>
                          <w:bidi w:val="0"/>
                          <w:ind w:right="141"/>
                          <w:rPr>
                            <w:rFonts w:ascii="Times New Roman" w:hAnsi="Times New Roman"/>
                            <w:color w:val="000000"/>
                            <w:sz w:val="22"/>
                            <w:szCs w:val="22"/>
                          </w:rPr>
                        </w:pPr>
                      </w:p>
                      <w:p w:rsidR="00E621F4"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uľahčenie nakladania s informáciami týkajúcimi sa uplatňovania práv investorov vyplývajúcich z ich investície do AIF v členskom štáte, v ktorom sa AIF uvádza na trh;</w:t>
                        </w:r>
                      </w:p>
                      <w:p w:rsidR="00D961DA" w:rsidP="00D961DA">
                        <w:pPr>
                          <w:bidi w:val="0"/>
                          <w:ind w:right="141"/>
                          <w:rPr>
                            <w:rFonts w:ascii="Times New Roman" w:hAnsi="Times New Roman"/>
                            <w:color w:val="000000"/>
                            <w:sz w:val="22"/>
                            <w:szCs w:val="22"/>
                          </w:rPr>
                        </w:pPr>
                      </w:p>
                      <w:p w:rsidR="00D961DA" w:rsidP="00D961DA">
                        <w:pPr>
                          <w:bidi w:val="0"/>
                          <w:ind w:right="141"/>
                          <w:rPr>
                            <w:rFonts w:ascii="Times New Roman" w:hAnsi="Times New Roman"/>
                            <w:color w:val="000000"/>
                            <w:sz w:val="22"/>
                            <w:szCs w:val="22"/>
                          </w:rPr>
                        </w:pPr>
                      </w:p>
                      <w:p w:rsidR="00D961DA" w:rsidRPr="009D5B18" w:rsidP="00D961DA">
                        <w:pPr>
                          <w:bidi w:val="0"/>
                          <w:ind w:right="141"/>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d)</w:t>
                        </w:r>
                      </w:p>
                    </w:tc>
                    <w:tc>
                      <w:tcPr>
                        <w:tcW w:w="6293" w:type="dxa"/>
                        <w:tcBorders>
                          <w:top w:val="nil"/>
                          <w:left w:val="nil"/>
                          <w:bottom w:val="nil"/>
                          <w:right w:val="nil"/>
                        </w:tcBorders>
                        <w:textDirection w:val="lrTb"/>
                        <w:vAlign w:val="top"/>
                        <w:hideMark/>
                      </w:tcPr>
                      <w:p w:rsidR="00E621F4"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sprístupnenie informácií a dokumentov požadovaných podľa článkov 22 a 23 investorom na účely kontrol a na získanie ich kópií;</w:t>
                        </w:r>
                      </w:p>
                      <w:p w:rsidR="006B55A4" w:rsidRPr="009D5B18" w:rsidP="00D961DA">
                        <w:pPr>
                          <w:bidi w:val="0"/>
                          <w:ind w:right="141"/>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e)</w:t>
                        </w:r>
                      </w:p>
                    </w:tc>
                    <w:tc>
                      <w:tcPr>
                        <w:tcW w:w="6293" w:type="dxa"/>
                        <w:tcBorders>
                          <w:top w:val="nil"/>
                          <w:left w:val="nil"/>
                          <w:bottom w:val="nil"/>
                          <w:right w:val="nil"/>
                        </w:tcBorders>
                        <w:textDirection w:val="lrTb"/>
                        <w:vAlign w:val="top"/>
                        <w:hideMark/>
                      </w:tcPr>
                      <w:p w:rsidR="00E621F4"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poskytovanie informácií investorom v súvislosti s úlohami, ktoré tieto zariadenia zabezpečujú, na trvalom médiu, ako sa vymedzuje v článku 2 ods. 1 písm. m) smernice 2009/65/ES; a</w:t>
                        </w:r>
                      </w:p>
                      <w:p w:rsidR="006B55A4" w:rsidRPr="009D5B18" w:rsidP="00D961DA">
                        <w:pPr>
                          <w:bidi w:val="0"/>
                          <w:ind w:right="141"/>
                          <w:rPr>
                            <w:rFonts w:ascii="Times New Roman" w:hAnsi="Times New Roman"/>
                            <w:color w:val="000000"/>
                            <w:sz w:val="22"/>
                            <w:szCs w:val="22"/>
                          </w:rPr>
                        </w:pP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f)</w:t>
                        </w:r>
                      </w:p>
                    </w:tc>
                    <w:tc>
                      <w:tcPr>
                        <w:tcW w:w="6293" w:type="dxa"/>
                        <w:tcBorders>
                          <w:top w:val="nil"/>
                          <w:left w:val="nil"/>
                          <w:bottom w:val="nil"/>
                          <w:right w:val="nil"/>
                        </w:tcBorders>
                        <w:textDirection w:val="lrTb"/>
                        <w:vAlign w:val="top"/>
                        <w:hideMark/>
                      </w:tcPr>
                      <w:p w:rsidR="00E621F4"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pôsobenie v pozícii kontaktného miesta pre komunikáciu s príslušnými orgánmi.</w:t>
                        </w:r>
                      </w:p>
                      <w:p w:rsidR="006B55A4" w:rsidRPr="009D5B18" w:rsidP="00D961DA">
                        <w:pPr>
                          <w:bidi w:val="0"/>
                          <w:ind w:right="141"/>
                          <w:rPr>
                            <w:rFonts w:ascii="Times New Roman" w:hAnsi="Times New Roman"/>
                            <w:color w:val="000000"/>
                            <w:sz w:val="22"/>
                            <w:szCs w:val="22"/>
                          </w:rPr>
                        </w:pPr>
                      </w:p>
                    </w:tc>
                  </w:tr>
                </w:tbl>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2.   Členské štáty od správcu AIF nevyžadujú fyzickú prítomnosť v hostiteľskom členskom štáte ani ustanovenie tretej strany na účely odseku 1.</w:t>
                  </w:r>
                </w:p>
                <w:p w:rsidR="001657CD" w:rsidP="00E621F4">
                  <w:pPr>
                    <w:bidi w:val="0"/>
                    <w:rPr>
                      <w:rFonts w:ascii="Times New Roman" w:hAnsi="Times New Roman"/>
                      <w:color w:val="000000"/>
                      <w:sz w:val="22"/>
                      <w:szCs w:val="22"/>
                    </w:rPr>
                  </w:pPr>
                </w:p>
                <w:p w:rsidR="00D961DA" w:rsidRPr="009D5B18" w:rsidP="00E621F4">
                  <w:pPr>
                    <w:bidi w:val="0"/>
                    <w:rPr>
                      <w:rFonts w:ascii="Times New Roman" w:hAnsi="Times New Roman"/>
                      <w:color w:val="000000"/>
                      <w:sz w:val="22"/>
                      <w:szCs w:val="22"/>
                    </w:rPr>
                  </w:pPr>
                  <w:r w:rsidRPr="009D5B18" w:rsidR="00E621F4">
                    <w:rPr>
                      <w:rFonts w:ascii="Times New Roman" w:hAnsi="Times New Roman"/>
                      <w:color w:val="000000"/>
                      <w:sz w:val="22"/>
                      <w:szCs w:val="22"/>
                    </w:rPr>
                    <w:t>3.   Správca AIF zabezpečí, aby boli k dispozícii zariadenia na vykonávanie úloh, a to aj ele</w:t>
                  </w:r>
                  <w:r w:rsidR="006B55A4">
                    <w:rPr>
                      <w:rFonts w:ascii="Times New Roman" w:hAnsi="Times New Roman"/>
                      <w:color w:val="000000"/>
                      <w:sz w:val="22"/>
                      <w:szCs w:val="22"/>
                    </w:rPr>
                    <w:t>ktronicky, uvedených v odseku 1</w:t>
                  </w: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a)</w:t>
                        </w:r>
                      </w:p>
                    </w:tc>
                    <w:tc>
                      <w:tcPr>
                        <w:tcW w:w="6293" w:type="dxa"/>
                        <w:tcBorders>
                          <w:top w:val="nil"/>
                          <w:left w:val="nil"/>
                          <w:bottom w:val="nil"/>
                          <w:right w:val="nil"/>
                        </w:tcBorders>
                        <w:textDirection w:val="lrTb"/>
                        <w:vAlign w:val="top"/>
                        <w:hideMark/>
                      </w:tcPr>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v úradnom jazyku alebo v jednom z úradných jazykov členského štátu, v ktorom sa AIF uvádza na trh, alebo v jazyku schválenom príslušnými orgánmi uvedeného členského štátu;</w:t>
                        </w: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65"/>
                    <w:gridCol w:w="5830"/>
                  </w:tblGrid>
                  <w:tr>
                    <w:tblPrEx>
                      <w:tblW w:w="5000" w:type="pct"/>
                      <w:tblLayout w:type="fixed"/>
                      <w:tblCellMar>
                        <w:left w:w="0" w:type="dxa"/>
                        <w:right w:w="0" w:type="dxa"/>
                      </w:tblCellMar>
                      <w:tblLook w:val="04A0"/>
                    </w:tblPrEx>
                    <w:tc>
                      <w:tcPr>
                        <w:tcW w:w="284"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b)</w:t>
                        </w:r>
                      </w:p>
                    </w:tc>
                    <w:tc>
                      <w:tcPr>
                        <w:tcW w:w="6293" w:type="dxa"/>
                        <w:tcBorders>
                          <w:top w:val="nil"/>
                          <w:left w:val="nil"/>
                          <w:bottom w:val="nil"/>
                          <w:right w:val="nil"/>
                        </w:tcBorders>
                        <w:textDirection w:val="lrTb"/>
                        <w:vAlign w:val="top"/>
                        <w:hideMark/>
                      </w:tcPr>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prostredníctvom samotného správcu AIF, tretej strany, ktorá podlieha predpisom a dohľadu, ktoré upravujú úlohy, ktoré sa majú vykonávať, alebo oboch.</w:t>
                        </w:r>
                      </w:p>
                    </w:tc>
                  </w:tr>
                </w:tbl>
                <w:p w:rsidR="001657CD" w:rsidP="00E621F4">
                  <w:pPr>
                    <w:bidi w:val="0"/>
                    <w:rPr>
                      <w:rFonts w:ascii="Times New Roman" w:hAnsi="Times New Roman"/>
                      <w:color w:val="000000"/>
                      <w:sz w:val="22"/>
                      <w:szCs w:val="22"/>
                    </w:rPr>
                  </w:pPr>
                </w:p>
                <w:p w:rsidR="006B55A4" w:rsidP="00D961DA">
                  <w:pPr>
                    <w:bidi w:val="0"/>
                    <w:ind w:right="141"/>
                    <w:rPr>
                      <w:rFonts w:ascii="Times New Roman" w:hAnsi="Times New Roman"/>
                      <w:color w:val="000000"/>
                      <w:sz w:val="22"/>
                      <w:szCs w:val="22"/>
                    </w:rPr>
                  </w:pPr>
                </w:p>
                <w:p w:rsidR="007D53D7" w:rsidP="00D961DA">
                  <w:pPr>
                    <w:bidi w:val="0"/>
                    <w:ind w:right="141"/>
                    <w:rPr>
                      <w:rFonts w:ascii="Times New Roman" w:hAnsi="Times New Roman"/>
                      <w:color w:val="000000"/>
                      <w:sz w:val="22"/>
                      <w:szCs w:val="22"/>
                    </w:rPr>
                  </w:pPr>
                </w:p>
                <w:p w:rsidR="00E621F4" w:rsidRPr="009D5B18" w:rsidP="00D961DA">
                  <w:pPr>
                    <w:bidi w:val="0"/>
                    <w:ind w:right="141"/>
                    <w:rPr>
                      <w:rFonts w:ascii="Times New Roman" w:hAnsi="Times New Roman"/>
                      <w:color w:val="000000"/>
                      <w:sz w:val="22"/>
                      <w:szCs w:val="22"/>
                    </w:rPr>
                  </w:pPr>
                  <w:r w:rsidRPr="009D5B18">
                    <w:rPr>
                      <w:rFonts w:ascii="Times New Roman" w:hAnsi="Times New Roman"/>
                      <w:color w:val="000000"/>
                      <w:sz w:val="22"/>
                      <w:szCs w:val="22"/>
                    </w:rPr>
                    <w:t>Na účely písmena b) v prípade, že úlohy má vykonávať tretia strana, musí byť jej vymenovanie doložené písomnou zmluvou, v ktorej sa určuje, ktoré z úloh uvedených v odseku 1 nemá vykonávať správca AIF, a že tretia strana dostane od správcu AIF všetky relevantné informácie a dokumenty.“</w:t>
                  </w:r>
                </w:p>
              </w:tc>
            </w:tr>
          </w:tbl>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E621F4" w:rsidRPr="00380F43" w:rsidP="00E621F4">
            <w:pPr>
              <w:autoSpaceDE w:val="0"/>
              <w:autoSpaceDN w:val="0"/>
              <w:bidi w:val="0"/>
              <w:spacing w:before="0"/>
              <w:jc w:val="center"/>
              <w:rPr>
                <w:rFonts w:ascii="Arial Narrow" w:hAnsi="Arial Narrow"/>
                <w:b/>
                <w:color w:val="0070C0"/>
                <w:sz w:val="22"/>
                <w:szCs w:val="22"/>
              </w:rPr>
            </w:pPr>
            <w:r w:rsidRPr="00380F43">
              <w:rPr>
                <w:rFonts w:ascii="Arial Narrow" w:hAnsi="Arial Narrow"/>
                <w:b/>
                <w:color w:val="0070C0"/>
                <w:sz w:val="22"/>
                <w:szCs w:val="22"/>
              </w:rPr>
              <w:t>Návrh zákona čl.</w:t>
            </w:r>
            <w:r>
              <w:rPr>
                <w:rFonts w:ascii="Arial Narrow" w:hAnsi="Arial Narrow"/>
                <w:b/>
                <w:color w:val="0070C0"/>
                <w:sz w:val="22"/>
                <w:szCs w:val="22"/>
              </w:rPr>
              <w:t>I</w:t>
            </w:r>
          </w:p>
          <w:p w:rsidR="00E621F4"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r w:rsidRPr="00FE7B54">
              <w:rPr>
                <w:rFonts w:ascii="Arial Narrow" w:hAnsi="Arial Narrow"/>
                <w:sz w:val="22"/>
                <w:szCs w:val="22"/>
              </w:rPr>
              <w:t xml:space="preserve">§ </w:t>
            </w:r>
            <w:r w:rsidRPr="00FE7B54" w:rsidR="00FE7B54">
              <w:rPr>
                <w:rFonts w:ascii="Arial Narrow" w:hAnsi="Arial Narrow"/>
                <w:sz w:val="22"/>
                <w:szCs w:val="22"/>
              </w:rPr>
              <w:t>1</w:t>
            </w:r>
            <w:r w:rsidR="006C668B">
              <w:rPr>
                <w:rFonts w:ascii="Arial Narrow" w:hAnsi="Arial Narrow"/>
                <w:sz w:val="22"/>
                <w:szCs w:val="22"/>
              </w:rPr>
              <w:t>50</w:t>
            </w:r>
          </w:p>
          <w:p w:rsidR="00E621F4" w:rsidRPr="002153F7" w:rsidP="00E621F4">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D53D7" w:rsidP="007D53D7">
            <w:pPr>
              <w:widowControl w:val="0"/>
              <w:numPr>
                <w:numId w:val="43"/>
              </w:numPr>
              <w:autoSpaceDE w:val="0"/>
              <w:bidi w:val="0"/>
              <w:adjustRightInd w:val="0"/>
              <w:ind w:left="0" w:firstLine="23"/>
              <w:rPr>
                <w:rFonts w:ascii="Times New Roman" w:hAnsi="Times New Roman"/>
                <w:color w:val="0070C0"/>
              </w:rPr>
            </w:pPr>
            <w:r w:rsidRPr="007D53D7">
              <w:rPr>
                <w:rFonts w:ascii="Times New Roman" w:hAnsi="Times New Roman"/>
                <w:color w:val="0070C0"/>
              </w:rPr>
              <w:t>Pri distribúcii cenných papierov alebo majetkových účastí zahraničného alternatívneho investičného fondu na území Slovenskej republiky na základe povolenia podľa § 148 sú správcovská spoločnosť a zahraničná správcovská spoločnosť povinné zaviesť opatrenia na vykonávanie týchto činností:</w:t>
            </w:r>
          </w:p>
          <w:p w:rsidR="007D53D7" w:rsidP="007D53D7">
            <w:pPr>
              <w:widowControl w:val="0"/>
              <w:autoSpaceDE w:val="0"/>
              <w:bidi w:val="0"/>
              <w:adjustRightInd w:val="0"/>
              <w:rPr>
                <w:rFonts w:ascii="Times New Roman" w:hAnsi="Times New Roman"/>
                <w:color w:val="0070C0"/>
              </w:rPr>
            </w:pPr>
          </w:p>
          <w:p w:rsidR="007D53D7" w:rsidRPr="007D53D7" w:rsidP="007D53D7">
            <w:pPr>
              <w:widowControl w:val="0"/>
              <w:autoSpaceDE w:val="0"/>
              <w:bidi w:val="0"/>
              <w:adjustRightInd w:val="0"/>
              <w:rPr>
                <w:rFonts w:ascii="Times New Roman" w:hAnsi="Times New Roman"/>
                <w:color w:val="0070C0"/>
              </w:rPr>
            </w:pPr>
          </w:p>
          <w:p w:rsidR="007D53D7" w:rsidRP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color w:val="0070C0"/>
              </w:rPr>
              <w:t>spracovávanie pokynov na vydávanie,  vyplatenie alebo odkúpenie cenných papierov zahraničného alternatívneho investičného fondu  a vykonávanie iných platieb v prospech investorov zahraničného alternatívneho investičného fondu  v súlade s podmienkami ustanovenými v predajnom prospekte, ročnej správe, polročnej správe alebo v kľúčových informáciách pre investorov, ak sa zostavujú,</w:t>
            </w:r>
          </w:p>
          <w:p w:rsidR="007D53D7" w:rsidRP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color w:val="0070C0"/>
              </w:rPr>
              <w:t xml:space="preserve">poskytovanie informácií investorom o tom, ako možno zadať pokyny uvedené v písmene a) a ako sa vyplácajú výnosy z vyplatenia alebo  odkúpenia cenných papierov zahraničného alternatívneho investičného fondu,  </w:t>
            </w:r>
          </w:p>
          <w:p w:rsidR="007D53D7" w:rsidRP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color w:val="0070C0"/>
              </w:rPr>
              <w:t xml:space="preserve">zabezpečenie jednoduchého prístupu k informáciám, postupom a mechanizmom týkajúcim sa uplatňovania práv investorov vyplývajúcich z investície </w:t>
            </w:r>
            <w:r w:rsidRPr="007D53D7">
              <w:rPr>
                <w:rFonts w:ascii="Times New Roman" w:hAnsi="Times New Roman"/>
                <w:iCs/>
                <w:color w:val="0070C0"/>
              </w:rPr>
              <w:t>do zahraničného alternatívneho investičného fondu, ktorý sa má na území Slovenskej republiky distribuovať neprofesionálnym investorom,</w:t>
            </w:r>
          </w:p>
          <w:p w:rsid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iCs/>
                <w:color w:val="0070C0"/>
              </w:rPr>
              <w:t>sprístupnenie ročnej správy a polročnej správy, predajného prospektu, kľúčových informácií pre investorov, ak sa zostavujú, a informácií podľa § 159a na účely kontroly a získania kópií týchto dokumentov,</w:t>
            </w:r>
          </w:p>
          <w:p w:rsidR="007D53D7" w:rsidRPr="007D53D7" w:rsidP="007D53D7">
            <w:pPr>
              <w:pStyle w:val="ListParagraph"/>
              <w:widowControl w:val="0"/>
              <w:autoSpaceDE w:val="0"/>
              <w:autoSpaceDN w:val="0"/>
              <w:bidi w:val="0"/>
              <w:adjustRightInd w:val="0"/>
              <w:jc w:val="both"/>
              <w:rPr>
                <w:rFonts w:ascii="Times New Roman" w:hAnsi="Times New Roman"/>
                <w:iCs/>
                <w:color w:val="0070C0"/>
              </w:rPr>
            </w:pPr>
          </w:p>
          <w:p w:rsidR="007D53D7" w:rsidRP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color w:val="0070C0"/>
              </w:rPr>
              <w:t xml:space="preserve">poskytovanie informácií investorom v súvislosti so zabezpečovaním  činností podľa tohto odseku, pričom informácie sa poskytujú na trvanlivom médiu, a </w:t>
            </w:r>
          </w:p>
          <w:p w:rsidR="007D53D7" w:rsidP="007D53D7">
            <w:pPr>
              <w:pStyle w:val="ListParagraph"/>
              <w:bidi w:val="0"/>
              <w:rPr>
                <w:rFonts w:ascii="Times New Roman" w:hAnsi="Times New Roman"/>
                <w:iCs/>
                <w:color w:val="0070C0"/>
              </w:rPr>
            </w:pPr>
          </w:p>
          <w:p w:rsidR="007D53D7" w:rsidRPr="007D53D7" w:rsidP="007D53D7">
            <w:pPr>
              <w:pStyle w:val="ListParagraph"/>
              <w:widowControl w:val="0"/>
              <w:autoSpaceDE w:val="0"/>
              <w:autoSpaceDN w:val="0"/>
              <w:bidi w:val="0"/>
              <w:adjustRightInd w:val="0"/>
              <w:jc w:val="both"/>
              <w:rPr>
                <w:rFonts w:ascii="Times New Roman" w:hAnsi="Times New Roman"/>
                <w:iCs/>
                <w:color w:val="0070C0"/>
              </w:rPr>
            </w:pPr>
          </w:p>
          <w:p w:rsidR="007D53D7" w:rsidRPr="007D53D7" w:rsidP="007D53D7">
            <w:pPr>
              <w:pStyle w:val="ListParagraph"/>
              <w:widowControl w:val="0"/>
              <w:numPr>
                <w:numId w:val="42"/>
              </w:numPr>
              <w:autoSpaceDE w:val="0"/>
              <w:autoSpaceDN w:val="0"/>
              <w:bidi w:val="0"/>
              <w:adjustRightInd w:val="0"/>
              <w:ind w:left="0" w:firstLine="0"/>
              <w:jc w:val="both"/>
              <w:rPr>
                <w:rFonts w:ascii="Times New Roman" w:hAnsi="Times New Roman"/>
                <w:iCs/>
                <w:color w:val="0070C0"/>
              </w:rPr>
            </w:pPr>
            <w:r w:rsidRPr="007D53D7">
              <w:rPr>
                <w:rFonts w:ascii="Times New Roman" w:hAnsi="Times New Roman"/>
                <w:iCs/>
                <w:color w:val="0070C0"/>
              </w:rPr>
              <w:t>vykonávanie činnosti kontaktného miesta pre komunikáciu s Národnou bankou Slovenska.</w:t>
            </w:r>
          </w:p>
          <w:p w:rsidR="007D53D7" w:rsidRPr="007D53D7" w:rsidP="007D53D7">
            <w:pPr>
              <w:pStyle w:val="ListParagraph"/>
              <w:widowControl w:val="0"/>
              <w:autoSpaceDE w:val="0"/>
              <w:bidi w:val="0"/>
              <w:adjustRightInd w:val="0"/>
              <w:ind w:left="23"/>
              <w:jc w:val="both"/>
              <w:rPr>
                <w:rFonts w:ascii="Times New Roman" w:hAnsi="Times New Roman"/>
                <w:iCs/>
                <w:color w:val="0070C0"/>
              </w:rPr>
            </w:pPr>
          </w:p>
          <w:p w:rsidR="007D53D7" w:rsidRPr="007D53D7" w:rsidP="007D53D7">
            <w:pPr>
              <w:widowControl w:val="0"/>
              <w:autoSpaceDE w:val="0"/>
              <w:bidi w:val="0"/>
              <w:rPr>
                <w:rFonts w:ascii="Times New Roman" w:hAnsi="Times New Roman"/>
                <w:color w:val="0070C0"/>
              </w:rPr>
            </w:pPr>
            <w:bookmarkStart w:id="2" w:name="_Hlk52967472"/>
            <w:r w:rsidRPr="007D53D7">
              <w:rPr>
                <w:rFonts w:ascii="Times New Roman" w:hAnsi="Times New Roman"/>
                <w:color w:val="0070C0"/>
              </w:rPr>
              <w:t>(2) Ustanovením odseku 1 nie je dotknuté ustanovenie osobitného predpisu.</w:t>
            </w:r>
            <w:r w:rsidRPr="007D53D7">
              <w:rPr>
                <w:rFonts w:ascii="Times New Roman" w:hAnsi="Times New Roman"/>
                <w:color w:val="0070C0"/>
                <w:vertAlign w:val="superscript"/>
              </w:rPr>
              <w:t>58c</w:t>
            </w:r>
            <w:r w:rsidRPr="007D53D7">
              <w:rPr>
                <w:rFonts w:ascii="Times New Roman" w:hAnsi="Times New Roman"/>
                <w:color w:val="0070C0"/>
              </w:rPr>
              <w:t>)</w:t>
            </w:r>
          </w:p>
          <w:p w:rsidR="007D53D7" w:rsidRPr="007D53D7" w:rsidP="007D53D7">
            <w:pPr>
              <w:widowControl w:val="0"/>
              <w:autoSpaceDE w:val="0"/>
              <w:bidi w:val="0"/>
              <w:rPr>
                <w:rFonts w:ascii="Times New Roman" w:hAnsi="Times New Roman"/>
                <w:color w:val="0070C0"/>
              </w:rPr>
            </w:pPr>
          </w:p>
          <w:p w:rsidR="007D53D7" w:rsidRPr="007D53D7" w:rsidP="007D53D7">
            <w:pPr>
              <w:widowControl w:val="0"/>
              <w:autoSpaceDE w:val="0"/>
              <w:bidi w:val="0"/>
              <w:rPr>
                <w:rFonts w:ascii="Times New Roman" w:hAnsi="Times New Roman"/>
                <w:color w:val="0070C0"/>
              </w:rPr>
            </w:pPr>
            <w:r w:rsidRPr="007D53D7">
              <w:rPr>
                <w:rFonts w:ascii="Times New Roman" w:hAnsi="Times New Roman"/>
                <w:color w:val="0070C0"/>
              </w:rPr>
              <w:t>(3) Pri distribúcii cenných papierov alebo majetkových účastí zahraničného alternatívneho investičného fondu na území Slovenskej republiky na základe povolenia podľa § 148 správcovská spoločnosť alebo zahraničná správcovská spoločnosť prijme opatrenia na vykonávanie činností uvedených v odseku 1 v slovenskom jazyku alebo v jazyku, ktorý na tieto účely môže stanoviť Národná banka Slovenska vo všeobecne záväznom právnom predpise vydanom podľa osobitného predpisu,</w:t>
            </w:r>
            <w:r w:rsidRPr="007D53D7">
              <w:rPr>
                <w:rFonts w:ascii="Times New Roman" w:hAnsi="Times New Roman"/>
                <w:color w:val="0070C0"/>
                <w:vertAlign w:val="superscript"/>
              </w:rPr>
              <w:t>58a</w:t>
            </w:r>
            <w:r w:rsidRPr="007D53D7">
              <w:rPr>
                <w:rFonts w:ascii="Times New Roman" w:hAnsi="Times New Roman"/>
                <w:color w:val="0070C0"/>
              </w:rPr>
              <w:t>) samostatne alebo prostredníctvom tretej osoby podľa § 58 oprávnenej na vykonávanie činností podľa odseku 1 alebo obidvoma spôsobmi.</w:t>
            </w:r>
          </w:p>
          <w:p w:rsidR="007D53D7" w:rsidRPr="007D53D7" w:rsidP="007D53D7">
            <w:pPr>
              <w:widowControl w:val="0"/>
              <w:autoSpaceDE w:val="0"/>
              <w:bidi w:val="0"/>
              <w:rPr>
                <w:rFonts w:ascii="Times New Roman" w:hAnsi="Times New Roman"/>
                <w:color w:val="0070C0"/>
              </w:rPr>
            </w:pPr>
          </w:p>
          <w:p w:rsidR="007D53D7" w:rsidRPr="007D53D7" w:rsidP="007D53D7">
            <w:pPr>
              <w:widowControl w:val="0"/>
              <w:autoSpaceDE w:val="0"/>
              <w:bidi w:val="0"/>
              <w:rPr>
                <w:rFonts w:ascii="Times New Roman" w:hAnsi="Times New Roman"/>
                <w:color w:val="0070C0"/>
              </w:rPr>
            </w:pPr>
            <w:r w:rsidRPr="007D53D7">
              <w:rPr>
                <w:rFonts w:ascii="Times New Roman" w:hAnsi="Times New Roman"/>
                <w:color w:val="0070C0"/>
              </w:rPr>
              <w:t>(4) Ak sú činnosti podľa odseku 1 vykonávané prostredníctvom tretej osoby, musí byť jej určenie zabezpečené písomnou zmluvou, v ktorej sa uvedie, ktoré z činností uvedených v odseku 1 nemá vykonávať správcovská spoločnosť alebo zahraničná správcovská spoločnosť, a uvedie sa povinnosť správcovskej spoločnosti alebo zahraničnej správcovskej spoločnosti poskytnúť tretej osobe všetky potrebné informácie a dokumenty.</w:t>
            </w:r>
          </w:p>
          <w:p w:rsidR="007D53D7" w:rsidRPr="007D53D7" w:rsidP="007D53D7">
            <w:pPr>
              <w:shd w:val="clear" w:color="auto" w:fill="FFFFFF"/>
              <w:bidi w:val="0"/>
              <w:rPr>
                <w:rFonts w:ascii="Times New Roman" w:hAnsi="Times New Roman"/>
                <w:vanish/>
                <w:color w:val="0070C0"/>
              </w:rPr>
            </w:pPr>
          </w:p>
          <w:p w:rsidR="007D53D7" w:rsidRPr="007D53D7" w:rsidP="007D53D7">
            <w:pPr>
              <w:widowControl w:val="0"/>
              <w:autoSpaceDE w:val="0"/>
              <w:bidi w:val="0"/>
              <w:rPr>
                <w:rFonts w:ascii="Times New Roman" w:hAnsi="Times New Roman"/>
                <w:color w:val="0070C0"/>
              </w:rPr>
            </w:pPr>
          </w:p>
          <w:p w:rsidR="007D53D7" w:rsidRPr="007D53D7" w:rsidP="007D53D7">
            <w:pPr>
              <w:widowControl w:val="0"/>
              <w:autoSpaceDE w:val="0"/>
              <w:bidi w:val="0"/>
              <w:rPr>
                <w:rFonts w:ascii="Times New Roman" w:hAnsi="Times New Roman"/>
                <w:color w:val="0070C0"/>
              </w:rPr>
            </w:pPr>
            <w:r w:rsidRPr="007D53D7">
              <w:rPr>
                <w:rFonts w:ascii="Times New Roman" w:hAnsi="Times New Roman"/>
                <w:color w:val="0070C0"/>
              </w:rPr>
              <w:t xml:space="preserve">(5) Zahraničná správcovská spoločnosť s povolením podľa § 148 je povinná bezodkladne informovať Národnú banku Slovenska o uzavretí každej ďalšej písomnej zmluvy podľa odseku 4. </w:t>
            </w:r>
          </w:p>
          <w:p w:rsidR="006C668B" w:rsidRPr="00D961DA" w:rsidP="00D961DA">
            <w:pPr>
              <w:widowControl w:val="0"/>
              <w:autoSpaceDE w:val="0"/>
              <w:autoSpaceDN w:val="0"/>
              <w:bidi w:val="0"/>
              <w:adjustRightInd w:val="0"/>
              <w:rPr>
                <w:rFonts w:ascii="Times New Roman" w:hAnsi="Times New Roman"/>
                <w:iCs/>
                <w:color w:val="0070C0"/>
              </w:rPr>
            </w:pPr>
            <w:bookmarkEnd w:id="2"/>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2A2757">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P="00E621F4">
            <w:pPr>
              <w:pStyle w:val="Heading1"/>
              <w:bidi w:val="0"/>
              <w:rPr>
                <w:rFonts w:ascii="Arial Narrow" w:hAnsi="Arial Narrow"/>
                <w:b w:val="0"/>
                <w:bCs w:val="0"/>
                <w:sz w:val="22"/>
                <w:szCs w:val="22"/>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D961DA" w:rsidP="00D961DA">
            <w:pPr>
              <w:bidi w:val="0"/>
              <w:rPr>
                <w:rFonts w:ascii="Times New Roman" w:hAnsi="Times New Roman"/>
              </w:rPr>
            </w:pPr>
          </w:p>
          <w:p w:rsidR="006B55A4" w:rsidP="00D961DA">
            <w:pPr>
              <w:bidi w:val="0"/>
              <w:rPr>
                <w:rFonts w:ascii="Times New Roman" w:hAnsi="Times New Roman"/>
              </w:rPr>
            </w:pPr>
          </w:p>
          <w:p w:rsidR="006B55A4" w:rsidP="00D961DA">
            <w:pPr>
              <w:bidi w:val="0"/>
              <w:rPr>
                <w:rFonts w:ascii="Times New Roman" w:hAnsi="Times New Roman"/>
              </w:rPr>
            </w:pPr>
          </w:p>
          <w:p w:rsidR="006B55A4" w:rsidP="00D961DA">
            <w:pPr>
              <w:bidi w:val="0"/>
              <w:rPr>
                <w:rFonts w:ascii="Times New Roman" w:hAnsi="Times New Roman"/>
              </w:rPr>
            </w:pPr>
          </w:p>
          <w:p w:rsidR="007D53D7" w:rsidP="00D961DA">
            <w:pPr>
              <w:bidi w:val="0"/>
              <w:rPr>
                <w:rFonts w:ascii="Times New Roman" w:hAnsi="Times New Roman"/>
              </w:rPr>
            </w:pPr>
          </w:p>
          <w:p w:rsidR="00D961DA" w:rsidRPr="00D961DA" w:rsidP="00D961DA">
            <w:pPr>
              <w:bidi w:val="0"/>
              <w:rPr>
                <w:rFonts w:ascii="Times New Roman" w:hAnsi="Times New Roman"/>
                <w:sz w:val="18"/>
                <w:szCs w:val="18"/>
              </w:rPr>
            </w:pPr>
            <w:r w:rsidRPr="00E937FC">
              <w:rPr>
                <w:rFonts w:ascii="Times New Roman" w:hAnsi="Times New Roman"/>
                <w:sz w:val="18"/>
                <w:szCs w:val="18"/>
              </w:rPr>
              <w:t>Od správcovskej spoločnosti zahraničného alternatívneho investičného fondu, ktorý je distribuovaný na území Slovenskej republiky, sa nevyžaduje fyzická prítomnosť na území Slovenskej republiky</w:t>
            </w: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E7B54" w:rsidRPr="009D5B18"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ČL. 2 bod 7</w:t>
            </w:r>
          </w:p>
        </w:tc>
        <w:tc>
          <w:tcPr>
            <w:tcW w:w="6662"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6378" w:type="dxa"/>
              <w:tblInd w:w="241" w:type="dxa"/>
              <w:tblLayout w:type="fixed"/>
              <w:tblCellMar>
                <w:left w:w="0" w:type="dxa"/>
                <w:right w:w="0" w:type="dxa"/>
              </w:tblCellMar>
              <w:tblLook w:val="04A0"/>
            </w:tblPr>
            <w:tblGrid>
              <w:gridCol w:w="283"/>
              <w:gridCol w:w="6095"/>
            </w:tblGrid>
            <w:tr>
              <w:tblPrEx>
                <w:tblW w:w="6378" w:type="dxa"/>
                <w:tblInd w:w="241" w:type="dxa"/>
                <w:tblLayout w:type="fixed"/>
                <w:tblCellMar>
                  <w:left w:w="0" w:type="dxa"/>
                  <w:right w:w="0" w:type="dxa"/>
                </w:tblCellMar>
                <w:tblLook w:val="04A0"/>
              </w:tblPrEx>
              <w:tc>
                <w:tcPr>
                  <w:tcW w:w="283" w:type="dxa"/>
                  <w:tcBorders>
                    <w:top w:val="nil"/>
                    <w:left w:val="nil"/>
                    <w:bottom w:val="nil"/>
                    <w:right w:val="nil"/>
                  </w:tcBorders>
                  <w:textDirection w:val="lrTb"/>
                  <w:vAlign w:val="top"/>
                  <w:hideMark/>
                </w:tcPr>
                <w:p w:rsidR="00FE7B54" w:rsidRPr="009D5B18" w:rsidP="00FE7B54">
                  <w:pPr>
                    <w:bidi w:val="0"/>
                    <w:rPr>
                      <w:rFonts w:ascii="Times New Roman" w:hAnsi="Times New Roman"/>
                      <w:color w:val="000000"/>
                      <w:sz w:val="22"/>
                      <w:szCs w:val="22"/>
                    </w:rPr>
                  </w:pPr>
                  <w:r w:rsidRPr="009D5B18">
                    <w:rPr>
                      <w:rFonts w:ascii="Times New Roman" w:hAnsi="Times New Roman"/>
                      <w:color w:val="000000"/>
                      <w:sz w:val="22"/>
                      <w:szCs w:val="22"/>
                    </w:rPr>
                    <w:t>7.</w:t>
                  </w:r>
                </w:p>
              </w:tc>
              <w:tc>
                <w:tcPr>
                  <w:tcW w:w="6095" w:type="dxa"/>
                  <w:tcBorders>
                    <w:top w:val="nil"/>
                    <w:left w:val="nil"/>
                    <w:bottom w:val="nil"/>
                    <w:right w:val="nil"/>
                  </w:tcBorders>
                  <w:textDirection w:val="lrTb"/>
                  <w:vAlign w:val="top"/>
                  <w:hideMark/>
                </w:tcPr>
                <w:p w:rsidR="00FE7B54" w:rsidRPr="009D5B18" w:rsidP="00FE7B54">
                  <w:pPr>
                    <w:bidi w:val="0"/>
                    <w:rPr>
                      <w:rFonts w:ascii="Times New Roman" w:hAnsi="Times New Roman"/>
                      <w:color w:val="000000"/>
                      <w:sz w:val="22"/>
                      <w:szCs w:val="22"/>
                    </w:rPr>
                  </w:pPr>
                  <w:r w:rsidRPr="009D5B18">
                    <w:rPr>
                      <w:rFonts w:ascii="Times New Roman" w:hAnsi="Times New Roman"/>
                      <w:color w:val="000000"/>
                      <w:sz w:val="22"/>
                      <w:szCs w:val="22"/>
                    </w:rPr>
                    <w:t>Vkladá sa tento článok:</w:t>
                  </w:r>
                </w:p>
                <w:p w:rsidR="00FE7B54" w:rsidRPr="009D5B18" w:rsidP="00FE7B54">
                  <w:pPr>
                    <w:bidi w:val="0"/>
                    <w:spacing w:before="360" w:after="120"/>
                    <w:jc w:val="center"/>
                    <w:rPr>
                      <w:rFonts w:ascii="Times New Roman" w:hAnsi="Times New Roman"/>
                      <w:i/>
                      <w:iCs/>
                      <w:color w:val="000000"/>
                      <w:sz w:val="22"/>
                      <w:szCs w:val="22"/>
                    </w:rPr>
                  </w:pPr>
                  <w:r w:rsidRPr="009D5B18">
                    <w:rPr>
                      <w:rFonts w:ascii="Times New Roman" w:hAnsi="Times New Roman"/>
                      <w:i/>
                      <w:iCs/>
                      <w:color w:val="000000"/>
                      <w:sz w:val="22"/>
                      <w:szCs w:val="22"/>
                    </w:rPr>
                    <w:t>„Článok 69a</w:t>
                  </w:r>
                </w:p>
                <w:p w:rsidR="00FE7B54" w:rsidRPr="009D5B18" w:rsidP="00796A51">
                  <w:pPr>
                    <w:bidi w:val="0"/>
                    <w:spacing w:before="60" w:after="120"/>
                    <w:ind w:right="283"/>
                    <w:jc w:val="center"/>
                    <w:rPr>
                      <w:rFonts w:ascii="Times New Roman" w:hAnsi="Times New Roman"/>
                      <w:b/>
                      <w:bCs/>
                      <w:color w:val="000000"/>
                      <w:sz w:val="22"/>
                      <w:szCs w:val="22"/>
                    </w:rPr>
                  </w:pPr>
                  <w:r w:rsidRPr="009D5B18">
                    <w:rPr>
                      <w:rFonts w:ascii="Times New Roman" w:hAnsi="Times New Roman"/>
                      <w:b/>
                      <w:bCs/>
                      <w:color w:val="000000"/>
                      <w:sz w:val="22"/>
                      <w:szCs w:val="22"/>
                    </w:rPr>
                    <w:t>Posúdenie režimu európskeho povolenia</w:t>
                  </w:r>
                </w:p>
                <w:p w:rsidR="00FE7B54" w:rsidRPr="009D5B18" w:rsidP="00796A51">
                  <w:pPr>
                    <w:bidi w:val="0"/>
                    <w:ind w:right="141"/>
                    <w:rPr>
                      <w:rFonts w:ascii="Times New Roman" w:hAnsi="Times New Roman"/>
                      <w:color w:val="000000"/>
                      <w:sz w:val="22"/>
                      <w:szCs w:val="22"/>
                    </w:rPr>
                  </w:pPr>
                  <w:r w:rsidRPr="009D5B18">
                    <w:rPr>
                      <w:rFonts w:ascii="Times New Roman" w:hAnsi="Times New Roman"/>
                      <w:color w:val="000000"/>
                      <w:sz w:val="22"/>
                      <w:szCs w:val="22"/>
                    </w:rPr>
                    <w:t>Pred nadobudnutím účinnosti delegovaných aktov uvedených v článku 67 ods. 6, na základe ktorých sa začnú uplatňovať pravidlá stanovené v článku 35 a článkoch 37 až 41, Komisia predloží správu Európskemu parlamentu a Rade, pričom zohľadní výsledok posúdenia režimu európskeho povolenia stanoveného v tejto smernici vrátane rozšírenia tohto režimu na správcov AIF z krajín mimo EÚ. V prípade potreby sa uvedená správa doplní legislatívnym návrhom.“</w:t>
                  </w:r>
                </w:p>
              </w:tc>
            </w:tr>
          </w:tbl>
          <w:p w:rsidR="00FE7B54" w:rsidRPr="009D5B18" w:rsidP="00E621F4">
            <w:pPr>
              <w:bidi w:val="0"/>
              <w:rPr>
                <w:rFonts w:ascii="Times New Roman" w:hAnsi="Times New Roman"/>
                <w:color w:val="000000"/>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FE7B54"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n.a.</w:t>
            </w:r>
          </w:p>
        </w:tc>
        <w:tc>
          <w:tcPr>
            <w:tcW w:w="708" w:type="dxa"/>
            <w:tcBorders>
              <w:top w:val="single" w:sz="4" w:space="0" w:color="auto"/>
              <w:left w:val="nil"/>
              <w:bottom w:val="single" w:sz="4" w:space="0" w:color="auto"/>
              <w:right w:val="single" w:sz="4" w:space="0" w:color="auto"/>
            </w:tcBorders>
            <w:textDirection w:val="lrTb"/>
            <w:vAlign w:val="top"/>
          </w:tcPr>
          <w:p w:rsidR="00FE7B54" w:rsidP="00E621F4">
            <w:pPr>
              <w:autoSpaceDE w:val="0"/>
              <w:autoSpaceDN w:val="0"/>
              <w:bidi w:val="0"/>
              <w:spacing w:before="0"/>
              <w:jc w:val="center"/>
              <w:rPr>
                <w:rFonts w:ascii="Arial Narrow" w:hAnsi="Arial Narrow"/>
                <w:b/>
                <w:color w:val="0070C0"/>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E7B54" w:rsidP="00E621F4">
            <w:pPr>
              <w:pStyle w:val="Normlny"/>
              <w:bidi w:val="0"/>
              <w:rPr>
                <w:rFonts w:ascii="Arial Narrow" w:hAnsi="Arial Narrow"/>
                <w:sz w:val="22"/>
                <w:szCs w:val="22"/>
                <w:highlight w:val="yellow"/>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E7B54" w:rsidRPr="002A2757" w:rsidP="00E621F4">
            <w:pPr>
              <w:pStyle w:val="Normlny"/>
              <w:bidi w:val="0"/>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FE7B54"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n.a.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FE7B5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P="00E621F4">
            <w:pPr>
              <w:autoSpaceDE w:val="0"/>
              <w:autoSpaceDN w:val="0"/>
              <w:bidi w:val="0"/>
              <w:spacing w:before="0"/>
              <w:jc w:val="center"/>
              <w:rPr>
                <w:rFonts w:ascii="Times New Roman" w:hAnsi="Times New Roman"/>
                <w:sz w:val="22"/>
                <w:szCs w:val="22"/>
              </w:rPr>
            </w:pPr>
            <w:r w:rsidR="00DE2DB9">
              <w:rPr>
                <w:rFonts w:ascii="Times New Roman" w:hAnsi="Times New Roman"/>
                <w:sz w:val="22"/>
                <w:szCs w:val="22"/>
              </w:rPr>
              <w:t xml:space="preserve">Čl. 2 </w:t>
            </w:r>
          </w:p>
          <w:p w:rsidR="00DE2DB9" w:rsidRPr="009D5B18" w:rsidP="00E621F4">
            <w:pPr>
              <w:autoSpaceDE w:val="0"/>
              <w:autoSpaceDN w:val="0"/>
              <w:bidi w:val="0"/>
              <w:spacing w:before="0"/>
              <w:jc w:val="center"/>
              <w:rPr>
                <w:rFonts w:ascii="Times New Roman" w:hAnsi="Times New Roman"/>
                <w:sz w:val="22"/>
                <w:szCs w:val="22"/>
              </w:rPr>
            </w:pPr>
            <w:r>
              <w:rPr>
                <w:rFonts w:ascii="Times New Roman" w:hAnsi="Times New Roman"/>
                <w:sz w:val="22"/>
                <w:szCs w:val="22"/>
              </w:rPr>
              <w:t>Bod 8</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shd w:val="clear" w:color="auto" w:fill="FFFFFF"/>
              <w:bidi w:val="0"/>
              <w:spacing w:before="0"/>
              <w:jc w:val="left"/>
              <w:rPr>
                <w:rFonts w:ascii="Times New Roman" w:hAnsi="Times New Roman"/>
                <w:vanish/>
                <w:color w:val="000000"/>
                <w:sz w:val="22"/>
                <w:szCs w:val="22"/>
              </w:rPr>
            </w:pPr>
          </w:p>
          <w:tbl>
            <w:tblPr>
              <w:tblStyle w:val="TableNormal"/>
              <w:tblW w:w="5000" w:type="pct"/>
              <w:tblLayout w:type="fixed"/>
              <w:tblCellMar>
                <w:left w:w="0" w:type="dxa"/>
                <w:right w:w="0" w:type="dxa"/>
              </w:tblCellMar>
              <w:tblLook w:val="04A0"/>
            </w:tblPr>
            <w:tblGrid>
              <w:gridCol w:w="232"/>
              <w:gridCol w:w="6344"/>
            </w:tblGrid>
            <w:tr>
              <w:tblPrEx>
                <w:tblW w:w="5000" w:type="pct"/>
                <w:tblLayout w:type="fixed"/>
                <w:tblCellMar>
                  <w:left w:w="0" w:type="dxa"/>
                  <w:right w:w="0" w:type="dxa"/>
                </w:tblCellMar>
                <w:tblLook w:val="04A0"/>
              </w:tblPrEx>
              <w:tc>
                <w:tcPr>
                  <w:tcW w:w="241"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8.</w:t>
                  </w:r>
                </w:p>
              </w:tc>
              <w:tc>
                <w:tcPr>
                  <w:tcW w:w="6619" w:type="dxa"/>
                  <w:tcBorders>
                    <w:top w:val="nil"/>
                    <w:left w:val="nil"/>
                    <w:bottom w:val="nil"/>
                    <w:right w:val="nil"/>
                  </w:tcBorders>
                  <w:textDirection w:val="lrTb"/>
                  <w:vAlign w:val="top"/>
                  <w:hideMark/>
                </w:tcPr>
                <w:p w:rsidR="00E621F4" w:rsidP="00E621F4">
                  <w:pPr>
                    <w:bidi w:val="0"/>
                    <w:rPr>
                      <w:rFonts w:ascii="Times New Roman" w:hAnsi="Times New Roman"/>
                      <w:color w:val="000000"/>
                      <w:sz w:val="22"/>
                      <w:szCs w:val="22"/>
                    </w:rPr>
                  </w:pPr>
                  <w:r w:rsidRPr="009D5B18">
                    <w:rPr>
                      <w:rFonts w:ascii="Times New Roman" w:hAnsi="Times New Roman"/>
                      <w:color w:val="000000"/>
                      <w:sz w:val="22"/>
                      <w:szCs w:val="22"/>
                    </w:rPr>
                    <w:t>V prílohe IV sa dopĺňajú tieto body:</w:t>
                  </w:r>
                </w:p>
                <w:p w:rsidR="00796A51" w:rsidP="00E621F4">
                  <w:pPr>
                    <w:bidi w:val="0"/>
                    <w:rPr>
                      <w:rFonts w:ascii="Times New Roman" w:hAnsi="Times New Roman"/>
                      <w:color w:val="000000"/>
                      <w:sz w:val="22"/>
                      <w:szCs w:val="22"/>
                    </w:rPr>
                  </w:pPr>
                </w:p>
                <w:p w:rsidR="00796A51" w:rsidP="00E621F4">
                  <w:pPr>
                    <w:bidi w:val="0"/>
                    <w:rPr>
                      <w:rFonts w:ascii="Times New Roman" w:hAnsi="Times New Roman"/>
                      <w:color w:val="000000"/>
                      <w:sz w:val="22"/>
                      <w:szCs w:val="22"/>
                    </w:rPr>
                  </w:pPr>
                </w:p>
                <w:p w:rsidR="00796A51" w:rsidRPr="009D5B18" w:rsidP="00E621F4">
                  <w:pPr>
                    <w:bidi w:val="0"/>
                    <w:rPr>
                      <w:rFonts w:ascii="Times New Roman" w:hAnsi="Times New Roman"/>
                      <w:color w:val="000000"/>
                      <w:sz w:val="22"/>
                      <w:szCs w:val="22"/>
                    </w:rPr>
                  </w:pPr>
                </w:p>
                <w:tbl>
                  <w:tblPr>
                    <w:tblStyle w:val="TableNormal"/>
                    <w:tblW w:w="4821" w:type="pct"/>
                    <w:tblLayout w:type="fixed"/>
                    <w:tblCellMar>
                      <w:left w:w="0" w:type="dxa"/>
                      <w:right w:w="0" w:type="dxa"/>
                    </w:tblCellMar>
                    <w:tblLook w:val="04A0"/>
                  </w:tblPr>
                  <w:tblGrid>
                    <w:gridCol w:w="366"/>
                    <w:gridCol w:w="5751"/>
                  </w:tblGrid>
                  <w:tr>
                    <w:tblPrEx>
                      <w:tblW w:w="4821" w:type="pct"/>
                      <w:tblLayout w:type="fixed"/>
                      <w:tblCellMar>
                        <w:left w:w="0" w:type="dxa"/>
                        <w:right w:w="0" w:type="dxa"/>
                      </w:tblCellMar>
                      <w:tblLook w:val="04A0"/>
                    </w:tblPrEx>
                    <w:tc>
                      <w:tcPr>
                        <w:tcW w:w="387"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„i)</w:t>
                        </w:r>
                      </w:p>
                    </w:tc>
                    <w:tc>
                      <w:tcPr>
                        <w:tcW w:w="6095"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údaje – vrátane adresy –, ktoré sú potrebné na fakturáciu alebo na oznamovanie akýchkoľvek príslušných regulačných poplatkov alebo platieb prostredníctvom príslušných orgánov hostiteľského členského štátu;</w:t>
                        </w:r>
                      </w:p>
                    </w:tc>
                  </w:tr>
                </w:tbl>
                <w:p w:rsidR="00E621F4" w:rsidRPr="009D5B18" w:rsidP="00E621F4">
                  <w:pPr>
                    <w:bidi w:val="0"/>
                    <w:spacing w:before="0"/>
                    <w:jc w:val="left"/>
                    <w:rPr>
                      <w:rFonts w:ascii="Times New Roman" w:hAnsi="Times New Roman"/>
                      <w:vanish/>
                      <w:color w:val="000000"/>
                      <w:sz w:val="22"/>
                      <w:szCs w:val="22"/>
                    </w:rPr>
                  </w:pPr>
                </w:p>
                <w:tbl>
                  <w:tblPr>
                    <w:tblStyle w:val="TableNormal"/>
                    <w:tblW w:w="6743" w:type="dxa"/>
                    <w:tblLayout w:type="fixed"/>
                    <w:tblCellMar>
                      <w:left w:w="0" w:type="dxa"/>
                      <w:right w:w="0" w:type="dxa"/>
                    </w:tblCellMar>
                    <w:tblLook w:val="04A0"/>
                  </w:tblPr>
                  <w:tblGrid>
                    <w:gridCol w:w="161"/>
                    <w:gridCol w:w="6582"/>
                  </w:tblGrid>
                  <w:tr>
                    <w:tblPrEx>
                      <w:tblW w:w="6743" w:type="dxa"/>
                      <w:tblLayout w:type="fixed"/>
                      <w:tblCellMar>
                        <w:left w:w="0" w:type="dxa"/>
                        <w:right w:w="0" w:type="dxa"/>
                      </w:tblCellMar>
                      <w:tblLook w:val="04A0"/>
                    </w:tblPrEx>
                    <w:tc>
                      <w:tcPr>
                        <w:tcW w:w="161"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j)</w:t>
                        </w:r>
                      </w:p>
                    </w:tc>
                    <w:tc>
                      <w:tcPr>
                        <w:tcW w:w="6582" w:type="dxa"/>
                        <w:tcBorders>
                          <w:top w:val="nil"/>
                          <w:left w:val="nil"/>
                          <w:bottom w:val="nil"/>
                          <w:right w:val="nil"/>
                        </w:tcBorders>
                        <w:textDirection w:val="lrTb"/>
                        <w:vAlign w:val="top"/>
                        <w:hideMark/>
                      </w:tcPr>
                      <w:p w:rsidR="00E621F4" w:rsidRPr="009D5B18" w:rsidP="00E621F4">
                        <w:pPr>
                          <w:bidi w:val="0"/>
                          <w:rPr>
                            <w:rFonts w:ascii="Times New Roman" w:hAnsi="Times New Roman"/>
                            <w:color w:val="000000"/>
                            <w:sz w:val="22"/>
                            <w:szCs w:val="22"/>
                          </w:rPr>
                        </w:pPr>
                        <w:r w:rsidRPr="009D5B18">
                          <w:rPr>
                            <w:rFonts w:ascii="Times New Roman" w:hAnsi="Times New Roman"/>
                            <w:color w:val="000000"/>
                            <w:sz w:val="22"/>
                            <w:szCs w:val="22"/>
                          </w:rPr>
                          <w:t>informácie o zariadeniach na vykonávanie úloh uvedených v článku 43a.“.</w:t>
                        </w:r>
                      </w:p>
                    </w:tc>
                  </w:tr>
                </w:tbl>
                <w:p w:rsidR="00E621F4" w:rsidRPr="009D5B18" w:rsidP="00E621F4">
                  <w:pPr>
                    <w:bidi w:val="0"/>
                    <w:spacing w:before="0"/>
                    <w:jc w:val="left"/>
                    <w:rPr>
                      <w:rFonts w:ascii="Times New Roman" w:hAnsi="Times New Roman"/>
                      <w:color w:val="000000"/>
                      <w:sz w:val="22"/>
                      <w:szCs w:val="22"/>
                    </w:rPr>
                  </w:pPr>
                </w:p>
              </w:tc>
            </w:tr>
          </w:tbl>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N</w:t>
            </w: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P="00E621F4">
            <w:pPr>
              <w:autoSpaceDE w:val="0"/>
              <w:autoSpaceDN w:val="0"/>
              <w:bidi w:val="0"/>
              <w:spacing w:before="0"/>
              <w:jc w:val="center"/>
              <w:rPr>
                <w:rFonts w:ascii="Arial Narrow" w:hAnsi="Arial Narrow"/>
                <w:sz w:val="22"/>
                <w:szCs w:val="22"/>
              </w:rPr>
            </w:pPr>
          </w:p>
          <w:p w:rsidR="002A2757" w:rsidRPr="002153F7" w:rsidP="00E621F4">
            <w:pPr>
              <w:autoSpaceDE w:val="0"/>
              <w:autoSpaceDN w:val="0"/>
              <w:bidi w:val="0"/>
              <w:spacing w:before="0"/>
              <w:jc w:val="center"/>
              <w:rPr>
                <w:rFonts w:ascii="Arial Narrow" w:hAnsi="Arial Narrow"/>
                <w:sz w:val="22"/>
                <w:szCs w:val="22"/>
              </w:rPr>
            </w:pPr>
          </w:p>
        </w:tc>
        <w:tc>
          <w:tcPr>
            <w:tcW w:w="708" w:type="dxa"/>
            <w:tcBorders>
              <w:top w:val="single" w:sz="4" w:space="0" w:color="auto"/>
              <w:left w:val="nil"/>
              <w:bottom w:val="single" w:sz="4" w:space="0" w:color="auto"/>
              <w:right w:val="single" w:sz="4" w:space="0" w:color="auto"/>
            </w:tcBorders>
            <w:textDirection w:val="lrTb"/>
            <w:vAlign w:val="top"/>
          </w:tcPr>
          <w:p w:rsidR="000B3D14" w:rsidRPr="00796A51" w:rsidP="000B3D14">
            <w:pPr>
              <w:autoSpaceDE w:val="0"/>
              <w:autoSpaceDN w:val="0"/>
              <w:bidi w:val="0"/>
              <w:spacing w:before="0"/>
              <w:jc w:val="center"/>
              <w:rPr>
                <w:rFonts w:ascii="Arial Narrow" w:hAnsi="Arial Narrow"/>
                <w:b/>
                <w:color w:val="0070C0"/>
                <w:sz w:val="22"/>
                <w:szCs w:val="22"/>
              </w:rPr>
            </w:pPr>
            <w:r w:rsidRPr="00796A51">
              <w:rPr>
                <w:rFonts w:ascii="Arial Narrow" w:hAnsi="Arial Narrow"/>
                <w:sz w:val="22"/>
                <w:szCs w:val="22"/>
              </w:rPr>
              <w:t>203/2011</w:t>
            </w:r>
            <w:r w:rsidRPr="00796A51">
              <w:rPr>
                <w:rFonts w:ascii="Arial Narrow" w:hAnsi="Arial Narrow"/>
                <w:b/>
                <w:color w:val="0070C0"/>
                <w:sz w:val="22"/>
                <w:szCs w:val="22"/>
              </w:rPr>
              <w:t xml:space="preserve"> </w:t>
            </w:r>
            <w:r w:rsidRPr="00796A51">
              <w:rPr>
                <w:rFonts w:ascii="Arial Narrow" w:hAnsi="Arial Narrow"/>
                <w:sz w:val="22"/>
                <w:szCs w:val="22"/>
              </w:rPr>
              <w:t>a</w:t>
            </w:r>
            <w:r w:rsidRPr="00796A51">
              <w:rPr>
                <w:rFonts w:ascii="Arial Narrow" w:hAnsi="Arial Narrow"/>
                <w:b/>
                <w:color w:val="0070C0"/>
                <w:sz w:val="22"/>
                <w:szCs w:val="22"/>
              </w:rPr>
              <w:t xml:space="preserve"> Návrh zákona čl.I</w:t>
            </w:r>
          </w:p>
          <w:p w:rsidR="002A2757" w:rsidRPr="003B7AFF" w:rsidP="00E621F4">
            <w:pPr>
              <w:autoSpaceDE w:val="0"/>
              <w:autoSpaceDN w:val="0"/>
              <w:bidi w:val="0"/>
              <w:spacing w:before="0"/>
              <w:jc w:val="center"/>
              <w:rPr>
                <w:rFonts w:ascii="Times New Roman" w:hAnsi="Times New Roman"/>
                <w:b/>
                <w:color w:val="0070C0"/>
                <w:sz w:val="22"/>
                <w:szCs w:val="22"/>
              </w:rPr>
            </w:pPr>
          </w:p>
          <w:p w:rsidR="002A2757"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P="00E621F4">
            <w:pPr>
              <w:autoSpaceDE w:val="0"/>
              <w:autoSpaceDN w:val="0"/>
              <w:bidi w:val="0"/>
              <w:spacing w:before="0"/>
              <w:jc w:val="center"/>
              <w:rPr>
                <w:rFonts w:ascii="Times New Roman" w:hAnsi="Times New Roman"/>
                <w:b/>
                <w:color w:val="0070C0"/>
                <w:sz w:val="22"/>
                <w:szCs w:val="22"/>
              </w:rPr>
            </w:pPr>
          </w:p>
          <w:p w:rsidR="00796A51" w:rsidRPr="003B7AFF" w:rsidP="00E621F4">
            <w:pPr>
              <w:autoSpaceDE w:val="0"/>
              <w:autoSpaceDN w:val="0"/>
              <w:bidi w:val="0"/>
              <w:spacing w:before="0"/>
              <w:jc w:val="center"/>
              <w:rPr>
                <w:rFonts w:ascii="Times New Roman" w:hAnsi="Times New Roman"/>
                <w:b/>
                <w:color w:val="0070C0"/>
                <w:sz w:val="22"/>
                <w:szCs w:val="22"/>
              </w:rPr>
            </w:pPr>
          </w:p>
          <w:p w:rsidR="000B3D14" w:rsidRPr="00796A51" w:rsidP="000B3D14">
            <w:pPr>
              <w:autoSpaceDE w:val="0"/>
              <w:autoSpaceDN w:val="0"/>
              <w:bidi w:val="0"/>
              <w:spacing w:before="0"/>
              <w:jc w:val="center"/>
              <w:rPr>
                <w:rFonts w:ascii="Arial Narrow" w:hAnsi="Arial Narrow"/>
                <w:b/>
                <w:color w:val="0070C0"/>
                <w:sz w:val="22"/>
                <w:szCs w:val="22"/>
              </w:rPr>
            </w:pPr>
            <w:r w:rsidRPr="00796A51">
              <w:rPr>
                <w:rFonts w:ascii="Arial Narrow" w:hAnsi="Arial Narrow"/>
                <w:sz w:val="22"/>
                <w:szCs w:val="22"/>
              </w:rPr>
              <w:t>203/2011 a</w:t>
            </w:r>
            <w:r w:rsidRPr="00796A51">
              <w:rPr>
                <w:rFonts w:ascii="Arial Narrow" w:hAnsi="Arial Narrow"/>
                <w:b/>
                <w:color w:val="0070C0"/>
                <w:sz w:val="22"/>
                <w:szCs w:val="22"/>
              </w:rPr>
              <w:t xml:space="preserve"> Návrh zákona čl.I</w:t>
            </w:r>
          </w:p>
          <w:p w:rsidR="002A2757" w:rsidRPr="003B7AFF" w:rsidP="00E621F4">
            <w:pPr>
              <w:autoSpaceDE w:val="0"/>
              <w:autoSpaceDN w:val="0"/>
              <w:bidi w:val="0"/>
              <w:spacing w:before="0"/>
              <w:jc w:val="center"/>
              <w:rPr>
                <w:rFonts w:ascii="Times New Roman" w:hAnsi="Times New Roman"/>
                <w:b/>
                <w:color w:val="0070C0"/>
                <w:sz w:val="22"/>
                <w:szCs w:val="22"/>
              </w:rPr>
            </w:pPr>
          </w:p>
          <w:p w:rsidR="00E621F4" w:rsidRPr="003B7AFF" w:rsidP="000B3D14">
            <w:pPr>
              <w:autoSpaceDE w:val="0"/>
              <w:autoSpaceDN w:val="0"/>
              <w:bidi w:val="0"/>
              <w:spacing w:before="0"/>
              <w:jc w:val="center"/>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3B7AFF" w:rsidP="00E621F4">
            <w:pPr>
              <w:pStyle w:val="Normlny"/>
              <w:bidi w:val="0"/>
              <w:rPr>
                <w:rFonts w:ascii="Times New Roman" w:hAnsi="Times New Roman"/>
                <w:sz w:val="22"/>
                <w:szCs w:val="22"/>
              </w:rPr>
            </w:pPr>
            <w:r w:rsidRPr="003B7AFF">
              <w:rPr>
                <w:rFonts w:ascii="Times New Roman" w:hAnsi="Times New Roman"/>
                <w:sz w:val="22"/>
                <w:szCs w:val="22"/>
              </w:rPr>
              <w:t xml:space="preserve">§ </w:t>
            </w:r>
            <w:r w:rsidRPr="003B7AFF" w:rsidR="002A2757">
              <w:rPr>
                <w:rFonts w:ascii="Times New Roman" w:hAnsi="Times New Roman"/>
                <w:sz w:val="22"/>
                <w:szCs w:val="22"/>
              </w:rPr>
              <w:t>150</w:t>
            </w:r>
            <w:r w:rsidR="00A61517">
              <w:rPr>
                <w:rFonts w:ascii="Times New Roman" w:hAnsi="Times New Roman"/>
                <w:sz w:val="22"/>
                <w:szCs w:val="22"/>
              </w:rPr>
              <w:t>b</w:t>
            </w:r>
            <w:r w:rsidRPr="003B7AFF">
              <w:rPr>
                <w:rFonts w:ascii="Times New Roman" w:hAnsi="Times New Roman"/>
                <w:sz w:val="22"/>
                <w:szCs w:val="22"/>
              </w:rPr>
              <w:t xml:space="preserve"> ods. </w:t>
            </w:r>
            <w:r w:rsidR="00796A51">
              <w:rPr>
                <w:rFonts w:ascii="Times New Roman" w:hAnsi="Times New Roman"/>
                <w:sz w:val="22"/>
                <w:szCs w:val="22"/>
              </w:rPr>
              <w:t>1</w:t>
            </w:r>
            <w:r w:rsidRPr="003B7AFF" w:rsidR="002A2757">
              <w:rPr>
                <w:rFonts w:ascii="Times New Roman" w:hAnsi="Times New Roman"/>
                <w:sz w:val="22"/>
                <w:szCs w:val="22"/>
              </w:rPr>
              <w:t xml:space="preserve"> písm. h) a i)</w:t>
            </w:r>
          </w:p>
          <w:p w:rsidR="000B3D14" w:rsidRPr="003B7AFF"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0B3D14" w:rsidRPr="003B7AFF" w:rsidP="00E621F4">
            <w:pPr>
              <w:pStyle w:val="Normlny"/>
              <w:bidi w:val="0"/>
              <w:rPr>
                <w:rFonts w:ascii="Times New Roman" w:hAnsi="Times New Roman"/>
                <w:sz w:val="22"/>
                <w:szCs w:val="22"/>
              </w:rPr>
            </w:pPr>
            <w:r w:rsidRPr="00E937FC">
              <w:rPr>
                <w:rFonts w:ascii="Times New Roman" w:hAnsi="Times New Roman"/>
                <w:sz w:val="22"/>
                <w:szCs w:val="22"/>
              </w:rPr>
              <w:t>§ 150c</w:t>
            </w:r>
            <w:r w:rsidRPr="00E937FC" w:rsidR="00085854">
              <w:rPr>
                <w:rFonts w:ascii="Times New Roman" w:hAnsi="Times New Roman"/>
                <w:sz w:val="22"/>
                <w:szCs w:val="22"/>
              </w:rPr>
              <w:t xml:space="preserve"> ods.1</w:t>
            </w:r>
          </w:p>
          <w:p w:rsidR="000B3D14" w:rsidRPr="003B7AFF" w:rsidP="00E621F4">
            <w:pPr>
              <w:pStyle w:val="Normlny"/>
              <w:bidi w:val="0"/>
              <w:rPr>
                <w:rFonts w:ascii="Times New Roman" w:hAnsi="Times New Roman"/>
                <w:sz w:val="22"/>
                <w:szCs w:val="22"/>
              </w:rPr>
            </w:pPr>
          </w:p>
          <w:p w:rsidR="000B3D14" w:rsidRPr="003B7AFF" w:rsidP="00E621F4">
            <w:pPr>
              <w:pStyle w:val="Normlny"/>
              <w:bidi w:val="0"/>
              <w:rPr>
                <w:rFonts w:ascii="Times New Roman" w:hAnsi="Times New Roman"/>
                <w:sz w:val="22"/>
                <w:szCs w:val="22"/>
              </w:rPr>
            </w:pPr>
          </w:p>
          <w:p w:rsidR="00E621F4" w:rsidRPr="003B7AFF" w:rsidP="00E621F4">
            <w:pPr>
              <w:pStyle w:val="Normlny"/>
              <w:bidi w:val="0"/>
              <w:rPr>
                <w:rFonts w:ascii="Times New Roman" w:hAnsi="Times New Roman"/>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21F4" w:rsidRPr="00FC742B" w:rsidP="00E621F4">
            <w:pPr>
              <w:pStyle w:val="Normlny"/>
              <w:bidi w:val="0"/>
              <w:jc w:val="both"/>
              <w:rPr>
                <w:rFonts w:ascii="Times New Roman" w:hAnsi="Times New Roman"/>
                <w:sz w:val="24"/>
                <w:szCs w:val="24"/>
              </w:rPr>
            </w:pPr>
            <w:r w:rsidRPr="00FC742B" w:rsidR="00796A51">
              <w:rPr>
                <w:rFonts w:ascii="Times New Roman" w:hAnsi="Times New Roman"/>
                <w:sz w:val="24"/>
                <w:szCs w:val="24"/>
                <w:shd w:val="clear" w:color="auto" w:fill="FFFFFF"/>
              </w:rPr>
              <w:t>Správcovská spoločnosť s povolením podľa </w:t>
            </w:r>
            <w:hyperlink r:id="rId7" w:anchor="paragraf-28a" w:tooltip="Odkaz na predpis alebo ustanovenie" w:history="1">
              <w:r w:rsidRPr="00FC742B" w:rsidR="00796A51">
                <w:rPr>
                  <w:rStyle w:val="Hyperlink"/>
                  <w:rFonts w:ascii="Times New Roman" w:hAnsi="Times New Roman"/>
                  <w:iCs/>
                  <w:color w:val="auto"/>
                  <w:sz w:val="24"/>
                  <w:szCs w:val="24"/>
                  <w:u w:val="none"/>
                  <w:effect w:val="none"/>
                  <w:shd w:val="clear" w:color="auto" w:fill="FFFFFF"/>
                </w:rPr>
                <w:t>§ 28a</w:t>
              </w:r>
            </w:hyperlink>
            <w:r w:rsidRPr="00FC742B" w:rsidR="00796A51">
              <w:rPr>
                <w:rFonts w:ascii="Times New Roman" w:hAnsi="Times New Roman"/>
                <w:sz w:val="24"/>
                <w:szCs w:val="24"/>
                <w:shd w:val="clear" w:color="auto" w:fill="FFFFFF"/>
              </w:rPr>
              <w:t>, ktorá sa rozhodla distribuovať cenné papiere alebo majetkové účasti ňou spravovaného alternatívneho investičného fondu alebo európskeho alternatívneho investičného fondu na území Slovenskej republiky, je povinná pred začatím tejto činnosti oznámiť svoj zámer Národnej banke Slovenska, pričom v oznámení sa uvedie</w:t>
            </w:r>
          </w:p>
          <w:p w:rsidR="007D53D7" w:rsidRPr="00225CF4" w:rsidP="007D53D7">
            <w:pPr>
              <w:shd w:val="clear" w:color="auto" w:fill="FFFFFF"/>
              <w:bidi w:val="0"/>
              <w:ind w:left="139" w:hanging="41"/>
              <w:rPr>
                <w:rFonts w:ascii="Times New Roman" w:hAnsi="Times New Roman"/>
                <w:i/>
                <w:iCs/>
                <w:color w:val="0070C0"/>
              </w:rPr>
            </w:pPr>
            <w:r w:rsidRPr="00225CF4" w:rsidR="002A2757">
              <w:rPr>
                <w:rFonts w:ascii="Times New Roman" w:hAnsi="Times New Roman"/>
                <w:color w:val="0070C0"/>
              </w:rPr>
              <w:t xml:space="preserve">h) </w:t>
            </w:r>
            <w:r w:rsidRPr="00225CF4">
              <w:rPr>
                <w:rFonts w:ascii="Times New Roman" w:hAnsi="Times New Roman"/>
                <w:color w:val="0070C0"/>
              </w:rPr>
              <w:t>údaje vrátane adresy, ktoré sú potrebné na fakturáciu alebo na oznamovanie akýchkoľvek poplatkov za úkony Národnej banky Slovenska,</w:t>
            </w:r>
          </w:p>
          <w:p w:rsidR="002A2757" w:rsidRPr="00225CF4" w:rsidP="007D53D7">
            <w:pPr>
              <w:pStyle w:val="Normlny"/>
              <w:bidi w:val="0"/>
              <w:ind w:left="262" w:hanging="262"/>
              <w:jc w:val="both"/>
              <w:rPr>
                <w:rFonts w:ascii="Times New Roman" w:hAnsi="Times New Roman"/>
                <w:color w:val="0070C0"/>
                <w:sz w:val="24"/>
                <w:szCs w:val="24"/>
              </w:rPr>
            </w:pPr>
            <w:r w:rsidRPr="00225CF4" w:rsidR="007D53D7">
              <w:rPr>
                <w:rFonts w:ascii="Times New Roman" w:hAnsi="Times New Roman"/>
                <w:color w:val="0070C0"/>
                <w:sz w:val="24"/>
                <w:szCs w:val="24"/>
                <w:lang w:eastAsia="sk-SK"/>
              </w:rPr>
              <w:t xml:space="preserve">  i) informácie o opatreniach na vykonávanie činností uvedených v § 150</w:t>
            </w:r>
            <w:r w:rsidRPr="00225CF4">
              <w:rPr>
                <w:rFonts w:ascii="Times New Roman" w:hAnsi="Times New Roman"/>
                <w:color w:val="0070C0"/>
                <w:sz w:val="24"/>
                <w:szCs w:val="24"/>
                <w:lang w:eastAsia="sk-SK"/>
              </w:rPr>
              <w:t>.</w:t>
            </w:r>
          </w:p>
          <w:p w:rsidR="002A2757" w:rsidRPr="007B6307" w:rsidP="00E621F4">
            <w:pPr>
              <w:pStyle w:val="Normlny"/>
              <w:bidi w:val="0"/>
              <w:jc w:val="both"/>
              <w:rPr>
                <w:rFonts w:ascii="Times New Roman" w:hAnsi="Times New Roman"/>
                <w:sz w:val="22"/>
                <w:szCs w:val="22"/>
              </w:rPr>
            </w:pPr>
          </w:p>
          <w:p w:rsidR="009A0D1E" w:rsidRPr="00FC742B" w:rsidP="00796A51">
            <w:pPr>
              <w:pStyle w:val="Normlny"/>
              <w:bidi w:val="0"/>
              <w:jc w:val="both"/>
              <w:rPr>
                <w:rFonts w:ascii="Times New Roman" w:hAnsi="Times New Roman"/>
                <w:sz w:val="24"/>
                <w:szCs w:val="24"/>
              </w:rPr>
            </w:pPr>
            <w:r w:rsidRPr="00FC742B" w:rsidR="00B1183A">
              <w:rPr>
                <w:rFonts w:ascii="Times New Roman" w:hAnsi="Times New Roman"/>
                <w:sz w:val="24"/>
                <w:szCs w:val="24"/>
              </w:rPr>
              <w:t xml:space="preserve">Správcovská spoločnosť s povolením podľa </w:t>
            </w:r>
            <w:hyperlink r:id="rId5" w:anchor="paragraf-28a" w:tooltip="Odkaz na predpis alebo ustanovenie" w:history="1">
              <w:r w:rsidRPr="00FC742B" w:rsidR="00B1183A">
                <w:rPr>
                  <w:rFonts w:ascii="Times New Roman" w:hAnsi="Times New Roman"/>
                  <w:bCs/>
                  <w:sz w:val="24"/>
                  <w:szCs w:val="24"/>
                </w:rPr>
                <w:t>§ 28a</w:t>
              </w:r>
            </w:hyperlink>
            <w:r w:rsidRPr="00FC742B" w:rsidR="00B1183A">
              <w:rPr>
                <w:rFonts w:ascii="Times New Roman" w:hAnsi="Times New Roman"/>
                <w:sz w:val="24"/>
                <w:szCs w:val="24"/>
              </w:rPr>
              <w:t xml:space="preserve">, ktorá sa rozhodla distribuovať cenné papiere alebo majetkové účasti ňou spravovaného alternatívneho investičného fondu alebo európskeho alternatívneho investičného fondu na území iného členského štátu, je povinná pred začatím tejto činnosti oznámiť svoj zámer Národnej banke Slovenska, pričom v oznámení sa uvedú informácie a dokumenty podľa </w:t>
            </w:r>
            <w:hyperlink r:id="rId5" w:anchor="paragraf-150b.odsek-1.pismeno-a" w:tooltip="Odkaz na predpis alebo ustanovenie" w:history="1">
              <w:r w:rsidRPr="00FC742B" w:rsidR="00B1183A">
                <w:rPr>
                  <w:rFonts w:ascii="Times New Roman" w:hAnsi="Times New Roman"/>
                  <w:bCs/>
                  <w:sz w:val="24"/>
                  <w:szCs w:val="24"/>
                </w:rPr>
                <w:t xml:space="preserve">§ 150b ods. 1 písm. a) až </w:t>
              </w:r>
            </w:hyperlink>
            <w:r w:rsidRPr="00FC742B" w:rsidR="00B1183A">
              <w:rPr>
                <w:rFonts w:ascii="Times New Roman" w:hAnsi="Times New Roman"/>
                <w:color w:val="0070C0"/>
                <w:sz w:val="24"/>
                <w:szCs w:val="24"/>
                <w:lang w:eastAsia="ar-SA"/>
              </w:rPr>
              <w:t>i)</w:t>
            </w:r>
            <w:r w:rsidRPr="00FC742B" w:rsidR="00B1183A">
              <w:rPr>
                <w:rFonts w:ascii="Times New Roman" w:hAnsi="Times New Roman"/>
                <w:sz w:val="24"/>
                <w:szCs w:val="24"/>
              </w:rPr>
              <w:t xml:space="preserve"> a informácie o spôsoboch distribúcie cenných papierov alebo majetkových účastí alternatívneho investičného fondu alebo európskeho alternatívneho investičného fondu, a ak ide o alternatívny investičný fond alebo európsky alternatívny investičný fond, ktorého cenné papiere alebo majetkové účasti nemožno v hostiteľskom členskom štáte správcovskej spoločnosti distribuovať neprofesionálnym investorom, informácie o mechanizmoch vytvorených s cieľom zabrániť, aby boli cenné papiere alebo majetkové účasti tohto fondu distribuované neprofesionálnym investorom v príslušnom členskom štáte; to platí, aj ak správcovská spoločnosť v súvislosti s týmto fondom využíva pri distribúcii alebo poskytovaní investičných služieb iné osoby.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3</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pStyle w:val="sti-art"/>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Transpozícia</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1.   Do 2. augusta 2021, členské štáty prijmú a uverejnia vnútroštátne zákony, iné právne predpisy a správne opatrenia potrebné na dosiahnutie súladu s touto smernicou. Bezodkladne o tom informujú Komisiu.</w:t>
            </w:r>
          </w:p>
          <w:p w:rsidR="00E621F4"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Tieto ustanovenia sa uplatňujú od 2. augusta 2021.</w:t>
            </w:r>
          </w:p>
          <w:p w:rsidR="00796A51" w:rsidRPr="009D5B18" w:rsidP="00E621F4">
            <w:pPr>
              <w:shd w:val="clear" w:color="auto" w:fill="FFFFFF"/>
              <w:bidi w:val="0"/>
              <w:rPr>
                <w:rFonts w:ascii="Times New Roman" w:hAnsi="Times New Roman"/>
                <w:color w:val="000000"/>
                <w:sz w:val="22"/>
                <w:szCs w:val="22"/>
              </w:rPr>
            </w:pPr>
          </w:p>
          <w:p w:rsidR="00796A51" w:rsidP="00E621F4">
            <w:pPr>
              <w:shd w:val="clear" w:color="auto" w:fill="FFFFFF"/>
              <w:bidi w:val="0"/>
              <w:rPr>
                <w:rFonts w:ascii="Times New Roman" w:hAnsi="Times New Roman"/>
                <w:color w:val="000000"/>
                <w:sz w:val="22"/>
                <w:szCs w:val="22"/>
              </w:rPr>
            </w:pPr>
          </w:p>
          <w:p w:rsidR="00E621F4"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Členské štáty uvedú priamo v prijatých ustanoveniach alebo pri ich úradnom uverejnení odkaz na túto smernicu. Podrobnosti o odkaze upravia členské štáty.</w:t>
            </w:r>
          </w:p>
          <w:p w:rsidR="00DE2DB9" w:rsidP="00E621F4">
            <w:pPr>
              <w:shd w:val="clear" w:color="auto" w:fill="FFFFFF"/>
              <w:bidi w:val="0"/>
              <w:rPr>
                <w:rFonts w:ascii="Times New Roman" w:hAnsi="Times New Roman"/>
                <w:color w:val="000000"/>
                <w:sz w:val="22"/>
                <w:szCs w:val="22"/>
              </w:rPr>
            </w:pPr>
          </w:p>
          <w:p w:rsidR="00AA227A" w:rsidP="00E621F4">
            <w:pPr>
              <w:shd w:val="clear" w:color="auto" w:fill="FFFFFF"/>
              <w:bidi w:val="0"/>
              <w:rPr>
                <w:rFonts w:ascii="Times New Roman" w:hAnsi="Times New Roman"/>
                <w:color w:val="000000"/>
                <w:sz w:val="22"/>
                <w:szCs w:val="22"/>
              </w:rPr>
            </w:pPr>
          </w:p>
          <w:p w:rsidR="00AA227A" w:rsidRPr="009D5B18" w:rsidP="00E621F4">
            <w:pPr>
              <w:shd w:val="clear" w:color="auto" w:fill="FFFFFF"/>
              <w:bidi w:val="0"/>
              <w:rPr>
                <w:rFonts w:ascii="Times New Roman" w:hAnsi="Times New Roman"/>
                <w:color w:val="000000"/>
                <w:sz w:val="22"/>
                <w:szCs w:val="22"/>
              </w:rPr>
            </w:pP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2.   Členské štáty oznámia Komisii znenie hlavných ustanovení vnútroštátneho práva, ktoré prijmú v oblasti pôsobnosti tejto smernice.</w:t>
            </w: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w:t>
            </w:r>
          </w:p>
        </w:tc>
        <w:tc>
          <w:tcPr>
            <w:tcW w:w="708" w:type="dxa"/>
            <w:tcBorders>
              <w:top w:val="single" w:sz="4" w:space="0" w:color="auto"/>
              <w:left w:val="nil"/>
              <w:bottom w:val="single" w:sz="4" w:space="0" w:color="auto"/>
              <w:right w:val="single" w:sz="4" w:space="0" w:color="auto"/>
            </w:tcBorders>
            <w:textDirection w:val="lrTb"/>
            <w:vAlign w:val="top"/>
          </w:tcPr>
          <w:p w:rsidR="00796A51" w:rsidP="00E621F4">
            <w:pPr>
              <w:autoSpaceDE w:val="0"/>
              <w:autoSpaceDN w:val="0"/>
              <w:bidi w:val="0"/>
              <w:spacing w:before="0"/>
              <w:jc w:val="center"/>
              <w:rPr>
                <w:rFonts w:ascii="Times New Roman" w:hAnsi="Times New Roman"/>
                <w:b/>
                <w:color w:val="0070C0"/>
                <w:sz w:val="22"/>
                <w:szCs w:val="22"/>
              </w:rPr>
            </w:pPr>
          </w:p>
          <w:p w:rsidR="00E621F4" w:rsidRPr="003B7AFF" w:rsidP="00E621F4">
            <w:pPr>
              <w:autoSpaceDE w:val="0"/>
              <w:autoSpaceDN w:val="0"/>
              <w:bidi w:val="0"/>
              <w:spacing w:before="0"/>
              <w:jc w:val="center"/>
              <w:rPr>
                <w:rFonts w:ascii="Times New Roman" w:hAnsi="Times New Roman"/>
                <w:b/>
                <w:color w:val="0070C0"/>
                <w:sz w:val="22"/>
                <w:szCs w:val="22"/>
              </w:rPr>
            </w:pPr>
            <w:r w:rsidRPr="003B7AFF">
              <w:rPr>
                <w:rFonts w:ascii="Times New Roman" w:hAnsi="Times New Roman"/>
                <w:b/>
                <w:color w:val="0070C0"/>
                <w:sz w:val="22"/>
                <w:szCs w:val="22"/>
              </w:rPr>
              <w:t>Návrh zákona čl.</w:t>
            </w:r>
            <w:r w:rsidRPr="003B7AFF" w:rsidR="000B3D14">
              <w:rPr>
                <w:rFonts w:ascii="Times New Roman" w:hAnsi="Times New Roman"/>
                <w:b/>
                <w:color w:val="0070C0"/>
                <w:sz w:val="22"/>
                <w:szCs w:val="22"/>
              </w:rPr>
              <w:t>I</w:t>
            </w:r>
            <w:r w:rsidRPr="003B7AFF">
              <w:rPr>
                <w:rFonts w:ascii="Times New Roman" w:hAnsi="Times New Roman"/>
                <w:b/>
                <w:color w:val="0070C0"/>
                <w:sz w:val="22"/>
                <w:szCs w:val="22"/>
              </w:rPr>
              <w:t>I</w:t>
            </w:r>
          </w:p>
          <w:p w:rsidR="00DE2DB9" w:rsidRPr="003B7AFF" w:rsidP="00E621F4">
            <w:pPr>
              <w:autoSpaceDE w:val="0"/>
              <w:autoSpaceDN w:val="0"/>
              <w:bidi w:val="0"/>
              <w:spacing w:before="0"/>
              <w:jc w:val="center"/>
              <w:rPr>
                <w:rFonts w:ascii="Times New Roman" w:hAnsi="Times New Roman"/>
                <w:b/>
                <w:sz w:val="22"/>
                <w:szCs w:val="22"/>
              </w:rPr>
            </w:pPr>
          </w:p>
          <w:p w:rsidR="00DE2DB9" w:rsidRPr="00E937FC" w:rsidP="00796A51">
            <w:pPr>
              <w:autoSpaceDE w:val="0"/>
              <w:autoSpaceDN w:val="0"/>
              <w:bidi w:val="0"/>
              <w:spacing w:before="0"/>
              <w:rPr>
                <w:rFonts w:ascii="Times New Roman" w:hAnsi="Times New Roman"/>
                <w:sz w:val="22"/>
                <w:szCs w:val="22"/>
              </w:rPr>
            </w:pPr>
            <w:r w:rsidRPr="003B7AFF">
              <w:rPr>
                <w:rFonts w:ascii="Times New Roman" w:hAnsi="Times New Roman"/>
                <w:sz w:val="22"/>
                <w:szCs w:val="22"/>
              </w:rPr>
              <w:t>203/</w:t>
            </w:r>
            <w:r w:rsidR="00085854">
              <w:rPr>
                <w:rFonts w:ascii="Times New Roman" w:hAnsi="Times New Roman"/>
                <w:sz w:val="22"/>
                <w:szCs w:val="22"/>
              </w:rPr>
              <w:t xml:space="preserve"> </w:t>
            </w:r>
            <w:r w:rsidRPr="00E937FC">
              <w:rPr>
                <w:rFonts w:ascii="Times New Roman" w:hAnsi="Times New Roman"/>
                <w:sz w:val="22"/>
                <w:szCs w:val="22"/>
              </w:rPr>
              <w:t xml:space="preserve">2011 </w:t>
            </w:r>
          </w:p>
          <w:p w:rsidR="00796A51" w:rsidP="00796A51">
            <w:pPr>
              <w:autoSpaceDE w:val="0"/>
              <w:autoSpaceDN w:val="0"/>
              <w:bidi w:val="0"/>
              <w:spacing w:before="0"/>
              <w:rPr>
                <w:rFonts w:ascii="Times New Roman" w:hAnsi="Times New Roman"/>
                <w:sz w:val="22"/>
                <w:szCs w:val="22"/>
              </w:rPr>
            </w:pPr>
          </w:p>
          <w:p w:rsidR="00AE3AEA" w:rsidRPr="00E937FC" w:rsidP="00796A51">
            <w:pPr>
              <w:autoSpaceDE w:val="0"/>
              <w:autoSpaceDN w:val="0"/>
              <w:bidi w:val="0"/>
              <w:spacing w:before="0"/>
              <w:rPr>
                <w:rFonts w:ascii="Times New Roman" w:hAnsi="Times New Roman"/>
                <w:sz w:val="22"/>
                <w:szCs w:val="22"/>
              </w:rPr>
            </w:pPr>
          </w:p>
          <w:p w:rsidR="00796A51" w:rsidRPr="00E937FC" w:rsidP="00AA227A">
            <w:pPr>
              <w:autoSpaceDE w:val="0"/>
              <w:autoSpaceDN w:val="0"/>
              <w:bidi w:val="0"/>
              <w:spacing w:before="0"/>
              <w:jc w:val="center"/>
              <w:rPr>
                <w:rFonts w:ascii="Times New Roman" w:hAnsi="Times New Roman"/>
                <w:b/>
                <w:sz w:val="22"/>
                <w:szCs w:val="22"/>
              </w:rPr>
            </w:pPr>
            <w:r w:rsidRPr="00E937FC">
              <w:rPr>
                <w:rFonts w:ascii="Arial Narrow" w:hAnsi="Arial Narrow"/>
                <w:sz w:val="22"/>
                <w:szCs w:val="22"/>
              </w:rPr>
              <w:t>203/</w:t>
            </w:r>
            <w:r w:rsidRPr="00E937FC" w:rsidR="00085854">
              <w:rPr>
                <w:rFonts w:ascii="Arial Narrow" w:hAnsi="Arial Narrow"/>
                <w:sz w:val="22"/>
                <w:szCs w:val="22"/>
              </w:rPr>
              <w:t xml:space="preserve"> </w:t>
            </w:r>
            <w:r w:rsidRPr="00E937FC">
              <w:rPr>
                <w:rFonts w:ascii="Arial Narrow" w:hAnsi="Arial Narrow"/>
                <w:sz w:val="22"/>
                <w:szCs w:val="22"/>
              </w:rPr>
              <w:t>2011 a</w:t>
            </w:r>
            <w:r w:rsidRPr="00E937FC">
              <w:rPr>
                <w:rFonts w:ascii="Arial Narrow" w:hAnsi="Arial Narrow"/>
                <w:b/>
                <w:color w:val="0070C0"/>
                <w:sz w:val="22"/>
                <w:szCs w:val="22"/>
              </w:rPr>
              <w:t xml:space="preserve"> Návrh zákona čl.I</w:t>
            </w:r>
          </w:p>
          <w:p w:rsidR="00AA227A" w:rsidRPr="00E937FC" w:rsidP="00796A51">
            <w:pPr>
              <w:autoSpaceDE w:val="0"/>
              <w:autoSpaceDN w:val="0"/>
              <w:bidi w:val="0"/>
              <w:spacing w:before="0"/>
              <w:rPr>
                <w:rFonts w:ascii="Times New Roman" w:hAnsi="Times New Roman"/>
                <w:b/>
                <w:sz w:val="22"/>
                <w:szCs w:val="22"/>
              </w:rPr>
            </w:pPr>
          </w:p>
          <w:p w:rsidR="00AA227A" w:rsidRPr="00E937FC" w:rsidP="00796A51">
            <w:pPr>
              <w:autoSpaceDE w:val="0"/>
              <w:autoSpaceDN w:val="0"/>
              <w:bidi w:val="0"/>
              <w:spacing w:before="0"/>
              <w:rPr>
                <w:rFonts w:ascii="Times New Roman" w:hAnsi="Times New Roman"/>
                <w:b/>
                <w:sz w:val="22"/>
                <w:szCs w:val="22"/>
              </w:rPr>
            </w:pPr>
          </w:p>
          <w:p w:rsidR="00AA227A" w:rsidRPr="00E937FC" w:rsidP="00796A51">
            <w:pPr>
              <w:autoSpaceDE w:val="0"/>
              <w:autoSpaceDN w:val="0"/>
              <w:bidi w:val="0"/>
              <w:spacing w:before="0"/>
              <w:rPr>
                <w:rFonts w:ascii="Times New Roman" w:hAnsi="Times New Roman"/>
                <w:b/>
                <w:sz w:val="22"/>
                <w:szCs w:val="22"/>
              </w:rPr>
            </w:pPr>
          </w:p>
          <w:p w:rsidR="00CF0B93" w:rsidRPr="00845C69" w:rsidP="00CF0B93">
            <w:pPr>
              <w:bidi w:val="0"/>
              <w:jc w:val="center"/>
              <w:rPr>
                <w:rFonts w:ascii="Times New Roman" w:hAnsi="Times New Roman"/>
                <w:sz w:val="20"/>
                <w:szCs w:val="20"/>
              </w:rPr>
            </w:pPr>
            <w:r w:rsidRPr="00E937FC">
              <w:rPr>
                <w:rFonts w:ascii="Times New Roman" w:hAnsi="Times New Roman"/>
                <w:sz w:val="20"/>
                <w:szCs w:val="20"/>
              </w:rPr>
              <w:t>575/ 2001</w:t>
            </w:r>
          </w:p>
          <w:p w:rsidR="00CF0B93" w:rsidP="00796A51">
            <w:pPr>
              <w:autoSpaceDE w:val="0"/>
              <w:autoSpaceDN w:val="0"/>
              <w:bidi w:val="0"/>
              <w:spacing w:before="0"/>
              <w:rPr>
                <w:rFonts w:ascii="Times New Roman" w:hAnsi="Times New Roman"/>
                <w:b/>
                <w:sz w:val="22"/>
                <w:szCs w:val="22"/>
              </w:rPr>
            </w:pPr>
          </w:p>
          <w:p w:rsidR="00AA227A" w:rsidRPr="003B7AFF" w:rsidP="00796A51">
            <w:pPr>
              <w:autoSpaceDE w:val="0"/>
              <w:autoSpaceDN w:val="0"/>
              <w:bidi w:val="0"/>
              <w:spacing w:before="0"/>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796A51" w:rsidRPr="00E937FC" w:rsidP="00E621F4">
            <w:pPr>
              <w:pStyle w:val="Normlny"/>
              <w:bidi w:val="0"/>
              <w:rPr>
                <w:rFonts w:ascii="Times New Roman" w:hAnsi="Times New Roman"/>
                <w:sz w:val="22"/>
                <w:szCs w:val="22"/>
              </w:rPr>
            </w:pPr>
            <w:r w:rsidRPr="00E937FC">
              <w:rPr>
                <w:rFonts w:ascii="Times New Roman" w:hAnsi="Times New Roman"/>
                <w:sz w:val="22"/>
                <w:szCs w:val="22"/>
              </w:rPr>
              <w:t>§ 212</w:t>
            </w:r>
          </w:p>
          <w:p w:rsidR="00796A51" w:rsidRPr="00E937FC" w:rsidP="00E621F4">
            <w:pPr>
              <w:pStyle w:val="Normlny"/>
              <w:bidi w:val="0"/>
              <w:rPr>
                <w:rFonts w:ascii="Times New Roman" w:hAnsi="Times New Roman"/>
                <w:sz w:val="22"/>
                <w:szCs w:val="22"/>
              </w:rPr>
            </w:pPr>
          </w:p>
          <w:p w:rsidR="00796A51" w:rsidP="00E621F4">
            <w:pPr>
              <w:pStyle w:val="Normlny"/>
              <w:bidi w:val="0"/>
              <w:rPr>
                <w:rFonts w:ascii="Times New Roman" w:hAnsi="Times New Roman"/>
                <w:sz w:val="22"/>
                <w:szCs w:val="22"/>
              </w:rPr>
            </w:pPr>
          </w:p>
          <w:p w:rsidR="00AE3AEA" w:rsidRPr="00E937FC" w:rsidP="00E621F4">
            <w:pPr>
              <w:pStyle w:val="Normlny"/>
              <w:bidi w:val="0"/>
              <w:rPr>
                <w:rFonts w:ascii="Times New Roman" w:hAnsi="Times New Roman"/>
                <w:sz w:val="22"/>
                <w:szCs w:val="22"/>
              </w:rPr>
            </w:pPr>
          </w:p>
          <w:p w:rsidR="00796A51" w:rsidRPr="00E937FC" w:rsidP="00796A51">
            <w:pPr>
              <w:autoSpaceDE w:val="0"/>
              <w:autoSpaceDN w:val="0"/>
              <w:bidi w:val="0"/>
              <w:spacing w:before="0"/>
              <w:rPr>
                <w:rFonts w:ascii="Times New Roman" w:hAnsi="Times New Roman"/>
                <w:sz w:val="22"/>
                <w:szCs w:val="22"/>
              </w:rPr>
            </w:pPr>
            <w:r w:rsidRPr="00E937FC">
              <w:rPr>
                <w:rFonts w:ascii="Times New Roman" w:hAnsi="Times New Roman"/>
                <w:sz w:val="22"/>
                <w:szCs w:val="22"/>
              </w:rPr>
              <w:t>Príloha č. 1</w:t>
            </w:r>
          </w:p>
          <w:p w:rsidR="00796A51" w:rsidRPr="00E937FC" w:rsidP="00796A51">
            <w:pPr>
              <w:autoSpaceDE w:val="0"/>
              <w:autoSpaceDN w:val="0"/>
              <w:bidi w:val="0"/>
              <w:spacing w:before="0"/>
              <w:jc w:val="center"/>
              <w:rPr>
                <w:rFonts w:ascii="Times New Roman" w:hAnsi="Times New Roman"/>
                <w:color w:val="0070C0"/>
                <w:sz w:val="22"/>
                <w:szCs w:val="22"/>
              </w:rPr>
            </w:pPr>
            <w:r w:rsidRPr="007D53D7">
              <w:rPr>
                <w:rFonts w:ascii="Times New Roman" w:hAnsi="Times New Roman"/>
                <w:color w:val="0070C0"/>
                <w:sz w:val="22"/>
                <w:szCs w:val="22"/>
              </w:rPr>
              <w:t>Bod</w:t>
            </w:r>
            <w:r w:rsidRPr="00E937FC">
              <w:rPr>
                <w:rFonts w:ascii="Times New Roman" w:hAnsi="Times New Roman"/>
                <w:sz w:val="22"/>
                <w:szCs w:val="22"/>
              </w:rPr>
              <w:t xml:space="preserve"> </w:t>
            </w:r>
            <w:r w:rsidRPr="00E937FC">
              <w:rPr>
                <w:rFonts w:ascii="Times New Roman" w:hAnsi="Times New Roman"/>
                <w:color w:val="0070C0"/>
                <w:sz w:val="22"/>
                <w:szCs w:val="22"/>
              </w:rPr>
              <w:t>11</w:t>
            </w:r>
          </w:p>
          <w:p w:rsidR="00CF0B93" w:rsidRPr="00E937FC" w:rsidP="00796A51">
            <w:pPr>
              <w:autoSpaceDE w:val="0"/>
              <w:autoSpaceDN w:val="0"/>
              <w:bidi w:val="0"/>
              <w:spacing w:before="0"/>
              <w:jc w:val="center"/>
              <w:rPr>
                <w:rFonts w:ascii="Times New Roman" w:hAnsi="Times New Roman"/>
                <w:color w:val="0070C0"/>
                <w:sz w:val="22"/>
                <w:szCs w:val="22"/>
              </w:rPr>
            </w:pPr>
          </w:p>
          <w:p w:rsidR="00CF0B93" w:rsidRPr="00E937FC" w:rsidP="00796A51">
            <w:pPr>
              <w:autoSpaceDE w:val="0"/>
              <w:autoSpaceDN w:val="0"/>
              <w:bidi w:val="0"/>
              <w:spacing w:before="0"/>
              <w:jc w:val="center"/>
              <w:rPr>
                <w:rFonts w:ascii="Times New Roman" w:hAnsi="Times New Roman"/>
                <w:color w:val="0070C0"/>
                <w:sz w:val="22"/>
                <w:szCs w:val="22"/>
              </w:rPr>
            </w:pPr>
          </w:p>
          <w:p w:rsidR="00CF0B93" w:rsidRPr="00E937FC" w:rsidP="00796A51">
            <w:pPr>
              <w:autoSpaceDE w:val="0"/>
              <w:autoSpaceDN w:val="0"/>
              <w:bidi w:val="0"/>
              <w:spacing w:before="0"/>
              <w:jc w:val="center"/>
              <w:rPr>
                <w:rFonts w:ascii="Times New Roman" w:hAnsi="Times New Roman"/>
                <w:color w:val="0070C0"/>
                <w:sz w:val="22"/>
                <w:szCs w:val="22"/>
              </w:rPr>
            </w:pPr>
          </w:p>
          <w:p w:rsidR="00CF0B93" w:rsidRPr="00E937FC" w:rsidP="00796A51">
            <w:pPr>
              <w:autoSpaceDE w:val="0"/>
              <w:autoSpaceDN w:val="0"/>
              <w:bidi w:val="0"/>
              <w:spacing w:before="0"/>
              <w:jc w:val="center"/>
              <w:rPr>
                <w:rFonts w:ascii="Times New Roman" w:hAnsi="Times New Roman"/>
                <w:color w:val="0070C0"/>
                <w:sz w:val="22"/>
                <w:szCs w:val="22"/>
              </w:rPr>
            </w:pPr>
          </w:p>
          <w:p w:rsidR="00CF0B93" w:rsidRPr="00CF0B93" w:rsidP="00796A51">
            <w:pPr>
              <w:autoSpaceDE w:val="0"/>
              <w:autoSpaceDN w:val="0"/>
              <w:bidi w:val="0"/>
              <w:spacing w:before="0"/>
              <w:jc w:val="center"/>
              <w:rPr>
                <w:rFonts w:ascii="Times New Roman" w:hAnsi="Times New Roman"/>
                <w:sz w:val="22"/>
                <w:szCs w:val="22"/>
              </w:rPr>
            </w:pPr>
            <w:r w:rsidRPr="00E937FC">
              <w:rPr>
                <w:rFonts w:ascii="Times New Roman" w:hAnsi="Times New Roman"/>
                <w:sz w:val="22"/>
                <w:szCs w:val="22"/>
              </w:rPr>
              <w:t>§ 35 ods.7</w:t>
            </w:r>
          </w:p>
          <w:p w:rsidR="00796A51" w:rsidP="00E621F4">
            <w:pPr>
              <w:pStyle w:val="Normlny"/>
              <w:bidi w:val="0"/>
              <w:rPr>
                <w:rFonts w:ascii="Times New Roman" w:hAnsi="Times New Roman"/>
                <w:sz w:val="22"/>
                <w:szCs w:val="22"/>
              </w:rPr>
            </w:pPr>
          </w:p>
          <w:p w:rsidR="00796A51" w:rsidRPr="003B7AFF" w:rsidP="00E621F4">
            <w:pPr>
              <w:pStyle w:val="Normlny"/>
              <w:bidi w:val="0"/>
              <w:rPr>
                <w:rFonts w:ascii="Times New Roman" w:hAnsi="Times New Roman"/>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23207" w:rsidP="00E621F4">
            <w:pPr>
              <w:autoSpaceDE w:val="0"/>
              <w:autoSpaceDN w:val="0"/>
              <w:bidi w:val="0"/>
              <w:spacing w:before="0"/>
              <w:rPr>
                <w:rFonts w:ascii="Times New Roman" w:hAnsi="Times New Roman"/>
                <w:color w:val="0070C0"/>
                <w:sz w:val="22"/>
                <w:szCs w:val="22"/>
              </w:rPr>
            </w:pPr>
          </w:p>
          <w:p w:rsidR="002A2757" w:rsidRPr="007B6307" w:rsidP="00225CF4">
            <w:pPr>
              <w:bidi w:val="0"/>
              <w:ind w:hanging="43"/>
              <w:rPr>
                <w:rFonts w:ascii="Times New Roman" w:hAnsi="Times New Roman"/>
                <w:b/>
                <w:color w:val="00B0F0"/>
                <w:sz w:val="22"/>
                <w:szCs w:val="22"/>
                <w:highlight w:val="yellow"/>
              </w:rPr>
            </w:pPr>
            <w:r w:rsidRPr="00225CF4" w:rsidR="00225CF4">
              <w:rPr>
                <w:rFonts w:ascii="Times New Roman" w:hAnsi="Times New Roman"/>
                <w:color w:val="0070C0"/>
              </w:rPr>
              <w:t xml:space="preserve">Tento zákon nadobúda účinnosť  26. júna 2021 okrem </w:t>
            </w:r>
            <w:r w:rsidR="002C503A">
              <w:rPr>
                <w:rFonts w:ascii="Times New Roman" w:hAnsi="Times New Roman"/>
                <w:color w:val="0070C0"/>
              </w:rPr>
              <w:t>č</w:t>
            </w:r>
            <w:r w:rsidRPr="00225CF4" w:rsidR="00225CF4">
              <w:rPr>
                <w:rFonts w:ascii="Times New Roman" w:hAnsi="Times New Roman"/>
                <w:color w:val="0070C0"/>
              </w:rPr>
              <w:t>l. I bodov 1 až 34 a bodov 36 až 129, ktoré nadobúdajú účinnosť 2. augusta 2021.</w:t>
            </w:r>
          </w:p>
          <w:p w:rsidR="00E621F4" w:rsidRPr="007B6307" w:rsidP="000B3D14">
            <w:pPr>
              <w:autoSpaceDE w:val="0"/>
              <w:autoSpaceDN w:val="0"/>
              <w:bidi w:val="0"/>
              <w:spacing w:before="0"/>
              <w:rPr>
                <w:rFonts w:ascii="Times New Roman" w:hAnsi="Times New Roman"/>
                <w:sz w:val="22"/>
                <w:szCs w:val="22"/>
              </w:rPr>
            </w:pPr>
          </w:p>
          <w:p w:rsidR="003E2B3D" w:rsidP="000B3D14">
            <w:pPr>
              <w:autoSpaceDE w:val="0"/>
              <w:autoSpaceDN w:val="0"/>
              <w:bidi w:val="0"/>
              <w:spacing w:before="0"/>
              <w:rPr>
                <w:rFonts w:ascii="Times New Roman" w:hAnsi="Times New Roman"/>
                <w:sz w:val="22"/>
                <w:szCs w:val="22"/>
              </w:rPr>
            </w:pPr>
            <w:r w:rsidRPr="007B6307">
              <w:rPr>
                <w:rFonts w:ascii="Times New Roman" w:hAnsi="Times New Roman"/>
                <w:sz w:val="22"/>
                <w:szCs w:val="22"/>
              </w:rPr>
              <w:t>Týmto zákonom sa preberajú právne záväzné akty Európskej únie uvedené v prílohe č. 1.</w:t>
            </w:r>
          </w:p>
          <w:p w:rsidR="00796A51" w:rsidP="000B3D14">
            <w:pPr>
              <w:autoSpaceDE w:val="0"/>
              <w:autoSpaceDN w:val="0"/>
              <w:bidi w:val="0"/>
              <w:spacing w:before="0"/>
              <w:rPr>
                <w:rFonts w:ascii="Times New Roman" w:hAnsi="Times New Roman"/>
                <w:sz w:val="22"/>
                <w:szCs w:val="22"/>
              </w:rPr>
            </w:pPr>
          </w:p>
          <w:p w:rsidR="00796A51" w:rsidRPr="00E937FC" w:rsidP="000B3D14">
            <w:pPr>
              <w:autoSpaceDE w:val="0"/>
              <w:autoSpaceDN w:val="0"/>
              <w:bidi w:val="0"/>
              <w:spacing w:before="0"/>
              <w:rPr>
                <w:rFonts w:ascii="Times New Roman" w:hAnsi="Times New Roman"/>
                <w:bCs/>
                <w:sz w:val="22"/>
                <w:szCs w:val="22"/>
                <w:shd w:val="clear" w:color="auto" w:fill="FFFFFF"/>
              </w:rPr>
            </w:pPr>
            <w:r w:rsidRPr="00E937FC">
              <w:rPr>
                <w:rFonts w:ascii="Times New Roman" w:hAnsi="Times New Roman"/>
                <w:bCs/>
                <w:sz w:val="22"/>
                <w:szCs w:val="22"/>
                <w:shd w:val="clear" w:color="auto" w:fill="FFFFFF"/>
              </w:rPr>
              <w:t>ZOZNAM PREBERANÝCH PRÁVNE ZÁVÄZNÝCH AKTOV EURÓPSKEJ ÚNIE</w:t>
            </w:r>
          </w:p>
          <w:p w:rsidR="00796A51" w:rsidRPr="00E937FC" w:rsidP="000B3D14">
            <w:pPr>
              <w:autoSpaceDE w:val="0"/>
              <w:autoSpaceDN w:val="0"/>
              <w:bidi w:val="0"/>
              <w:spacing w:before="0"/>
              <w:rPr>
                <w:rFonts w:ascii="Times New Roman" w:hAnsi="Times New Roman"/>
                <w:b/>
                <w:bCs/>
                <w:color w:val="0070C0"/>
                <w:sz w:val="22"/>
                <w:szCs w:val="22"/>
                <w:shd w:val="clear" w:color="auto" w:fill="FFFFFF"/>
              </w:rPr>
            </w:pPr>
            <w:r w:rsidRPr="00E937FC">
              <w:rPr>
                <w:rFonts w:ascii="Times New Roman" w:hAnsi="Times New Roman"/>
                <w:bCs/>
                <w:color w:val="0070C0"/>
                <w:sz w:val="22"/>
                <w:szCs w:val="22"/>
              </w:rPr>
              <w:t>11. Smernica Európskeho parlamentu a Rady (EÚ) 2019/1160 z 20. júna 2019, ktorou sa mení smernica 2009/65/ES a smernica 2011/61/EÚ, pokiaľ ide o cezhraničnú distribúciu podnikov kolektívneho investovania (</w:t>
            </w:r>
            <w:r w:rsidRPr="00E937FC">
              <w:rPr>
                <w:rFonts w:ascii="Times New Roman" w:hAnsi="Times New Roman"/>
                <w:color w:val="0070C0"/>
                <w:sz w:val="22"/>
                <w:szCs w:val="22"/>
              </w:rPr>
              <w:t>Ú.v. EÚ L 188, 12. 7. 2019).</w:t>
            </w:r>
          </w:p>
          <w:p w:rsidR="00796A51" w:rsidRPr="00E937FC" w:rsidP="000B3D14">
            <w:pPr>
              <w:autoSpaceDE w:val="0"/>
              <w:autoSpaceDN w:val="0"/>
              <w:bidi w:val="0"/>
              <w:spacing w:before="0"/>
              <w:rPr>
                <w:rFonts w:ascii="Times New Roman" w:hAnsi="Times New Roman"/>
                <w:sz w:val="22"/>
                <w:szCs w:val="22"/>
              </w:rPr>
            </w:pPr>
          </w:p>
          <w:p w:rsidR="00AA227A" w:rsidRPr="007B6307" w:rsidP="000B3D14">
            <w:pPr>
              <w:autoSpaceDE w:val="0"/>
              <w:autoSpaceDN w:val="0"/>
              <w:bidi w:val="0"/>
              <w:spacing w:before="0"/>
              <w:rPr>
                <w:rFonts w:ascii="Times New Roman" w:hAnsi="Times New Roman"/>
                <w:sz w:val="22"/>
                <w:szCs w:val="22"/>
              </w:rPr>
            </w:pPr>
            <w:r w:rsidRPr="00E937FC">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4</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pStyle w:val="sti-art"/>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Hodnotenie</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Komisia do 2. augusta 2024 na základe verejnej konzultácie a v nadväznosti na diskusie s orgánom ESMA a príslušnými orgánmi vykoná hodnotenie uplatňovania tejto smernice. Komisia do 2. augusta 2025 predloží správu o uplatňovaní tejto smernice.</w:t>
            </w: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708" w:type="dxa"/>
            <w:tcBorders>
              <w:top w:val="single" w:sz="4" w:space="0" w:color="auto"/>
              <w:left w:val="nil"/>
              <w:bottom w:val="single" w:sz="4" w:space="0" w:color="auto"/>
              <w:right w:val="single" w:sz="4" w:space="0" w:color="auto"/>
            </w:tcBorders>
            <w:textDirection w:val="lrTb"/>
            <w:vAlign w:val="top"/>
          </w:tcPr>
          <w:p w:rsidR="00E621F4" w:rsidRPr="003B7AFF" w:rsidP="00E621F4">
            <w:pPr>
              <w:autoSpaceDE w:val="0"/>
              <w:autoSpaceDN w:val="0"/>
              <w:bidi w:val="0"/>
              <w:spacing w:before="0"/>
              <w:jc w:val="center"/>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3B7AFF" w:rsidP="00E621F4">
            <w:pPr>
              <w:pStyle w:val="Normlny"/>
              <w:bidi w:val="0"/>
              <w:rPr>
                <w:rFonts w:ascii="Times New Roman" w:hAnsi="Times New Roman"/>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21F4" w:rsidRPr="003B7AFF" w:rsidP="00E621F4">
            <w:pPr>
              <w:pStyle w:val="Normlny"/>
              <w:bidi w:val="0"/>
              <w:jc w:val="both"/>
              <w:rPr>
                <w:rFonts w:ascii="Times New Roman" w:hAnsi="Times New Roman"/>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5</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pStyle w:val="sti-art"/>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Preskúmanie</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Komisia do 2. augusta 2023 predloží správu, v ktorej okrem iného posúdi odôvodnenosť harmonizácie ustanovení uplatniteľných na správcovské spoločnosti PKIPCP, ktoré testujú záujem investorov o konkrétny investičný zámer alebo investičnú stratégiu, a či sú na tento účel potrebné nejaké zmeny smernice 2009/65/ES.</w:t>
            </w: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708" w:type="dxa"/>
            <w:tcBorders>
              <w:top w:val="single" w:sz="4" w:space="0" w:color="auto"/>
              <w:left w:val="nil"/>
              <w:bottom w:val="single" w:sz="4" w:space="0" w:color="auto"/>
              <w:right w:val="single" w:sz="4" w:space="0" w:color="auto"/>
            </w:tcBorders>
            <w:textDirection w:val="lrTb"/>
            <w:vAlign w:val="top"/>
          </w:tcPr>
          <w:p w:rsidR="00E621F4" w:rsidRPr="003B7AFF" w:rsidP="00E621F4">
            <w:pPr>
              <w:autoSpaceDE w:val="0"/>
              <w:autoSpaceDN w:val="0"/>
              <w:bidi w:val="0"/>
              <w:spacing w:before="0"/>
              <w:jc w:val="center"/>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3B7AFF" w:rsidP="00E621F4">
            <w:pPr>
              <w:pStyle w:val="Normlny"/>
              <w:bidi w:val="0"/>
              <w:rPr>
                <w:rFonts w:ascii="Times New Roman" w:hAnsi="Times New Roman"/>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21F4" w:rsidRPr="003B7AFF" w:rsidP="00E621F4">
            <w:pPr>
              <w:pStyle w:val="Normlny"/>
              <w:bidi w:val="0"/>
              <w:jc w:val="both"/>
              <w:rPr>
                <w:rFonts w:ascii="Times New Roman" w:hAnsi="Times New Roman"/>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6</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pStyle w:val="sti-art"/>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Nadobudnutie účinnosti</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Táto smernica nadobúda účinnosť dvadsiatym dňom po jej uverejnení v </w:t>
            </w:r>
            <w:r w:rsidRPr="009D5B18">
              <w:rPr>
                <w:rStyle w:val="italic"/>
                <w:rFonts w:ascii="Times New Roman" w:hAnsi="Times New Roman"/>
                <w:iCs/>
                <w:color w:val="000000"/>
                <w:sz w:val="22"/>
                <w:szCs w:val="22"/>
              </w:rPr>
              <w:t>Úradnom vestníku Európskej únie</w:t>
            </w:r>
            <w:r w:rsidRPr="009D5B18">
              <w:rPr>
                <w:rFonts w:ascii="Times New Roman" w:hAnsi="Times New Roman"/>
                <w:color w:val="000000"/>
                <w:sz w:val="22"/>
                <w:szCs w:val="22"/>
              </w:rPr>
              <w:t>.</w:t>
            </w: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n.a.</w:t>
            </w:r>
          </w:p>
        </w:tc>
        <w:tc>
          <w:tcPr>
            <w:tcW w:w="708" w:type="dxa"/>
            <w:tcBorders>
              <w:top w:val="single" w:sz="4" w:space="0" w:color="auto"/>
              <w:left w:val="nil"/>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21F4" w:rsidP="00E621F4">
            <w:pPr>
              <w:pStyle w:val="Normlny"/>
              <w:bidi w:val="0"/>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r>
        <w:tblPrEx>
          <w:tblW w:w="16133"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621F4" w:rsidRPr="009D5B18" w:rsidP="00E621F4">
            <w:pPr>
              <w:autoSpaceDE w:val="0"/>
              <w:autoSpaceDN w:val="0"/>
              <w:bidi w:val="0"/>
              <w:spacing w:before="0"/>
              <w:jc w:val="center"/>
              <w:rPr>
                <w:rFonts w:ascii="Times New Roman" w:hAnsi="Times New Roman"/>
                <w:sz w:val="22"/>
                <w:szCs w:val="22"/>
              </w:rPr>
            </w:pPr>
            <w:r w:rsidRPr="009D5B18">
              <w:rPr>
                <w:rFonts w:ascii="Times New Roman" w:hAnsi="Times New Roman"/>
                <w:sz w:val="22"/>
                <w:szCs w:val="22"/>
              </w:rPr>
              <w:t>Čl. 7</w:t>
            </w:r>
          </w:p>
        </w:tc>
        <w:tc>
          <w:tcPr>
            <w:tcW w:w="6662" w:type="dxa"/>
            <w:tcBorders>
              <w:top w:val="single" w:sz="4" w:space="0" w:color="auto"/>
              <w:left w:val="single" w:sz="4" w:space="0" w:color="auto"/>
              <w:bottom w:val="single" w:sz="4" w:space="0" w:color="auto"/>
              <w:right w:val="single" w:sz="4" w:space="0" w:color="auto"/>
            </w:tcBorders>
            <w:textDirection w:val="lrTb"/>
            <w:vAlign w:val="top"/>
          </w:tcPr>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Táto smernica je určená členským štátom.</w:t>
            </w:r>
          </w:p>
          <w:p w:rsidR="00E621F4" w:rsidRPr="009D5B18" w:rsidP="00E621F4">
            <w:pPr>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V Bruseli 20. júna 2019</w:t>
            </w:r>
          </w:p>
          <w:p w:rsidR="00E621F4" w:rsidRPr="009D5B18" w:rsidP="00E621F4">
            <w:pPr>
              <w:pStyle w:val="signatory"/>
              <w:shd w:val="clear" w:color="auto" w:fill="FFFFFF"/>
              <w:bidi w:val="0"/>
              <w:rPr>
                <w:rFonts w:ascii="Times New Roman" w:hAnsi="Times New Roman"/>
                <w:color w:val="000000"/>
                <w:sz w:val="22"/>
                <w:szCs w:val="22"/>
              </w:rPr>
            </w:pPr>
            <w:r w:rsidRPr="009D5B18">
              <w:rPr>
                <w:rStyle w:val="italic"/>
                <w:rFonts w:ascii="Times New Roman" w:hAnsi="Times New Roman"/>
                <w:iCs/>
                <w:color w:val="000000"/>
                <w:sz w:val="22"/>
                <w:szCs w:val="22"/>
              </w:rPr>
              <w:t>Za Európsky parlament</w:t>
            </w:r>
            <w:r w:rsidRPr="009D5B18">
              <w:rPr>
                <w:rFonts w:ascii="Times New Roman" w:hAnsi="Times New Roman"/>
                <w:color w:val="000000"/>
                <w:sz w:val="22"/>
                <w:szCs w:val="22"/>
              </w:rPr>
              <w:t xml:space="preserve"> </w:t>
            </w:r>
          </w:p>
          <w:p w:rsidR="00E621F4" w:rsidRPr="009D5B18" w:rsidP="00E621F4">
            <w:pPr>
              <w:pStyle w:val="signatory"/>
              <w:shd w:val="clear" w:color="auto" w:fill="FFFFFF"/>
              <w:bidi w:val="0"/>
              <w:rPr>
                <w:rFonts w:ascii="Times New Roman" w:hAnsi="Times New Roman"/>
                <w:color w:val="000000"/>
                <w:sz w:val="22"/>
                <w:szCs w:val="22"/>
              </w:rPr>
            </w:pPr>
            <w:r w:rsidRPr="009D5B18">
              <w:rPr>
                <w:rStyle w:val="italic"/>
                <w:rFonts w:ascii="Times New Roman" w:hAnsi="Times New Roman"/>
                <w:iCs/>
                <w:color w:val="000000"/>
                <w:sz w:val="22"/>
                <w:szCs w:val="22"/>
              </w:rPr>
              <w:t>predseda</w:t>
            </w:r>
            <w:r w:rsidRPr="009D5B18">
              <w:rPr>
                <w:rFonts w:ascii="Times New Roman" w:hAnsi="Times New Roman"/>
                <w:color w:val="000000"/>
                <w:sz w:val="22"/>
                <w:szCs w:val="22"/>
              </w:rPr>
              <w:t xml:space="preserve"> </w:t>
            </w:r>
          </w:p>
          <w:p w:rsidR="00E621F4" w:rsidRPr="009D5B18" w:rsidP="00E621F4">
            <w:pPr>
              <w:pStyle w:val="signatory"/>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A. TAJANI</w:t>
            </w:r>
          </w:p>
          <w:p w:rsidR="00E621F4" w:rsidRPr="009D5B18" w:rsidP="00E621F4">
            <w:pPr>
              <w:pStyle w:val="signatory"/>
              <w:shd w:val="clear" w:color="auto" w:fill="FFFFFF"/>
              <w:bidi w:val="0"/>
              <w:rPr>
                <w:rFonts w:ascii="Times New Roman" w:hAnsi="Times New Roman"/>
                <w:color w:val="000000"/>
                <w:sz w:val="22"/>
                <w:szCs w:val="22"/>
              </w:rPr>
            </w:pPr>
            <w:r w:rsidRPr="009D5B18">
              <w:rPr>
                <w:rStyle w:val="italic"/>
                <w:rFonts w:ascii="Times New Roman" w:hAnsi="Times New Roman"/>
                <w:iCs/>
                <w:color w:val="000000"/>
                <w:sz w:val="22"/>
                <w:szCs w:val="22"/>
              </w:rPr>
              <w:t>Za Radu</w:t>
            </w:r>
            <w:r w:rsidRPr="009D5B18">
              <w:rPr>
                <w:rFonts w:ascii="Times New Roman" w:hAnsi="Times New Roman"/>
                <w:color w:val="000000"/>
                <w:sz w:val="22"/>
                <w:szCs w:val="22"/>
              </w:rPr>
              <w:t xml:space="preserve"> </w:t>
            </w:r>
          </w:p>
          <w:p w:rsidR="00E621F4" w:rsidRPr="009D5B18" w:rsidP="00E621F4">
            <w:pPr>
              <w:pStyle w:val="signatory"/>
              <w:shd w:val="clear" w:color="auto" w:fill="FFFFFF"/>
              <w:bidi w:val="0"/>
              <w:rPr>
                <w:rFonts w:ascii="Times New Roman" w:hAnsi="Times New Roman"/>
                <w:color w:val="000000"/>
                <w:sz w:val="22"/>
                <w:szCs w:val="22"/>
              </w:rPr>
            </w:pPr>
            <w:r w:rsidRPr="009D5B18">
              <w:rPr>
                <w:rStyle w:val="italic"/>
                <w:rFonts w:ascii="Times New Roman" w:hAnsi="Times New Roman"/>
                <w:iCs/>
                <w:color w:val="000000"/>
                <w:sz w:val="22"/>
                <w:szCs w:val="22"/>
              </w:rPr>
              <w:t>predseda</w:t>
            </w:r>
            <w:r w:rsidRPr="009D5B18">
              <w:rPr>
                <w:rFonts w:ascii="Times New Roman" w:hAnsi="Times New Roman"/>
                <w:color w:val="000000"/>
                <w:sz w:val="22"/>
                <w:szCs w:val="22"/>
              </w:rPr>
              <w:t xml:space="preserve"> </w:t>
            </w:r>
          </w:p>
          <w:p w:rsidR="00E621F4" w:rsidRPr="009D5B18" w:rsidP="00E621F4">
            <w:pPr>
              <w:pStyle w:val="signatory"/>
              <w:shd w:val="clear" w:color="auto" w:fill="FFFFFF"/>
              <w:bidi w:val="0"/>
              <w:rPr>
                <w:rFonts w:ascii="Times New Roman" w:hAnsi="Times New Roman"/>
                <w:color w:val="000000"/>
                <w:sz w:val="22"/>
                <w:szCs w:val="22"/>
              </w:rPr>
            </w:pPr>
            <w:r w:rsidRPr="009D5B18">
              <w:rPr>
                <w:rFonts w:ascii="Times New Roman" w:hAnsi="Times New Roman"/>
                <w:color w:val="000000"/>
                <w:sz w:val="22"/>
                <w:szCs w:val="22"/>
              </w:rPr>
              <w:t>G. CIAMBA</w:t>
            </w:r>
          </w:p>
          <w:p w:rsidR="00E621F4" w:rsidRPr="009D5B18" w:rsidP="00E621F4">
            <w:pPr>
              <w:pStyle w:val="Default"/>
              <w:bidi w:val="0"/>
              <w:rPr>
                <w:rFonts w:ascii="Times New Roman" w:hAnsi="Times New Roman" w:cs="Times New Roman"/>
                <w:sz w:val="22"/>
                <w:szCs w:val="22"/>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sidR="000B3D14">
              <w:rPr>
                <w:rFonts w:ascii="Arial Narrow" w:hAnsi="Arial Narrow"/>
                <w:sz w:val="22"/>
                <w:szCs w:val="22"/>
              </w:rPr>
              <w:t>n.a.</w:t>
            </w:r>
          </w:p>
        </w:tc>
        <w:tc>
          <w:tcPr>
            <w:tcW w:w="708" w:type="dxa"/>
            <w:tcBorders>
              <w:top w:val="single" w:sz="4" w:space="0" w:color="auto"/>
              <w:left w:val="nil"/>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pStyle w:val="Normlny"/>
              <w:bidi w:val="0"/>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21F4" w:rsidP="00E621F4">
            <w:pPr>
              <w:pStyle w:val="Normlny"/>
              <w:bidi w:val="0"/>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621F4" w:rsidRPr="002153F7" w:rsidP="00E621F4">
            <w:pPr>
              <w:autoSpaceDE w:val="0"/>
              <w:autoSpaceDN w:val="0"/>
              <w:bidi w:val="0"/>
              <w:spacing w:before="0"/>
              <w:jc w:val="center"/>
              <w:rPr>
                <w:rFonts w:ascii="Arial Narrow" w:hAnsi="Arial Narrow"/>
                <w:sz w:val="22"/>
                <w:szCs w:val="22"/>
              </w:rPr>
            </w:pPr>
            <w:r>
              <w:rPr>
                <w:rFonts w:ascii="Arial Narrow" w:hAnsi="Arial Narrow"/>
                <w:sz w:val="22"/>
                <w:szCs w:val="22"/>
              </w:rPr>
              <w:t>n.a.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E621F4" w:rsidRPr="002153F7" w:rsidP="00E621F4">
            <w:pPr>
              <w:pStyle w:val="Heading1"/>
              <w:bidi w:val="0"/>
              <w:rPr>
                <w:rFonts w:ascii="Arial Narrow" w:hAnsi="Arial Narrow"/>
                <w:b w:val="0"/>
                <w:bCs w:val="0"/>
                <w:sz w:val="22"/>
                <w:szCs w:val="22"/>
              </w:rPr>
            </w:pPr>
          </w:p>
        </w:tc>
      </w:tr>
    </w:tbl>
    <w:p w:rsidR="008C54C3">
      <w:pPr>
        <w:pStyle w:val="Header"/>
        <w:tabs>
          <w:tab w:val="clear" w:pos="4536"/>
          <w:tab w:val="clear" w:pos="9072"/>
        </w:tabs>
        <w:autoSpaceDE/>
        <w:autoSpaceDN/>
        <w:bidi w:val="0"/>
        <w:rPr>
          <w:rFonts w:ascii="Arial Narrow" w:hAnsi="Arial Narrow"/>
          <w:sz w:val="22"/>
          <w:szCs w:val="22"/>
        </w:rPr>
      </w:pPr>
    </w:p>
    <w:p w:rsidR="00162F39" w:rsidRPr="00E030B3" w:rsidP="00162F39">
      <w:pPr>
        <w:bidi w:val="0"/>
        <w:spacing w:before="0"/>
        <w:jc w:val="left"/>
        <w:rPr>
          <w:rFonts w:ascii="Arial Narrow" w:hAnsi="Arial Narrow"/>
          <w:sz w:val="22"/>
          <w:szCs w:val="22"/>
        </w:rPr>
      </w:pPr>
      <w:r w:rsidRPr="00E030B3">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162F39" w:rsidRPr="00E030B3" w:rsidP="00344B44">
            <w:pPr>
              <w:pStyle w:val="Normlny"/>
              <w:autoSpaceDE/>
              <w:autoSpaceDN/>
              <w:bidi w:val="0"/>
              <w:spacing w:after="60"/>
              <w:rPr>
                <w:rFonts w:ascii="Arial Narrow" w:hAnsi="Arial Narrow"/>
                <w:sz w:val="22"/>
                <w:szCs w:val="22"/>
                <w:lang w:eastAsia="sk-SK"/>
              </w:rPr>
            </w:pPr>
            <w:r w:rsidRPr="00E030B3">
              <w:rPr>
                <w:rFonts w:ascii="Arial Narrow" w:hAnsi="Arial Narrow"/>
                <w:sz w:val="22"/>
                <w:szCs w:val="22"/>
                <w:lang w:eastAsia="sk-SK"/>
              </w:rPr>
              <w:t>V stĺpci (1):</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Č – článok</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O – odsek</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V – veta</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P – číslo (písmeno)</w:t>
            </w:r>
          </w:p>
          <w:p w:rsidR="00162F39" w:rsidRPr="00E030B3" w:rsidP="00344B44">
            <w:pPr>
              <w:bidi w:val="0"/>
              <w:spacing w:before="0"/>
              <w:jc w:val="left"/>
              <w:rPr>
                <w:rFonts w:ascii="Arial Narrow" w:hAnsi="Arial Narrow"/>
                <w:sz w:val="22"/>
                <w:szCs w:val="22"/>
              </w:rPr>
            </w:pPr>
          </w:p>
        </w:tc>
        <w:tc>
          <w:tcPr>
            <w:tcW w:w="3780" w:type="dxa"/>
            <w:tcBorders>
              <w:top w:val="nil"/>
              <w:left w:val="nil"/>
              <w:bottom w:val="nil"/>
              <w:right w:val="nil"/>
            </w:tcBorders>
            <w:textDirection w:val="lrTb"/>
            <w:vAlign w:val="top"/>
          </w:tcPr>
          <w:p w:rsidR="00162F39" w:rsidRPr="00E030B3" w:rsidP="00344B44">
            <w:pPr>
              <w:pStyle w:val="Normlny"/>
              <w:autoSpaceDE/>
              <w:autoSpaceDN/>
              <w:bidi w:val="0"/>
              <w:spacing w:after="60"/>
              <w:rPr>
                <w:rFonts w:ascii="Arial Narrow" w:hAnsi="Arial Narrow"/>
                <w:sz w:val="22"/>
                <w:szCs w:val="22"/>
                <w:lang w:eastAsia="sk-SK"/>
              </w:rPr>
            </w:pPr>
            <w:r w:rsidRPr="00E030B3">
              <w:rPr>
                <w:rFonts w:ascii="Arial Narrow" w:hAnsi="Arial Narrow"/>
                <w:sz w:val="22"/>
                <w:szCs w:val="22"/>
                <w:lang w:eastAsia="sk-SK"/>
              </w:rPr>
              <w:t>V stĺpci (3):</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N – bežná transpozícia</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O – transpozícia s možnosťou voľby</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D – transpozícia podľa úvahy (dobrovoľná)</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162F39" w:rsidRPr="00E030B3" w:rsidP="00344B44">
            <w:pPr>
              <w:pStyle w:val="Normlny"/>
              <w:autoSpaceDE/>
              <w:autoSpaceDN/>
              <w:bidi w:val="0"/>
              <w:spacing w:after="60"/>
              <w:rPr>
                <w:rFonts w:ascii="Arial Narrow" w:hAnsi="Arial Narrow"/>
                <w:sz w:val="22"/>
                <w:szCs w:val="22"/>
                <w:lang w:eastAsia="sk-SK"/>
              </w:rPr>
            </w:pPr>
            <w:r w:rsidRPr="00E030B3">
              <w:rPr>
                <w:rFonts w:ascii="Arial Narrow" w:hAnsi="Arial Narrow"/>
                <w:sz w:val="22"/>
                <w:szCs w:val="22"/>
                <w:lang w:eastAsia="sk-SK"/>
              </w:rPr>
              <w:t>V stĺpci (5):</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Č – článok</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 – paragraf</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O – odsek</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V – veta</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162F39" w:rsidRPr="00E030B3" w:rsidP="00344B44">
            <w:pPr>
              <w:pStyle w:val="Normlny"/>
              <w:autoSpaceDE/>
              <w:autoSpaceDN/>
              <w:bidi w:val="0"/>
              <w:spacing w:after="60"/>
              <w:rPr>
                <w:rFonts w:ascii="Arial Narrow" w:hAnsi="Arial Narrow"/>
                <w:sz w:val="22"/>
                <w:szCs w:val="22"/>
                <w:lang w:eastAsia="sk-SK"/>
              </w:rPr>
            </w:pPr>
            <w:r w:rsidRPr="00E030B3">
              <w:rPr>
                <w:rFonts w:ascii="Arial Narrow" w:hAnsi="Arial Narrow"/>
                <w:sz w:val="22"/>
                <w:szCs w:val="22"/>
                <w:lang w:eastAsia="sk-SK"/>
              </w:rPr>
              <w:t>V stĺpci (7):</w:t>
            </w:r>
          </w:p>
          <w:p w:rsidR="00162F39" w:rsidRPr="00E030B3" w:rsidP="00344B44">
            <w:pPr>
              <w:bidi w:val="0"/>
              <w:spacing w:before="0"/>
              <w:ind w:left="290" w:hanging="290"/>
              <w:jc w:val="left"/>
              <w:rPr>
                <w:rFonts w:ascii="Arial Narrow" w:hAnsi="Arial Narrow"/>
                <w:sz w:val="22"/>
                <w:szCs w:val="22"/>
              </w:rPr>
            </w:pPr>
            <w:r w:rsidRPr="00E030B3">
              <w:rPr>
                <w:rFonts w:ascii="Arial Narrow" w:hAnsi="Arial Narrow"/>
                <w:sz w:val="22"/>
                <w:szCs w:val="22"/>
              </w:rPr>
              <w:t>Ú – úplná zhoda (ak bolo ustanovenie smernice prebraté v celom rozsahu, správne, v príslušnej forme, so zabezpečenou inštitucionálnou  infraštruktúrou, s príslušnými sankciami a vo vzájomnej súvislosti)</w:t>
            </w:r>
          </w:p>
          <w:p w:rsidR="00162F39" w:rsidRPr="00E030B3" w:rsidP="00344B44">
            <w:pPr>
              <w:bidi w:val="0"/>
              <w:spacing w:before="0"/>
              <w:jc w:val="left"/>
              <w:rPr>
                <w:rFonts w:ascii="Arial Narrow" w:hAnsi="Arial Narrow"/>
                <w:sz w:val="22"/>
                <w:szCs w:val="22"/>
              </w:rPr>
            </w:pPr>
            <w:r w:rsidRPr="00E030B3">
              <w:rPr>
                <w:rFonts w:ascii="Arial Narrow" w:hAnsi="Arial Narrow"/>
                <w:sz w:val="22"/>
                <w:szCs w:val="22"/>
              </w:rPr>
              <w:t>Č – čiastočná zhoda (ak minimálne jedna z podmienok úplnej zhody nie je splnená)</w:t>
            </w:r>
          </w:p>
          <w:p w:rsidR="00162F39" w:rsidRPr="00E030B3" w:rsidP="00344B44">
            <w:pPr>
              <w:pStyle w:val="BodyTextIndent2"/>
              <w:bidi w:val="0"/>
              <w:rPr>
                <w:rFonts w:ascii="Arial Narrow" w:hAnsi="Arial Narrow"/>
                <w:sz w:val="22"/>
                <w:szCs w:val="22"/>
              </w:rPr>
            </w:pPr>
            <w:r w:rsidRPr="00E030B3">
              <w:rPr>
                <w:rFonts w:ascii="Arial Narrow" w:hAnsi="Arial Narrow"/>
                <w:sz w:val="22"/>
                <w:szCs w:val="22"/>
              </w:rPr>
              <w:t>Ž – žiadna zhoda (ak nebola dosiahnutá ani úplná ani čiast. zhoda alebo k prebratiu dôjde v budúcnosti)</w:t>
            </w:r>
          </w:p>
          <w:p w:rsidR="00162F39" w:rsidRPr="00E030B3" w:rsidP="00344B44">
            <w:pPr>
              <w:bidi w:val="0"/>
              <w:spacing w:before="0"/>
              <w:ind w:left="290" w:hanging="290"/>
              <w:jc w:val="left"/>
              <w:rPr>
                <w:rFonts w:ascii="Arial Narrow" w:hAnsi="Arial Narrow"/>
                <w:sz w:val="22"/>
                <w:szCs w:val="22"/>
              </w:rPr>
            </w:pPr>
            <w:r w:rsidRPr="00E030B3">
              <w:rPr>
                <w:rFonts w:ascii="Arial Narrow" w:hAnsi="Arial Narrow"/>
                <w:sz w:val="22"/>
                <w:szCs w:val="22"/>
              </w:rPr>
              <w:t>n.a. – neaplikovateľnosť (ak sa ustanovenie smernice netýka SR alebo nie je potrebné ho prebrať)</w:t>
            </w:r>
          </w:p>
        </w:tc>
      </w:tr>
    </w:tbl>
    <w:p w:rsidR="00162F39" w:rsidRPr="002153F7">
      <w:pPr>
        <w:pStyle w:val="Header"/>
        <w:tabs>
          <w:tab w:val="clear" w:pos="4536"/>
          <w:tab w:val="clear" w:pos="9072"/>
        </w:tabs>
        <w:autoSpaceDE/>
        <w:autoSpaceDN/>
        <w:bidi w:val="0"/>
        <w:rPr>
          <w:rFonts w:ascii="Arial Narrow" w:hAnsi="Arial Narrow"/>
          <w:sz w:val="22"/>
          <w:szCs w:val="22"/>
        </w:rPr>
      </w:pPr>
    </w:p>
    <w:sectPr>
      <w:footerReference w:type="default" r:id="rId8"/>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8B">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C503A">
      <w:rPr>
        <w:rStyle w:val="PageNumber"/>
        <w:rFonts w:ascii="Times New Roman" w:hAnsi="Times New Roman"/>
        <w:noProof/>
      </w:rPr>
      <w:t>28</w:t>
    </w:r>
    <w:r>
      <w:rPr>
        <w:rStyle w:val="PageNumber"/>
        <w:rFonts w:ascii="Times New Roman" w:hAnsi="Times New Roman"/>
      </w:rPr>
      <w:fldChar w:fldCharType="end"/>
    </w:r>
  </w:p>
  <w:p w:rsidR="006C668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FD76BE"/>
    <w:multiLevelType w:val="hybridMultilevel"/>
    <w:tmpl w:val="33CEE382"/>
    <w:lvl w:ilvl="0">
      <w:start w:val="1"/>
      <w:numFmt w:val="decimal"/>
      <w:lvlText w:val="(%1)"/>
      <w:lvlJc w:val="left"/>
      <w:pPr>
        <w:ind w:left="-629" w:hanging="465"/>
      </w:pPr>
      <w:rPr>
        <w:rFonts w:cs="Times New Roman" w:hint="default"/>
        <w:rtl w:val="0"/>
        <w:cs w:val="0"/>
      </w:rPr>
    </w:lvl>
    <w:lvl w:ilvl="1">
      <w:start w:val="1"/>
      <w:numFmt w:val="lowerLetter"/>
      <w:lvlText w:val="%2."/>
      <w:lvlJc w:val="left"/>
      <w:pPr>
        <w:ind w:left="-14" w:hanging="360"/>
      </w:pPr>
      <w:rPr>
        <w:rFonts w:cs="Times New Roman"/>
        <w:rtl w:val="0"/>
        <w:cs w:val="0"/>
      </w:rPr>
    </w:lvl>
    <w:lvl w:ilvl="2">
      <w:start w:val="1"/>
      <w:numFmt w:val="lowerRoman"/>
      <w:lvlText w:val="%3."/>
      <w:lvlJc w:val="right"/>
      <w:pPr>
        <w:ind w:left="706" w:hanging="180"/>
      </w:pPr>
      <w:rPr>
        <w:rFonts w:cs="Times New Roman"/>
        <w:rtl w:val="0"/>
        <w:cs w:val="0"/>
      </w:rPr>
    </w:lvl>
    <w:lvl w:ilvl="3">
      <w:start w:val="1"/>
      <w:numFmt w:val="decimal"/>
      <w:lvlText w:val="%4."/>
      <w:lvlJc w:val="left"/>
      <w:pPr>
        <w:ind w:left="1426" w:hanging="360"/>
      </w:pPr>
      <w:rPr>
        <w:rFonts w:cs="Times New Roman"/>
        <w:rtl w:val="0"/>
        <w:cs w:val="0"/>
      </w:rPr>
    </w:lvl>
    <w:lvl w:ilvl="4">
      <w:start w:val="1"/>
      <w:numFmt w:val="lowerLetter"/>
      <w:lvlText w:val="%5."/>
      <w:lvlJc w:val="left"/>
      <w:pPr>
        <w:ind w:left="2146" w:hanging="360"/>
      </w:pPr>
      <w:rPr>
        <w:rFonts w:cs="Times New Roman"/>
        <w:rtl w:val="0"/>
        <w:cs w:val="0"/>
      </w:rPr>
    </w:lvl>
    <w:lvl w:ilvl="5">
      <w:start w:val="1"/>
      <w:numFmt w:val="lowerRoman"/>
      <w:lvlText w:val="%6."/>
      <w:lvlJc w:val="right"/>
      <w:pPr>
        <w:ind w:left="2866" w:hanging="180"/>
      </w:pPr>
      <w:rPr>
        <w:rFonts w:cs="Times New Roman"/>
        <w:rtl w:val="0"/>
        <w:cs w:val="0"/>
      </w:rPr>
    </w:lvl>
    <w:lvl w:ilvl="6">
      <w:start w:val="1"/>
      <w:numFmt w:val="decimal"/>
      <w:lvlText w:val="%7."/>
      <w:lvlJc w:val="left"/>
      <w:pPr>
        <w:ind w:left="3586" w:hanging="360"/>
      </w:pPr>
      <w:rPr>
        <w:rFonts w:cs="Times New Roman"/>
        <w:rtl w:val="0"/>
        <w:cs w:val="0"/>
      </w:rPr>
    </w:lvl>
    <w:lvl w:ilvl="7">
      <w:start w:val="1"/>
      <w:numFmt w:val="lowerLetter"/>
      <w:lvlText w:val="%8."/>
      <w:lvlJc w:val="left"/>
      <w:pPr>
        <w:ind w:left="4306" w:hanging="360"/>
      </w:pPr>
      <w:rPr>
        <w:rFonts w:cs="Times New Roman"/>
        <w:rtl w:val="0"/>
        <w:cs w:val="0"/>
      </w:rPr>
    </w:lvl>
    <w:lvl w:ilvl="8">
      <w:start w:val="1"/>
      <w:numFmt w:val="lowerRoman"/>
      <w:lvlText w:val="%9."/>
      <w:lvlJc w:val="right"/>
      <w:pPr>
        <w:ind w:left="5026" w:hanging="180"/>
      </w:pPr>
      <w:rPr>
        <w:rFonts w:cs="Times New Roman"/>
        <w:rtl w:val="0"/>
        <w:cs w:val="0"/>
      </w:rPr>
    </w:lvl>
  </w:abstractNum>
  <w:abstractNum w:abstractNumId="2">
    <w:nsid w:val="09C90950"/>
    <w:multiLevelType w:val="hybridMultilevel"/>
    <w:tmpl w:val="EE48F374"/>
    <w:lvl w:ilvl="0">
      <w:start w:val="5"/>
      <w:numFmt w:val="decimal"/>
      <w:lvlText w:val="(%1)"/>
      <w:lvlJc w:val="left"/>
      <w:pPr>
        <w:ind w:left="241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F76737"/>
    <w:multiLevelType w:val="hybridMultilevel"/>
    <w:tmpl w:val="C66A54A6"/>
    <w:lvl w:ilvl="0">
      <w:start w:val="1"/>
      <w:numFmt w:val="lowerLetter"/>
      <w:lvlText w:val="%1)"/>
      <w:lvlJc w:val="left"/>
      <w:pPr>
        <w:ind w:left="1211"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755745"/>
    <w:multiLevelType w:val="hybridMultilevel"/>
    <w:tmpl w:val="9A0647FC"/>
    <w:lvl w:ilvl="0">
      <w:start w:val="1"/>
      <w:numFmt w:val="lowerLetter"/>
      <w:lvlText w:val="%1)"/>
      <w:lvlJc w:val="left"/>
      <w:pPr>
        <w:ind w:left="1849" w:hanging="360"/>
      </w:pPr>
      <w:rPr>
        <w:rFonts w:cs="Times New Roman"/>
        <w:rtl w:val="0"/>
        <w:cs w:val="0"/>
      </w:rPr>
    </w:lvl>
    <w:lvl w:ilvl="1">
      <w:start w:val="1"/>
      <w:numFmt w:val="lowerLetter"/>
      <w:lvlText w:val="%2."/>
      <w:lvlJc w:val="left"/>
      <w:pPr>
        <w:ind w:left="2569" w:hanging="360"/>
      </w:pPr>
      <w:rPr>
        <w:rFonts w:cs="Times New Roman"/>
        <w:rtl w:val="0"/>
        <w:cs w:val="0"/>
      </w:rPr>
    </w:lvl>
    <w:lvl w:ilvl="2">
      <w:start w:val="1"/>
      <w:numFmt w:val="lowerRoman"/>
      <w:lvlText w:val="%3."/>
      <w:lvlJc w:val="right"/>
      <w:pPr>
        <w:ind w:left="3289" w:hanging="180"/>
      </w:pPr>
      <w:rPr>
        <w:rFonts w:cs="Times New Roman"/>
        <w:rtl w:val="0"/>
        <w:cs w:val="0"/>
      </w:rPr>
    </w:lvl>
    <w:lvl w:ilvl="3">
      <w:start w:val="1"/>
      <w:numFmt w:val="decimal"/>
      <w:lvlText w:val="%4."/>
      <w:lvlJc w:val="left"/>
      <w:pPr>
        <w:ind w:left="4009" w:hanging="360"/>
      </w:pPr>
      <w:rPr>
        <w:rFonts w:cs="Times New Roman"/>
        <w:rtl w:val="0"/>
        <w:cs w:val="0"/>
      </w:rPr>
    </w:lvl>
    <w:lvl w:ilvl="4">
      <w:start w:val="1"/>
      <w:numFmt w:val="lowerLetter"/>
      <w:lvlText w:val="%5."/>
      <w:lvlJc w:val="left"/>
      <w:pPr>
        <w:ind w:left="4729" w:hanging="360"/>
      </w:pPr>
      <w:rPr>
        <w:rFonts w:cs="Times New Roman"/>
        <w:rtl w:val="0"/>
        <w:cs w:val="0"/>
      </w:rPr>
    </w:lvl>
    <w:lvl w:ilvl="5">
      <w:start w:val="1"/>
      <w:numFmt w:val="lowerRoman"/>
      <w:lvlText w:val="%6."/>
      <w:lvlJc w:val="right"/>
      <w:pPr>
        <w:ind w:left="5449" w:hanging="180"/>
      </w:pPr>
      <w:rPr>
        <w:rFonts w:cs="Times New Roman"/>
        <w:rtl w:val="0"/>
        <w:cs w:val="0"/>
      </w:rPr>
    </w:lvl>
    <w:lvl w:ilvl="6">
      <w:start w:val="1"/>
      <w:numFmt w:val="decimal"/>
      <w:lvlText w:val="%7."/>
      <w:lvlJc w:val="left"/>
      <w:pPr>
        <w:ind w:left="6169" w:hanging="360"/>
      </w:pPr>
      <w:rPr>
        <w:rFonts w:cs="Times New Roman"/>
        <w:rtl w:val="0"/>
        <w:cs w:val="0"/>
      </w:rPr>
    </w:lvl>
    <w:lvl w:ilvl="7">
      <w:start w:val="1"/>
      <w:numFmt w:val="lowerLetter"/>
      <w:lvlText w:val="%8."/>
      <w:lvlJc w:val="left"/>
      <w:pPr>
        <w:ind w:left="6889" w:hanging="360"/>
      </w:pPr>
      <w:rPr>
        <w:rFonts w:cs="Times New Roman"/>
        <w:rtl w:val="0"/>
        <w:cs w:val="0"/>
      </w:rPr>
    </w:lvl>
    <w:lvl w:ilvl="8">
      <w:start w:val="1"/>
      <w:numFmt w:val="lowerRoman"/>
      <w:lvlText w:val="%9."/>
      <w:lvlJc w:val="right"/>
      <w:pPr>
        <w:ind w:left="7609" w:hanging="180"/>
      </w:pPr>
      <w:rPr>
        <w:rFonts w:cs="Times New Roman"/>
        <w:rtl w:val="0"/>
        <w:cs w:val="0"/>
      </w:rPr>
    </w:lvl>
  </w:abstractNum>
  <w:abstractNum w:abstractNumId="7">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8">
    <w:nsid w:val="17497A59"/>
    <w:multiLevelType w:val="hybridMultilevel"/>
    <w:tmpl w:val="E2AC8FE0"/>
    <w:lvl w:ilvl="0">
      <w:start w:val="2"/>
      <w:numFmt w:val="lowerLetter"/>
      <w:lvlText w:val="%1)"/>
      <w:lvlJc w:val="left"/>
      <w:pPr>
        <w:ind w:left="184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2A5620"/>
    <w:multiLevelType w:val="hybridMultilevel"/>
    <w:tmpl w:val="D37A8B2C"/>
    <w:lvl w:ilvl="0">
      <w:start w:val="1"/>
      <w:numFmt w:val="lowerLetter"/>
      <w:lvlText w:val="%1)"/>
      <w:lvlJc w:val="left"/>
      <w:pPr>
        <w:ind w:left="1856" w:hanging="360"/>
      </w:pPr>
      <w:rPr>
        <w:rFonts w:cs="Times New Roman" w:hint="default"/>
        <w:rtl w:val="0"/>
        <w:cs w:val="0"/>
      </w:rPr>
    </w:lvl>
    <w:lvl w:ilvl="1">
      <w:start w:val="1"/>
      <w:numFmt w:val="lowerLetter"/>
      <w:lvlText w:val="%2)"/>
      <w:lvlJc w:val="left"/>
      <w:pPr>
        <w:ind w:left="2576" w:hanging="360"/>
      </w:pPr>
      <w:rPr>
        <w:rFonts w:cs="Times New Roman"/>
        <w:rtl w:val="0"/>
        <w:cs w:val="0"/>
      </w:rPr>
    </w:lvl>
    <w:lvl w:ilvl="2">
      <w:start w:val="1"/>
      <w:numFmt w:val="lowerRoman"/>
      <w:lvlText w:val="%3."/>
      <w:lvlJc w:val="right"/>
      <w:pPr>
        <w:ind w:left="3296" w:hanging="180"/>
      </w:pPr>
      <w:rPr>
        <w:rFonts w:cs="Times New Roman"/>
        <w:rtl w:val="0"/>
        <w:cs w:val="0"/>
      </w:rPr>
    </w:lvl>
    <w:lvl w:ilvl="3">
      <w:start w:val="1"/>
      <w:numFmt w:val="decimal"/>
      <w:lvlText w:val="%4."/>
      <w:lvlJc w:val="left"/>
      <w:pPr>
        <w:ind w:left="4016" w:hanging="360"/>
      </w:pPr>
      <w:rPr>
        <w:rFonts w:cs="Times New Roman"/>
        <w:rtl w:val="0"/>
        <w:cs w:val="0"/>
      </w:rPr>
    </w:lvl>
    <w:lvl w:ilvl="4">
      <w:start w:val="1"/>
      <w:numFmt w:val="lowerLetter"/>
      <w:lvlText w:val="%5."/>
      <w:lvlJc w:val="left"/>
      <w:pPr>
        <w:ind w:left="4736" w:hanging="360"/>
      </w:pPr>
      <w:rPr>
        <w:rFonts w:cs="Times New Roman"/>
        <w:rtl w:val="0"/>
        <w:cs w:val="0"/>
      </w:rPr>
    </w:lvl>
    <w:lvl w:ilvl="5">
      <w:start w:val="1"/>
      <w:numFmt w:val="lowerRoman"/>
      <w:lvlText w:val="%6."/>
      <w:lvlJc w:val="right"/>
      <w:pPr>
        <w:ind w:left="5456" w:hanging="180"/>
      </w:pPr>
      <w:rPr>
        <w:rFonts w:cs="Times New Roman"/>
        <w:rtl w:val="0"/>
        <w:cs w:val="0"/>
      </w:rPr>
    </w:lvl>
    <w:lvl w:ilvl="6">
      <w:start w:val="1"/>
      <w:numFmt w:val="decimal"/>
      <w:lvlText w:val="%7."/>
      <w:lvlJc w:val="left"/>
      <w:pPr>
        <w:ind w:left="6176" w:hanging="360"/>
      </w:pPr>
      <w:rPr>
        <w:rFonts w:cs="Times New Roman"/>
        <w:rtl w:val="0"/>
        <w:cs w:val="0"/>
      </w:rPr>
    </w:lvl>
    <w:lvl w:ilvl="7">
      <w:start w:val="1"/>
      <w:numFmt w:val="lowerLetter"/>
      <w:lvlText w:val="%8."/>
      <w:lvlJc w:val="left"/>
      <w:pPr>
        <w:ind w:left="6896" w:hanging="360"/>
      </w:pPr>
      <w:rPr>
        <w:rFonts w:cs="Times New Roman"/>
        <w:rtl w:val="0"/>
        <w:cs w:val="0"/>
      </w:rPr>
    </w:lvl>
    <w:lvl w:ilvl="8">
      <w:start w:val="1"/>
      <w:numFmt w:val="lowerRoman"/>
      <w:lvlText w:val="%9."/>
      <w:lvlJc w:val="right"/>
      <w:pPr>
        <w:ind w:left="7616"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21BE31B6"/>
    <w:multiLevelType w:val="hybridMultilevel"/>
    <w:tmpl w:val="A532F480"/>
    <w:lvl w:ilvl="0">
      <w:start w:val="1"/>
      <w:numFmt w:val="lowerLetter"/>
      <w:lvlText w:val="%1)"/>
      <w:lvlJc w:val="left"/>
      <w:pPr>
        <w:ind w:left="1778" w:hanging="360"/>
      </w:pPr>
      <w:rPr>
        <w:rFonts w:cs="Times New Roman"/>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2">
    <w:nsid w:val="22DF790E"/>
    <w:multiLevelType w:val="hybridMultilevel"/>
    <w:tmpl w:val="A36A933E"/>
    <w:lvl w:ilvl="0">
      <w:start w:val="1"/>
      <w:numFmt w:val="decimal"/>
      <w:lvlText w:val="(%1)"/>
      <w:lvlJc w:val="left"/>
      <w:pPr>
        <w:ind w:left="1635" w:hanging="360"/>
      </w:pPr>
      <w:rPr>
        <w:rFonts w:cs="Times New Roman" w:hint="default"/>
        <w:rtl w:val="0"/>
        <w:cs w:val="0"/>
      </w:rPr>
    </w:lvl>
    <w:lvl w:ilvl="1">
      <w:start w:val="1"/>
      <w:numFmt w:val="lowerLetter"/>
      <w:lvlText w:val="%2."/>
      <w:lvlJc w:val="left"/>
      <w:pPr>
        <w:ind w:left="2355" w:hanging="360"/>
      </w:pPr>
      <w:rPr>
        <w:rFonts w:cs="Times New Roman"/>
        <w:rtl w:val="0"/>
        <w:cs w:val="0"/>
      </w:rPr>
    </w:lvl>
    <w:lvl w:ilvl="2">
      <w:start w:val="1"/>
      <w:numFmt w:val="lowerRoman"/>
      <w:lvlText w:val="%3."/>
      <w:lvlJc w:val="right"/>
      <w:pPr>
        <w:ind w:left="3075" w:hanging="180"/>
      </w:pPr>
      <w:rPr>
        <w:rFonts w:cs="Times New Roman"/>
        <w:rtl w:val="0"/>
        <w:cs w:val="0"/>
      </w:rPr>
    </w:lvl>
    <w:lvl w:ilvl="3">
      <w:start w:val="1"/>
      <w:numFmt w:val="decimal"/>
      <w:lvlText w:val="%4."/>
      <w:lvlJc w:val="left"/>
      <w:pPr>
        <w:ind w:left="3795" w:hanging="360"/>
      </w:pPr>
      <w:rPr>
        <w:rFonts w:cs="Times New Roman"/>
        <w:rtl w:val="0"/>
        <w:cs w:val="0"/>
      </w:rPr>
    </w:lvl>
    <w:lvl w:ilvl="4">
      <w:start w:val="1"/>
      <w:numFmt w:val="lowerLetter"/>
      <w:lvlText w:val="%5."/>
      <w:lvlJc w:val="left"/>
      <w:pPr>
        <w:ind w:left="4515" w:hanging="360"/>
      </w:pPr>
      <w:rPr>
        <w:rFonts w:cs="Times New Roman"/>
        <w:rtl w:val="0"/>
        <w:cs w:val="0"/>
      </w:rPr>
    </w:lvl>
    <w:lvl w:ilvl="5">
      <w:start w:val="1"/>
      <w:numFmt w:val="lowerRoman"/>
      <w:lvlText w:val="%6."/>
      <w:lvlJc w:val="right"/>
      <w:pPr>
        <w:ind w:left="5235" w:hanging="180"/>
      </w:pPr>
      <w:rPr>
        <w:rFonts w:cs="Times New Roman"/>
        <w:rtl w:val="0"/>
        <w:cs w:val="0"/>
      </w:rPr>
    </w:lvl>
    <w:lvl w:ilvl="6">
      <w:start w:val="1"/>
      <w:numFmt w:val="decimal"/>
      <w:lvlText w:val="%7."/>
      <w:lvlJc w:val="left"/>
      <w:pPr>
        <w:ind w:left="5955" w:hanging="360"/>
      </w:pPr>
      <w:rPr>
        <w:rFonts w:cs="Times New Roman"/>
        <w:rtl w:val="0"/>
        <w:cs w:val="0"/>
      </w:rPr>
    </w:lvl>
    <w:lvl w:ilvl="7">
      <w:start w:val="1"/>
      <w:numFmt w:val="lowerLetter"/>
      <w:lvlText w:val="%8."/>
      <w:lvlJc w:val="left"/>
      <w:pPr>
        <w:ind w:left="6675" w:hanging="360"/>
      </w:pPr>
      <w:rPr>
        <w:rFonts w:cs="Times New Roman"/>
        <w:rtl w:val="0"/>
        <w:cs w:val="0"/>
      </w:rPr>
    </w:lvl>
    <w:lvl w:ilvl="8">
      <w:start w:val="1"/>
      <w:numFmt w:val="lowerRoman"/>
      <w:lvlText w:val="%9."/>
      <w:lvlJc w:val="right"/>
      <w:pPr>
        <w:ind w:left="7395" w:hanging="180"/>
      </w:pPr>
      <w:rPr>
        <w:rFonts w:cs="Times New Roman"/>
        <w:rtl w:val="0"/>
        <w:cs w:val="0"/>
      </w:rPr>
    </w:lvl>
  </w:abstractNum>
  <w:abstractNum w:abstractNumId="13">
    <w:nsid w:val="266D4F24"/>
    <w:multiLevelType w:val="hybridMultilevel"/>
    <w:tmpl w:val="C99886B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
    <w:nsid w:val="286E3C14"/>
    <w:multiLevelType w:val="hybridMultilevel"/>
    <w:tmpl w:val="C66A54A6"/>
    <w:lvl w:ilvl="0">
      <w:start w:val="1"/>
      <w:numFmt w:val="lowerLetter"/>
      <w:lvlText w:val="%1)"/>
      <w:lvlJc w:val="left"/>
      <w:pPr>
        <w:ind w:left="1211"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15">
    <w:nsid w:val="2CA43A60"/>
    <w:multiLevelType w:val="hybridMultilevel"/>
    <w:tmpl w:val="CE4840E8"/>
    <w:lvl w:ilvl="0">
      <w:start w:val="2"/>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E74469"/>
    <w:multiLevelType w:val="hybridMultilevel"/>
    <w:tmpl w:val="5BECE14A"/>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F4E7494"/>
    <w:multiLevelType w:val="hybridMultilevel"/>
    <w:tmpl w:val="287A3348"/>
    <w:lvl w:ilvl="0">
      <w:start w:val="1"/>
      <w:numFmt w:val="lowerLetter"/>
      <w:lvlText w:val="%1)"/>
      <w:lvlJc w:val="left"/>
      <w:pPr>
        <w:ind w:left="2415" w:hanging="360"/>
      </w:pPr>
      <w:rPr>
        <w:rFonts w:cs="Times New Roman"/>
        <w:rtl w:val="0"/>
        <w:cs w:val="0"/>
      </w:rPr>
    </w:lvl>
    <w:lvl w:ilvl="1">
      <w:start w:val="1"/>
      <w:numFmt w:val="lowerLetter"/>
      <w:lvlText w:val="%2."/>
      <w:lvlJc w:val="left"/>
      <w:pPr>
        <w:ind w:left="3135" w:hanging="360"/>
      </w:pPr>
      <w:rPr>
        <w:rFonts w:cs="Times New Roman"/>
        <w:rtl w:val="0"/>
        <w:cs w:val="0"/>
      </w:rPr>
    </w:lvl>
    <w:lvl w:ilvl="2">
      <w:start w:val="1"/>
      <w:numFmt w:val="lowerRoman"/>
      <w:lvlText w:val="%3."/>
      <w:lvlJc w:val="right"/>
      <w:pPr>
        <w:ind w:left="3855" w:hanging="180"/>
      </w:pPr>
      <w:rPr>
        <w:rFonts w:cs="Times New Roman"/>
        <w:rtl w:val="0"/>
        <w:cs w:val="0"/>
      </w:rPr>
    </w:lvl>
    <w:lvl w:ilvl="3">
      <w:start w:val="1"/>
      <w:numFmt w:val="decimal"/>
      <w:lvlText w:val="%4."/>
      <w:lvlJc w:val="left"/>
      <w:pPr>
        <w:ind w:left="4575" w:hanging="360"/>
      </w:pPr>
      <w:rPr>
        <w:rFonts w:cs="Times New Roman"/>
        <w:rtl w:val="0"/>
        <w:cs w:val="0"/>
      </w:rPr>
    </w:lvl>
    <w:lvl w:ilvl="4">
      <w:start w:val="1"/>
      <w:numFmt w:val="lowerLetter"/>
      <w:lvlText w:val="%5."/>
      <w:lvlJc w:val="left"/>
      <w:pPr>
        <w:ind w:left="5295" w:hanging="360"/>
      </w:pPr>
      <w:rPr>
        <w:rFonts w:cs="Times New Roman"/>
        <w:rtl w:val="0"/>
        <w:cs w:val="0"/>
      </w:rPr>
    </w:lvl>
    <w:lvl w:ilvl="5">
      <w:start w:val="1"/>
      <w:numFmt w:val="lowerRoman"/>
      <w:lvlText w:val="%6."/>
      <w:lvlJc w:val="right"/>
      <w:pPr>
        <w:ind w:left="6015" w:hanging="180"/>
      </w:pPr>
      <w:rPr>
        <w:rFonts w:cs="Times New Roman"/>
        <w:rtl w:val="0"/>
        <w:cs w:val="0"/>
      </w:rPr>
    </w:lvl>
    <w:lvl w:ilvl="6">
      <w:start w:val="1"/>
      <w:numFmt w:val="decimal"/>
      <w:lvlText w:val="%7."/>
      <w:lvlJc w:val="left"/>
      <w:pPr>
        <w:ind w:left="6735" w:hanging="360"/>
      </w:pPr>
      <w:rPr>
        <w:rFonts w:cs="Times New Roman"/>
        <w:rtl w:val="0"/>
        <w:cs w:val="0"/>
      </w:rPr>
    </w:lvl>
    <w:lvl w:ilvl="7">
      <w:start w:val="1"/>
      <w:numFmt w:val="lowerLetter"/>
      <w:lvlText w:val="%8."/>
      <w:lvlJc w:val="left"/>
      <w:pPr>
        <w:ind w:left="7455" w:hanging="360"/>
      </w:pPr>
      <w:rPr>
        <w:rFonts w:cs="Times New Roman"/>
        <w:rtl w:val="0"/>
        <w:cs w:val="0"/>
      </w:rPr>
    </w:lvl>
    <w:lvl w:ilvl="8">
      <w:start w:val="1"/>
      <w:numFmt w:val="lowerRoman"/>
      <w:lvlText w:val="%9."/>
      <w:lvlJc w:val="right"/>
      <w:pPr>
        <w:ind w:left="8175" w:hanging="180"/>
      </w:pPr>
      <w:rPr>
        <w:rFonts w:cs="Times New Roman"/>
        <w:rtl w:val="0"/>
        <w:cs w:val="0"/>
      </w:rPr>
    </w:lvl>
  </w:abstractNum>
  <w:abstractNum w:abstractNumId="18">
    <w:nsid w:val="2FDC3876"/>
    <w:multiLevelType w:val="hybridMultilevel"/>
    <w:tmpl w:val="322E62CE"/>
    <w:lvl w:ilvl="0">
      <w:start w:val="1"/>
      <w:numFmt w:val="decimal"/>
      <w:lvlText w:val="(%1)"/>
      <w:lvlJc w:val="left"/>
      <w:pPr>
        <w:ind w:left="1675" w:hanging="405"/>
      </w:pPr>
      <w:rPr>
        <w:rFonts w:cs="Times New Roman" w:hint="default"/>
        <w:rtl w:val="0"/>
        <w:cs w:val="0"/>
      </w:rPr>
    </w:lvl>
    <w:lvl w:ilvl="1">
      <w:start w:val="1"/>
      <w:numFmt w:val="lowerLetter"/>
      <w:lvlText w:val="%2."/>
      <w:lvlJc w:val="left"/>
      <w:pPr>
        <w:ind w:left="2350" w:hanging="360"/>
      </w:pPr>
      <w:rPr>
        <w:rFonts w:cs="Times New Roman"/>
        <w:rtl w:val="0"/>
        <w:cs w:val="0"/>
      </w:rPr>
    </w:lvl>
    <w:lvl w:ilvl="2">
      <w:start w:val="1"/>
      <w:numFmt w:val="lowerRoman"/>
      <w:lvlText w:val="%3."/>
      <w:lvlJc w:val="right"/>
      <w:pPr>
        <w:ind w:left="3070" w:hanging="180"/>
      </w:pPr>
      <w:rPr>
        <w:rFonts w:cs="Times New Roman"/>
        <w:rtl w:val="0"/>
        <w:cs w:val="0"/>
      </w:rPr>
    </w:lvl>
    <w:lvl w:ilvl="3">
      <w:start w:val="1"/>
      <w:numFmt w:val="decimal"/>
      <w:lvlText w:val="%4."/>
      <w:lvlJc w:val="left"/>
      <w:pPr>
        <w:ind w:left="3790" w:hanging="360"/>
      </w:pPr>
      <w:rPr>
        <w:rFonts w:cs="Times New Roman"/>
        <w:rtl w:val="0"/>
        <w:cs w:val="0"/>
      </w:rPr>
    </w:lvl>
    <w:lvl w:ilvl="4">
      <w:start w:val="1"/>
      <w:numFmt w:val="lowerLetter"/>
      <w:lvlText w:val="%5."/>
      <w:lvlJc w:val="left"/>
      <w:pPr>
        <w:ind w:left="4510" w:hanging="360"/>
      </w:pPr>
      <w:rPr>
        <w:rFonts w:cs="Times New Roman"/>
        <w:rtl w:val="0"/>
        <w:cs w:val="0"/>
      </w:rPr>
    </w:lvl>
    <w:lvl w:ilvl="5">
      <w:start w:val="1"/>
      <w:numFmt w:val="lowerRoman"/>
      <w:lvlText w:val="%6."/>
      <w:lvlJc w:val="right"/>
      <w:pPr>
        <w:ind w:left="5230" w:hanging="180"/>
      </w:pPr>
      <w:rPr>
        <w:rFonts w:cs="Times New Roman"/>
        <w:rtl w:val="0"/>
        <w:cs w:val="0"/>
      </w:rPr>
    </w:lvl>
    <w:lvl w:ilvl="6">
      <w:start w:val="1"/>
      <w:numFmt w:val="decimal"/>
      <w:lvlText w:val="%7."/>
      <w:lvlJc w:val="left"/>
      <w:pPr>
        <w:ind w:left="5950" w:hanging="360"/>
      </w:pPr>
      <w:rPr>
        <w:rFonts w:cs="Times New Roman"/>
        <w:rtl w:val="0"/>
        <w:cs w:val="0"/>
      </w:rPr>
    </w:lvl>
    <w:lvl w:ilvl="7">
      <w:start w:val="1"/>
      <w:numFmt w:val="lowerLetter"/>
      <w:lvlText w:val="%8."/>
      <w:lvlJc w:val="left"/>
      <w:pPr>
        <w:ind w:left="6670" w:hanging="360"/>
      </w:pPr>
      <w:rPr>
        <w:rFonts w:cs="Times New Roman"/>
        <w:rtl w:val="0"/>
        <w:cs w:val="0"/>
      </w:rPr>
    </w:lvl>
    <w:lvl w:ilvl="8">
      <w:start w:val="1"/>
      <w:numFmt w:val="lowerRoman"/>
      <w:lvlText w:val="%9."/>
      <w:lvlJc w:val="right"/>
      <w:pPr>
        <w:ind w:left="7390" w:hanging="180"/>
      </w:pPr>
      <w:rPr>
        <w:rFonts w:cs="Times New Roman"/>
        <w:rtl w:val="0"/>
        <w:cs w:val="0"/>
      </w:rPr>
    </w:lvl>
  </w:abstractNum>
  <w:abstractNum w:abstractNumId="19">
    <w:nsid w:val="33E10911"/>
    <w:multiLevelType w:val="hybridMultilevel"/>
    <w:tmpl w:val="48E84B02"/>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380E47"/>
    <w:multiLevelType w:val="hybridMultilevel"/>
    <w:tmpl w:val="B2C492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4">
    <w:nsid w:val="464E6845"/>
    <w:multiLevelType w:val="hybridMultilevel"/>
    <w:tmpl w:val="31EA5B8E"/>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CB57BF4"/>
    <w:multiLevelType w:val="hybridMultilevel"/>
    <w:tmpl w:val="6AAA5F84"/>
    <w:lvl w:ilvl="0">
      <w:start w:val="1"/>
      <w:numFmt w:val="decimal"/>
      <w:lvlText w:val="(%1)"/>
      <w:lvlJc w:val="left"/>
      <w:pPr>
        <w:ind w:left="499" w:hanging="360"/>
      </w:pPr>
      <w:rPr>
        <w:rFonts w:cs="Times New Roman" w:hint="default"/>
        <w:rtl w:val="0"/>
        <w:cs w:val="0"/>
      </w:rPr>
    </w:lvl>
    <w:lvl w:ilvl="1">
      <w:start w:val="1"/>
      <w:numFmt w:val="lowerLetter"/>
      <w:lvlText w:val="%2."/>
      <w:lvlJc w:val="left"/>
      <w:pPr>
        <w:ind w:left="1219" w:hanging="360"/>
      </w:pPr>
      <w:rPr>
        <w:rFonts w:cs="Times New Roman"/>
        <w:rtl w:val="0"/>
        <w:cs w:val="0"/>
      </w:rPr>
    </w:lvl>
    <w:lvl w:ilvl="2">
      <w:start w:val="1"/>
      <w:numFmt w:val="lowerRoman"/>
      <w:lvlText w:val="%3."/>
      <w:lvlJc w:val="right"/>
      <w:pPr>
        <w:ind w:left="1939" w:hanging="180"/>
      </w:pPr>
      <w:rPr>
        <w:rFonts w:cs="Times New Roman"/>
        <w:rtl w:val="0"/>
        <w:cs w:val="0"/>
      </w:rPr>
    </w:lvl>
    <w:lvl w:ilvl="3">
      <w:start w:val="1"/>
      <w:numFmt w:val="decimal"/>
      <w:lvlText w:val="%4."/>
      <w:lvlJc w:val="left"/>
      <w:pPr>
        <w:ind w:left="2659" w:hanging="360"/>
      </w:pPr>
      <w:rPr>
        <w:rFonts w:cs="Times New Roman"/>
        <w:rtl w:val="0"/>
        <w:cs w:val="0"/>
      </w:rPr>
    </w:lvl>
    <w:lvl w:ilvl="4">
      <w:start w:val="1"/>
      <w:numFmt w:val="lowerLetter"/>
      <w:lvlText w:val="%5."/>
      <w:lvlJc w:val="left"/>
      <w:pPr>
        <w:ind w:left="3379" w:hanging="360"/>
      </w:pPr>
      <w:rPr>
        <w:rFonts w:cs="Times New Roman"/>
        <w:rtl w:val="0"/>
        <w:cs w:val="0"/>
      </w:rPr>
    </w:lvl>
    <w:lvl w:ilvl="5">
      <w:start w:val="1"/>
      <w:numFmt w:val="lowerRoman"/>
      <w:lvlText w:val="%6."/>
      <w:lvlJc w:val="right"/>
      <w:pPr>
        <w:ind w:left="4099" w:hanging="180"/>
      </w:pPr>
      <w:rPr>
        <w:rFonts w:cs="Times New Roman"/>
        <w:rtl w:val="0"/>
        <w:cs w:val="0"/>
      </w:rPr>
    </w:lvl>
    <w:lvl w:ilvl="6">
      <w:start w:val="1"/>
      <w:numFmt w:val="decimal"/>
      <w:lvlText w:val="%7."/>
      <w:lvlJc w:val="left"/>
      <w:pPr>
        <w:ind w:left="4819" w:hanging="360"/>
      </w:pPr>
      <w:rPr>
        <w:rFonts w:cs="Times New Roman"/>
        <w:rtl w:val="0"/>
        <w:cs w:val="0"/>
      </w:rPr>
    </w:lvl>
    <w:lvl w:ilvl="7">
      <w:start w:val="1"/>
      <w:numFmt w:val="lowerLetter"/>
      <w:lvlText w:val="%8."/>
      <w:lvlJc w:val="left"/>
      <w:pPr>
        <w:ind w:left="5539" w:hanging="360"/>
      </w:pPr>
      <w:rPr>
        <w:rFonts w:cs="Times New Roman"/>
        <w:rtl w:val="0"/>
        <w:cs w:val="0"/>
      </w:rPr>
    </w:lvl>
    <w:lvl w:ilvl="8">
      <w:start w:val="1"/>
      <w:numFmt w:val="lowerRoman"/>
      <w:lvlText w:val="%9."/>
      <w:lvlJc w:val="right"/>
      <w:pPr>
        <w:ind w:left="6259" w:hanging="180"/>
      </w:pPr>
      <w:rPr>
        <w:rFonts w:cs="Times New Roman"/>
        <w:rtl w:val="0"/>
        <w:cs w:val="0"/>
      </w:rPr>
    </w:lvl>
  </w:abstractNum>
  <w:abstractNum w:abstractNumId="2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DDA3849"/>
    <w:multiLevelType w:val="hybridMultilevel"/>
    <w:tmpl w:val="C066C100"/>
    <w:lvl w:ilvl="0">
      <w:start w:val="1"/>
      <w:numFmt w:val="decimal"/>
      <w:lvlText w:val="(%1)"/>
      <w:lvlJc w:val="left"/>
      <w:pPr>
        <w:ind w:left="413" w:hanging="390"/>
      </w:pPr>
      <w:rPr>
        <w:rFonts w:cs="Times New Roman" w:hint="default"/>
        <w:rtl w:val="0"/>
        <w:cs w:val="0"/>
      </w:rPr>
    </w:lvl>
    <w:lvl w:ilvl="1">
      <w:start w:val="1"/>
      <w:numFmt w:val="lowerLetter"/>
      <w:lvlText w:val="%2."/>
      <w:lvlJc w:val="left"/>
      <w:pPr>
        <w:ind w:left="1103" w:hanging="360"/>
      </w:pPr>
      <w:rPr>
        <w:rFonts w:cs="Times New Roman"/>
        <w:rtl w:val="0"/>
        <w:cs w:val="0"/>
      </w:rPr>
    </w:lvl>
    <w:lvl w:ilvl="2">
      <w:start w:val="1"/>
      <w:numFmt w:val="lowerRoman"/>
      <w:lvlText w:val="%3."/>
      <w:lvlJc w:val="right"/>
      <w:pPr>
        <w:ind w:left="1823" w:hanging="180"/>
      </w:pPr>
      <w:rPr>
        <w:rFonts w:cs="Times New Roman"/>
        <w:rtl w:val="0"/>
        <w:cs w:val="0"/>
      </w:rPr>
    </w:lvl>
    <w:lvl w:ilvl="3">
      <w:start w:val="1"/>
      <w:numFmt w:val="decimal"/>
      <w:lvlText w:val="%4."/>
      <w:lvlJc w:val="left"/>
      <w:pPr>
        <w:ind w:left="2543" w:hanging="360"/>
      </w:pPr>
      <w:rPr>
        <w:rFonts w:cs="Times New Roman"/>
        <w:rtl w:val="0"/>
        <w:cs w:val="0"/>
      </w:rPr>
    </w:lvl>
    <w:lvl w:ilvl="4">
      <w:start w:val="1"/>
      <w:numFmt w:val="lowerLetter"/>
      <w:lvlText w:val="%5."/>
      <w:lvlJc w:val="left"/>
      <w:pPr>
        <w:ind w:left="3263" w:hanging="360"/>
      </w:pPr>
      <w:rPr>
        <w:rFonts w:cs="Times New Roman"/>
        <w:rtl w:val="0"/>
        <w:cs w:val="0"/>
      </w:rPr>
    </w:lvl>
    <w:lvl w:ilvl="5">
      <w:start w:val="1"/>
      <w:numFmt w:val="lowerRoman"/>
      <w:lvlText w:val="%6."/>
      <w:lvlJc w:val="right"/>
      <w:pPr>
        <w:ind w:left="3983" w:hanging="180"/>
      </w:pPr>
      <w:rPr>
        <w:rFonts w:cs="Times New Roman"/>
        <w:rtl w:val="0"/>
        <w:cs w:val="0"/>
      </w:rPr>
    </w:lvl>
    <w:lvl w:ilvl="6">
      <w:start w:val="1"/>
      <w:numFmt w:val="decimal"/>
      <w:lvlText w:val="%7."/>
      <w:lvlJc w:val="left"/>
      <w:pPr>
        <w:ind w:left="4703" w:hanging="360"/>
      </w:pPr>
      <w:rPr>
        <w:rFonts w:cs="Times New Roman"/>
        <w:rtl w:val="0"/>
        <w:cs w:val="0"/>
      </w:rPr>
    </w:lvl>
    <w:lvl w:ilvl="7">
      <w:start w:val="1"/>
      <w:numFmt w:val="lowerLetter"/>
      <w:lvlText w:val="%8."/>
      <w:lvlJc w:val="left"/>
      <w:pPr>
        <w:ind w:left="5423" w:hanging="360"/>
      </w:pPr>
      <w:rPr>
        <w:rFonts w:cs="Times New Roman"/>
        <w:rtl w:val="0"/>
        <w:cs w:val="0"/>
      </w:rPr>
    </w:lvl>
    <w:lvl w:ilvl="8">
      <w:start w:val="1"/>
      <w:numFmt w:val="lowerRoman"/>
      <w:lvlText w:val="%9."/>
      <w:lvlJc w:val="right"/>
      <w:pPr>
        <w:ind w:left="6143" w:hanging="180"/>
      </w:pPr>
      <w:rPr>
        <w:rFonts w:cs="Times New Roman"/>
        <w:rtl w:val="0"/>
        <w:cs w:val="0"/>
      </w:rPr>
    </w:lvl>
  </w:abstractNum>
  <w:abstractNum w:abstractNumId="31">
    <w:nsid w:val="5E6171F8"/>
    <w:multiLevelType w:val="hybridMultilevel"/>
    <w:tmpl w:val="19B23600"/>
    <w:lvl w:ilvl="0">
      <w:start w:val="1"/>
      <w:numFmt w:val="lowerLetter"/>
      <w:lvlText w:val="%1)"/>
      <w:lvlJc w:val="left"/>
      <w:pPr>
        <w:ind w:left="2847" w:hanging="360"/>
      </w:pPr>
      <w:rPr>
        <w:rFonts w:cs="Times New Roman"/>
        <w:rtl w:val="0"/>
        <w:cs w:val="0"/>
      </w:rPr>
    </w:lvl>
    <w:lvl w:ilvl="1">
      <w:start w:val="1"/>
      <w:numFmt w:val="lowerLetter"/>
      <w:lvlText w:val="%2."/>
      <w:lvlJc w:val="left"/>
      <w:pPr>
        <w:ind w:left="3567" w:hanging="360"/>
      </w:pPr>
      <w:rPr>
        <w:rFonts w:cs="Times New Roman"/>
        <w:rtl w:val="0"/>
        <w:cs w:val="0"/>
      </w:rPr>
    </w:lvl>
    <w:lvl w:ilvl="2">
      <w:start w:val="1"/>
      <w:numFmt w:val="lowerRoman"/>
      <w:lvlText w:val="%3."/>
      <w:lvlJc w:val="right"/>
      <w:pPr>
        <w:ind w:left="4287" w:hanging="180"/>
      </w:pPr>
      <w:rPr>
        <w:rFonts w:cs="Times New Roman"/>
        <w:rtl w:val="0"/>
        <w:cs w:val="0"/>
      </w:rPr>
    </w:lvl>
    <w:lvl w:ilvl="3">
      <w:start w:val="1"/>
      <w:numFmt w:val="decimal"/>
      <w:lvlText w:val="%4."/>
      <w:lvlJc w:val="left"/>
      <w:pPr>
        <w:ind w:left="5007" w:hanging="360"/>
      </w:pPr>
      <w:rPr>
        <w:rFonts w:cs="Times New Roman"/>
        <w:rtl w:val="0"/>
        <w:cs w:val="0"/>
      </w:rPr>
    </w:lvl>
    <w:lvl w:ilvl="4">
      <w:start w:val="1"/>
      <w:numFmt w:val="lowerLetter"/>
      <w:lvlText w:val="%5."/>
      <w:lvlJc w:val="left"/>
      <w:pPr>
        <w:ind w:left="5727" w:hanging="360"/>
      </w:pPr>
      <w:rPr>
        <w:rFonts w:cs="Times New Roman"/>
        <w:rtl w:val="0"/>
        <w:cs w:val="0"/>
      </w:rPr>
    </w:lvl>
    <w:lvl w:ilvl="5">
      <w:start w:val="1"/>
      <w:numFmt w:val="lowerRoman"/>
      <w:lvlText w:val="%6."/>
      <w:lvlJc w:val="right"/>
      <w:pPr>
        <w:ind w:left="6447" w:hanging="180"/>
      </w:pPr>
      <w:rPr>
        <w:rFonts w:cs="Times New Roman"/>
        <w:rtl w:val="0"/>
        <w:cs w:val="0"/>
      </w:rPr>
    </w:lvl>
    <w:lvl w:ilvl="6">
      <w:start w:val="1"/>
      <w:numFmt w:val="decimal"/>
      <w:lvlText w:val="%7."/>
      <w:lvlJc w:val="left"/>
      <w:pPr>
        <w:ind w:left="7167" w:hanging="360"/>
      </w:pPr>
      <w:rPr>
        <w:rFonts w:cs="Times New Roman"/>
        <w:rtl w:val="0"/>
        <w:cs w:val="0"/>
      </w:rPr>
    </w:lvl>
    <w:lvl w:ilvl="7">
      <w:start w:val="1"/>
      <w:numFmt w:val="lowerLetter"/>
      <w:lvlText w:val="%8."/>
      <w:lvlJc w:val="left"/>
      <w:pPr>
        <w:ind w:left="7887" w:hanging="360"/>
      </w:pPr>
      <w:rPr>
        <w:rFonts w:cs="Times New Roman"/>
        <w:rtl w:val="0"/>
        <w:cs w:val="0"/>
      </w:rPr>
    </w:lvl>
    <w:lvl w:ilvl="8">
      <w:start w:val="1"/>
      <w:numFmt w:val="lowerRoman"/>
      <w:lvlText w:val="%9."/>
      <w:lvlJc w:val="right"/>
      <w:pPr>
        <w:ind w:left="8607" w:hanging="180"/>
      </w:pPr>
      <w:rPr>
        <w:rFonts w:cs="Times New Roman"/>
        <w:rtl w:val="0"/>
        <w:cs w:val="0"/>
      </w:rPr>
    </w:lvl>
  </w:abstractNum>
  <w:abstractNum w:abstractNumId="32">
    <w:nsid w:val="65523604"/>
    <w:multiLevelType w:val="hybridMultilevel"/>
    <w:tmpl w:val="FE746A6A"/>
    <w:lvl w:ilvl="0">
      <w:start w:val="1"/>
      <w:numFmt w:val="lowerLetter"/>
      <w:lvlText w:val="%1)"/>
      <w:lvlJc w:val="left"/>
      <w:pPr>
        <w:ind w:left="1849" w:hanging="360"/>
      </w:pPr>
      <w:rPr>
        <w:rFonts w:cs="Times New Roman"/>
        <w:rtl w:val="0"/>
        <w:cs w:val="0"/>
      </w:rPr>
    </w:lvl>
    <w:lvl w:ilvl="1">
      <w:start w:val="1"/>
      <w:numFmt w:val="lowerLetter"/>
      <w:lvlText w:val="%2."/>
      <w:lvlJc w:val="left"/>
      <w:pPr>
        <w:ind w:left="2569" w:hanging="360"/>
      </w:pPr>
      <w:rPr>
        <w:rFonts w:cs="Times New Roman"/>
        <w:rtl w:val="0"/>
        <w:cs w:val="0"/>
      </w:rPr>
    </w:lvl>
    <w:lvl w:ilvl="2">
      <w:start w:val="1"/>
      <w:numFmt w:val="lowerRoman"/>
      <w:lvlText w:val="%3."/>
      <w:lvlJc w:val="right"/>
      <w:pPr>
        <w:ind w:left="3289" w:hanging="180"/>
      </w:pPr>
      <w:rPr>
        <w:rFonts w:cs="Times New Roman"/>
        <w:rtl w:val="0"/>
        <w:cs w:val="0"/>
      </w:rPr>
    </w:lvl>
    <w:lvl w:ilvl="3">
      <w:start w:val="1"/>
      <w:numFmt w:val="decimal"/>
      <w:lvlText w:val="%4."/>
      <w:lvlJc w:val="left"/>
      <w:pPr>
        <w:ind w:left="4009" w:hanging="360"/>
      </w:pPr>
      <w:rPr>
        <w:rFonts w:cs="Times New Roman"/>
        <w:rtl w:val="0"/>
        <w:cs w:val="0"/>
      </w:rPr>
    </w:lvl>
    <w:lvl w:ilvl="4">
      <w:start w:val="1"/>
      <w:numFmt w:val="lowerLetter"/>
      <w:lvlText w:val="%5."/>
      <w:lvlJc w:val="left"/>
      <w:pPr>
        <w:ind w:left="4729" w:hanging="360"/>
      </w:pPr>
      <w:rPr>
        <w:rFonts w:cs="Times New Roman"/>
        <w:rtl w:val="0"/>
        <w:cs w:val="0"/>
      </w:rPr>
    </w:lvl>
    <w:lvl w:ilvl="5">
      <w:start w:val="1"/>
      <w:numFmt w:val="lowerRoman"/>
      <w:lvlText w:val="%6."/>
      <w:lvlJc w:val="right"/>
      <w:pPr>
        <w:ind w:left="5449" w:hanging="180"/>
      </w:pPr>
      <w:rPr>
        <w:rFonts w:cs="Times New Roman"/>
        <w:rtl w:val="0"/>
        <w:cs w:val="0"/>
      </w:rPr>
    </w:lvl>
    <w:lvl w:ilvl="6">
      <w:start w:val="1"/>
      <w:numFmt w:val="decimal"/>
      <w:lvlText w:val="%7."/>
      <w:lvlJc w:val="left"/>
      <w:pPr>
        <w:ind w:left="6169" w:hanging="360"/>
      </w:pPr>
      <w:rPr>
        <w:rFonts w:cs="Times New Roman"/>
        <w:rtl w:val="0"/>
        <w:cs w:val="0"/>
      </w:rPr>
    </w:lvl>
    <w:lvl w:ilvl="7">
      <w:start w:val="1"/>
      <w:numFmt w:val="lowerLetter"/>
      <w:lvlText w:val="%8."/>
      <w:lvlJc w:val="left"/>
      <w:pPr>
        <w:ind w:left="6889" w:hanging="360"/>
      </w:pPr>
      <w:rPr>
        <w:rFonts w:cs="Times New Roman"/>
        <w:rtl w:val="0"/>
        <w:cs w:val="0"/>
      </w:rPr>
    </w:lvl>
    <w:lvl w:ilvl="8">
      <w:start w:val="1"/>
      <w:numFmt w:val="lowerRoman"/>
      <w:lvlText w:val="%9."/>
      <w:lvlJc w:val="right"/>
      <w:pPr>
        <w:ind w:left="7609" w:hanging="180"/>
      </w:pPr>
      <w:rPr>
        <w:rFonts w:cs="Times New Roman"/>
        <w:rtl w:val="0"/>
        <w:cs w:val="0"/>
      </w:rPr>
    </w:lvl>
  </w:abstractNum>
  <w:abstractNum w:abstractNumId="33">
    <w:nsid w:val="663670ED"/>
    <w:multiLevelType w:val="hybridMultilevel"/>
    <w:tmpl w:val="2CF05F98"/>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4">
    <w:nsid w:val="705E13AA"/>
    <w:multiLevelType w:val="hybridMultilevel"/>
    <w:tmpl w:val="75F4829E"/>
    <w:lvl w:ilvl="0">
      <w:start w:val="1"/>
      <w:numFmt w:val="decimal"/>
      <w:lvlText w:val="(%1)"/>
      <w:lvlJc w:val="left"/>
      <w:pPr>
        <w:ind w:left="615" w:hanging="375"/>
      </w:pPr>
      <w:rPr>
        <w:rFonts w:cs="Times New Roman" w:hint="default"/>
        <w:rtl w:val="0"/>
        <w:cs w:val="0"/>
      </w:rPr>
    </w:lvl>
    <w:lvl w:ilvl="1">
      <w:start w:val="1"/>
      <w:numFmt w:val="lowerLetter"/>
      <w:lvlText w:val="%2."/>
      <w:lvlJc w:val="left"/>
      <w:pPr>
        <w:ind w:left="1320" w:hanging="360"/>
      </w:pPr>
      <w:rPr>
        <w:rFonts w:cs="Times New Roman"/>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35">
    <w:nsid w:val="71395D7E"/>
    <w:multiLevelType w:val="hybridMultilevel"/>
    <w:tmpl w:val="1E38BB04"/>
    <w:lvl w:ilvl="0">
      <w:start w:val="1"/>
      <w:numFmt w:val="decimal"/>
      <w:lvlText w:val="(%1)"/>
      <w:lvlJc w:val="left"/>
      <w:pPr>
        <w:ind w:left="600" w:hanging="360"/>
      </w:pPr>
      <w:rPr>
        <w:rFonts w:cs="Times New Roman" w:hint="default"/>
        <w:rtl w:val="0"/>
        <w:cs w:val="0"/>
      </w:rPr>
    </w:lvl>
    <w:lvl w:ilvl="1">
      <w:start w:val="1"/>
      <w:numFmt w:val="lowerLetter"/>
      <w:lvlText w:val="%2."/>
      <w:lvlJc w:val="left"/>
      <w:pPr>
        <w:ind w:left="1320" w:hanging="360"/>
      </w:pPr>
      <w:rPr>
        <w:rFonts w:cs="Times New Roman"/>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36">
    <w:nsid w:val="719065AB"/>
    <w:multiLevelType w:val="hybridMultilevel"/>
    <w:tmpl w:val="5142D162"/>
    <w:lvl w:ilvl="0">
      <w:start w:val="1"/>
      <w:numFmt w:val="lowerLetter"/>
      <w:lvlText w:val="%1)"/>
      <w:lvlJc w:val="left"/>
      <w:pPr>
        <w:ind w:left="2118" w:hanging="360"/>
      </w:pPr>
      <w:rPr>
        <w:rFonts w:cs="Times New Roman"/>
        <w:rtl w:val="0"/>
        <w:cs w:val="0"/>
      </w:rPr>
    </w:lvl>
    <w:lvl w:ilvl="1">
      <w:start w:val="1"/>
      <w:numFmt w:val="lowerLetter"/>
      <w:lvlText w:val="%2."/>
      <w:lvlJc w:val="left"/>
      <w:pPr>
        <w:ind w:left="2838" w:hanging="360"/>
      </w:pPr>
      <w:rPr>
        <w:rFonts w:cs="Times New Roman"/>
        <w:rtl w:val="0"/>
        <w:cs w:val="0"/>
      </w:rPr>
    </w:lvl>
    <w:lvl w:ilvl="2">
      <w:start w:val="1"/>
      <w:numFmt w:val="lowerRoman"/>
      <w:lvlText w:val="%3."/>
      <w:lvlJc w:val="right"/>
      <w:pPr>
        <w:ind w:left="3558" w:hanging="180"/>
      </w:pPr>
      <w:rPr>
        <w:rFonts w:cs="Times New Roman"/>
        <w:rtl w:val="0"/>
        <w:cs w:val="0"/>
      </w:rPr>
    </w:lvl>
    <w:lvl w:ilvl="3">
      <w:start w:val="1"/>
      <w:numFmt w:val="decimal"/>
      <w:lvlText w:val="%4."/>
      <w:lvlJc w:val="left"/>
      <w:pPr>
        <w:ind w:left="4278" w:hanging="360"/>
      </w:pPr>
      <w:rPr>
        <w:rFonts w:cs="Times New Roman"/>
        <w:rtl w:val="0"/>
        <w:cs w:val="0"/>
      </w:rPr>
    </w:lvl>
    <w:lvl w:ilvl="4">
      <w:start w:val="1"/>
      <w:numFmt w:val="lowerLetter"/>
      <w:lvlText w:val="%5."/>
      <w:lvlJc w:val="left"/>
      <w:pPr>
        <w:ind w:left="4998" w:hanging="360"/>
      </w:pPr>
      <w:rPr>
        <w:rFonts w:cs="Times New Roman"/>
        <w:rtl w:val="0"/>
        <w:cs w:val="0"/>
      </w:rPr>
    </w:lvl>
    <w:lvl w:ilvl="5">
      <w:start w:val="1"/>
      <w:numFmt w:val="lowerRoman"/>
      <w:lvlText w:val="%6."/>
      <w:lvlJc w:val="right"/>
      <w:pPr>
        <w:ind w:left="5718" w:hanging="180"/>
      </w:pPr>
      <w:rPr>
        <w:rFonts w:cs="Times New Roman"/>
        <w:rtl w:val="0"/>
        <w:cs w:val="0"/>
      </w:rPr>
    </w:lvl>
    <w:lvl w:ilvl="6">
      <w:start w:val="1"/>
      <w:numFmt w:val="decimal"/>
      <w:lvlText w:val="%7."/>
      <w:lvlJc w:val="left"/>
      <w:pPr>
        <w:ind w:left="6438" w:hanging="360"/>
      </w:pPr>
      <w:rPr>
        <w:rFonts w:cs="Times New Roman"/>
        <w:rtl w:val="0"/>
        <w:cs w:val="0"/>
      </w:rPr>
    </w:lvl>
    <w:lvl w:ilvl="7">
      <w:start w:val="1"/>
      <w:numFmt w:val="lowerLetter"/>
      <w:lvlText w:val="%8."/>
      <w:lvlJc w:val="left"/>
      <w:pPr>
        <w:ind w:left="7158" w:hanging="360"/>
      </w:pPr>
      <w:rPr>
        <w:rFonts w:cs="Times New Roman"/>
        <w:rtl w:val="0"/>
        <w:cs w:val="0"/>
      </w:rPr>
    </w:lvl>
    <w:lvl w:ilvl="8">
      <w:start w:val="1"/>
      <w:numFmt w:val="lowerRoman"/>
      <w:lvlText w:val="%9."/>
      <w:lvlJc w:val="right"/>
      <w:pPr>
        <w:ind w:left="7878" w:hanging="180"/>
      </w:pPr>
      <w:rPr>
        <w:rFonts w:cs="Times New Roman"/>
        <w:rtl w:val="0"/>
        <w:cs w:val="0"/>
      </w:rPr>
    </w:lvl>
  </w:abstractNum>
  <w:abstractNum w:abstractNumId="37">
    <w:nsid w:val="72236C24"/>
    <w:multiLevelType w:val="hybridMultilevel"/>
    <w:tmpl w:val="E10AFBE8"/>
    <w:lvl w:ilvl="0">
      <w:start w:val="1"/>
      <w:numFmt w:val="lowerLetter"/>
      <w:lvlText w:val="%1)"/>
      <w:lvlJc w:val="left"/>
      <w:pPr>
        <w:ind w:left="615" w:hanging="375"/>
      </w:pPr>
      <w:rPr>
        <w:rFonts w:cs="Times New Roman" w:hint="default"/>
        <w:rtl w:val="0"/>
        <w:cs w:val="0"/>
      </w:rPr>
    </w:lvl>
    <w:lvl w:ilvl="1">
      <w:start w:val="1"/>
      <w:numFmt w:val="lowerLetter"/>
      <w:lvlText w:val="%2."/>
      <w:lvlJc w:val="left"/>
      <w:pPr>
        <w:ind w:left="1320" w:hanging="360"/>
      </w:pPr>
      <w:rPr>
        <w:rFonts w:cs="Times New Roman"/>
        <w:rtl w:val="0"/>
        <w:cs w:val="0"/>
      </w:rPr>
    </w:lvl>
    <w:lvl w:ilvl="2">
      <w:start w:val="1"/>
      <w:numFmt w:val="lowerRoman"/>
      <w:lvlText w:val="%3."/>
      <w:lvlJc w:val="right"/>
      <w:pPr>
        <w:ind w:left="2040" w:hanging="180"/>
      </w:pPr>
      <w:rPr>
        <w:rFonts w:cs="Times New Roman"/>
        <w:rtl w:val="0"/>
        <w:cs w:val="0"/>
      </w:rPr>
    </w:lvl>
    <w:lvl w:ilvl="3">
      <w:start w:val="1"/>
      <w:numFmt w:val="decimal"/>
      <w:lvlText w:val="%4."/>
      <w:lvlJc w:val="left"/>
      <w:pPr>
        <w:ind w:left="2760" w:hanging="360"/>
      </w:pPr>
      <w:rPr>
        <w:rFonts w:cs="Times New Roman"/>
        <w:rtl w:val="0"/>
        <w:cs w:val="0"/>
      </w:rPr>
    </w:lvl>
    <w:lvl w:ilvl="4">
      <w:start w:val="1"/>
      <w:numFmt w:val="lowerLetter"/>
      <w:lvlText w:val="%5."/>
      <w:lvlJc w:val="left"/>
      <w:pPr>
        <w:ind w:left="3480" w:hanging="360"/>
      </w:pPr>
      <w:rPr>
        <w:rFonts w:cs="Times New Roman"/>
        <w:rtl w:val="0"/>
        <w:cs w:val="0"/>
      </w:rPr>
    </w:lvl>
    <w:lvl w:ilvl="5">
      <w:start w:val="1"/>
      <w:numFmt w:val="lowerRoman"/>
      <w:lvlText w:val="%6."/>
      <w:lvlJc w:val="right"/>
      <w:pPr>
        <w:ind w:left="4200" w:hanging="180"/>
      </w:pPr>
      <w:rPr>
        <w:rFonts w:cs="Times New Roman"/>
        <w:rtl w:val="0"/>
        <w:cs w:val="0"/>
      </w:rPr>
    </w:lvl>
    <w:lvl w:ilvl="6">
      <w:start w:val="1"/>
      <w:numFmt w:val="decimal"/>
      <w:lvlText w:val="%7."/>
      <w:lvlJc w:val="left"/>
      <w:pPr>
        <w:ind w:left="4920" w:hanging="360"/>
      </w:pPr>
      <w:rPr>
        <w:rFonts w:cs="Times New Roman"/>
        <w:rtl w:val="0"/>
        <w:cs w:val="0"/>
      </w:rPr>
    </w:lvl>
    <w:lvl w:ilvl="7">
      <w:start w:val="1"/>
      <w:numFmt w:val="lowerLetter"/>
      <w:lvlText w:val="%8."/>
      <w:lvlJc w:val="left"/>
      <w:pPr>
        <w:ind w:left="5640" w:hanging="360"/>
      </w:pPr>
      <w:rPr>
        <w:rFonts w:cs="Times New Roman"/>
        <w:rtl w:val="0"/>
        <w:cs w:val="0"/>
      </w:rPr>
    </w:lvl>
    <w:lvl w:ilvl="8">
      <w:start w:val="1"/>
      <w:numFmt w:val="lowerRoman"/>
      <w:lvlText w:val="%9."/>
      <w:lvlJc w:val="right"/>
      <w:pPr>
        <w:ind w:left="6360" w:hanging="180"/>
      </w:pPr>
      <w:rPr>
        <w:rFonts w:cs="Times New Roman"/>
        <w:rtl w:val="0"/>
        <w:cs w:val="0"/>
      </w:rPr>
    </w:lvl>
  </w:abstractNum>
  <w:abstractNum w:abstractNumId="38">
    <w:nsid w:val="7AE87458"/>
    <w:multiLevelType w:val="hybridMultilevel"/>
    <w:tmpl w:val="4316F7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9">
    <w:nsid w:val="7B6A68DF"/>
    <w:multiLevelType w:val="hybridMultilevel"/>
    <w:tmpl w:val="1AC4128E"/>
    <w:lvl w:ilvl="0">
      <w:start w:val="1"/>
      <w:numFmt w:val="decimal"/>
      <w:lvlText w:val="%1."/>
      <w:lvlJc w:val="left"/>
      <w:pPr>
        <w:ind w:left="1430" w:hanging="360"/>
      </w:pPr>
      <w:rPr>
        <w:rFonts w:cs="Times New Roman" w:hint="default"/>
        <w:i w:val="0"/>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7B9B3FBF"/>
    <w:multiLevelType w:val="hybridMultilevel"/>
    <w:tmpl w:val="0BD4FDE4"/>
    <w:lvl w:ilvl="0">
      <w:start w:val="1"/>
      <w:numFmt w:val="decimal"/>
      <w:lvlText w:val="(%1)"/>
      <w:lvlJc w:val="left"/>
      <w:pPr>
        <w:ind w:left="1534" w:hanging="405"/>
      </w:pPr>
      <w:rPr>
        <w:rFonts w:cs="Times New Roman" w:hint="default"/>
        <w:rtl w:val="0"/>
        <w:cs w:val="0"/>
      </w:rPr>
    </w:lvl>
    <w:lvl w:ilvl="1">
      <w:start w:val="1"/>
      <w:numFmt w:val="lowerLetter"/>
      <w:lvlText w:val="%2."/>
      <w:lvlJc w:val="left"/>
      <w:pPr>
        <w:ind w:left="2209" w:hanging="360"/>
      </w:pPr>
      <w:rPr>
        <w:rFonts w:cs="Times New Roman"/>
        <w:rtl w:val="0"/>
        <w:cs w:val="0"/>
      </w:rPr>
    </w:lvl>
    <w:lvl w:ilvl="2">
      <w:start w:val="1"/>
      <w:numFmt w:val="lowerRoman"/>
      <w:lvlText w:val="%3."/>
      <w:lvlJc w:val="right"/>
      <w:pPr>
        <w:ind w:left="2929" w:hanging="180"/>
      </w:pPr>
      <w:rPr>
        <w:rFonts w:cs="Times New Roman"/>
        <w:rtl w:val="0"/>
        <w:cs w:val="0"/>
      </w:rPr>
    </w:lvl>
    <w:lvl w:ilvl="3">
      <w:start w:val="1"/>
      <w:numFmt w:val="decimal"/>
      <w:lvlText w:val="%4."/>
      <w:lvlJc w:val="left"/>
      <w:pPr>
        <w:ind w:left="3649" w:hanging="360"/>
      </w:pPr>
      <w:rPr>
        <w:rFonts w:cs="Times New Roman"/>
        <w:rtl w:val="0"/>
        <w:cs w:val="0"/>
      </w:rPr>
    </w:lvl>
    <w:lvl w:ilvl="4">
      <w:start w:val="1"/>
      <w:numFmt w:val="lowerLetter"/>
      <w:lvlText w:val="%5."/>
      <w:lvlJc w:val="left"/>
      <w:pPr>
        <w:ind w:left="4369" w:hanging="360"/>
      </w:pPr>
      <w:rPr>
        <w:rFonts w:cs="Times New Roman"/>
        <w:rtl w:val="0"/>
        <w:cs w:val="0"/>
      </w:rPr>
    </w:lvl>
    <w:lvl w:ilvl="5">
      <w:start w:val="1"/>
      <w:numFmt w:val="lowerRoman"/>
      <w:lvlText w:val="%6."/>
      <w:lvlJc w:val="right"/>
      <w:pPr>
        <w:ind w:left="5089" w:hanging="180"/>
      </w:pPr>
      <w:rPr>
        <w:rFonts w:cs="Times New Roman"/>
        <w:rtl w:val="0"/>
        <w:cs w:val="0"/>
      </w:rPr>
    </w:lvl>
    <w:lvl w:ilvl="6">
      <w:start w:val="1"/>
      <w:numFmt w:val="decimal"/>
      <w:lvlText w:val="%7."/>
      <w:lvlJc w:val="left"/>
      <w:pPr>
        <w:ind w:left="5809" w:hanging="360"/>
      </w:pPr>
      <w:rPr>
        <w:rFonts w:cs="Times New Roman"/>
        <w:rtl w:val="0"/>
        <w:cs w:val="0"/>
      </w:rPr>
    </w:lvl>
    <w:lvl w:ilvl="7">
      <w:start w:val="1"/>
      <w:numFmt w:val="lowerLetter"/>
      <w:lvlText w:val="%8."/>
      <w:lvlJc w:val="left"/>
      <w:pPr>
        <w:ind w:left="6529" w:hanging="360"/>
      </w:pPr>
      <w:rPr>
        <w:rFonts w:cs="Times New Roman"/>
        <w:rtl w:val="0"/>
        <w:cs w:val="0"/>
      </w:rPr>
    </w:lvl>
    <w:lvl w:ilvl="8">
      <w:start w:val="1"/>
      <w:numFmt w:val="lowerRoman"/>
      <w:lvlText w:val="%9."/>
      <w:lvlJc w:val="right"/>
      <w:pPr>
        <w:ind w:left="7249" w:hanging="180"/>
      </w:pPr>
      <w:rPr>
        <w:rFonts w:cs="Times New Roman"/>
        <w:rtl w:val="0"/>
        <w:cs w:val="0"/>
      </w:rPr>
    </w:lvl>
  </w:abstractNum>
  <w:num w:numId="1">
    <w:abstractNumId w:val="7"/>
  </w:num>
  <w:num w:numId="2">
    <w:abstractNumId w:val="7"/>
    <w:lvlOverride w:ilvl="0">
      <w:startOverride w:val="3"/>
    </w:lvlOverride>
  </w:num>
  <w:num w:numId="3">
    <w:abstractNumId w:val="23"/>
  </w:num>
  <w:num w:numId="4">
    <w:abstractNumId w:val="23"/>
    <w:lvlOverride w:ilvl="0">
      <w:startOverride w:val="2"/>
    </w:lvlOverride>
  </w:num>
  <w:num w:numId="5">
    <w:abstractNumId w:val="10"/>
  </w:num>
  <w:num w:numId="6">
    <w:abstractNumId w:val="10"/>
    <w:lvlOverride w:ilvl="0">
      <w:startOverride w:val="1"/>
    </w:lvlOverride>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num>
  <w:num w:numId="11">
    <w:abstractNumId w:val="29"/>
  </w:num>
  <w:num w:numId="12">
    <w:abstractNumId w:val="5"/>
  </w:num>
  <w:num w:numId="13">
    <w:abstractNumId w:val="28"/>
  </w:num>
  <w:num w:numId="14">
    <w:abstractNumId w:val="4"/>
  </w:num>
  <w:num w:numId="15">
    <w:abstractNumId w:val="26"/>
  </w:num>
  <w:num w:numId="16">
    <w:abstractNumId w:val="22"/>
  </w:num>
  <w:num w:numId="17">
    <w:abstractNumId w:val="19"/>
  </w:num>
  <w:num w:numId="18">
    <w:abstractNumId w:val="24"/>
  </w:num>
  <w:num w:numId="19">
    <w:abstractNumId w:val="38"/>
  </w:num>
  <w:num w:numId="20">
    <w:abstractNumId w:val="13"/>
  </w:num>
  <w:num w:numId="21">
    <w:abstractNumId w:val="15"/>
  </w:num>
  <w:num w:numId="22">
    <w:abstractNumId w:val="34"/>
  </w:num>
  <w:num w:numId="23">
    <w:abstractNumId w:val="17"/>
  </w:num>
  <w:num w:numId="24">
    <w:abstractNumId w:val="37"/>
  </w:num>
  <w:num w:numId="25">
    <w:abstractNumId w:val="1"/>
  </w:num>
  <w:num w:numId="26">
    <w:abstractNumId w:val="36"/>
  </w:num>
  <w:num w:numId="27">
    <w:abstractNumId w:val="12"/>
  </w:num>
  <w:num w:numId="28">
    <w:abstractNumId w:val="31"/>
  </w:num>
  <w:num w:numId="29">
    <w:abstractNumId w:val="27"/>
  </w:num>
  <w:num w:numId="30">
    <w:abstractNumId w:val="18"/>
  </w:num>
  <w:num w:numId="31">
    <w:abstractNumId w:val="2"/>
  </w:num>
  <w:num w:numId="32">
    <w:abstractNumId w:val="32"/>
  </w:num>
  <w:num w:numId="33">
    <w:abstractNumId w:val="6"/>
  </w:num>
  <w:num w:numId="34">
    <w:abstractNumId w:val="8"/>
  </w:num>
  <w:num w:numId="35">
    <w:abstractNumId w:val="40"/>
  </w:num>
  <w:num w:numId="36">
    <w:abstractNumId w:val="21"/>
  </w:num>
  <w:num w:numId="37">
    <w:abstractNumId w:val="35"/>
  </w:num>
  <w:num w:numId="38">
    <w:abstractNumId w:val="33"/>
  </w:num>
  <w:num w:numId="39">
    <w:abstractNumId w:val="3"/>
  </w:num>
  <w:num w:numId="40">
    <w:abstractNumId w:val="9"/>
  </w:num>
  <w:num w:numId="41">
    <w:abstractNumId w:val="11"/>
  </w:num>
  <w:num w:numId="42">
    <w:abstractNumId w:val="14"/>
  </w:num>
  <w:num w:numId="43">
    <w:abstractNumId w:val="30"/>
  </w:num>
  <w:num w:numId="44">
    <w:abstractNumId w:val="3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0825"/>
    <w:rsid w:val="00023207"/>
    <w:rsid w:val="000432A6"/>
    <w:rsid w:val="00044B40"/>
    <w:rsid w:val="00045E2C"/>
    <w:rsid w:val="00054907"/>
    <w:rsid w:val="00082912"/>
    <w:rsid w:val="00085854"/>
    <w:rsid w:val="00093769"/>
    <w:rsid w:val="000A11DA"/>
    <w:rsid w:val="000B3D14"/>
    <w:rsid w:val="000C09DB"/>
    <w:rsid w:val="000C2E53"/>
    <w:rsid w:val="000C62ED"/>
    <w:rsid w:val="000E1B28"/>
    <w:rsid w:val="000E5DD7"/>
    <w:rsid w:val="000E689A"/>
    <w:rsid w:val="00102B75"/>
    <w:rsid w:val="001076AA"/>
    <w:rsid w:val="00122932"/>
    <w:rsid w:val="00127033"/>
    <w:rsid w:val="00135528"/>
    <w:rsid w:val="001364EF"/>
    <w:rsid w:val="00140EDC"/>
    <w:rsid w:val="00153B33"/>
    <w:rsid w:val="00162F39"/>
    <w:rsid w:val="001657CD"/>
    <w:rsid w:val="0017797B"/>
    <w:rsid w:val="001810AF"/>
    <w:rsid w:val="00182787"/>
    <w:rsid w:val="00185E6D"/>
    <w:rsid w:val="001900EB"/>
    <w:rsid w:val="001915C9"/>
    <w:rsid w:val="0019277E"/>
    <w:rsid w:val="001948CC"/>
    <w:rsid w:val="001A3887"/>
    <w:rsid w:val="001B254B"/>
    <w:rsid w:val="001C487F"/>
    <w:rsid w:val="001D154F"/>
    <w:rsid w:val="001E2365"/>
    <w:rsid w:val="001F5D69"/>
    <w:rsid w:val="0021426F"/>
    <w:rsid w:val="002153F7"/>
    <w:rsid w:val="00217BF4"/>
    <w:rsid w:val="002229D7"/>
    <w:rsid w:val="002236EE"/>
    <w:rsid w:val="002257C9"/>
    <w:rsid w:val="00225CF4"/>
    <w:rsid w:val="0023046B"/>
    <w:rsid w:val="00241AA3"/>
    <w:rsid w:val="00250283"/>
    <w:rsid w:val="00266DA1"/>
    <w:rsid w:val="00270E65"/>
    <w:rsid w:val="00271A7E"/>
    <w:rsid w:val="00282BD1"/>
    <w:rsid w:val="00294E54"/>
    <w:rsid w:val="002A2757"/>
    <w:rsid w:val="002B1E92"/>
    <w:rsid w:val="002C2B0C"/>
    <w:rsid w:val="002C503A"/>
    <w:rsid w:val="002E1D16"/>
    <w:rsid w:val="002F16A9"/>
    <w:rsid w:val="003063D9"/>
    <w:rsid w:val="003172BB"/>
    <w:rsid w:val="00321521"/>
    <w:rsid w:val="00325F1C"/>
    <w:rsid w:val="00326A23"/>
    <w:rsid w:val="00333A53"/>
    <w:rsid w:val="00342851"/>
    <w:rsid w:val="00344B44"/>
    <w:rsid w:val="00345B09"/>
    <w:rsid w:val="00346101"/>
    <w:rsid w:val="003468D4"/>
    <w:rsid w:val="0035758B"/>
    <w:rsid w:val="00367159"/>
    <w:rsid w:val="00380F43"/>
    <w:rsid w:val="00385F7A"/>
    <w:rsid w:val="00391DC5"/>
    <w:rsid w:val="003B6BBB"/>
    <w:rsid w:val="003B7AFF"/>
    <w:rsid w:val="003D2266"/>
    <w:rsid w:val="003E2B3D"/>
    <w:rsid w:val="003E5A3C"/>
    <w:rsid w:val="003E7B78"/>
    <w:rsid w:val="003F5C68"/>
    <w:rsid w:val="00401433"/>
    <w:rsid w:val="004219E0"/>
    <w:rsid w:val="00424270"/>
    <w:rsid w:val="00424A65"/>
    <w:rsid w:val="00440A2A"/>
    <w:rsid w:val="004434E9"/>
    <w:rsid w:val="004577EC"/>
    <w:rsid w:val="00471105"/>
    <w:rsid w:val="00484790"/>
    <w:rsid w:val="004930E0"/>
    <w:rsid w:val="00494CFC"/>
    <w:rsid w:val="004A288E"/>
    <w:rsid w:val="004B34BD"/>
    <w:rsid w:val="004B5A48"/>
    <w:rsid w:val="004D155B"/>
    <w:rsid w:val="004E1D1A"/>
    <w:rsid w:val="004F1F90"/>
    <w:rsid w:val="0050517D"/>
    <w:rsid w:val="00510804"/>
    <w:rsid w:val="00513669"/>
    <w:rsid w:val="005170A9"/>
    <w:rsid w:val="00532929"/>
    <w:rsid w:val="00532D62"/>
    <w:rsid w:val="005452F8"/>
    <w:rsid w:val="00557B98"/>
    <w:rsid w:val="00561781"/>
    <w:rsid w:val="0057138A"/>
    <w:rsid w:val="0058152A"/>
    <w:rsid w:val="0058239E"/>
    <w:rsid w:val="005947B8"/>
    <w:rsid w:val="005A04A2"/>
    <w:rsid w:val="005A4CFF"/>
    <w:rsid w:val="005D168D"/>
    <w:rsid w:val="005D2A10"/>
    <w:rsid w:val="005D4A2D"/>
    <w:rsid w:val="005E0477"/>
    <w:rsid w:val="005E147F"/>
    <w:rsid w:val="005E29C5"/>
    <w:rsid w:val="005F4F18"/>
    <w:rsid w:val="00601F13"/>
    <w:rsid w:val="0064397E"/>
    <w:rsid w:val="00647B9A"/>
    <w:rsid w:val="00656B18"/>
    <w:rsid w:val="00656E27"/>
    <w:rsid w:val="006662FB"/>
    <w:rsid w:val="0068235D"/>
    <w:rsid w:val="00683A6B"/>
    <w:rsid w:val="006A1D7B"/>
    <w:rsid w:val="006B2EB1"/>
    <w:rsid w:val="006B55A4"/>
    <w:rsid w:val="006C668B"/>
    <w:rsid w:val="006D6CF1"/>
    <w:rsid w:val="006E689D"/>
    <w:rsid w:val="006F461A"/>
    <w:rsid w:val="006F70AE"/>
    <w:rsid w:val="00712FC3"/>
    <w:rsid w:val="007162B7"/>
    <w:rsid w:val="0072380B"/>
    <w:rsid w:val="0073389B"/>
    <w:rsid w:val="00735D25"/>
    <w:rsid w:val="00742DA6"/>
    <w:rsid w:val="00745A3B"/>
    <w:rsid w:val="007537CE"/>
    <w:rsid w:val="0076366F"/>
    <w:rsid w:val="00767086"/>
    <w:rsid w:val="00773A4D"/>
    <w:rsid w:val="0078287E"/>
    <w:rsid w:val="007872B7"/>
    <w:rsid w:val="00796A51"/>
    <w:rsid w:val="007A7C09"/>
    <w:rsid w:val="007B6307"/>
    <w:rsid w:val="007C28AB"/>
    <w:rsid w:val="007D53D7"/>
    <w:rsid w:val="007E6410"/>
    <w:rsid w:val="007E7056"/>
    <w:rsid w:val="00805684"/>
    <w:rsid w:val="00806BB0"/>
    <w:rsid w:val="00807D3E"/>
    <w:rsid w:val="00826E45"/>
    <w:rsid w:val="008370B3"/>
    <w:rsid w:val="00845C69"/>
    <w:rsid w:val="0085085C"/>
    <w:rsid w:val="00851837"/>
    <w:rsid w:val="00857A75"/>
    <w:rsid w:val="00861E2E"/>
    <w:rsid w:val="0086278A"/>
    <w:rsid w:val="00872278"/>
    <w:rsid w:val="008A0B4B"/>
    <w:rsid w:val="008A5161"/>
    <w:rsid w:val="008A635A"/>
    <w:rsid w:val="008B7688"/>
    <w:rsid w:val="008C0A9E"/>
    <w:rsid w:val="008C54C3"/>
    <w:rsid w:val="008D47A4"/>
    <w:rsid w:val="008E2791"/>
    <w:rsid w:val="008F1E95"/>
    <w:rsid w:val="009004A8"/>
    <w:rsid w:val="009128CB"/>
    <w:rsid w:val="0091636B"/>
    <w:rsid w:val="00916B73"/>
    <w:rsid w:val="0093354F"/>
    <w:rsid w:val="0093685F"/>
    <w:rsid w:val="009612CE"/>
    <w:rsid w:val="009719C2"/>
    <w:rsid w:val="00974B24"/>
    <w:rsid w:val="00975B0C"/>
    <w:rsid w:val="009826E3"/>
    <w:rsid w:val="00986D0B"/>
    <w:rsid w:val="00991880"/>
    <w:rsid w:val="009A0D1E"/>
    <w:rsid w:val="009A1BB9"/>
    <w:rsid w:val="009C4901"/>
    <w:rsid w:val="009C5E2D"/>
    <w:rsid w:val="009D3258"/>
    <w:rsid w:val="009D5B18"/>
    <w:rsid w:val="009D60D8"/>
    <w:rsid w:val="009E0AC7"/>
    <w:rsid w:val="009F601A"/>
    <w:rsid w:val="009F77A5"/>
    <w:rsid w:val="00A02F9A"/>
    <w:rsid w:val="00A03ACF"/>
    <w:rsid w:val="00A16B41"/>
    <w:rsid w:val="00A17274"/>
    <w:rsid w:val="00A3185B"/>
    <w:rsid w:val="00A4695C"/>
    <w:rsid w:val="00A47BED"/>
    <w:rsid w:val="00A52A6D"/>
    <w:rsid w:val="00A56859"/>
    <w:rsid w:val="00A56F58"/>
    <w:rsid w:val="00A61517"/>
    <w:rsid w:val="00A62CE4"/>
    <w:rsid w:val="00A75EA4"/>
    <w:rsid w:val="00A856BA"/>
    <w:rsid w:val="00A87C8A"/>
    <w:rsid w:val="00A9063F"/>
    <w:rsid w:val="00A91B17"/>
    <w:rsid w:val="00AA227A"/>
    <w:rsid w:val="00AA55DA"/>
    <w:rsid w:val="00AB7D27"/>
    <w:rsid w:val="00AD50AE"/>
    <w:rsid w:val="00AD606C"/>
    <w:rsid w:val="00AE3AEA"/>
    <w:rsid w:val="00AE663E"/>
    <w:rsid w:val="00B067A6"/>
    <w:rsid w:val="00B1183A"/>
    <w:rsid w:val="00B4035A"/>
    <w:rsid w:val="00B4700F"/>
    <w:rsid w:val="00B50DF3"/>
    <w:rsid w:val="00B64B09"/>
    <w:rsid w:val="00B67FBD"/>
    <w:rsid w:val="00B87EBC"/>
    <w:rsid w:val="00B918DE"/>
    <w:rsid w:val="00B931C3"/>
    <w:rsid w:val="00BA300C"/>
    <w:rsid w:val="00BB1D59"/>
    <w:rsid w:val="00BC499A"/>
    <w:rsid w:val="00BC4AE6"/>
    <w:rsid w:val="00BD0A66"/>
    <w:rsid w:val="00BD55E7"/>
    <w:rsid w:val="00C139A5"/>
    <w:rsid w:val="00C13D1F"/>
    <w:rsid w:val="00C21CEF"/>
    <w:rsid w:val="00C24B3E"/>
    <w:rsid w:val="00C2594E"/>
    <w:rsid w:val="00C2723E"/>
    <w:rsid w:val="00C33C3C"/>
    <w:rsid w:val="00C34EF5"/>
    <w:rsid w:val="00C42435"/>
    <w:rsid w:val="00C46781"/>
    <w:rsid w:val="00C50E73"/>
    <w:rsid w:val="00C51057"/>
    <w:rsid w:val="00C57FA5"/>
    <w:rsid w:val="00C649F0"/>
    <w:rsid w:val="00C731F0"/>
    <w:rsid w:val="00C817D9"/>
    <w:rsid w:val="00C83676"/>
    <w:rsid w:val="00C8496F"/>
    <w:rsid w:val="00C86AA0"/>
    <w:rsid w:val="00C96C5C"/>
    <w:rsid w:val="00CA4706"/>
    <w:rsid w:val="00CB2E5D"/>
    <w:rsid w:val="00CC21B9"/>
    <w:rsid w:val="00CD057F"/>
    <w:rsid w:val="00CE1A97"/>
    <w:rsid w:val="00CE34C2"/>
    <w:rsid w:val="00CF0B93"/>
    <w:rsid w:val="00CF53E2"/>
    <w:rsid w:val="00CF74FD"/>
    <w:rsid w:val="00D01A8F"/>
    <w:rsid w:val="00D05FBF"/>
    <w:rsid w:val="00D205AC"/>
    <w:rsid w:val="00D22A7B"/>
    <w:rsid w:val="00D27B01"/>
    <w:rsid w:val="00D33B5F"/>
    <w:rsid w:val="00D3404B"/>
    <w:rsid w:val="00D42BE3"/>
    <w:rsid w:val="00D62259"/>
    <w:rsid w:val="00D6475D"/>
    <w:rsid w:val="00D83E5B"/>
    <w:rsid w:val="00D91EEB"/>
    <w:rsid w:val="00D961DA"/>
    <w:rsid w:val="00D973B5"/>
    <w:rsid w:val="00DA0F6C"/>
    <w:rsid w:val="00DA3EFA"/>
    <w:rsid w:val="00DC0F95"/>
    <w:rsid w:val="00DC78D0"/>
    <w:rsid w:val="00DD106C"/>
    <w:rsid w:val="00DD2C4B"/>
    <w:rsid w:val="00DE0F85"/>
    <w:rsid w:val="00DE2DB9"/>
    <w:rsid w:val="00E030B3"/>
    <w:rsid w:val="00E03DE8"/>
    <w:rsid w:val="00E06B18"/>
    <w:rsid w:val="00E16FAD"/>
    <w:rsid w:val="00E170A8"/>
    <w:rsid w:val="00E210BA"/>
    <w:rsid w:val="00E3259D"/>
    <w:rsid w:val="00E621F4"/>
    <w:rsid w:val="00E7253E"/>
    <w:rsid w:val="00E745BA"/>
    <w:rsid w:val="00E77CB2"/>
    <w:rsid w:val="00E823BF"/>
    <w:rsid w:val="00E937FC"/>
    <w:rsid w:val="00EA5A2B"/>
    <w:rsid w:val="00EB4C54"/>
    <w:rsid w:val="00ED5087"/>
    <w:rsid w:val="00EE419A"/>
    <w:rsid w:val="00EE7DD6"/>
    <w:rsid w:val="00EF0A64"/>
    <w:rsid w:val="00F047A8"/>
    <w:rsid w:val="00F120C4"/>
    <w:rsid w:val="00F1494B"/>
    <w:rsid w:val="00F165E9"/>
    <w:rsid w:val="00F3295C"/>
    <w:rsid w:val="00F34C0E"/>
    <w:rsid w:val="00F4080C"/>
    <w:rsid w:val="00F56804"/>
    <w:rsid w:val="00F63BAB"/>
    <w:rsid w:val="00F659B0"/>
    <w:rsid w:val="00F8764E"/>
    <w:rsid w:val="00F9160D"/>
    <w:rsid w:val="00FB43AB"/>
    <w:rsid w:val="00FC6F56"/>
    <w:rsid w:val="00FC742B"/>
    <w:rsid w:val="00FE7B54"/>
    <w:rsid w:val="00FF3C39"/>
    <w:rsid w:val="00FF417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B18"/>
    <w:pPr>
      <w:framePr w:wrap="auto"/>
      <w:widowControl/>
      <w:autoSpaceDE/>
      <w:autoSpaceDN/>
      <w:adjustRightInd/>
      <w:spacing w:before="120"/>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jc w:val="center"/>
      <w:outlineLvl w:val="0"/>
    </w:pPr>
    <w:rPr>
      <w:b/>
      <w:bCs/>
    </w:rPr>
  </w:style>
  <w:style w:type="paragraph" w:styleId="Heading2">
    <w:name w:val="heading 2"/>
    <w:basedOn w:val="Normal"/>
    <w:next w:val="Normal"/>
    <w:link w:val="Nadpis2Char"/>
    <w:uiPriority w:val="99"/>
    <w:qFormat/>
    <w:pPr>
      <w:keepNext/>
      <w:autoSpaceDE w:val="0"/>
      <w:autoSpaceDN w:val="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3">
    <w:name w:val="Body Text 3"/>
    <w:basedOn w:val="Normal"/>
    <w:link w:val="Zkladntext3Char"/>
    <w:uiPriority w:val="99"/>
    <w:pPr>
      <w:autoSpaceDE w:val="0"/>
      <w:autoSpaceDN w:val="0"/>
      <w:spacing w:before="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Header">
    <w:name w:val="header"/>
    <w:basedOn w:val="Normal"/>
    <w:link w:val="HlavikaChar"/>
    <w:uiPriority w:val="99"/>
    <w:pPr>
      <w:tabs>
        <w:tab w:val="center" w:pos="4536"/>
        <w:tab w:val="right" w:pos="9072"/>
      </w:tabs>
      <w:autoSpaceDE w:val="0"/>
      <w:autoSpaceDN w:val="0"/>
      <w:spacing w:before="0"/>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BodyText2">
    <w:name w:val="Body Text 2"/>
    <w:basedOn w:val="Normal"/>
    <w:link w:val="Zkladntext2Char"/>
    <w:uiPriority w:val="99"/>
    <w:pPr>
      <w:autoSpaceDE w:val="0"/>
      <w:autoSpaceDN w:val="0"/>
      <w:spacing w:before="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customStyle="1" w:styleId="Normlny">
    <w:name w:val="_Normálny"/>
    <w:basedOn w:val="Normal"/>
    <w:uiPriority w:val="99"/>
    <w:pPr>
      <w:autoSpaceDE w:val="0"/>
      <w:autoSpaceDN w:val="0"/>
      <w:spacing w:before="0"/>
      <w:jc w:val="left"/>
    </w:pPr>
    <w:rPr>
      <w:sz w:val="20"/>
      <w:szCs w:val="20"/>
      <w:lang w:eastAsia="en-US"/>
    </w:rPr>
  </w:style>
  <w:style w:type="paragraph" w:styleId="FootnoteText">
    <w:name w:val="footnote text"/>
    <w:basedOn w:val="Normal"/>
    <w:link w:val="TextpoznmkypodiarouChar"/>
    <w:uiPriority w:val="99"/>
    <w:semiHidden/>
    <w:pPr>
      <w:autoSpaceDE w:val="0"/>
      <w:autoSpaceDN w:val="0"/>
      <w:spacing w:before="0"/>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after="12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34"/>
    <w:qFormat/>
    <w:rsid w:val="00E030B3"/>
    <w:pPr>
      <w:spacing w:before="0"/>
      <w:ind w:left="720"/>
      <w:contextualSpacing/>
      <w:jc w:val="left"/>
    </w:pPr>
  </w:style>
  <w:style w:type="character" w:styleId="Strong">
    <w:name w:val="Strong"/>
    <w:basedOn w:val="DefaultParagraphFont"/>
    <w:uiPriority w:val="22"/>
    <w:qFormat/>
    <w:rsid w:val="00D83E5B"/>
    <w:rPr>
      <w:rFonts w:cs="Times New Roman"/>
      <w:b/>
      <w:rtl w:val="0"/>
      <w:cs w:val="0"/>
    </w:rPr>
  </w:style>
  <w:style w:type="paragraph" w:customStyle="1" w:styleId="normal2">
    <w:name w:val="normal2"/>
    <w:basedOn w:val="Normal"/>
    <w:rsid w:val="00D83E5B"/>
    <w:pPr>
      <w:spacing w:line="312" w:lineRule="atLeast"/>
      <w:jc w:val="both"/>
    </w:pPr>
  </w:style>
  <w:style w:type="paragraph" w:customStyle="1" w:styleId="doc-ti">
    <w:name w:val="doc-ti"/>
    <w:basedOn w:val="Normal"/>
    <w:rsid w:val="009D5B18"/>
    <w:pPr>
      <w:spacing w:before="240" w:after="120"/>
      <w:jc w:val="center"/>
    </w:pPr>
    <w:rPr>
      <w:b/>
      <w:bCs/>
    </w:rPr>
  </w:style>
  <w:style w:type="paragraph" w:customStyle="1" w:styleId="ti-art">
    <w:name w:val="ti-art"/>
    <w:basedOn w:val="Normal"/>
    <w:rsid w:val="009D5B18"/>
    <w:pPr>
      <w:spacing w:before="360" w:after="120"/>
      <w:jc w:val="center"/>
    </w:pPr>
    <w:rPr>
      <w:i/>
      <w:iCs/>
    </w:rPr>
  </w:style>
  <w:style w:type="character" w:styleId="Hyperlink">
    <w:name w:val="Hyperlink"/>
    <w:basedOn w:val="DefaultParagraphFont"/>
    <w:uiPriority w:val="99"/>
    <w:unhideWhenUsed/>
    <w:rsid w:val="009D5B18"/>
    <w:rPr>
      <w:rFonts w:cs="Times New Roman"/>
      <w:color w:val="3366CC"/>
      <w:u w:val="none"/>
      <w:effect w:val="none"/>
      <w:shd w:val="clear" w:color="auto" w:fill="auto"/>
      <w:rtl w:val="0"/>
      <w:cs w:val="0"/>
    </w:rPr>
  </w:style>
  <w:style w:type="paragraph" w:customStyle="1" w:styleId="note">
    <w:name w:val="note"/>
    <w:basedOn w:val="Normal"/>
    <w:rsid w:val="009D5B18"/>
    <w:pPr>
      <w:spacing w:before="60" w:after="60"/>
      <w:jc w:val="both"/>
    </w:pPr>
    <w:rPr>
      <w:sz w:val="19"/>
      <w:szCs w:val="19"/>
    </w:rPr>
  </w:style>
  <w:style w:type="character" w:customStyle="1" w:styleId="super">
    <w:name w:val="super"/>
    <w:rsid w:val="009D5B18"/>
    <w:rPr>
      <w:sz w:val="17"/>
      <w:vertAlign w:val="superscript"/>
    </w:rPr>
  </w:style>
  <w:style w:type="paragraph" w:customStyle="1" w:styleId="sti-art">
    <w:name w:val="sti-art"/>
    <w:basedOn w:val="Normal"/>
    <w:rsid w:val="009D5B18"/>
    <w:pPr>
      <w:spacing w:before="60" w:after="120"/>
      <w:jc w:val="center"/>
    </w:pPr>
    <w:rPr>
      <w:b/>
      <w:bCs/>
    </w:rPr>
  </w:style>
  <w:style w:type="character" w:customStyle="1" w:styleId="italic">
    <w:name w:val="italic"/>
    <w:rsid w:val="009D5B18"/>
    <w:rPr>
      <w:i/>
    </w:rPr>
  </w:style>
  <w:style w:type="paragraph" w:customStyle="1" w:styleId="signatory">
    <w:name w:val="signatory"/>
    <w:basedOn w:val="Normal"/>
    <w:rsid w:val="009D5B18"/>
    <w:pPr>
      <w:spacing w:before="60" w:after="60"/>
      <w:jc w:val="center"/>
    </w:pPr>
  </w:style>
  <w:style w:type="character" w:customStyle="1" w:styleId="OdsekzoznamuChar">
    <w:name w:val="Odsek zoznamu Char"/>
    <w:link w:val="ListParagraph"/>
    <w:uiPriority w:val="34"/>
    <w:locked/>
    <w:rsid w:val="001657CD"/>
    <w:rPr>
      <w:sz w:val="24"/>
    </w:rPr>
  </w:style>
  <w:style w:type="paragraph" w:styleId="NoSpacing">
    <w:name w:val="No Spacing"/>
    <w:uiPriority w:val="1"/>
    <w:qFormat/>
    <w:rsid w:val="001657CD"/>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alloonText">
    <w:name w:val="Balloon Text"/>
    <w:basedOn w:val="Normal"/>
    <w:link w:val="TextbublinyChar"/>
    <w:uiPriority w:val="99"/>
    <w:rsid w:val="00E03DE8"/>
    <w:pPr>
      <w:spacing w:before="0"/>
      <w:jc w:val="both"/>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03DE8"/>
    <w:rPr>
      <w:rFonts w:ascii="Segoe UI" w:hAnsi="Segoe UI" w:cs="Times New Roman"/>
      <w:sz w:val="18"/>
      <w:rtl w:val="0"/>
      <w:cs w:val="0"/>
    </w:rPr>
  </w:style>
  <w:style w:type="paragraph" w:styleId="NormalWeb">
    <w:name w:val="Normal (Web)"/>
    <w:basedOn w:val="Normal"/>
    <w:uiPriority w:val="99"/>
    <w:unhideWhenUsed/>
    <w:rsid w:val="00F8764E"/>
    <w:pPr>
      <w:spacing w:before="100" w:beforeAutospacing="1" w:after="100" w:afterAutospacing="1"/>
      <w:jc w:val="left"/>
    </w:pPr>
  </w:style>
  <w:style w:type="paragraph" w:styleId="Subtitle">
    <w:name w:val="Subtitle"/>
    <w:basedOn w:val="Normal"/>
    <w:link w:val="PodtitulChar"/>
    <w:uiPriority w:val="11"/>
    <w:qFormat/>
    <w:rsid w:val="00E16FAD"/>
    <w:pPr>
      <w:spacing w:before="0" w:line="360" w:lineRule="auto"/>
      <w:jc w:val="center"/>
    </w:pPr>
    <w:rPr>
      <w:b/>
      <w:bCs/>
    </w:rPr>
  </w:style>
  <w:style w:type="character" w:customStyle="1" w:styleId="PodtitulChar">
    <w:name w:val="Podtitul Char"/>
    <w:basedOn w:val="DefaultParagraphFont"/>
    <w:link w:val="Subtitle"/>
    <w:uiPriority w:val="11"/>
    <w:locked/>
    <w:rsid w:val="00E16FAD"/>
    <w:rPr>
      <w:rFonts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203/20190701.html" TargetMode="External" /><Relationship Id="rId6" Type="http://schemas.openxmlformats.org/officeDocument/2006/relationships/hyperlink" Target="https://eur-lex.europa.eu/legal-content/SK/TXT/HTML/?uri=CELEX:32019L1160&amp;from=SK" TargetMode="External" /><Relationship Id="rId7" Type="http://schemas.openxmlformats.org/officeDocument/2006/relationships/hyperlink" Target="https://www.slov-lex.sk/pravne-predpisy/SK/ZZ/2011/203/2019070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B607-B658-4AE5-BA0B-E9722410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143</TotalTime>
  <Pages>29</Pages>
  <Words>10339</Words>
  <Characters>58933</Characters>
  <Application>Microsoft Office Word</Application>
  <DocSecurity>0</DocSecurity>
  <Lines>0</Lines>
  <Paragraphs>0</Paragraphs>
  <ScaleCrop>false</ScaleCrop>
  <Company>ÚV SR</Company>
  <LinksUpToDate>false</LinksUpToDate>
  <CharactersWithSpaces>69134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Vlkolinsky Robert</cp:lastModifiedBy>
  <cp:revision>32</cp:revision>
  <cp:lastPrinted>2020-11-03T08:43:00Z</cp:lastPrinted>
  <dcterms:created xsi:type="dcterms:W3CDTF">2020-10-13T21:22:00Z</dcterms:created>
  <dcterms:modified xsi:type="dcterms:W3CDTF">2021-02-16T11:27:00Z</dcterms:modified>
</cp:coreProperties>
</file>