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711AB" w14:textId="77777777" w:rsidR="00674D02" w:rsidRDefault="00674D02" w:rsidP="00674D02">
      <w:pPr>
        <w:spacing w:after="120"/>
        <w:jc w:val="center"/>
        <w:rPr>
          <w:b/>
          <w:caps/>
        </w:rPr>
      </w:pPr>
      <w:r w:rsidRPr="006E09C2">
        <w:rPr>
          <w:b/>
          <w:caps/>
        </w:rPr>
        <w:t>Dôvodová správa</w:t>
      </w:r>
    </w:p>
    <w:p w14:paraId="089068BE" w14:textId="77777777" w:rsidR="00E60336" w:rsidRDefault="00E60336" w:rsidP="00674D02">
      <w:pPr>
        <w:spacing w:after="120"/>
        <w:jc w:val="center"/>
        <w:rPr>
          <w:b/>
          <w:caps/>
        </w:rPr>
      </w:pPr>
    </w:p>
    <w:p w14:paraId="62D99B39" w14:textId="09C93F5C" w:rsidR="00E60336" w:rsidRPr="00E60336" w:rsidRDefault="00E60336" w:rsidP="00E60336">
      <w:pPr>
        <w:spacing w:after="120"/>
        <w:jc w:val="both"/>
        <w:rPr>
          <w:b/>
          <w:lang w:eastAsia="sk-SK"/>
        </w:rPr>
      </w:pPr>
      <w:r w:rsidRPr="00E60336">
        <w:rPr>
          <w:b/>
        </w:rPr>
        <w:t>V</w:t>
      </w:r>
      <w:r>
        <w:rPr>
          <w:b/>
        </w:rPr>
        <w:t>šeobecná časť</w:t>
      </w:r>
    </w:p>
    <w:p w14:paraId="20DD91E8" w14:textId="77777777" w:rsidR="00397A92" w:rsidRPr="006E09C2" w:rsidRDefault="00397A92" w:rsidP="00397A92">
      <w:pPr>
        <w:jc w:val="both"/>
      </w:pPr>
      <w:r w:rsidRPr="006E09C2">
        <w:t>Na investičné spoločnosti</w:t>
      </w:r>
      <w:r w:rsidR="00140B57" w:rsidRPr="006E09C2">
        <w:t xml:space="preserve"> (obchodníci s cennými papiermi)</w:t>
      </w:r>
      <w:r w:rsidRPr="006E09C2">
        <w:t xml:space="preserve"> sa spolu s úverovými inštitúciami</w:t>
      </w:r>
      <w:r w:rsidR="00140B57" w:rsidRPr="006E09C2">
        <w:t xml:space="preserve"> (banky)</w:t>
      </w:r>
      <w:r w:rsidRPr="006E09C2">
        <w:t xml:space="preserve"> vzťahujú </w:t>
      </w:r>
      <w:proofErr w:type="spellStart"/>
      <w:r w:rsidRPr="006E09C2">
        <w:t>prudenciálne</w:t>
      </w:r>
      <w:proofErr w:type="spellEnd"/>
      <w:r w:rsidRPr="006E09C2">
        <w:t xml:space="preserve"> pravidlá EÚ od roku 1993, čo je rok, v ktorom nadobudol účinnosť prvý rámec EÚ upravujúci činnosti investičných spoločností. </w:t>
      </w:r>
    </w:p>
    <w:p w14:paraId="6F334161" w14:textId="77777777" w:rsidR="00397A92" w:rsidRPr="006E09C2" w:rsidRDefault="00397A92" w:rsidP="00397A92">
      <w:pPr>
        <w:jc w:val="both"/>
      </w:pPr>
    </w:p>
    <w:p w14:paraId="1C6006C0" w14:textId="50D5BD85" w:rsidR="00397A92" w:rsidRPr="006E09C2" w:rsidRDefault="00397A92" w:rsidP="00397A92">
      <w:pPr>
        <w:jc w:val="both"/>
      </w:pPr>
      <w:r w:rsidRPr="006E09C2">
        <w:t xml:space="preserve">Týmto rámcom, </w:t>
      </w:r>
      <w:r w:rsidRPr="002B38DE">
        <w:t xml:space="preserve">ktorý </w:t>
      </w:r>
      <w:r w:rsidR="00A00870" w:rsidRPr="002B38DE">
        <w:t>bol</w:t>
      </w:r>
      <w:r w:rsidRPr="002B38DE">
        <w:t xml:space="preserve"> nahradený</w:t>
      </w:r>
      <w:r w:rsidRPr="006E09C2">
        <w:t xml:space="preserve"> smernicou Európskeho parlamentu a Rady 2004/39/ES z 21. apríla 2004 o trhoch s finančnými nástrojmi, o zmene a doplnení smerníc Rady 85/611/EHS a 93/6/EHS a smernice Európskeho parlamentu a Rady 2000/12/ES a o zrušení smernice Rady 93/22/EHS (</w:t>
      </w:r>
      <w:proofErr w:type="spellStart"/>
      <w:r w:rsidRPr="006E09C2">
        <w:t>MiFID</w:t>
      </w:r>
      <w:proofErr w:type="spellEnd"/>
      <w:r w:rsidRPr="006E09C2">
        <w:t>) a od januára 2018 smernicou Európskeho parlamentu a Rady 2014/65/EÚ z 15. mája 2014 o trhoch s finančnými nástrojmi, ktorou sa mení smernica 2002/92/ES a smernica 2011/61/EÚ (</w:t>
      </w:r>
      <w:r w:rsidR="00081D66" w:rsidRPr="006E09C2">
        <w:t>ďalej len „</w:t>
      </w:r>
      <w:proofErr w:type="spellStart"/>
      <w:r w:rsidRPr="006E09C2">
        <w:t>MiFID</w:t>
      </w:r>
      <w:proofErr w:type="spellEnd"/>
      <w:r w:rsidRPr="006E09C2">
        <w:t xml:space="preserve"> II</w:t>
      </w:r>
      <w:r w:rsidR="00081D66" w:rsidRPr="006E09C2">
        <w:t>“</w:t>
      </w:r>
      <w:r w:rsidRPr="006E09C2">
        <w:t>) a nariadením Európskeho parlamentu a Rady (EÚ) č. 600/2014 z 15. mája 2014 o trhoch s finančnými nástrojmi, ktorým sa mení nariadenie (EÚ) č. 648/2012 (</w:t>
      </w:r>
      <w:proofErr w:type="spellStart"/>
      <w:r w:rsidRPr="006E09C2">
        <w:t>MiFIR</w:t>
      </w:r>
      <w:proofErr w:type="spellEnd"/>
      <w:r w:rsidRPr="006E09C2">
        <w:t>), sa stanovujú podmienky na udeľovanie povolení a organizačné požiadavky a požiadavky na vykonávanie obchodnej činnosti, na základe ktorých sa môžu poskytovať investičné služby investorom, ako aj iné požiadavky, ktorými sa upravuje riadne fungovanie finančných trhov.</w:t>
      </w:r>
    </w:p>
    <w:p w14:paraId="2AEFA56E" w14:textId="77777777" w:rsidR="00397A92" w:rsidRPr="006E09C2" w:rsidRDefault="00397A92" w:rsidP="00397A92">
      <w:pPr>
        <w:jc w:val="both"/>
      </w:pPr>
    </w:p>
    <w:p w14:paraId="46AA30D9" w14:textId="77777777" w:rsidR="00674D02" w:rsidRPr="006E09C2" w:rsidRDefault="00674D02" w:rsidP="00674D02">
      <w:pPr>
        <w:jc w:val="both"/>
      </w:pPr>
      <w:r w:rsidRPr="006E09C2">
        <w:t xml:space="preserve">Základnými právnymi aktmi Európskej únie, ktoré upravujú rámec </w:t>
      </w:r>
      <w:proofErr w:type="spellStart"/>
      <w:r w:rsidRPr="006E09C2">
        <w:t>prudenciálneho</w:t>
      </w:r>
      <w:proofErr w:type="spellEnd"/>
      <w:r w:rsidRPr="006E09C2">
        <w:t xml:space="preserve"> dohľadu nad </w:t>
      </w:r>
      <w:r w:rsidR="00140B57" w:rsidRPr="006E09C2">
        <w:t>úverovými inštitúciami</w:t>
      </w:r>
      <w:r w:rsidRPr="006E09C2">
        <w:t xml:space="preserve"> a</w:t>
      </w:r>
      <w:r w:rsidR="00140B57" w:rsidRPr="006E09C2">
        <w:t> investičnými spoločnosťami</w:t>
      </w:r>
      <w:r w:rsidRPr="006E09C2">
        <w:t xml:space="preserve"> boli doteraz smernica Európskeho parlamentu a Rady 2013/36/EÚ z 26. júna 2013 o prístupe k činnosti úverových inštitúcií a </w:t>
      </w:r>
      <w:proofErr w:type="spellStart"/>
      <w:r w:rsidRPr="006E09C2">
        <w:t>prudenciálnom</w:t>
      </w:r>
      <w:proofErr w:type="spellEnd"/>
      <w:r w:rsidRPr="006E09C2">
        <w:t xml:space="preserve"> dohľade nad úverovými inštitúciami a investičnými spoločnosťami, o zmene smernice 2002/87/ES a o zrušení smerníc 2006/48/ES a 2006/49/ES (CRD) a nariadenie Európskeho parlamentu a Rady (EÚ) č. 575/2013 z 26. júna 2013 o prudenciálnych požiadavkách na úverové inštitúcie a investičné spoločnosti a o zmene nariadenia (EÚ) č. 648/2012 (CRR).</w:t>
      </w:r>
    </w:p>
    <w:p w14:paraId="0A20BE0A" w14:textId="77777777" w:rsidR="00674D02" w:rsidRPr="006E09C2" w:rsidRDefault="00674D02" w:rsidP="00674D02">
      <w:pPr>
        <w:jc w:val="both"/>
      </w:pPr>
    </w:p>
    <w:p w14:paraId="25274ADE" w14:textId="77777777" w:rsidR="00397A92" w:rsidRPr="006E09C2" w:rsidRDefault="00397A92" w:rsidP="00397A92">
      <w:pPr>
        <w:jc w:val="both"/>
      </w:pPr>
      <w:r w:rsidRPr="006E09C2">
        <w:t xml:space="preserve">Investičné spoločnosti na rozdiel od úverových inštitúcií neprijímajú vklady ani neposkytujú úvery. To znamená, že sú omnoho menej vystavené úverovému riziku a riziku, že vkladatelia si vyberú svoje peniaze v krátkej lehote. Ich služby sa sústreďujú na finančné nástroje – tie na rozdiel od vkladov nie sú splatné v menovitej hodnote, ale kolíšu podľa pohybov na trhu. S úverovými inštitúciami však súťažia v poskytovaní investičných služieb, ktoré môžu úverové inštitúcie ponúkať svojim zákazníkom na základe ich bankového povolenia. Úverové inštitúcie a investičné spoločnosti sú preto dva kvalitatívne odlišné druhy inštitúcií s odlišnými hlavnými obchodnými modelmi, ale s prekrývaním sa určitých služieb, ktoré môžu poskytovať. </w:t>
      </w:r>
    </w:p>
    <w:p w14:paraId="6F6FFA31" w14:textId="77777777" w:rsidR="00397A92" w:rsidRPr="006E09C2" w:rsidRDefault="00397A92" w:rsidP="00397A92">
      <w:pPr>
        <w:jc w:val="both"/>
      </w:pPr>
    </w:p>
    <w:p w14:paraId="35DE17F2" w14:textId="77777777" w:rsidR="00397A92" w:rsidRPr="006E09C2" w:rsidRDefault="00674D02" w:rsidP="00674D02">
      <w:pPr>
        <w:jc w:val="both"/>
      </w:pPr>
      <w:r w:rsidRPr="006E09C2">
        <w:t>Cieľom smernice Európskeho parlamentu a Rady (EÚ) 2019/2034 z 27. novembra 2019 o </w:t>
      </w:r>
      <w:proofErr w:type="spellStart"/>
      <w:r w:rsidRPr="006E09C2">
        <w:t>prudenciálnom</w:t>
      </w:r>
      <w:proofErr w:type="spellEnd"/>
      <w:r w:rsidRPr="006E09C2">
        <w:t xml:space="preserve"> dohľade nad investičnými spoločnosťami a o zmene smerníc 2002/87/ES, 2009/65/ES, 2011/61/EÚ, 2013/36/EÚ, 2014/59/EÚ a 2014/65/EÚ (ďalej len „smernica 2019/2034“) je zabezpečiť, aby sa na investičné spoločnosti vzťahovali požiadavky týkajúce sa kapitálu, likvidity a ďalšie kľúčové </w:t>
      </w:r>
      <w:proofErr w:type="spellStart"/>
      <w:r w:rsidRPr="006E09C2">
        <w:t>prudenciálne</w:t>
      </w:r>
      <w:proofErr w:type="spellEnd"/>
      <w:r w:rsidRPr="006E09C2">
        <w:t xml:space="preserve"> požiadavky a zodpovedajúce opatrenia dohľadu, ktoré sú prispôsobené ich obchodnej činnosti, pritom </w:t>
      </w:r>
      <w:r w:rsidR="00397A92" w:rsidRPr="006E09C2">
        <w:t xml:space="preserve">sú </w:t>
      </w:r>
      <w:r w:rsidRPr="006E09C2">
        <w:t xml:space="preserve">však dostatočne spoľahlivé na zachytenie rizík investičných spoločností </w:t>
      </w:r>
      <w:proofErr w:type="spellStart"/>
      <w:r w:rsidRPr="006E09C2">
        <w:t>prudenciálne</w:t>
      </w:r>
      <w:proofErr w:type="spellEnd"/>
      <w:r w:rsidRPr="006E09C2">
        <w:t xml:space="preserve"> spoľahlivým spôsobom s cieľom chrániť stabilitu finančných trhov EÚ.</w:t>
      </w:r>
      <w:r w:rsidR="00397A92" w:rsidRPr="006E09C2">
        <w:t xml:space="preserve"> </w:t>
      </w:r>
    </w:p>
    <w:p w14:paraId="2449795B" w14:textId="77777777" w:rsidR="00397A92" w:rsidRPr="006E09C2" w:rsidRDefault="00397A92" w:rsidP="00674D02">
      <w:pPr>
        <w:jc w:val="both"/>
      </w:pPr>
    </w:p>
    <w:p w14:paraId="31C154C0" w14:textId="77777777" w:rsidR="002157D7" w:rsidRPr="006E09C2" w:rsidRDefault="002157D7" w:rsidP="00674D02">
      <w:pPr>
        <w:jc w:val="both"/>
      </w:pPr>
      <w:r w:rsidRPr="006E09C2">
        <w:t xml:space="preserve">Návrh zákona, ktorým sa mení a dopĺňa zákon č. 566/2001 </w:t>
      </w:r>
      <w:proofErr w:type="spellStart"/>
      <w:r w:rsidRPr="006E09C2">
        <w:t>Z.z</w:t>
      </w:r>
      <w:proofErr w:type="spellEnd"/>
      <w:r w:rsidRPr="006E09C2">
        <w:t xml:space="preserve">. o cenných papieroch a investičných službách a o zmene a doplnení niektorých zákonov (zákon o cenných papieroch) v znení neskorších predpisov a ktorým sa menia a dopĺňajú niektoré zákony (ďalej len „návrh </w:t>
      </w:r>
      <w:r w:rsidRPr="006E09C2">
        <w:lastRenderedPageBreak/>
        <w:t xml:space="preserve">zákona“) </w:t>
      </w:r>
      <w:r w:rsidR="00397A92" w:rsidRPr="006E09C2">
        <w:t xml:space="preserve">sa teda predkladá z dôvodu povinnosti transponovať smernicu </w:t>
      </w:r>
      <w:r w:rsidRPr="006E09C2">
        <w:t>2019/2034</w:t>
      </w:r>
      <w:r w:rsidR="00397A92" w:rsidRPr="006E09C2">
        <w:t xml:space="preserve"> do slovenského právneho poriadku s cieľom </w:t>
      </w:r>
      <w:r w:rsidRPr="006E09C2">
        <w:t>zjednodušiť fungovanie menších investičných spoločností a zároveň dosiahnuť, aby najväčšie, systémové spoločnosti začali podliehať rovnakému režimu ako európske banky.</w:t>
      </w:r>
    </w:p>
    <w:p w14:paraId="60DD2888" w14:textId="77777777" w:rsidR="00650FF2" w:rsidRDefault="00650FF2" w:rsidP="00674D02">
      <w:pPr>
        <w:jc w:val="both"/>
      </w:pPr>
    </w:p>
    <w:p w14:paraId="1F68E0FE" w14:textId="77777777" w:rsidR="00650FF2" w:rsidRPr="006E09C2" w:rsidRDefault="00650FF2" w:rsidP="00650FF2">
      <w:pPr>
        <w:jc w:val="both"/>
      </w:pPr>
      <w:r w:rsidRPr="006E09C2">
        <w:t>Ďalej sa návrhom zákona preberá aj smernica Európskeho parlamentu a Rady (EÚ) 2019/2177 z 18. decembra 2019, ktorou sa mení smernica 2009/138/ES o začatí a vykonávaní poistenia a zaistenia (Solventnosť II), smernica 2014/65/EÚ o trhoch s finančnými nástrojmi a smernica (EÚ) 2015/849 o predchádzaní využívaniu finančného systému na účely prania špinavých peňazí alebo financovania terorizmu, ktorej cieľom je posilnenie výmeny informácií medzi orgánmi dohľadu a európskymi orgánmi dohľadu. Zmeny sa týkajú aj vytvárania platforiem spolupráce, ktoré sú účinným nástrojom na dosiahnutie intenzívnejšej a včasnej spolupráce medzi orgánmi dohľadu, a teda na zlepšenie ochrany spotrebiteľa.</w:t>
      </w:r>
      <w:r w:rsidR="006128AE">
        <w:t xml:space="preserve"> Zmeny sa týkajú aj </w:t>
      </w:r>
      <w:r w:rsidR="006128AE" w:rsidRPr="006128AE">
        <w:t>regulačn</w:t>
      </w:r>
      <w:r w:rsidR="006128AE">
        <w:t>ého</w:t>
      </w:r>
      <w:r w:rsidR="006128AE" w:rsidRPr="006128AE">
        <w:t xml:space="preserve"> rám</w:t>
      </w:r>
      <w:r w:rsidR="006128AE">
        <w:t>ca</w:t>
      </w:r>
      <w:r w:rsidR="006128AE" w:rsidRPr="006128AE">
        <w:t xml:space="preserve"> pre poskytovateľov služieb vykazovania údajov </w:t>
      </w:r>
      <w:r w:rsidR="006128AE">
        <w:t>a to</w:t>
      </w:r>
      <w:r w:rsidR="006128AE" w:rsidRPr="006128AE">
        <w:t xml:space="preserve"> tak, že udeľovanie povolení a výkon dohľadu nad poskytovateľmi služieb vykazovania údajov sa presunie</w:t>
      </w:r>
      <w:r w:rsidR="006128AE">
        <w:t xml:space="preserve"> z národného orgánu dohľadu (Národná banka Slovenska)</w:t>
      </w:r>
      <w:r w:rsidR="006128AE" w:rsidRPr="006128AE">
        <w:t xml:space="preserve"> pod </w:t>
      </w:r>
      <w:r w:rsidR="006128AE">
        <w:t xml:space="preserve">Európsky </w:t>
      </w:r>
      <w:r w:rsidR="006128AE" w:rsidRPr="006128AE">
        <w:t xml:space="preserve">orgán </w:t>
      </w:r>
      <w:r w:rsidR="006128AE">
        <w:t xml:space="preserve"> dohľadu (</w:t>
      </w:r>
      <w:r w:rsidR="006128AE" w:rsidRPr="006128AE">
        <w:t>ESMA</w:t>
      </w:r>
      <w:r w:rsidR="006128AE">
        <w:t>).</w:t>
      </w:r>
    </w:p>
    <w:p w14:paraId="158C4638" w14:textId="77777777" w:rsidR="00650FF2" w:rsidRDefault="00650FF2" w:rsidP="00650FF2">
      <w:pPr>
        <w:jc w:val="both"/>
      </w:pPr>
    </w:p>
    <w:p w14:paraId="3B914410" w14:textId="0D5132F5" w:rsidR="00844ADD" w:rsidRDefault="00844ADD" w:rsidP="00650FF2">
      <w:pPr>
        <w:jc w:val="both"/>
      </w:pPr>
      <w:r>
        <w:t xml:space="preserve">Návrhom zákona sa tiež preberá </w:t>
      </w:r>
      <w:r w:rsidRPr="00844ADD">
        <w:t>smernic</w:t>
      </w:r>
      <w:r>
        <w:t>a</w:t>
      </w:r>
      <w:r w:rsidRPr="00844ADD">
        <w:t xml:space="preserve"> Európskeho parlamentu a Rady (EÚ) 2020/1504 ktorou sa mení smernica 2014/65/EÚ o trhoch s finančnými nástrojmi (ďalej len „smernica 2020/1504“)</w:t>
      </w:r>
      <w:r>
        <w:t>, ktorej c</w:t>
      </w:r>
      <w:r w:rsidRPr="00844ADD">
        <w:t>ieľom je vyňatie z rozsahu pôsobnosti smernice Európskeho parlamentu a Rady 2014/65/EÚ z 15. mája 2014 o trhoch s finančnými nástrojmi, ktorou sa mení smernica 2002/92/ES a smernica 2011/61/EÚ poskytovateľov služieb hromadného financovania.</w:t>
      </w:r>
    </w:p>
    <w:p w14:paraId="4EECEA96" w14:textId="77777777" w:rsidR="00844ADD" w:rsidRPr="006E09C2" w:rsidRDefault="00844ADD" w:rsidP="00650FF2">
      <w:pPr>
        <w:jc w:val="both"/>
      </w:pPr>
    </w:p>
    <w:p w14:paraId="416E92EF" w14:textId="08062A48" w:rsidR="00650FF2" w:rsidRPr="006E09C2" w:rsidRDefault="00650FF2" w:rsidP="00650FF2">
      <w:pPr>
        <w:jc w:val="both"/>
      </w:pPr>
      <w:r w:rsidRPr="006E09C2">
        <w:t xml:space="preserve">Súčasťou návrhu zákona sú aj ďalšie legislatívne úpravy vyplývajúce z aplikačnej praxe, ako napríklad poznatky týkajúce sa aplikačnej praxe súvisiace s </w:t>
      </w:r>
      <w:r w:rsidR="00362E63">
        <w:t>transpozíciou</w:t>
      </w:r>
      <w:r w:rsidRPr="006E09C2">
        <w:t xml:space="preserve"> smernice </w:t>
      </w:r>
      <w:proofErr w:type="spellStart"/>
      <w:r w:rsidRPr="006E09C2">
        <w:t>MiFID</w:t>
      </w:r>
      <w:proofErr w:type="spellEnd"/>
      <w:r w:rsidRPr="006E09C2">
        <w:t xml:space="preserve"> II.</w:t>
      </w:r>
    </w:p>
    <w:p w14:paraId="4A07A454" w14:textId="77777777" w:rsidR="002157D7" w:rsidRPr="006E09C2" w:rsidRDefault="002157D7" w:rsidP="00674D02">
      <w:pPr>
        <w:jc w:val="both"/>
      </w:pPr>
    </w:p>
    <w:p w14:paraId="22380BA0" w14:textId="77777777" w:rsidR="002157D7" w:rsidRPr="006E09C2" w:rsidRDefault="002157D7" w:rsidP="002157D7">
      <w:pPr>
        <w:jc w:val="both"/>
      </w:pPr>
      <w:r w:rsidRPr="006E09C2">
        <w:t>Prijatie navrhovaného zákona nebude mať vplyv na rozpočet verejnej správy, pričom bude mať možné negatívne a pozitívne vplyvy na podnikateľské prostredie. Návrh zákona nemá sociálne vplyvy, vplyvy na životné prostredie, na služby verejnej správy pre občana, na informatizáciu a nemá vplyvy ani na manželstvo, rodičovstvo a rodinu.</w:t>
      </w:r>
    </w:p>
    <w:p w14:paraId="5B22BC2F" w14:textId="77777777" w:rsidR="002157D7" w:rsidRPr="006E09C2" w:rsidRDefault="002157D7" w:rsidP="002157D7">
      <w:pPr>
        <w:jc w:val="both"/>
      </w:pPr>
    </w:p>
    <w:p w14:paraId="5E9A46B7" w14:textId="77777777" w:rsidR="00397A92" w:rsidRPr="006E09C2" w:rsidRDefault="002157D7" w:rsidP="002157D7">
      <w:pPr>
        <w:jc w:val="both"/>
      </w:pPr>
      <w:r w:rsidRPr="006E09C2">
        <w:t>Predložený návrh zákona je v súlade s Ústavou Slovenskej republiky, s ústavnými zákonmi, nálezmi ústavného súdu, inými zákonmi a ostatnými všeobecne záväznými právnymi predpismi Slovenskej republiky, s právom Európskej únie a s medzinárodnými zmluvami, ktorými je Slovenská republika viazaná.</w:t>
      </w:r>
    </w:p>
    <w:p w14:paraId="5F97CD0B" w14:textId="270EFCF8" w:rsidR="00E60336" w:rsidRDefault="00E60336">
      <w:pPr>
        <w:spacing w:after="160" w:line="259" w:lineRule="auto"/>
      </w:pPr>
      <w:r>
        <w:br w:type="page"/>
      </w:r>
    </w:p>
    <w:p w14:paraId="73BD83F4" w14:textId="77777777" w:rsidR="00E60336" w:rsidRPr="00D35154" w:rsidRDefault="00E60336" w:rsidP="00E60336">
      <w:pPr>
        <w:jc w:val="center"/>
        <w:rPr>
          <w:b/>
          <w:bCs/>
          <w:sz w:val="28"/>
          <w:szCs w:val="28"/>
        </w:rPr>
      </w:pPr>
      <w:r w:rsidRPr="00D35154">
        <w:rPr>
          <w:b/>
          <w:bCs/>
          <w:sz w:val="28"/>
          <w:szCs w:val="28"/>
        </w:rPr>
        <w:lastRenderedPageBreak/>
        <w:t>Doložka vybraných vplyvov</w:t>
      </w:r>
    </w:p>
    <w:p w14:paraId="050B7590" w14:textId="77777777" w:rsidR="00397A92" w:rsidRDefault="00397A92">
      <w:pPr>
        <w:jc w:val="both"/>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E60336" w:rsidRPr="00D35154" w14:paraId="712F9584" w14:textId="77777777" w:rsidTr="00050EEC">
        <w:tc>
          <w:tcPr>
            <w:tcW w:w="9180" w:type="dxa"/>
            <w:gridSpan w:val="10"/>
            <w:tcBorders>
              <w:bottom w:val="single" w:sz="4" w:space="0" w:color="FFFFFF" w:themeColor="background1"/>
            </w:tcBorders>
            <w:shd w:val="clear" w:color="auto" w:fill="E2E2E2"/>
          </w:tcPr>
          <w:p w14:paraId="230AD239" w14:textId="77777777" w:rsidR="00E60336" w:rsidRPr="00D35154" w:rsidRDefault="00E60336" w:rsidP="00050EEC">
            <w:pPr>
              <w:pStyle w:val="Odsekzoznamu"/>
              <w:numPr>
                <w:ilvl w:val="0"/>
                <w:numId w:val="1"/>
              </w:numPr>
              <w:spacing w:after="0" w:line="240" w:lineRule="auto"/>
              <w:ind w:left="426"/>
              <w:rPr>
                <w:rFonts w:ascii="Times New Roman" w:hAnsi="Times New Roman" w:cs="Times New Roman"/>
                <w:b/>
              </w:rPr>
            </w:pPr>
            <w:r w:rsidRPr="00D35154">
              <w:rPr>
                <w:rFonts w:ascii="Times New Roman" w:hAnsi="Times New Roman" w:cs="Times New Roman"/>
                <w:b/>
              </w:rPr>
              <w:t>Základné údaje</w:t>
            </w:r>
          </w:p>
        </w:tc>
      </w:tr>
      <w:tr w:rsidR="00E60336" w:rsidRPr="00D35154" w14:paraId="7EB7CD50" w14:textId="77777777" w:rsidTr="00050EEC">
        <w:tc>
          <w:tcPr>
            <w:tcW w:w="9180" w:type="dxa"/>
            <w:gridSpan w:val="10"/>
            <w:tcBorders>
              <w:bottom w:val="single" w:sz="4" w:space="0" w:color="FFFFFF" w:themeColor="background1"/>
            </w:tcBorders>
            <w:shd w:val="clear" w:color="auto" w:fill="E2E2E2"/>
          </w:tcPr>
          <w:p w14:paraId="4987EDBA" w14:textId="77777777" w:rsidR="00E60336" w:rsidRPr="00D35154" w:rsidRDefault="00E60336" w:rsidP="00050EEC">
            <w:pPr>
              <w:pStyle w:val="Odsekzoznamu"/>
              <w:ind w:left="142"/>
              <w:rPr>
                <w:rFonts w:ascii="Times New Roman" w:hAnsi="Times New Roman" w:cs="Times New Roman"/>
                <w:b/>
              </w:rPr>
            </w:pPr>
            <w:r w:rsidRPr="00D35154">
              <w:rPr>
                <w:rFonts w:ascii="Times New Roman" w:hAnsi="Times New Roman" w:cs="Times New Roman"/>
                <w:b/>
              </w:rPr>
              <w:t>Názov materiálu</w:t>
            </w:r>
          </w:p>
        </w:tc>
      </w:tr>
      <w:tr w:rsidR="00E60336" w:rsidRPr="00D35154" w14:paraId="6471D1AD" w14:textId="77777777" w:rsidTr="00050EEC">
        <w:tc>
          <w:tcPr>
            <w:tcW w:w="9180" w:type="dxa"/>
            <w:gridSpan w:val="10"/>
            <w:tcBorders>
              <w:top w:val="single" w:sz="4" w:space="0" w:color="FFFFFF" w:themeColor="background1"/>
              <w:bottom w:val="single" w:sz="4" w:space="0" w:color="auto"/>
            </w:tcBorders>
          </w:tcPr>
          <w:p w14:paraId="6C4C609C" w14:textId="77777777" w:rsidR="00E60336" w:rsidRPr="00D35154" w:rsidRDefault="00E60336" w:rsidP="00050EEC">
            <w:pPr>
              <w:rPr>
                <w:bCs/>
                <w:sz w:val="22"/>
                <w:szCs w:val="22"/>
              </w:rPr>
            </w:pPr>
            <w:r w:rsidRPr="00D35154">
              <w:rPr>
                <w:bCs/>
                <w:sz w:val="22"/>
                <w:szCs w:val="22"/>
              </w:rPr>
              <w:t xml:space="preserve">Návrh zákona, ktorým sa mení a dopĺňa zákon č. </w:t>
            </w:r>
            <w:r w:rsidRPr="00FA6B40">
              <w:rPr>
                <w:bCs/>
                <w:sz w:val="22"/>
                <w:szCs w:val="22"/>
              </w:rPr>
              <w:t>566/2001 Z.</w:t>
            </w:r>
            <w:r>
              <w:rPr>
                <w:bCs/>
                <w:sz w:val="22"/>
                <w:szCs w:val="22"/>
              </w:rPr>
              <w:t xml:space="preserve"> </w:t>
            </w:r>
            <w:r w:rsidRPr="00FA6B40">
              <w:rPr>
                <w:bCs/>
                <w:sz w:val="22"/>
                <w:szCs w:val="22"/>
              </w:rPr>
              <w:t>z. o cenných papieroch a investičných službách a o zmene a doplnení niektorých zákonov (zákon o cenných papieroch) v znení neskorších predpisov a ktorým sa menia a dopĺňajú niektoré zákony</w:t>
            </w:r>
            <w:r>
              <w:rPr>
                <w:bCs/>
                <w:sz w:val="22"/>
                <w:szCs w:val="22"/>
              </w:rPr>
              <w:t>.</w:t>
            </w:r>
          </w:p>
          <w:p w14:paraId="492325E6" w14:textId="77777777" w:rsidR="00E60336" w:rsidRPr="00D35154" w:rsidRDefault="00E60336" w:rsidP="00050EEC">
            <w:pPr>
              <w:rPr>
                <w:sz w:val="22"/>
                <w:szCs w:val="22"/>
              </w:rPr>
            </w:pPr>
          </w:p>
        </w:tc>
      </w:tr>
      <w:tr w:rsidR="00E60336" w:rsidRPr="00D35154" w14:paraId="122220DF" w14:textId="77777777" w:rsidTr="00050EEC">
        <w:tc>
          <w:tcPr>
            <w:tcW w:w="9180" w:type="dxa"/>
            <w:gridSpan w:val="10"/>
            <w:tcBorders>
              <w:top w:val="single" w:sz="4" w:space="0" w:color="auto"/>
              <w:left w:val="single" w:sz="4" w:space="0" w:color="auto"/>
              <w:bottom w:val="single" w:sz="4" w:space="0" w:color="FFFFFF" w:themeColor="background1"/>
            </w:tcBorders>
            <w:shd w:val="clear" w:color="auto" w:fill="E2E2E2"/>
          </w:tcPr>
          <w:p w14:paraId="7D85D3FA" w14:textId="77777777" w:rsidR="00E60336" w:rsidRPr="00D35154" w:rsidRDefault="00E60336" w:rsidP="00050EEC">
            <w:pPr>
              <w:pStyle w:val="Odsekzoznamu"/>
              <w:ind w:left="142"/>
              <w:rPr>
                <w:rFonts w:ascii="Times New Roman" w:hAnsi="Times New Roman" w:cs="Times New Roman"/>
                <w:b/>
              </w:rPr>
            </w:pPr>
            <w:r w:rsidRPr="00D35154">
              <w:rPr>
                <w:rFonts w:ascii="Times New Roman" w:hAnsi="Times New Roman" w:cs="Times New Roman"/>
                <w:b/>
              </w:rPr>
              <w:t>Predkladateľ (a spolupredkladateľ)</w:t>
            </w:r>
          </w:p>
        </w:tc>
      </w:tr>
      <w:tr w:rsidR="00E60336" w:rsidRPr="00D35154" w14:paraId="4AD8D350" w14:textId="77777777" w:rsidTr="00050EEC">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14:paraId="4253D903" w14:textId="77777777" w:rsidR="00E60336" w:rsidRPr="00D35154" w:rsidRDefault="00E60336" w:rsidP="00050EEC">
            <w:pPr>
              <w:rPr>
                <w:sz w:val="22"/>
                <w:szCs w:val="22"/>
              </w:rPr>
            </w:pPr>
            <w:r w:rsidRPr="00D35154">
              <w:rPr>
                <w:sz w:val="22"/>
                <w:szCs w:val="22"/>
              </w:rPr>
              <w:t>Predkladateľ: Ministerstvo financií Slovenskej republiky</w:t>
            </w:r>
          </w:p>
          <w:p w14:paraId="25B9254D" w14:textId="77777777" w:rsidR="00E60336" w:rsidRPr="00D35154" w:rsidRDefault="00E60336" w:rsidP="00050EEC">
            <w:pPr>
              <w:rPr>
                <w:sz w:val="22"/>
                <w:szCs w:val="22"/>
              </w:rPr>
            </w:pPr>
          </w:p>
        </w:tc>
      </w:tr>
      <w:tr w:rsidR="00E60336" w:rsidRPr="00D35154" w14:paraId="766BC900" w14:textId="77777777" w:rsidTr="00050EEC">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14:paraId="7B2F83D1" w14:textId="77777777" w:rsidR="00E60336" w:rsidRPr="00D35154" w:rsidRDefault="00E60336" w:rsidP="00050EEC">
            <w:pPr>
              <w:pStyle w:val="Odsekzoznamu"/>
              <w:ind w:left="142"/>
              <w:rPr>
                <w:rFonts w:ascii="Times New Roman" w:hAnsi="Times New Roman" w:cs="Times New Roman"/>
                <w:b/>
              </w:rPr>
            </w:pPr>
            <w:r w:rsidRPr="00D35154">
              <w:rPr>
                <w:rFonts w:ascii="Times New Roman" w:hAnsi="Times New Roman" w:cs="Times New Roman"/>
                <w:b/>
              </w:rPr>
              <w:t>Charakter predkladaného materiálu</w:t>
            </w:r>
          </w:p>
        </w:tc>
        <w:sdt>
          <w:sdtPr>
            <w:rPr>
              <w:sz w:val="22"/>
              <w:szCs w:val="22"/>
            </w:r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68E0EE5F" w14:textId="77777777" w:rsidR="00E60336" w:rsidRPr="00D35154" w:rsidRDefault="00E60336" w:rsidP="00050EEC">
                <w:pPr>
                  <w:jc w:val="center"/>
                  <w:rPr>
                    <w:sz w:val="22"/>
                    <w:szCs w:val="22"/>
                  </w:rPr>
                </w:pPr>
                <w:r w:rsidRPr="00D35154">
                  <w:rPr>
                    <w:rFonts w:ascii="MS Mincho" w:eastAsia="MS Mincho" w:hAnsi="MS Mincho" w:cs="MS Mincho" w:hint="eastAsia"/>
                    <w:sz w:val="22"/>
                    <w:szCs w:val="22"/>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14:paraId="18259FAF" w14:textId="77777777" w:rsidR="00E60336" w:rsidRPr="00D35154" w:rsidRDefault="00E60336" w:rsidP="00050EEC">
            <w:pPr>
              <w:rPr>
                <w:sz w:val="22"/>
                <w:szCs w:val="22"/>
              </w:rPr>
            </w:pPr>
            <w:r w:rsidRPr="00D35154">
              <w:rPr>
                <w:sz w:val="22"/>
                <w:szCs w:val="22"/>
              </w:rPr>
              <w:t>Materiál nelegislatívnej povahy</w:t>
            </w:r>
          </w:p>
        </w:tc>
      </w:tr>
      <w:tr w:rsidR="00E60336" w:rsidRPr="00D35154" w14:paraId="6FB2D413" w14:textId="77777777" w:rsidTr="00050EEC">
        <w:tc>
          <w:tcPr>
            <w:tcW w:w="4212" w:type="dxa"/>
            <w:gridSpan w:val="2"/>
            <w:vMerge/>
            <w:tcBorders>
              <w:top w:val="nil"/>
              <w:left w:val="single" w:sz="4" w:space="0" w:color="auto"/>
              <w:bottom w:val="single" w:sz="4" w:space="0" w:color="FFFFFF" w:themeColor="background1"/>
            </w:tcBorders>
            <w:shd w:val="clear" w:color="auto" w:fill="E2E2E2"/>
          </w:tcPr>
          <w:p w14:paraId="200AE955" w14:textId="77777777" w:rsidR="00E60336" w:rsidRPr="00D35154" w:rsidRDefault="00E60336" w:rsidP="00050EEC">
            <w:pPr>
              <w:rPr>
                <w:sz w:val="22"/>
                <w:szCs w:val="22"/>
              </w:rPr>
            </w:pPr>
          </w:p>
        </w:tc>
        <w:sdt>
          <w:sdtPr>
            <w:rPr>
              <w:sz w:val="22"/>
              <w:szCs w:val="22"/>
            </w:r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5DA61DBF" w14:textId="77777777" w:rsidR="00E60336" w:rsidRPr="00D35154" w:rsidRDefault="00E60336" w:rsidP="00050EEC">
                <w:pPr>
                  <w:jc w:val="center"/>
                  <w:rPr>
                    <w:sz w:val="22"/>
                    <w:szCs w:val="22"/>
                  </w:rPr>
                </w:pPr>
                <w:r w:rsidRPr="00D35154">
                  <w:rPr>
                    <w:rFonts w:ascii="MS Gothic" w:eastAsia="MS Gothic" w:hAnsi="MS Gothic" w:hint="eastAsia"/>
                    <w:sz w:val="22"/>
                    <w:szCs w:val="22"/>
                  </w:rPr>
                  <w:t>☒</w:t>
                </w:r>
              </w:p>
            </w:tc>
          </w:sdtContent>
        </w:sdt>
        <w:tc>
          <w:tcPr>
            <w:tcW w:w="4263" w:type="dxa"/>
            <w:gridSpan w:val="6"/>
            <w:tcBorders>
              <w:top w:val="single" w:sz="4" w:space="0" w:color="auto"/>
              <w:left w:val="nil"/>
              <w:bottom w:val="single" w:sz="4" w:space="0" w:color="auto"/>
            </w:tcBorders>
            <w:shd w:val="clear" w:color="auto" w:fill="FFFFFF" w:themeFill="background1"/>
          </w:tcPr>
          <w:p w14:paraId="48D0073F" w14:textId="77777777" w:rsidR="00E60336" w:rsidRPr="00D35154" w:rsidRDefault="00E60336" w:rsidP="00050EEC">
            <w:pPr>
              <w:ind w:left="175" w:hanging="175"/>
              <w:rPr>
                <w:sz w:val="22"/>
                <w:szCs w:val="22"/>
              </w:rPr>
            </w:pPr>
            <w:r w:rsidRPr="00D35154">
              <w:rPr>
                <w:sz w:val="22"/>
                <w:szCs w:val="22"/>
              </w:rPr>
              <w:t>Materiál legislatívnej povahy</w:t>
            </w:r>
          </w:p>
        </w:tc>
      </w:tr>
      <w:tr w:rsidR="00E60336" w:rsidRPr="00D35154" w14:paraId="37C01F6F" w14:textId="77777777" w:rsidTr="00050EEC">
        <w:tc>
          <w:tcPr>
            <w:tcW w:w="4212" w:type="dxa"/>
            <w:gridSpan w:val="2"/>
            <w:vMerge/>
            <w:tcBorders>
              <w:top w:val="nil"/>
              <w:left w:val="single" w:sz="4" w:space="0" w:color="auto"/>
              <w:bottom w:val="single" w:sz="4" w:space="0" w:color="auto"/>
            </w:tcBorders>
            <w:shd w:val="clear" w:color="auto" w:fill="E2E2E2"/>
          </w:tcPr>
          <w:p w14:paraId="3A7ED517" w14:textId="77777777" w:rsidR="00E60336" w:rsidRPr="00D35154" w:rsidRDefault="00E60336" w:rsidP="00050EEC">
            <w:pPr>
              <w:rPr>
                <w:sz w:val="22"/>
                <w:szCs w:val="22"/>
              </w:rPr>
            </w:pPr>
          </w:p>
        </w:tc>
        <w:sdt>
          <w:sdtPr>
            <w:rPr>
              <w:sz w:val="22"/>
              <w:szCs w:val="22"/>
            </w:rPr>
            <w:id w:val="-1883475976"/>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2EC19452" w14:textId="77777777" w:rsidR="00E60336" w:rsidRPr="00D35154" w:rsidRDefault="00E60336" w:rsidP="00050EEC">
                <w:pPr>
                  <w:jc w:val="center"/>
                  <w:rPr>
                    <w:sz w:val="22"/>
                    <w:szCs w:val="22"/>
                  </w:rPr>
                </w:pPr>
                <w:r w:rsidRPr="00D35154">
                  <w:rPr>
                    <w:rFonts w:ascii="MS Gothic" w:eastAsia="MS Gothic" w:hAnsi="MS Gothic" w:hint="eastAsia"/>
                    <w:sz w:val="22"/>
                    <w:szCs w:val="22"/>
                  </w:rPr>
                  <w:t>☒</w:t>
                </w:r>
              </w:p>
            </w:tc>
          </w:sdtContent>
        </w:sdt>
        <w:tc>
          <w:tcPr>
            <w:tcW w:w="4263" w:type="dxa"/>
            <w:gridSpan w:val="6"/>
            <w:tcBorders>
              <w:top w:val="single" w:sz="4" w:space="0" w:color="auto"/>
              <w:left w:val="nil"/>
              <w:bottom w:val="single" w:sz="4" w:space="0" w:color="auto"/>
            </w:tcBorders>
            <w:shd w:val="clear" w:color="auto" w:fill="FFFFFF" w:themeFill="background1"/>
          </w:tcPr>
          <w:p w14:paraId="5363D3C5" w14:textId="77777777" w:rsidR="00E60336" w:rsidRPr="00D35154" w:rsidRDefault="00E60336" w:rsidP="00050EEC">
            <w:pPr>
              <w:rPr>
                <w:sz w:val="22"/>
                <w:szCs w:val="22"/>
              </w:rPr>
            </w:pPr>
            <w:r w:rsidRPr="00D35154">
              <w:rPr>
                <w:sz w:val="22"/>
                <w:szCs w:val="22"/>
              </w:rPr>
              <w:t>Transpozícia práva EÚ</w:t>
            </w:r>
          </w:p>
        </w:tc>
      </w:tr>
      <w:tr w:rsidR="00E60336" w:rsidRPr="00D35154" w14:paraId="791E6840" w14:textId="77777777" w:rsidTr="00050EEC">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14:paraId="6082AA42" w14:textId="77777777" w:rsidR="00E60336" w:rsidRPr="00D35154" w:rsidRDefault="00E60336" w:rsidP="00050EEC">
            <w:pPr>
              <w:rPr>
                <w:i/>
                <w:sz w:val="22"/>
                <w:szCs w:val="22"/>
              </w:rPr>
            </w:pPr>
            <w:r w:rsidRPr="00D35154">
              <w:rPr>
                <w:i/>
                <w:sz w:val="22"/>
                <w:szCs w:val="22"/>
              </w:rPr>
              <w:t>V prípade transpozície uveďte zoznam transponovaných predpisov:</w:t>
            </w:r>
          </w:p>
          <w:p w14:paraId="0FCA8404" w14:textId="77777777" w:rsidR="00E60336" w:rsidRPr="00D35154" w:rsidRDefault="00E60336" w:rsidP="00050EEC">
            <w:pPr>
              <w:rPr>
                <w:i/>
                <w:sz w:val="22"/>
                <w:szCs w:val="22"/>
              </w:rPr>
            </w:pPr>
          </w:p>
          <w:p w14:paraId="67373F5A" w14:textId="77777777" w:rsidR="00E60336" w:rsidRDefault="00E60336" w:rsidP="00050EEC">
            <w:pPr>
              <w:pStyle w:val="Odsekzoznamu"/>
              <w:numPr>
                <w:ilvl w:val="0"/>
                <w:numId w:val="2"/>
              </w:numPr>
              <w:spacing w:line="240" w:lineRule="auto"/>
              <w:jc w:val="both"/>
              <w:rPr>
                <w:rFonts w:ascii="Times New Roman" w:hAnsi="Times New Roman" w:cs="Times New Roman"/>
              </w:rPr>
            </w:pPr>
            <w:r w:rsidRPr="00D35154">
              <w:rPr>
                <w:rFonts w:ascii="Times New Roman" w:hAnsi="Times New Roman" w:cs="Times New Roman"/>
              </w:rPr>
              <w:t xml:space="preserve">smernica </w:t>
            </w:r>
            <w:r w:rsidRPr="00FA6B40">
              <w:rPr>
                <w:rFonts w:ascii="Times New Roman" w:hAnsi="Times New Roman" w:cs="Times New Roman"/>
              </w:rPr>
              <w:t xml:space="preserve">Európskeho parlamentu a Rady (EÚ) 2019/2034 z 27. novembra 2019 o </w:t>
            </w:r>
            <w:proofErr w:type="spellStart"/>
            <w:r w:rsidRPr="00FA6B40">
              <w:rPr>
                <w:rFonts w:ascii="Times New Roman" w:hAnsi="Times New Roman" w:cs="Times New Roman"/>
              </w:rPr>
              <w:t>prudenciálnom</w:t>
            </w:r>
            <w:proofErr w:type="spellEnd"/>
            <w:r w:rsidRPr="00FA6B40">
              <w:rPr>
                <w:rFonts w:ascii="Times New Roman" w:hAnsi="Times New Roman" w:cs="Times New Roman"/>
              </w:rPr>
              <w:t xml:space="preserve"> dohľade nad investičnými spoločnosťami a o zmene smerníc 2002/87/ES, 2009/65/ES, 2011/61/EÚ, 2013/36/EÚ, 2014/59/EÚ a 2014/65/EÚ </w:t>
            </w:r>
            <w:r w:rsidRPr="00D35154">
              <w:rPr>
                <w:rFonts w:ascii="Times New Roman" w:hAnsi="Times New Roman" w:cs="Times New Roman"/>
              </w:rPr>
              <w:t xml:space="preserve">(ďalej len „smernica </w:t>
            </w:r>
            <w:r>
              <w:rPr>
                <w:rFonts w:ascii="Times New Roman" w:hAnsi="Times New Roman" w:cs="Times New Roman"/>
              </w:rPr>
              <w:t>2019/2034</w:t>
            </w:r>
            <w:r w:rsidRPr="00D35154">
              <w:rPr>
                <w:rFonts w:ascii="Times New Roman" w:hAnsi="Times New Roman" w:cs="Times New Roman"/>
              </w:rPr>
              <w:t>“),</w:t>
            </w:r>
          </w:p>
          <w:p w14:paraId="4D865ED9" w14:textId="77777777" w:rsidR="00E60336" w:rsidRPr="00E60336" w:rsidRDefault="00E60336" w:rsidP="00050EEC">
            <w:pPr>
              <w:pStyle w:val="Odsekzoznamu"/>
              <w:numPr>
                <w:ilvl w:val="0"/>
                <w:numId w:val="2"/>
              </w:numPr>
              <w:spacing w:line="240" w:lineRule="auto"/>
              <w:jc w:val="both"/>
              <w:rPr>
                <w:rFonts w:ascii="Times New Roman" w:hAnsi="Times New Roman" w:cs="Times New Roman"/>
                <w:b/>
              </w:rPr>
            </w:pPr>
            <w:r w:rsidRPr="00E60336">
              <w:rPr>
                <w:rStyle w:val="Siln"/>
                <w:rFonts w:ascii="Times New Roman" w:hAnsi="Times New Roman"/>
                <w:b w:val="0"/>
              </w:rPr>
              <w:t>smernica Európskeho parlamentu a Rady (EÚ) 2019/2177 z 18. decembra 2019, ktorou sa mení smernica 2009/138/ES o začatí a vykonávaní poistenia a zaistenia (Solventnosť II), smernica 2014/65/EÚ o trhoch s finančnými nástrojmi a smernica (EÚ) 2015/849 o predchádzaní využívaniu finančného systému na účely prania špinavých peňazí alebo financovania terorizmu</w:t>
            </w:r>
            <w:r w:rsidRPr="00E60336">
              <w:rPr>
                <w:rFonts w:ascii="Times New Roman" w:hAnsi="Times New Roman" w:cs="Times New Roman"/>
                <w:b/>
              </w:rPr>
              <w:t>,</w:t>
            </w:r>
          </w:p>
          <w:p w14:paraId="36F18E0A" w14:textId="77777777" w:rsidR="00E60336" w:rsidRPr="00B600E4" w:rsidRDefault="00E60336" w:rsidP="00050EEC">
            <w:pPr>
              <w:pStyle w:val="Odsekzoznamu"/>
              <w:numPr>
                <w:ilvl w:val="0"/>
                <w:numId w:val="2"/>
              </w:numPr>
              <w:spacing w:line="240" w:lineRule="auto"/>
              <w:jc w:val="both"/>
              <w:rPr>
                <w:rFonts w:ascii="Times New Roman" w:hAnsi="Times New Roman" w:cs="Times New Roman"/>
              </w:rPr>
            </w:pPr>
            <w:r w:rsidRPr="00B600E4">
              <w:rPr>
                <w:rFonts w:ascii="Times New Roman" w:hAnsi="Times New Roman" w:cs="Times New Roman"/>
              </w:rPr>
              <w:t xml:space="preserve">smernica Európskeho parlamentu a Rady (EÚ) 2020/1504 zo 7. októbra 2020, ktorou sa mení smernica 2014/65/EÚ o trhoch s finančnými nástrojmi </w:t>
            </w:r>
          </w:p>
          <w:p w14:paraId="6BE2DBFD" w14:textId="77777777" w:rsidR="00E60336" w:rsidRPr="00D35154" w:rsidRDefault="00E60336" w:rsidP="00050EEC">
            <w:pPr>
              <w:pStyle w:val="Odsekzoznamu"/>
              <w:spacing w:line="240" w:lineRule="auto"/>
              <w:jc w:val="both"/>
            </w:pPr>
          </w:p>
        </w:tc>
      </w:tr>
      <w:tr w:rsidR="00E60336" w:rsidRPr="00D35154" w14:paraId="50919ACC" w14:textId="77777777" w:rsidTr="00050EEC">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1E925C75" w14:textId="77777777" w:rsidR="00E60336" w:rsidRPr="00D35154" w:rsidRDefault="00E60336" w:rsidP="00050EEC">
            <w:pPr>
              <w:pStyle w:val="Odsekzoznamu"/>
              <w:ind w:left="142"/>
              <w:rPr>
                <w:rFonts w:ascii="Times New Roman" w:hAnsi="Times New Roman" w:cs="Times New Roman"/>
                <w:b/>
              </w:rPr>
            </w:pPr>
            <w:r w:rsidRPr="00D35154">
              <w:rPr>
                <w:rFonts w:ascii="Times New Roman" w:hAnsi="Times New Roman" w:cs="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14:paraId="6FF1BC0F" w14:textId="77777777" w:rsidR="00E60336" w:rsidRPr="00D35154" w:rsidRDefault="00E60336" w:rsidP="00050EEC">
            <w:pPr>
              <w:rPr>
                <w:sz w:val="22"/>
                <w:szCs w:val="22"/>
              </w:rPr>
            </w:pPr>
            <w:r w:rsidRPr="00D35154">
              <w:rPr>
                <w:sz w:val="22"/>
                <w:szCs w:val="22"/>
              </w:rPr>
              <w:t>začiatok PPK: </w:t>
            </w:r>
            <w:r>
              <w:rPr>
                <w:sz w:val="22"/>
                <w:szCs w:val="22"/>
              </w:rPr>
              <w:t>13</w:t>
            </w:r>
            <w:r w:rsidRPr="00926E30">
              <w:rPr>
                <w:sz w:val="22"/>
                <w:szCs w:val="22"/>
              </w:rPr>
              <w:t xml:space="preserve">. </w:t>
            </w:r>
            <w:r>
              <w:rPr>
                <w:sz w:val="22"/>
                <w:szCs w:val="22"/>
              </w:rPr>
              <w:t>10</w:t>
            </w:r>
            <w:r w:rsidRPr="00926E30">
              <w:rPr>
                <w:sz w:val="22"/>
                <w:szCs w:val="22"/>
              </w:rPr>
              <w:t>. 2020</w:t>
            </w:r>
            <w:r w:rsidRPr="00926E30">
              <w:rPr>
                <w:sz w:val="22"/>
                <w:szCs w:val="22"/>
              </w:rPr>
              <w:br/>
              <w:t>ukončenie PPK: </w:t>
            </w:r>
            <w:r>
              <w:rPr>
                <w:sz w:val="22"/>
                <w:szCs w:val="22"/>
              </w:rPr>
              <w:t>26</w:t>
            </w:r>
            <w:r w:rsidRPr="00926E30">
              <w:rPr>
                <w:sz w:val="22"/>
                <w:szCs w:val="22"/>
              </w:rPr>
              <w:t xml:space="preserve">. </w:t>
            </w:r>
            <w:r>
              <w:rPr>
                <w:sz w:val="22"/>
                <w:szCs w:val="22"/>
              </w:rPr>
              <w:t>10</w:t>
            </w:r>
            <w:r w:rsidRPr="00926E30">
              <w:rPr>
                <w:sz w:val="22"/>
                <w:szCs w:val="22"/>
              </w:rPr>
              <w:t>. 2020</w:t>
            </w:r>
          </w:p>
          <w:p w14:paraId="27C87733" w14:textId="77777777" w:rsidR="00E60336" w:rsidRPr="00D35154" w:rsidRDefault="00E60336" w:rsidP="00050EEC">
            <w:pPr>
              <w:rPr>
                <w:sz w:val="22"/>
                <w:szCs w:val="22"/>
              </w:rPr>
            </w:pPr>
          </w:p>
        </w:tc>
      </w:tr>
      <w:tr w:rsidR="00E60336" w:rsidRPr="00D35154" w14:paraId="30B177C9" w14:textId="77777777" w:rsidTr="00050EEC">
        <w:tc>
          <w:tcPr>
            <w:tcW w:w="5634" w:type="dxa"/>
            <w:gridSpan w:val="5"/>
            <w:tcBorders>
              <w:top w:val="single" w:sz="4" w:space="0" w:color="auto"/>
              <w:left w:val="single" w:sz="4" w:space="0" w:color="auto"/>
              <w:bottom w:val="single" w:sz="4" w:space="0" w:color="auto"/>
              <w:right w:val="single" w:sz="4" w:space="0" w:color="auto"/>
            </w:tcBorders>
            <w:shd w:val="clear" w:color="auto" w:fill="E2E2E2"/>
          </w:tcPr>
          <w:p w14:paraId="7CEC5195" w14:textId="77777777" w:rsidR="00E60336" w:rsidRPr="00D35154" w:rsidRDefault="00E60336" w:rsidP="00050EEC">
            <w:pPr>
              <w:pStyle w:val="Odsekzoznamu"/>
              <w:ind w:left="142"/>
              <w:rPr>
                <w:rFonts w:ascii="Times New Roman" w:hAnsi="Times New Roman" w:cs="Times New Roman"/>
                <w:b/>
              </w:rPr>
            </w:pPr>
            <w:r w:rsidRPr="00D35154">
              <w:rPr>
                <w:rFonts w:ascii="Times New Roman" w:hAnsi="Times New Roman" w:cs="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14:paraId="1102BA4B" w14:textId="77777777" w:rsidR="00E60336" w:rsidRPr="00D35154" w:rsidRDefault="00E60336" w:rsidP="00050EEC">
            <w:pPr>
              <w:rPr>
                <w:sz w:val="22"/>
                <w:szCs w:val="22"/>
              </w:rPr>
            </w:pPr>
            <w:r>
              <w:rPr>
                <w:sz w:val="22"/>
                <w:szCs w:val="22"/>
              </w:rPr>
              <w:t>november</w:t>
            </w:r>
            <w:r w:rsidRPr="00D35154">
              <w:rPr>
                <w:sz w:val="22"/>
                <w:szCs w:val="22"/>
              </w:rPr>
              <w:t xml:space="preserve"> 2020</w:t>
            </w:r>
          </w:p>
        </w:tc>
      </w:tr>
      <w:tr w:rsidR="00E60336" w:rsidRPr="00D35154" w14:paraId="00BA939D" w14:textId="77777777" w:rsidTr="00050EEC">
        <w:tc>
          <w:tcPr>
            <w:tcW w:w="5634" w:type="dxa"/>
            <w:gridSpan w:val="5"/>
            <w:tcBorders>
              <w:top w:val="single" w:sz="4" w:space="0" w:color="auto"/>
              <w:left w:val="single" w:sz="4" w:space="0" w:color="auto"/>
              <w:bottom w:val="single" w:sz="4" w:space="0" w:color="auto"/>
              <w:right w:val="single" w:sz="4" w:space="0" w:color="auto"/>
            </w:tcBorders>
            <w:shd w:val="clear" w:color="auto" w:fill="E2E2E2"/>
          </w:tcPr>
          <w:p w14:paraId="234D17C3" w14:textId="77777777" w:rsidR="00E60336" w:rsidRPr="00D35154" w:rsidRDefault="00E60336" w:rsidP="00050EEC">
            <w:pPr>
              <w:pStyle w:val="Odsekzoznamu"/>
              <w:ind w:left="142"/>
              <w:rPr>
                <w:rFonts w:ascii="Times New Roman" w:hAnsi="Times New Roman" w:cs="Times New Roman"/>
                <w:b/>
              </w:rPr>
            </w:pPr>
            <w:r w:rsidRPr="00D35154">
              <w:rPr>
                <w:rFonts w:ascii="Times New Roman" w:hAnsi="Times New Roman" w:cs="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14:paraId="5F956117" w14:textId="77777777" w:rsidR="00E60336" w:rsidRPr="00D35154" w:rsidRDefault="00E60336" w:rsidP="00050EEC">
            <w:pPr>
              <w:rPr>
                <w:sz w:val="22"/>
                <w:szCs w:val="22"/>
              </w:rPr>
            </w:pPr>
            <w:r>
              <w:rPr>
                <w:sz w:val="22"/>
                <w:szCs w:val="22"/>
              </w:rPr>
              <w:t>január</w:t>
            </w:r>
            <w:r w:rsidRPr="00D35154">
              <w:rPr>
                <w:sz w:val="22"/>
                <w:szCs w:val="22"/>
              </w:rPr>
              <w:t xml:space="preserve"> 202</w:t>
            </w:r>
            <w:r>
              <w:rPr>
                <w:sz w:val="22"/>
                <w:szCs w:val="22"/>
              </w:rPr>
              <w:t>1</w:t>
            </w:r>
          </w:p>
        </w:tc>
      </w:tr>
      <w:tr w:rsidR="00E60336" w:rsidRPr="00D35154" w14:paraId="561DADEF" w14:textId="77777777" w:rsidTr="00050EEC">
        <w:tc>
          <w:tcPr>
            <w:tcW w:w="9180" w:type="dxa"/>
            <w:gridSpan w:val="10"/>
            <w:tcBorders>
              <w:top w:val="single" w:sz="4" w:space="0" w:color="auto"/>
              <w:left w:val="nil"/>
              <w:bottom w:val="single" w:sz="4" w:space="0" w:color="auto"/>
              <w:right w:val="nil"/>
            </w:tcBorders>
            <w:shd w:val="clear" w:color="auto" w:fill="FFFFFF" w:themeFill="background1"/>
          </w:tcPr>
          <w:p w14:paraId="10BDA2DD" w14:textId="77777777" w:rsidR="00E60336" w:rsidRPr="00D35154" w:rsidRDefault="00E60336" w:rsidP="00050EEC">
            <w:pPr>
              <w:rPr>
                <w:sz w:val="22"/>
                <w:szCs w:val="22"/>
              </w:rPr>
            </w:pPr>
          </w:p>
        </w:tc>
      </w:tr>
      <w:tr w:rsidR="00E60336" w:rsidRPr="00D35154" w14:paraId="501F9AFE" w14:textId="77777777" w:rsidTr="00050EEC">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4BA69143" w14:textId="77777777" w:rsidR="00E60336" w:rsidRPr="00D35154" w:rsidRDefault="00E60336" w:rsidP="00050EEC">
            <w:pPr>
              <w:pStyle w:val="Odsekzoznamu"/>
              <w:numPr>
                <w:ilvl w:val="0"/>
                <w:numId w:val="1"/>
              </w:numPr>
              <w:spacing w:after="0" w:line="240" w:lineRule="auto"/>
              <w:ind w:left="426"/>
              <w:rPr>
                <w:rFonts w:ascii="Times New Roman" w:hAnsi="Times New Roman" w:cs="Times New Roman"/>
                <w:b/>
              </w:rPr>
            </w:pPr>
            <w:r w:rsidRPr="00D35154">
              <w:rPr>
                <w:rFonts w:ascii="Times New Roman" w:hAnsi="Times New Roman" w:cs="Times New Roman"/>
                <w:b/>
              </w:rPr>
              <w:t>Definovanie problému</w:t>
            </w:r>
          </w:p>
        </w:tc>
      </w:tr>
      <w:tr w:rsidR="00E60336" w:rsidRPr="00D35154" w14:paraId="3561E9F9" w14:textId="77777777" w:rsidTr="00050EEC">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6789F270" w14:textId="77777777" w:rsidR="00E60336" w:rsidRPr="00D35154" w:rsidRDefault="00E60336" w:rsidP="00050EEC">
            <w:pPr>
              <w:rPr>
                <w:i/>
                <w:sz w:val="22"/>
                <w:szCs w:val="22"/>
              </w:rPr>
            </w:pPr>
            <w:r w:rsidRPr="00D35154">
              <w:rPr>
                <w:i/>
                <w:sz w:val="22"/>
                <w:szCs w:val="22"/>
              </w:rPr>
              <w:t>Uveďte základné problémy, na ktoré navrhovaná regulácia reaguje.</w:t>
            </w:r>
          </w:p>
          <w:p w14:paraId="3226AFAB" w14:textId="77777777" w:rsidR="00E60336" w:rsidRPr="00D35154" w:rsidRDefault="00E60336" w:rsidP="00050EEC">
            <w:pPr>
              <w:rPr>
                <w:b/>
                <w:sz w:val="22"/>
                <w:szCs w:val="22"/>
              </w:rPr>
            </w:pPr>
          </w:p>
          <w:p w14:paraId="112E0C10" w14:textId="77777777" w:rsidR="00E60336" w:rsidRDefault="00E60336" w:rsidP="00050EEC">
            <w:pPr>
              <w:spacing w:after="120"/>
              <w:jc w:val="both"/>
              <w:rPr>
                <w:sz w:val="22"/>
                <w:szCs w:val="22"/>
              </w:rPr>
            </w:pPr>
            <w:r w:rsidRPr="00D35154">
              <w:rPr>
                <w:sz w:val="22"/>
                <w:szCs w:val="22"/>
              </w:rPr>
              <w:t xml:space="preserve">Cieľom návrhu zákona, </w:t>
            </w:r>
            <w:r w:rsidRPr="00E705A3">
              <w:rPr>
                <w:sz w:val="22"/>
                <w:szCs w:val="22"/>
              </w:rPr>
              <w:t xml:space="preserve">ktorým sa mení a dopĺňa zákon č. 566/2001 Z. z. o cenných papieroch a investičných službách a o zmene a doplnení niektorých zákonov (zákon o cenných papieroch) v znení neskorších predpisov a ktorým sa menia a dopĺňajú niektoré zákony </w:t>
            </w:r>
            <w:r w:rsidRPr="00D35154">
              <w:rPr>
                <w:sz w:val="22"/>
                <w:szCs w:val="22"/>
              </w:rPr>
              <w:t xml:space="preserve">(ďalej len „návrh zákona“) je transpozícia </w:t>
            </w:r>
            <w:r w:rsidRPr="00E705A3">
              <w:rPr>
                <w:sz w:val="22"/>
                <w:szCs w:val="22"/>
              </w:rPr>
              <w:t xml:space="preserve">smernice Európskeho parlamentu a Rady (EÚ) 2019/2034 z 27. novembra 2019 o </w:t>
            </w:r>
            <w:proofErr w:type="spellStart"/>
            <w:r w:rsidRPr="00E705A3">
              <w:rPr>
                <w:sz w:val="22"/>
                <w:szCs w:val="22"/>
              </w:rPr>
              <w:t>prudenciálnom</w:t>
            </w:r>
            <w:proofErr w:type="spellEnd"/>
            <w:r w:rsidRPr="00E705A3">
              <w:rPr>
                <w:sz w:val="22"/>
                <w:szCs w:val="22"/>
              </w:rPr>
              <w:t xml:space="preserve"> dohľade nad investičnými spoločnosťami a o zmene smerníc 2002/87/ES, 2009/65/ES, 2011/61/EÚ, 2013/36/EÚ, 2014/59/EÚ a 2014/65/EÚ (ďalej len „smernica 2019/2034“)</w:t>
            </w:r>
            <w:r>
              <w:rPr>
                <w:sz w:val="22"/>
                <w:szCs w:val="22"/>
              </w:rPr>
              <w:t xml:space="preserve">, ktorá upravuje </w:t>
            </w:r>
            <w:proofErr w:type="spellStart"/>
            <w:r>
              <w:rPr>
                <w:sz w:val="22"/>
                <w:szCs w:val="22"/>
              </w:rPr>
              <w:t>prudenciálne</w:t>
            </w:r>
            <w:proofErr w:type="spellEnd"/>
            <w:r>
              <w:rPr>
                <w:sz w:val="22"/>
                <w:szCs w:val="22"/>
              </w:rPr>
              <w:t xml:space="preserve"> požiadavky na obchodníkov s cennými papiermi, ktorí doteraz spadali pod </w:t>
            </w:r>
            <w:proofErr w:type="spellStart"/>
            <w:r>
              <w:rPr>
                <w:sz w:val="22"/>
                <w:szCs w:val="22"/>
              </w:rPr>
              <w:t>prudenciálne</w:t>
            </w:r>
            <w:proofErr w:type="spellEnd"/>
            <w:r>
              <w:rPr>
                <w:sz w:val="22"/>
                <w:szCs w:val="22"/>
              </w:rPr>
              <w:t xml:space="preserve"> požiadavky totožné ako na banky.</w:t>
            </w:r>
            <w:r w:rsidRPr="00E705A3">
              <w:rPr>
                <w:sz w:val="22"/>
                <w:szCs w:val="22"/>
              </w:rPr>
              <w:t xml:space="preserve"> </w:t>
            </w:r>
            <w:r>
              <w:rPr>
                <w:sz w:val="22"/>
                <w:szCs w:val="22"/>
              </w:rPr>
              <w:t xml:space="preserve">Ďalej sa návrhom zákona transponuje </w:t>
            </w:r>
            <w:r w:rsidRPr="00E705A3">
              <w:rPr>
                <w:sz w:val="22"/>
                <w:szCs w:val="22"/>
              </w:rPr>
              <w:t>smernic</w:t>
            </w:r>
            <w:r>
              <w:rPr>
                <w:sz w:val="22"/>
                <w:szCs w:val="22"/>
              </w:rPr>
              <w:t>a</w:t>
            </w:r>
            <w:r w:rsidRPr="00E705A3">
              <w:rPr>
                <w:sz w:val="22"/>
                <w:szCs w:val="22"/>
              </w:rPr>
              <w:t xml:space="preserve"> Európskeho parlamentu a Rady (EÚ) 2019/2177 z 18. decembra 2019, ktorou sa mení smernica 2009/138/ES o začatí a vykonávaní poistenia a zaistenia (Solventnosť II), smernica 2014/65/EÚ o trhoch s finančnými nástrojmi a smernica (EÚ) 2015/849 o predchádzaní využívaniu finančného </w:t>
            </w:r>
            <w:r w:rsidRPr="00E705A3">
              <w:rPr>
                <w:sz w:val="22"/>
                <w:szCs w:val="22"/>
              </w:rPr>
              <w:lastRenderedPageBreak/>
              <w:t>systému na účely prania špinavých peňazí alebo financovania terorizmu (ďalej len „smernica Solventnosť II“)</w:t>
            </w:r>
            <w:r>
              <w:rPr>
                <w:sz w:val="22"/>
                <w:szCs w:val="22"/>
              </w:rPr>
              <w:t>, ktorá primárne posilňuje výmenu informácií medzi orgánmi dohľadu a európskymi orgánmi dohľadu</w:t>
            </w:r>
            <w:r w:rsidRPr="00E705A3">
              <w:rPr>
                <w:sz w:val="22"/>
                <w:szCs w:val="22"/>
              </w:rPr>
              <w:t>.</w:t>
            </w:r>
            <w:r>
              <w:rPr>
                <w:sz w:val="22"/>
                <w:szCs w:val="22"/>
              </w:rPr>
              <w:t xml:space="preserve"> </w:t>
            </w:r>
            <w:r w:rsidRPr="00B600E4">
              <w:rPr>
                <w:sz w:val="22"/>
                <w:szCs w:val="22"/>
              </w:rPr>
              <w:t xml:space="preserve">Návrhom zákona sa taktiež transponuje smernica Európskeho parlamentu a Rady (EÚ) 2020/1504 zo 7. októbra 2020, ktorou sa mení smernica 2014/65/EÚ o trhoch s finančnými nástrojmi (ďalej len „smernica 2020/1504“), ktorej cieľom je vyňať poskytovateľov služieb hromadného financovania z rozsahu smernice Európskeho parlamentu a Rady 2014/65/EÚ z  15. mája 2014 o trhoch s finančnými nástrojmi, ktorou sa mení smernica 2002/92/ES a smernica 2011/61/EÚ (prepracované znenie) (ďalej len „smernica </w:t>
            </w:r>
            <w:proofErr w:type="spellStart"/>
            <w:r w:rsidRPr="00B600E4">
              <w:rPr>
                <w:sz w:val="22"/>
                <w:szCs w:val="22"/>
              </w:rPr>
              <w:t>MiFID</w:t>
            </w:r>
            <w:proofErr w:type="spellEnd"/>
            <w:r w:rsidRPr="00B600E4">
              <w:rPr>
                <w:sz w:val="22"/>
                <w:szCs w:val="22"/>
              </w:rPr>
              <w:t xml:space="preserve"> II“).</w:t>
            </w:r>
          </w:p>
          <w:p w14:paraId="2E918C98" w14:textId="77777777" w:rsidR="00E60336" w:rsidRPr="00D35154" w:rsidRDefault="00E60336" w:rsidP="00050EEC">
            <w:pPr>
              <w:spacing w:after="120"/>
              <w:jc w:val="both"/>
              <w:rPr>
                <w:b/>
                <w:sz w:val="22"/>
                <w:szCs w:val="22"/>
              </w:rPr>
            </w:pPr>
            <w:r w:rsidRPr="00D35154">
              <w:rPr>
                <w:sz w:val="22"/>
                <w:szCs w:val="22"/>
              </w:rPr>
              <w:t xml:space="preserve">Súčasťou návrhu sú aj legislatívne úpravy spočívajúce v spresnení niektorých platných ustanovení s cieľom reagovať na poznatky a skúsenosti z aplikačnej praxe, ako aj </w:t>
            </w:r>
            <w:r>
              <w:rPr>
                <w:sz w:val="22"/>
                <w:szCs w:val="22"/>
              </w:rPr>
              <w:t>spresnenie transpozície</w:t>
            </w:r>
            <w:r w:rsidRPr="00D35154">
              <w:rPr>
                <w:sz w:val="22"/>
                <w:szCs w:val="22"/>
              </w:rPr>
              <w:t xml:space="preserve"> smern</w:t>
            </w:r>
            <w:r>
              <w:rPr>
                <w:sz w:val="22"/>
                <w:szCs w:val="22"/>
              </w:rPr>
              <w:t>ice</w:t>
            </w:r>
            <w:r w:rsidRPr="00D35154">
              <w:rPr>
                <w:sz w:val="22"/>
                <w:szCs w:val="22"/>
              </w:rPr>
              <w:t xml:space="preserve"> </w:t>
            </w:r>
            <w:proofErr w:type="spellStart"/>
            <w:r>
              <w:rPr>
                <w:sz w:val="22"/>
                <w:szCs w:val="22"/>
              </w:rPr>
              <w:t>MiFID</w:t>
            </w:r>
            <w:proofErr w:type="spellEnd"/>
            <w:r>
              <w:rPr>
                <w:sz w:val="22"/>
                <w:szCs w:val="22"/>
              </w:rPr>
              <w:t xml:space="preserve"> II, pokiaľ ide </w:t>
            </w:r>
            <w:r w:rsidRPr="00D35154">
              <w:rPr>
                <w:sz w:val="22"/>
                <w:szCs w:val="22"/>
              </w:rPr>
              <w:t xml:space="preserve">o úpravy technického charakteru, ktoré neprinášajú do praktického fungovania zásadné zmeny. </w:t>
            </w:r>
          </w:p>
          <w:p w14:paraId="20CB6156" w14:textId="77777777" w:rsidR="00E60336" w:rsidRPr="00D35154" w:rsidRDefault="00E60336" w:rsidP="00050EEC">
            <w:pPr>
              <w:rPr>
                <w:b/>
                <w:sz w:val="22"/>
                <w:szCs w:val="22"/>
              </w:rPr>
            </w:pPr>
          </w:p>
        </w:tc>
      </w:tr>
      <w:tr w:rsidR="00E60336" w:rsidRPr="00D35154" w14:paraId="76EB79DE" w14:textId="77777777" w:rsidTr="00050EEC">
        <w:tc>
          <w:tcPr>
            <w:tcW w:w="9180" w:type="dxa"/>
            <w:gridSpan w:val="10"/>
            <w:tcBorders>
              <w:top w:val="single" w:sz="4" w:space="0" w:color="auto"/>
              <w:left w:val="single" w:sz="4" w:space="0" w:color="auto"/>
              <w:bottom w:val="nil"/>
              <w:right w:val="single" w:sz="4" w:space="0" w:color="auto"/>
            </w:tcBorders>
            <w:shd w:val="clear" w:color="auto" w:fill="E2E2E2"/>
          </w:tcPr>
          <w:p w14:paraId="0859C51C" w14:textId="77777777" w:rsidR="00E60336" w:rsidRPr="00D35154" w:rsidRDefault="00E60336" w:rsidP="00050EEC">
            <w:pPr>
              <w:pStyle w:val="Odsekzoznamu"/>
              <w:numPr>
                <w:ilvl w:val="0"/>
                <w:numId w:val="1"/>
              </w:numPr>
              <w:spacing w:after="0" w:line="240" w:lineRule="auto"/>
              <w:ind w:left="426"/>
              <w:rPr>
                <w:rFonts w:ascii="Times New Roman" w:hAnsi="Times New Roman" w:cs="Times New Roman"/>
                <w:b/>
              </w:rPr>
            </w:pPr>
            <w:r w:rsidRPr="00D35154">
              <w:rPr>
                <w:rFonts w:ascii="Times New Roman" w:hAnsi="Times New Roman" w:cs="Times New Roman"/>
                <w:b/>
              </w:rPr>
              <w:lastRenderedPageBreak/>
              <w:t>Ciele a výsledný stav</w:t>
            </w:r>
          </w:p>
        </w:tc>
      </w:tr>
      <w:tr w:rsidR="00E60336" w:rsidRPr="00D35154" w14:paraId="11E671A0" w14:textId="77777777" w:rsidTr="00050EEC">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42AF2A6A" w14:textId="77777777" w:rsidR="00E60336" w:rsidRPr="00D35154" w:rsidRDefault="00E60336" w:rsidP="00050EEC">
            <w:pPr>
              <w:rPr>
                <w:i/>
                <w:sz w:val="22"/>
                <w:szCs w:val="22"/>
              </w:rPr>
            </w:pPr>
            <w:r w:rsidRPr="00D35154">
              <w:rPr>
                <w:i/>
                <w:sz w:val="22"/>
                <w:szCs w:val="22"/>
              </w:rPr>
              <w:t>Uveďte hlavné ciele navrhovaného predpisu (aký výsledný stav chcete reguláciou dosiahnuť).</w:t>
            </w:r>
          </w:p>
          <w:p w14:paraId="54FB0C95" w14:textId="77777777" w:rsidR="00E60336" w:rsidRPr="00D35154" w:rsidRDefault="00E60336" w:rsidP="00050EEC">
            <w:pPr>
              <w:rPr>
                <w:sz w:val="22"/>
                <w:szCs w:val="22"/>
              </w:rPr>
            </w:pPr>
          </w:p>
          <w:p w14:paraId="3E1E956F" w14:textId="77777777" w:rsidR="00E60336" w:rsidRPr="00E705A3" w:rsidRDefault="00E60336" w:rsidP="00050EEC">
            <w:pPr>
              <w:spacing w:after="120"/>
              <w:jc w:val="both"/>
              <w:rPr>
                <w:sz w:val="22"/>
                <w:szCs w:val="22"/>
              </w:rPr>
            </w:pPr>
            <w:r w:rsidRPr="00E705A3">
              <w:rPr>
                <w:sz w:val="22"/>
                <w:szCs w:val="22"/>
              </w:rPr>
              <w:t xml:space="preserve">Cieľom smernice 2019/2034 je zabezpečiť, aby sa na investičné spoločnosti vzťahovali požiadavky týkajúce sa kapitálu, likvidity a ďalšie kľúčové </w:t>
            </w:r>
            <w:proofErr w:type="spellStart"/>
            <w:r w:rsidRPr="00E705A3">
              <w:rPr>
                <w:sz w:val="22"/>
                <w:szCs w:val="22"/>
              </w:rPr>
              <w:t>prudenciálne</w:t>
            </w:r>
            <w:proofErr w:type="spellEnd"/>
            <w:r w:rsidRPr="00E705A3">
              <w:rPr>
                <w:sz w:val="22"/>
                <w:szCs w:val="22"/>
              </w:rPr>
              <w:t xml:space="preserve"> požiadavky a zodpovedajúce opatrenia dohľadu, ktoré sú prispôsobené ich obchodnej činnosti, pritom sú však dostatočne spoľahlivé na zachytenie rizík investičných spoločností </w:t>
            </w:r>
            <w:proofErr w:type="spellStart"/>
            <w:r w:rsidRPr="00E705A3">
              <w:rPr>
                <w:sz w:val="22"/>
                <w:szCs w:val="22"/>
              </w:rPr>
              <w:t>prudenciálne</w:t>
            </w:r>
            <w:proofErr w:type="spellEnd"/>
            <w:r w:rsidRPr="00E705A3">
              <w:rPr>
                <w:sz w:val="22"/>
                <w:szCs w:val="22"/>
              </w:rPr>
              <w:t xml:space="preserve"> spoľahlivým spôsobom s cieľom chrániť</w:t>
            </w:r>
            <w:r>
              <w:rPr>
                <w:sz w:val="22"/>
                <w:szCs w:val="22"/>
              </w:rPr>
              <w:t xml:space="preserve"> stabilitu finančných trhov EÚ. Smernicou 2019/2034 dochádza k vyňatiu obchodníkov s cennými papiermi z prudenciálnych požiadaviek týkajúcich sa bánk. Novo nastavené </w:t>
            </w:r>
            <w:proofErr w:type="spellStart"/>
            <w:r>
              <w:rPr>
                <w:sz w:val="22"/>
                <w:szCs w:val="22"/>
              </w:rPr>
              <w:t>prudenciálne</w:t>
            </w:r>
            <w:proofErr w:type="spellEnd"/>
            <w:r>
              <w:rPr>
                <w:sz w:val="22"/>
                <w:szCs w:val="22"/>
              </w:rPr>
              <w:t xml:space="preserve"> požiadavky reflektujú model podnikania obchodníkov s cennými papiermi. </w:t>
            </w:r>
          </w:p>
          <w:p w14:paraId="36578CFB" w14:textId="77777777" w:rsidR="00E60336" w:rsidRDefault="00E60336" w:rsidP="00050EEC">
            <w:pPr>
              <w:spacing w:after="120"/>
              <w:jc w:val="both"/>
              <w:rPr>
                <w:sz w:val="22"/>
                <w:szCs w:val="22"/>
              </w:rPr>
            </w:pPr>
            <w:r w:rsidRPr="00E705A3">
              <w:rPr>
                <w:sz w:val="22"/>
                <w:szCs w:val="22"/>
              </w:rPr>
              <w:t>Cieľom smernice Solventnosť II je posilnenie výmeny informácií medzi orgánmi dohľadu a európskymi orgánmi dohľadu. Zmeny sa týkajú aj vytvárania platforiem spolupráce, ktoré sú účinným nástrojom na dosiahnutie intenzívnejšej a včasnej spolupráce medzi orgánmi dohľadu, a teda na zlepšenie ochrany spotrebiteľa.</w:t>
            </w:r>
          </w:p>
          <w:p w14:paraId="57C841DD" w14:textId="77777777" w:rsidR="00E60336" w:rsidRPr="00D35154" w:rsidRDefault="00E60336" w:rsidP="00050EEC">
            <w:pPr>
              <w:spacing w:after="120"/>
              <w:jc w:val="both"/>
              <w:rPr>
                <w:sz w:val="22"/>
                <w:szCs w:val="22"/>
              </w:rPr>
            </w:pPr>
            <w:r w:rsidRPr="00B600E4">
              <w:rPr>
                <w:sz w:val="22"/>
                <w:szCs w:val="22"/>
              </w:rPr>
              <w:t xml:space="preserve">Cieľom smernice 2020/1504 je vyňatie poskytovateľov služieb hromadného financovania z rozsahu pôsobnosti smernice </w:t>
            </w:r>
            <w:proofErr w:type="spellStart"/>
            <w:r w:rsidRPr="00B600E4">
              <w:rPr>
                <w:sz w:val="22"/>
                <w:szCs w:val="22"/>
              </w:rPr>
              <w:t>MiFID</w:t>
            </w:r>
            <w:proofErr w:type="spellEnd"/>
            <w:r w:rsidRPr="00B600E4">
              <w:rPr>
                <w:sz w:val="22"/>
                <w:szCs w:val="22"/>
              </w:rPr>
              <w:t xml:space="preserve"> II. </w:t>
            </w:r>
          </w:p>
          <w:p w14:paraId="38939C78" w14:textId="77777777" w:rsidR="00E60336" w:rsidRPr="00D35154" w:rsidRDefault="00E60336" w:rsidP="00050EEC">
            <w:pPr>
              <w:rPr>
                <w:sz w:val="22"/>
                <w:szCs w:val="22"/>
              </w:rPr>
            </w:pPr>
          </w:p>
        </w:tc>
      </w:tr>
      <w:tr w:rsidR="00E60336" w:rsidRPr="00D35154" w14:paraId="6A26D918" w14:textId="77777777" w:rsidTr="00050EEC">
        <w:tc>
          <w:tcPr>
            <w:tcW w:w="9180" w:type="dxa"/>
            <w:gridSpan w:val="10"/>
            <w:tcBorders>
              <w:top w:val="single" w:sz="4" w:space="0" w:color="auto"/>
              <w:left w:val="single" w:sz="4" w:space="0" w:color="auto"/>
              <w:bottom w:val="nil"/>
              <w:right w:val="single" w:sz="4" w:space="0" w:color="auto"/>
            </w:tcBorders>
            <w:shd w:val="clear" w:color="auto" w:fill="E2E2E2"/>
          </w:tcPr>
          <w:p w14:paraId="50A1CC48" w14:textId="77777777" w:rsidR="00E60336" w:rsidRPr="00D35154" w:rsidRDefault="00E60336" w:rsidP="00050EEC">
            <w:pPr>
              <w:pStyle w:val="Odsekzoznamu"/>
              <w:numPr>
                <w:ilvl w:val="0"/>
                <w:numId w:val="1"/>
              </w:numPr>
              <w:spacing w:after="0" w:line="240" w:lineRule="auto"/>
              <w:ind w:left="426"/>
              <w:rPr>
                <w:rFonts w:ascii="Times New Roman" w:hAnsi="Times New Roman" w:cs="Times New Roman"/>
                <w:b/>
              </w:rPr>
            </w:pPr>
            <w:r w:rsidRPr="00D35154">
              <w:rPr>
                <w:rFonts w:ascii="Times New Roman" w:hAnsi="Times New Roman" w:cs="Times New Roman"/>
                <w:b/>
              </w:rPr>
              <w:t>Dotknuté subjekty</w:t>
            </w:r>
          </w:p>
        </w:tc>
      </w:tr>
      <w:tr w:rsidR="00E60336" w:rsidRPr="00D35154" w14:paraId="1463C770" w14:textId="77777777" w:rsidTr="00050EEC">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6F635FFB" w14:textId="77777777" w:rsidR="00E60336" w:rsidRPr="00D35154" w:rsidRDefault="00E60336" w:rsidP="00050EEC">
            <w:pPr>
              <w:rPr>
                <w:i/>
                <w:sz w:val="22"/>
                <w:szCs w:val="22"/>
              </w:rPr>
            </w:pPr>
            <w:r w:rsidRPr="00D35154">
              <w:rPr>
                <w:i/>
                <w:sz w:val="22"/>
                <w:szCs w:val="22"/>
              </w:rPr>
              <w:t>Uveďte subjekty, ktorých sa zmeny návrhu dotknú priamo aj nepriamo:</w:t>
            </w:r>
          </w:p>
          <w:p w14:paraId="52662076" w14:textId="77777777" w:rsidR="00E60336" w:rsidRPr="00D35154" w:rsidRDefault="00E60336" w:rsidP="00050EEC">
            <w:pPr>
              <w:rPr>
                <w:sz w:val="22"/>
                <w:szCs w:val="22"/>
              </w:rPr>
            </w:pPr>
          </w:p>
          <w:p w14:paraId="32F82782" w14:textId="77777777" w:rsidR="00E60336" w:rsidRPr="000737EB" w:rsidRDefault="00E60336" w:rsidP="00050EEC">
            <w:pPr>
              <w:rPr>
                <w:sz w:val="22"/>
                <w:szCs w:val="22"/>
              </w:rPr>
            </w:pPr>
            <w:r w:rsidRPr="000737EB">
              <w:rPr>
                <w:sz w:val="22"/>
                <w:szCs w:val="22"/>
              </w:rPr>
              <w:t>banky (8),</w:t>
            </w:r>
          </w:p>
          <w:p w14:paraId="75107B7E" w14:textId="77777777" w:rsidR="00E60336" w:rsidRPr="00D35154" w:rsidRDefault="00E60336" w:rsidP="00050EEC">
            <w:pPr>
              <w:rPr>
                <w:sz w:val="22"/>
                <w:szCs w:val="22"/>
              </w:rPr>
            </w:pPr>
            <w:r w:rsidRPr="000737EB">
              <w:rPr>
                <w:sz w:val="22"/>
                <w:szCs w:val="22"/>
              </w:rPr>
              <w:t>obc</w:t>
            </w:r>
            <w:r>
              <w:rPr>
                <w:sz w:val="22"/>
                <w:szCs w:val="22"/>
              </w:rPr>
              <w:t>hodníci s cennými papiermi (24)</w:t>
            </w:r>
          </w:p>
          <w:p w14:paraId="145E85BD" w14:textId="77777777" w:rsidR="00E60336" w:rsidRPr="00D35154" w:rsidRDefault="00E60336" w:rsidP="00050EEC">
            <w:pPr>
              <w:rPr>
                <w:i/>
                <w:sz w:val="22"/>
                <w:szCs w:val="22"/>
              </w:rPr>
            </w:pPr>
          </w:p>
          <w:p w14:paraId="093D6BF8" w14:textId="77777777" w:rsidR="00E60336" w:rsidRPr="00D35154" w:rsidRDefault="00E60336" w:rsidP="00050EEC">
            <w:pPr>
              <w:rPr>
                <w:i/>
                <w:sz w:val="22"/>
                <w:szCs w:val="22"/>
              </w:rPr>
            </w:pPr>
          </w:p>
        </w:tc>
      </w:tr>
      <w:tr w:rsidR="00E60336" w:rsidRPr="00D35154" w14:paraId="7B2B5FA6" w14:textId="77777777" w:rsidTr="00050EEC">
        <w:tc>
          <w:tcPr>
            <w:tcW w:w="9180" w:type="dxa"/>
            <w:gridSpan w:val="10"/>
            <w:tcBorders>
              <w:top w:val="single" w:sz="4" w:space="0" w:color="auto"/>
              <w:left w:val="single" w:sz="4" w:space="0" w:color="auto"/>
              <w:bottom w:val="nil"/>
              <w:right w:val="single" w:sz="4" w:space="0" w:color="auto"/>
            </w:tcBorders>
            <w:shd w:val="clear" w:color="auto" w:fill="E2E2E2"/>
          </w:tcPr>
          <w:p w14:paraId="52E6CBF5" w14:textId="77777777" w:rsidR="00E60336" w:rsidRPr="00D35154" w:rsidRDefault="00E60336" w:rsidP="00050EEC">
            <w:pPr>
              <w:pStyle w:val="Odsekzoznamu"/>
              <w:numPr>
                <w:ilvl w:val="0"/>
                <w:numId w:val="1"/>
              </w:numPr>
              <w:spacing w:after="0" w:line="240" w:lineRule="auto"/>
              <w:ind w:left="426"/>
              <w:rPr>
                <w:rFonts w:ascii="Times New Roman" w:hAnsi="Times New Roman" w:cs="Times New Roman"/>
                <w:b/>
              </w:rPr>
            </w:pPr>
            <w:r w:rsidRPr="00D35154">
              <w:rPr>
                <w:rFonts w:ascii="Times New Roman" w:hAnsi="Times New Roman" w:cs="Times New Roman"/>
                <w:b/>
              </w:rPr>
              <w:t>Alternatívne riešenia</w:t>
            </w:r>
          </w:p>
        </w:tc>
      </w:tr>
      <w:tr w:rsidR="00E60336" w:rsidRPr="00D35154" w14:paraId="77E08C4C" w14:textId="77777777" w:rsidTr="00050EEC">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4A0167DA" w14:textId="77777777" w:rsidR="00E60336" w:rsidRPr="00D35154" w:rsidRDefault="00E60336" w:rsidP="00050EEC">
            <w:pPr>
              <w:rPr>
                <w:i/>
                <w:sz w:val="22"/>
                <w:szCs w:val="22"/>
              </w:rPr>
            </w:pPr>
            <w:r w:rsidRPr="00D35154">
              <w:rPr>
                <w:i/>
                <w:sz w:val="22"/>
                <w:szCs w:val="22"/>
              </w:rPr>
              <w:t>Aké alternatívne riešenia boli posudzované?</w:t>
            </w:r>
          </w:p>
          <w:p w14:paraId="32F9FC79" w14:textId="77777777" w:rsidR="00E60336" w:rsidRPr="00D35154" w:rsidRDefault="00E60336" w:rsidP="00050EEC">
            <w:pPr>
              <w:rPr>
                <w:i/>
                <w:sz w:val="22"/>
                <w:szCs w:val="22"/>
              </w:rPr>
            </w:pPr>
            <w:r w:rsidRPr="00D35154">
              <w:rPr>
                <w:i/>
                <w:sz w:val="22"/>
                <w:szCs w:val="22"/>
              </w:rPr>
              <w:t>Uveďte, aké alternatívne spôsoby na odstránenie definovaného problému boli identifikované a posudzované.</w:t>
            </w:r>
          </w:p>
          <w:p w14:paraId="3B578579" w14:textId="77777777" w:rsidR="00E60336" w:rsidRPr="00D35154" w:rsidRDefault="00E60336" w:rsidP="00050EEC">
            <w:pPr>
              <w:rPr>
                <w:i/>
                <w:sz w:val="22"/>
                <w:szCs w:val="22"/>
              </w:rPr>
            </w:pPr>
          </w:p>
          <w:p w14:paraId="27A852CB" w14:textId="77777777" w:rsidR="00E60336" w:rsidRPr="00D35154" w:rsidRDefault="00E60336" w:rsidP="00050EEC">
            <w:pPr>
              <w:jc w:val="both"/>
              <w:rPr>
                <w:sz w:val="22"/>
                <w:szCs w:val="22"/>
              </w:rPr>
            </w:pPr>
            <w:r w:rsidRPr="00D35154">
              <w:rPr>
                <w:sz w:val="22"/>
                <w:szCs w:val="22"/>
              </w:rPr>
              <w:t>Alternatívne riešenia neboli zvažované.</w:t>
            </w:r>
            <w:r>
              <w:rPr>
                <w:sz w:val="22"/>
                <w:szCs w:val="22"/>
              </w:rPr>
              <w:t xml:space="preserve"> Nulový variant nie je možné realizovať, nakoľko ide o transpozíciu smernice a v prípade nesplnenia povinnosti transpozície, Európska komisia začne voči Slovenskej republike konanie o porušení podľa Zmluvy o fungovaní Európskej únie.</w:t>
            </w:r>
          </w:p>
          <w:p w14:paraId="7F7CF56E" w14:textId="77777777" w:rsidR="00E60336" w:rsidRPr="00D35154" w:rsidRDefault="00E60336" w:rsidP="00050EEC">
            <w:pPr>
              <w:rPr>
                <w:i/>
                <w:sz w:val="22"/>
                <w:szCs w:val="22"/>
              </w:rPr>
            </w:pPr>
          </w:p>
        </w:tc>
      </w:tr>
      <w:tr w:rsidR="00E60336" w:rsidRPr="00D35154" w14:paraId="696742B5" w14:textId="77777777" w:rsidTr="00050EEC">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7C732BE1" w14:textId="77777777" w:rsidR="00E60336" w:rsidRPr="00D35154" w:rsidRDefault="00E60336" w:rsidP="00050EEC">
            <w:pPr>
              <w:pStyle w:val="Odsekzoznamu"/>
              <w:numPr>
                <w:ilvl w:val="0"/>
                <w:numId w:val="1"/>
              </w:numPr>
              <w:spacing w:after="0" w:line="240" w:lineRule="auto"/>
              <w:ind w:left="426"/>
              <w:rPr>
                <w:rFonts w:ascii="Times New Roman" w:hAnsi="Times New Roman" w:cs="Times New Roman"/>
                <w:b/>
              </w:rPr>
            </w:pPr>
            <w:r w:rsidRPr="00D35154">
              <w:rPr>
                <w:rFonts w:ascii="Times New Roman" w:hAnsi="Times New Roman" w:cs="Times New Roman"/>
                <w:b/>
              </w:rPr>
              <w:t>Vykonávacie predpisy</w:t>
            </w:r>
          </w:p>
        </w:tc>
      </w:tr>
      <w:tr w:rsidR="00E60336" w:rsidRPr="00D35154" w14:paraId="35F66B07" w14:textId="77777777" w:rsidTr="00050EEC">
        <w:tc>
          <w:tcPr>
            <w:tcW w:w="6203" w:type="dxa"/>
            <w:gridSpan w:val="6"/>
            <w:tcBorders>
              <w:top w:val="single" w:sz="4" w:space="0" w:color="FFFFFF" w:themeColor="background1"/>
              <w:left w:val="single" w:sz="4" w:space="0" w:color="auto"/>
              <w:bottom w:val="nil"/>
              <w:right w:val="nil"/>
            </w:tcBorders>
            <w:shd w:val="clear" w:color="auto" w:fill="FFFFFF" w:themeFill="background1"/>
          </w:tcPr>
          <w:p w14:paraId="39771037" w14:textId="77777777" w:rsidR="00E60336" w:rsidRPr="00D35154" w:rsidRDefault="00E60336" w:rsidP="00050EEC">
            <w:pPr>
              <w:rPr>
                <w:i/>
                <w:sz w:val="22"/>
                <w:szCs w:val="22"/>
              </w:rPr>
            </w:pPr>
            <w:r w:rsidRPr="00D35154">
              <w:rPr>
                <w:i/>
                <w:sz w:val="22"/>
                <w:szCs w:val="22"/>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14:paraId="27B5EE7D" w14:textId="77777777" w:rsidR="00E60336" w:rsidRPr="00D35154" w:rsidRDefault="002410FA" w:rsidP="00050EEC">
            <w:pPr>
              <w:jc w:val="center"/>
              <w:rPr>
                <w:sz w:val="22"/>
                <w:szCs w:val="22"/>
              </w:rPr>
            </w:pPr>
            <w:sdt>
              <w:sdtPr>
                <w:rPr>
                  <w:sz w:val="22"/>
                  <w:szCs w:val="22"/>
                </w:rPr>
                <w:id w:val="-1407611648"/>
                <w14:checkbox>
                  <w14:checked w14:val="0"/>
                  <w14:checkedState w14:val="2612" w14:font="MS Gothic"/>
                  <w14:uncheckedState w14:val="2610" w14:font="MS Gothic"/>
                </w14:checkbox>
              </w:sdtPr>
              <w:sdtEndPr/>
              <w:sdtContent>
                <w:r w:rsidR="00E60336">
                  <w:rPr>
                    <w:rFonts w:ascii="MS Gothic" w:eastAsia="MS Gothic" w:hAnsi="MS Gothic" w:hint="eastAsia"/>
                    <w:sz w:val="22"/>
                    <w:szCs w:val="22"/>
                  </w:rPr>
                  <w:t>☐</w:t>
                </w:r>
              </w:sdtContent>
            </w:sdt>
            <w:r w:rsidR="00E60336" w:rsidRPr="00D35154">
              <w:rPr>
                <w:sz w:val="22"/>
                <w:szCs w:val="22"/>
              </w:rPr>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14:paraId="098B0974" w14:textId="77777777" w:rsidR="00E60336" w:rsidRPr="00D35154" w:rsidRDefault="002410FA" w:rsidP="00050EEC">
            <w:pPr>
              <w:jc w:val="center"/>
              <w:rPr>
                <w:sz w:val="22"/>
                <w:szCs w:val="22"/>
              </w:rPr>
            </w:pPr>
            <w:sdt>
              <w:sdtPr>
                <w:rPr>
                  <w:sz w:val="22"/>
                  <w:szCs w:val="22"/>
                </w:rPr>
                <w:id w:val="-1625842802"/>
                <w14:checkbox>
                  <w14:checked w14:val="1"/>
                  <w14:checkedState w14:val="2612" w14:font="MS Gothic"/>
                  <w14:uncheckedState w14:val="2610" w14:font="MS Gothic"/>
                </w14:checkbox>
              </w:sdtPr>
              <w:sdtEndPr/>
              <w:sdtContent>
                <w:r w:rsidR="00E60336">
                  <w:rPr>
                    <w:rFonts w:ascii="MS Gothic" w:eastAsia="MS Gothic" w:hAnsi="MS Gothic" w:hint="eastAsia"/>
                    <w:sz w:val="22"/>
                    <w:szCs w:val="22"/>
                  </w:rPr>
                  <w:t>☒</w:t>
                </w:r>
              </w:sdtContent>
            </w:sdt>
            <w:r w:rsidR="00E60336" w:rsidRPr="00D35154">
              <w:rPr>
                <w:sz w:val="22"/>
                <w:szCs w:val="22"/>
              </w:rPr>
              <w:t xml:space="preserve">  Nie</w:t>
            </w:r>
          </w:p>
        </w:tc>
      </w:tr>
      <w:tr w:rsidR="00E60336" w:rsidRPr="00D35154" w14:paraId="454B0D18" w14:textId="77777777" w:rsidTr="00050EEC">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4974B4BF" w14:textId="77777777" w:rsidR="00E60336" w:rsidRPr="00D35154" w:rsidRDefault="00E60336" w:rsidP="00050EEC">
            <w:pPr>
              <w:rPr>
                <w:i/>
                <w:sz w:val="22"/>
                <w:szCs w:val="22"/>
              </w:rPr>
            </w:pPr>
            <w:r w:rsidRPr="00D35154">
              <w:rPr>
                <w:i/>
                <w:sz w:val="22"/>
                <w:szCs w:val="22"/>
              </w:rPr>
              <w:t>Ak áno, uveďte ktoré oblasti budú nimi upravené, resp. ktorých vykonávacích predpisov sa zmena dotkne:</w:t>
            </w:r>
          </w:p>
          <w:p w14:paraId="1D46EEFC" w14:textId="77777777" w:rsidR="00E60336" w:rsidRPr="00D35154" w:rsidRDefault="00E60336" w:rsidP="00050EEC">
            <w:pPr>
              <w:rPr>
                <w:sz w:val="22"/>
                <w:szCs w:val="22"/>
              </w:rPr>
            </w:pPr>
          </w:p>
        </w:tc>
      </w:tr>
      <w:tr w:rsidR="00E60336" w:rsidRPr="00D35154" w14:paraId="61D91DC9" w14:textId="77777777" w:rsidTr="00050EEC">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6B42197F" w14:textId="77777777" w:rsidR="00E60336" w:rsidRPr="00D35154" w:rsidRDefault="00E60336" w:rsidP="00050EEC">
            <w:pPr>
              <w:pStyle w:val="Odsekzoznamu"/>
              <w:numPr>
                <w:ilvl w:val="0"/>
                <w:numId w:val="1"/>
              </w:numPr>
              <w:spacing w:after="0" w:line="240" w:lineRule="auto"/>
              <w:ind w:left="426"/>
              <w:rPr>
                <w:rFonts w:ascii="Times New Roman" w:hAnsi="Times New Roman" w:cs="Times New Roman"/>
                <w:b/>
              </w:rPr>
            </w:pPr>
            <w:r w:rsidRPr="00D35154">
              <w:rPr>
                <w:rFonts w:ascii="Times New Roman" w:hAnsi="Times New Roman" w:cs="Times New Roman"/>
                <w:b/>
              </w:rPr>
              <w:t xml:space="preserve">Transpozícia práva EÚ </w:t>
            </w:r>
          </w:p>
        </w:tc>
      </w:tr>
      <w:tr w:rsidR="00E60336" w:rsidRPr="00D35154" w14:paraId="06D4A025" w14:textId="77777777" w:rsidTr="00050EEC">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14:paraId="6158A393" w14:textId="77777777" w:rsidR="00E60336" w:rsidRPr="00D35154" w:rsidRDefault="00E60336" w:rsidP="00050EEC">
            <w:pPr>
              <w:rPr>
                <w:i/>
                <w:sz w:val="22"/>
                <w:szCs w:val="22"/>
              </w:rPr>
            </w:pPr>
            <w:r w:rsidRPr="00D35154">
              <w:rPr>
                <w:i/>
                <w:sz w:val="22"/>
                <w:szCs w:val="22"/>
              </w:rPr>
              <w:lastRenderedPageBreak/>
              <w:t>Uveďte, v ktorých ustanoveniach ide národná právna úprava nad rámec minimálnych požiadaviek EÚ spolu s odôvodnením.</w:t>
            </w:r>
          </w:p>
          <w:p w14:paraId="20882C66" w14:textId="77777777" w:rsidR="00E60336" w:rsidRPr="00D35154" w:rsidRDefault="00E60336" w:rsidP="00050EEC">
            <w:pPr>
              <w:rPr>
                <w:i/>
                <w:sz w:val="22"/>
                <w:szCs w:val="22"/>
              </w:rPr>
            </w:pPr>
          </w:p>
          <w:p w14:paraId="231C1169" w14:textId="77777777" w:rsidR="00E60336" w:rsidRPr="00D35154" w:rsidRDefault="00E60336" w:rsidP="00050EEC">
            <w:pPr>
              <w:rPr>
                <w:sz w:val="22"/>
                <w:szCs w:val="22"/>
              </w:rPr>
            </w:pPr>
            <w:r w:rsidRPr="00D35154">
              <w:rPr>
                <w:sz w:val="22"/>
                <w:szCs w:val="22"/>
              </w:rPr>
              <w:t>Národná úprava nejde nad rámec minimálnych požiadaviek EÚ.</w:t>
            </w:r>
          </w:p>
        </w:tc>
      </w:tr>
      <w:tr w:rsidR="00E60336" w:rsidRPr="00D35154" w14:paraId="5EF35993" w14:textId="77777777" w:rsidTr="00050EEC">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26106B5B" w14:textId="77777777" w:rsidR="00E60336" w:rsidRPr="00D35154" w:rsidRDefault="00E60336" w:rsidP="00050EEC">
            <w:pPr>
              <w:jc w:val="center"/>
              <w:rPr>
                <w:sz w:val="22"/>
                <w:szCs w:val="22"/>
              </w:rPr>
            </w:pPr>
          </w:p>
        </w:tc>
      </w:tr>
      <w:tr w:rsidR="00E60336" w:rsidRPr="00D35154" w14:paraId="41D3AFD9" w14:textId="77777777" w:rsidTr="00050EEC">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38C03C3D" w14:textId="77777777" w:rsidR="00E60336" w:rsidRPr="00D35154" w:rsidRDefault="00E60336" w:rsidP="00050EEC">
            <w:pPr>
              <w:pStyle w:val="Odsekzoznamu"/>
              <w:numPr>
                <w:ilvl w:val="0"/>
                <w:numId w:val="1"/>
              </w:numPr>
              <w:spacing w:after="0" w:line="240" w:lineRule="auto"/>
              <w:ind w:left="426"/>
              <w:rPr>
                <w:rFonts w:ascii="Times New Roman" w:hAnsi="Times New Roman" w:cs="Times New Roman"/>
                <w:b/>
              </w:rPr>
            </w:pPr>
            <w:r w:rsidRPr="00D35154">
              <w:rPr>
                <w:rFonts w:ascii="Times New Roman" w:hAnsi="Times New Roman" w:cs="Times New Roman"/>
                <w:b/>
              </w:rPr>
              <w:t>Preskúmanie účelnosti**</w:t>
            </w:r>
          </w:p>
        </w:tc>
      </w:tr>
      <w:tr w:rsidR="00E60336" w:rsidRPr="00D35154" w14:paraId="4B3C9CEB" w14:textId="77777777" w:rsidTr="00050EEC">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710E00CE" w14:textId="77777777" w:rsidR="00E60336" w:rsidRPr="00D35154" w:rsidRDefault="00E60336" w:rsidP="00050EEC">
            <w:pPr>
              <w:rPr>
                <w:i/>
                <w:sz w:val="22"/>
                <w:szCs w:val="22"/>
              </w:rPr>
            </w:pPr>
            <w:r w:rsidRPr="00D35154">
              <w:rPr>
                <w:i/>
                <w:sz w:val="22"/>
                <w:szCs w:val="22"/>
              </w:rPr>
              <w:t>Uveďte termín, kedy by malo dôjsť k preskúmaniu účinnosti a účelnosti navrhovaného predpisu.</w:t>
            </w:r>
          </w:p>
          <w:p w14:paraId="4141CB08" w14:textId="77777777" w:rsidR="00E60336" w:rsidRPr="00D35154" w:rsidRDefault="00E60336" w:rsidP="00050EEC">
            <w:pPr>
              <w:rPr>
                <w:i/>
                <w:sz w:val="22"/>
                <w:szCs w:val="22"/>
              </w:rPr>
            </w:pPr>
            <w:r w:rsidRPr="00D35154">
              <w:rPr>
                <w:i/>
                <w:sz w:val="22"/>
                <w:szCs w:val="22"/>
              </w:rPr>
              <w:t>Uveďte kritériá, na základe ktorých bude preskúmanie vykonané.</w:t>
            </w:r>
          </w:p>
          <w:p w14:paraId="1416D6D6" w14:textId="77777777" w:rsidR="00E60336" w:rsidRPr="00D35154" w:rsidRDefault="00E60336" w:rsidP="00050EEC">
            <w:pPr>
              <w:rPr>
                <w:i/>
                <w:sz w:val="22"/>
                <w:szCs w:val="22"/>
              </w:rPr>
            </w:pPr>
          </w:p>
        </w:tc>
      </w:tr>
      <w:tr w:rsidR="00E60336" w:rsidRPr="00D35154" w14:paraId="5DD234C2" w14:textId="77777777" w:rsidTr="00050EEC">
        <w:trPr>
          <w:trHeight w:val="715"/>
        </w:trPr>
        <w:tc>
          <w:tcPr>
            <w:tcW w:w="9180" w:type="dxa"/>
            <w:gridSpan w:val="10"/>
            <w:tcBorders>
              <w:top w:val="single" w:sz="4" w:space="0" w:color="auto"/>
              <w:left w:val="nil"/>
              <w:bottom w:val="nil"/>
              <w:right w:val="nil"/>
            </w:tcBorders>
            <w:shd w:val="clear" w:color="auto" w:fill="FFFFFF" w:themeFill="background1"/>
          </w:tcPr>
          <w:p w14:paraId="6F5CC0A7" w14:textId="77777777" w:rsidR="00E60336" w:rsidRPr="00D35154" w:rsidRDefault="00E60336" w:rsidP="00050EEC">
            <w:pPr>
              <w:ind w:left="142" w:hanging="142"/>
              <w:rPr>
                <w:sz w:val="22"/>
                <w:szCs w:val="22"/>
              </w:rPr>
            </w:pPr>
          </w:p>
          <w:p w14:paraId="5457CC57" w14:textId="77777777" w:rsidR="00E60336" w:rsidRPr="00D35154" w:rsidRDefault="00E60336" w:rsidP="00050EEC">
            <w:pPr>
              <w:ind w:left="142" w:hanging="142"/>
              <w:rPr>
                <w:sz w:val="22"/>
                <w:szCs w:val="22"/>
              </w:rPr>
            </w:pPr>
          </w:p>
          <w:p w14:paraId="4747013E" w14:textId="77777777" w:rsidR="00E60336" w:rsidRPr="00D35154" w:rsidRDefault="00E60336" w:rsidP="00050EEC">
            <w:pPr>
              <w:ind w:left="142" w:hanging="142"/>
              <w:rPr>
                <w:sz w:val="22"/>
                <w:szCs w:val="22"/>
              </w:rPr>
            </w:pPr>
            <w:r w:rsidRPr="00D35154">
              <w:rPr>
                <w:sz w:val="22"/>
                <w:szCs w:val="22"/>
              </w:rPr>
              <w:t xml:space="preserve">* vyplniť iba v prípade, ak materiál nie je zahrnutý do Plánu práce vlády Slovenskej republiky alebo Plánu legislatívnych úloh vlády Slovenskej republiky. </w:t>
            </w:r>
          </w:p>
          <w:p w14:paraId="0A0786FC" w14:textId="77777777" w:rsidR="00E60336" w:rsidRPr="00D35154" w:rsidRDefault="00E60336" w:rsidP="00050EEC">
            <w:pPr>
              <w:rPr>
                <w:sz w:val="22"/>
                <w:szCs w:val="22"/>
              </w:rPr>
            </w:pPr>
            <w:r w:rsidRPr="00D35154">
              <w:rPr>
                <w:sz w:val="22"/>
                <w:szCs w:val="22"/>
              </w:rPr>
              <w:t>** nepovinné</w:t>
            </w:r>
          </w:p>
        </w:tc>
      </w:tr>
      <w:tr w:rsidR="00E60336" w:rsidRPr="00D35154" w14:paraId="58C06F4C" w14:textId="77777777" w:rsidTr="00050EEC">
        <w:tc>
          <w:tcPr>
            <w:tcW w:w="9180" w:type="dxa"/>
            <w:gridSpan w:val="10"/>
            <w:tcBorders>
              <w:top w:val="nil"/>
              <w:left w:val="nil"/>
              <w:bottom w:val="single" w:sz="4" w:space="0" w:color="auto"/>
              <w:right w:val="nil"/>
            </w:tcBorders>
            <w:shd w:val="clear" w:color="auto" w:fill="FFFFFF" w:themeFill="background1"/>
          </w:tcPr>
          <w:p w14:paraId="643ECDB1" w14:textId="77777777" w:rsidR="00E60336" w:rsidRPr="00D35154" w:rsidRDefault="00E60336" w:rsidP="00050EEC">
            <w:pPr>
              <w:rPr>
                <w:b/>
                <w:sz w:val="22"/>
                <w:szCs w:val="22"/>
              </w:rPr>
            </w:pPr>
          </w:p>
          <w:p w14:paraId="5865E99F" w14:textId="77777777" w:rsidR="00E60336" w:rsidRPr="00D35154" w:rsidRDefault="00E60336" w:rsidP="00050EEC">
            <w:pPr>
              <w:rPr>
                <w:b/>
                <w:sz w:val="22"/>
                <w:szCs w:val="22"/>
              </w:rPr>
            </w:pPr>
          </w:p>
        </w:tc>
      </w:tr>
      <w:tr w:rsidR="00E60336" w:rsidRPr="00D35154" w14:paraId="4A9D72E3" w14:textId="77777777" w:rsidTr="00050EEC">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14:paraId="38770F94" w14:textId="704FBD8B" w:rsidR="00E60336" w:rsidRPr="00E60336" w:rsidRDefault="00E60336" w:rsidP="00E60336">
            <w:pPr>
              <w:jc w:val="both"/>
              <w:rPr>
                <w:b/>
              </w:rPr>
            </w:pPr>
            <w:r>
              <w:rPr>
                <w:b/>
              </w:rPr>
              <w:t xml:space="preserve">9. </w:t>
            </w:r>
            <w:r w:rsidRPr="00E60336">
              <w:rPr>
                <w:b/>
              </w:rPr>
              <w:t>Vplyvy navrhovaného materiálu</w:t>
            </w:r>
          </w:p>
        </w:tc>
      </w:tr>
      <w:tr w:rsidR="00E60336" w:rsidRPr="00D35154" w14:paraId="520A32BA" w14:textId="77777777" w:rsidTr="00050EEC">
        <w:tc>
          <w:tcPr>
            <w:tcW w:w="3812" w:type="dxa"/>
            <w:tcBorders>
              <w:top w:val="single" w:sz="4" w:space="0" w:color="auto"/>
              <w:left w:val="single" w:sz="4" w:space="0" w:color="auto"/>
              <w:bottom w:val="nil"/>
              <w:right w:val="single" w:sz="4" w:space="0" w:color="auto"/>
            </w:tcBorders>
            <w:shd w:val="clear" w:color="auto" w:fill="E2E2E2"/>
          </w:tcPr>
          <w:p w14:paraId="154D4B4E" w14:textId="77777777" w:rsidR="00E60336" w:rsidRPr="00D35154" w:rsidRDefault="00E60336" w:rsidP="00050EEC">
            <w:pPr>
              <w:rPr>
                <w:b/>
                <w:sz w:val="22"/>
                <w:szCs w:val="22"/>
              </w:rPr>
            </w:pPr>
            <w:r w:rsidRPr="00D35154">
              <w:rPr>
                <w:b/>
                <w:sz w:val="22"/>
                <w:szCs w:val="22"/>
              </w:rPr>
              <w:t>Vplyvy na rozpočet verejnej správy</w:t>
            </w:r>
          </w:p>
        </w:tc>
        <w:sdt>
          <w:sdtPr>
            <w:rPr>
              <w:b/>
              <w:sz w:val="22"/>
              <w:szCs w:val="22"/>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14EA4D6" w14:textId="77777777" w:rsidR="00E60336" w:rsidRPr="00D35154" w:rsidRDefault="00E60336" w:rsidP="00050EEC">
                <w:pPr>
                  <w:jc w:val="center"/>
                  <w:rPr>
                    <w:b/>
                    <w:sz w:val="22"/>
                    <w:szCs w:val="22"/>
                  </w:rPr>
                </w:pPr>
                <w:r w:rsidRPr="00D35154">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511673BE" w14:textId="77777777" w:rsidR="00E60336" w:rsidRPr="00D35154" w:rsidRDefault="00E60336" w:rsidP="00050EEC">
            <w:pPr>
              <w:rPr>
                <w:b/>
                <w:sz w:val="22"/>
                <w:szCs w:val="22"/>
              </w:rPr>
            </w:pPr>
            <w:r w:rsidRPr="00D35154">
              <w:rPr>
                <w:b/>
                <w:sz w:val="22"/>
                <w:szCs w:val="22"/>
              </w:rPr>
              <w:t>Pozitívne</w:t>
            </w:r>
          </w:p>
        </w:tc>
        <w:sdt>
          <w:sdtPr>
            <w:rPr>
              <w:b/>
              <w:sz w:val="22"/>
              <w:szCs w:val="22"/>
            </w:rPr>
            <w:id w:val="-9164058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65631D3B" w14:textId="77777777" w:rsidR="00E60336" w:rsidRPr="00D35154" w:rsidRDefault="00E60336" w:rsidP="00050EEC">
                <w:pPr>
                  <w:jc w:val="center"/>
                  <w:rPr>
                    <w:b/>
                    <w:sz w:val="22"/>
                    <w:szCs w:val="22"/>
                  </w:rPr>
                </w:pPr>
                <w:r w:rsidRPr="00D35154">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14:paraId="26655F24" w14:textId="77777777" w:rsidR="00E60336" w:rsidRPr="00D35154" w:rsidRDefault="00E60336" w:rsidP="00050EEC">
            <w:pPr>
              <w:rPr>
                <w:b/>
                <w:sz w:val="22"/>
                <w:szCs w:val="22"/>
              </w:rPr>
            </w:pPr>
            <w:r w:rsidRPr="00D35154">
              <w:rPr>
                <w:b/>
                <w:sz w:val="22"/>
                <w:szCs w:val="22"/>
              </w:rPr>
              <w:t>Žiadne</w:t>
            </w:r>
          </w:p>
        </w:tc>
        <w:sdt>
          <w:sdtPr>
            <w:rPr>
              <w:b/>
              <w:sz w:val="22"/>
              <w:szCs w:val="22"/>
            </w:rPr>
            <w:id w:val="-85364909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9FFA17A" w14:textId="77777777" w:rsidR="00E60336" w:rsidRPr="00D35154" w:rsidRDefault="00E60336" w:rsidP="00050EEC">
                <w:pPr>
                  <w:ind w:left="-107" w:right="-108"/>
                  <w:jc w:val="center"/>
                  <w:rPr>
                    <w:b/>
                    <w:sz w:val="22"/>
                    <w:szCs w:val="22"/>
                  </w:rPr>
                </w:pPr>
                <w:r w:rsidRPr="00D35154">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7EE27E0A" w14:textId="77777777" w:rsidR="00E60336" w:rsidRPr="00D35154" w:rsidRDefault="00E60336" w:rsidP="00050EEC">
            <w:pPr>
              <w:ind w:left="34"/>
              <w:rPr>
                <w:b/>
                <w:sz w:val="22"/>
                <w:szCs w:val="22"/>
              </w:rPr>
            </w:pPr>
            <w:r w:rsidRPr="00D35154">
              <w:rPr>
                <w:b/>
                <w:sz w:val="22"/>
                <w:szCs w:val="22"/>
              </w:rPr>
              <w:t>Negatívne</w:t>
            </w:r>
          </w:p>
        </w:tc>
      </w:tr>
      <w:tr w:rsidR="00E60336" w:rsidRPr="00D35154" w14:paraId="2F16DF61" w14:textId="77777777" w:rsidTr="00050EEC">
        <w:tc>
          <w:tcPr>
            <w:tcW w:w="3812" w:type="dxa"/>
            <w:tcBorders>
              <w:top w:val="nil"/>
              <w:left w:val="single" w:sz="4" w:space="0" w:color="auto"/>
              <w:bottom w:val="single" w:sz="4" w:space="0" w:color="000000" w:themeColor="text1"/>
              <w:right w:val="single" w:sz="4" w:space="0" w:color="auto"/>
            </w:tcBorders>
            <w:shd w:val="clear" w:color="auto" w:fill="E2E2E2"/>
          </w:tcPr>
          <w:p w14:paraId="6C48F564" w14:textId="77777777" w:rsidR="00E60336" w:rsidRPr="00D35154" w:rsidRDefault="00E60336" w:rsidP="00050EEC">
            <w:pPr>
              <w:rPr>
                <w:sz w:val="22"/>
                <w:szCs w:val="22"/>
              </w:rPr>
            </w:pPr>
            <w:r w:rsidRPr="00D35154">
              <w:rPr>
                <w:sz w:val="22"/>
                <w:szCs w:val="22"/>
              </w:rPr>
              <w:t xml:space="preserve">    z toho rozpočtovo zabezpečené vplyvy</w:t>
            </w:r>
          </w:p>
        </w:tc>
        <w:sdt>
          <w:sdtPr>
            <w:rPr>
              <w:sz w:val="22"/>
              <w:szCs w:val="22"/>
            </w:r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5FAE5C7" w14:textId="77777777" w:rsidR="00E60336" w:rsidRPr="00D35154" w:rsidRDefault="00E60336" w:rsidP="00050EEC">
                <w:pPr>
                  <w:jc w:val="center"/>
                  <w:rPr>
                    <w:sz w:val="22"/>
                    <w:szCs w:val="22"/>
                  </w:rPr>
                </w:pPr>
                <w:r w:rsidRPr="00D35154">
                  <w:rPr>
                    <w:rFonts w:ascii="MS Mincho" w:eastAsia="MS Mincho" w:hAnsi="MS Mincho" w:cs="MS Mincho" w:hint="eastAsia"/>
                    <w:sz w:val="22"/>
                    <w:szCs w:val="22"/>
                  </w:rPr>
                  <w:t>☐</w:t>
                </w:r>
              </w:p>
            </w:tc>
          </w:sdtContent>
        </w:sdt>
        <w:tc>
          <w:tcPr>
            <w:tcW w:w="1281" w:type="dxa"/>
            <w:gridSpan w:val="2"/>
            <w:tcBorders>
              <w:top w:val="single" w:sz="4" w:space="0" w:color="auto"/>
              <w:left w:val="nil"/>
              <w:bottom w:val="single" w:sz="4" w:space="0" w:color="auto"/>
              <w:right w:val="nil"/>
            </w:tcBorders>
          </w:tcPr>
          <w:p w14:paraId="454DE539" w14:textId="77777777" w:rsidR="00E60336" w:rsidRPr="00D35154" w:rsidRDefault="00E60336" w:rsidP="00050EEC">
            <w:pPr>
              <w:rPr>
                <w:sz w:val="22"/>
                <w:szCs w:val="22"/>
              </w:rPr>
            </w:pPr>
            <w:r w:rsidRPr="00D35154">
              <w:rPr>
                <w:sz w:val="22"/>
                <w:szCs w:val="22"/>
              </w:rPr>
              <w:t>Áno</w:t>
            </w:r>
          </w:p>
        </w:tc>
        <w:sdt>
          <w:sdtPr>
            <w:rPr>
              <w:sz w:val="22"/>
              <w:szCs w:val="22"/>
            </w:r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585FA50E" w14:textId="77777777" w:rsidR="00E60336" w:rsidRPr="00D35154" w:rsidRDefault="00E60336" w:rsidP="00050EEC">
                <w:pPr>
                  <w:jc w:val="center"/>
                  <w:rPr>
                    <w:sz w:val="22"/>
                    <w:szCs w:val="22"/>
                  </w:rPr>
                </w:pPr>
                <w:r w:rsidRPr="00D35154">
                  <w:rPr>
                    <w:rFonts w:ascii="MS Gothic" w:eastAsia="MS Gothic" w:hAnsi="MS Gothic" w:hint="eastAsia"/>
                    <w:sz w:val="22"/>
                    <w:szCs w:val="22"/>
                  </w:rPr>
                  <w:t>☐</w:t>
                </w:r>
              </w:p>
            </w:tc>
          </w:sdtContent>
        </w:sdt>
        <w:tc>
          <w:tcPr>
            <w:tcW w:w="1133" w:type="dxa"/>
            <w:tcBorders>
              <w:top w:val="single" w:sz="4" w:space="0" w:color="auto"/>
              <w:left w:val="nil"/>
              <w:bottom w:val="single" w:sz="4" w:space="0" w:color="auto"/>
              <w:right w:val="nil"/>
            </w:tcBorders>
          </w:tcPr>
          <w:p w14:paraId="684BF2C2" w14:textId="77777777" w:rsidR="00E60336" w:rsidRPr="00D35154" w:rsidRDefault="00E60336" w:rsidP="00050EEC">
            <w:pPr>
              <w:rPr>
                <w:sz w:val="22"/>
                <w:szCs w:val="22"/>
              </w:rPr>
            </w:pPr>
            <w:r w:rsidRPr="00D35154">
              <w:rPr>
                <w:sz w:val="22"/>
                <w:szCs w:val="22"/>
              </w:rPr>
              <w:t>Nie</w:t>
            </w:r>
          </w:p>
        </w:tc>
        <w:sdt>
          <w:sdtPr>
            <w:rPr>
              <w:sz w:val="22"/>
              <w:szCs w:val="22"/>
            </w:r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4ACF32A" w14:textId="77777777" w:rsidR="00E60336" w:rsidRPr="00D35154" w:rsidRDefault="00E60336" w:rsidP="00050EEC">
                <w:pPr>
                  <w:ind w:left="-107" w:right="-108"/>
                  <w:jc w:val="center"/>
                  <w:rPr>
                    <w:sz w:val="22"/>
                    <w:szCs w:val="22"/>
                  </w:rPr>
                </w:pPr>
                <w:r w:rsidRPr="00D35154">
                  <w:rPr>
                    <w:rFonts w:ascii="MS Mincho" w:eastAsia="MS Mincho" w:hAnsi="MS Mincho" w:cs="MS Mincho" w:hint="eastAsia"/>
                    <w:sz w:val="22"/>
                    <w:szCs w:val="22"/>
                  </w:rPr>
                  <w:t>☐</w:t>
                </w:r>
              </w:p>
            </w:tc>
          </w:sdtContent>
        </w:sdt>
        <w:tc>
          <w:tcPr>
            <w:tcW w:w="1297" w:type="dxa"/>
            <w:tcBorders>
              <w:top w:val="single" w:sz="4" w:space="0" w:color="auto"/>
              <w:left w:val="nil"/>
              <w:bottom w:val="single" w:sz="4" w:space="0" w:color="auto"/>
              <w:right w:val="single" w:sz="4" w:space="0" w:color="auto"/>
            </w:tcBorders>
          </w:tcPr>
          <w:p w14:paraId="39F9614F" w14:textId="77777777" w:rsidR="00E60336" w:rsidRPr="00D35154" w:rsidRDefault="00E60336" w:rsidP="00050EEC">
            <w:pPr>
              <w:ind w:left="34"/>
              <w:rPr>
                <w:sz w:val="22"/>
                <w:szCs w:val="22"/>
              </w:rPr>
            </w:pPr>
            <w:r w:rsidRPr="00D35154">
              <w:rPr>
                <w:sz w:val="22"/>
                <w:szCs w:val="22"/>
              </w:rPr>
              <w:t>Čiastočne</w:t>
            </w:r>
          </w:p>
        </w:tc>
      </w:tr>
      <w:tr w:rsidR="00E60336" w:rsidRPr="00D35154" w14:paraId="38DF90D4" w14:textId="77777777" w:rsidTr="00050EEC">
        <w:tc>
          <w:tcPr>
            <w:tcW w:w="3812" w:type="dxa"/>
            <w:tcBorders>
              <w:top w:val="single" w:sz="4" w:space="0" w:color="000000" w:themeColor="text1"/>
              <w:left w:val="single" w:sz="4" w:space="0" w:color="auto"/>
              <w:bottom w:val="nil"/>
              <w:right w:val="single" w:sz="4" w:space="0" w:color="auto"/>
            </w:tcBorders>
            <w:shd w:val="clear" w:color="auto" w:fill="E2E2E2"/>
          </w:tcPr>
          <w:p w14:paraId="1B845140" w14:textId="77777777" w:rsidR="00E60336" w:rsidRPr="00D35154" w:rsidRDefault="00E60336" w:rsidP="00050EEC">
            <w:pPr>
              <w:rPr>
                <w:b/>
                <w:sz w:val="22"/>
                <w:szCs w:val="22"/>
              </w:rPr>
            </w:pPr>
            <w:r w:rsidRPr="00D35154">
              <w:rPr>
                <w:b/>
                <w:sz w:val="22"/>
                <w:szCs w:val="22"/>
              </w:rPr>
              <w:t>Vplyvy na podnikateľské prostredie</w:t>
            </w:r>
          </w:p>
        </w:tc>
        <w:sdt>
          <w:sdtPr>
            <w:rPr>
              <w:b/>
              <w:sz w:val="22"/>
              <w:szCs w:val="22"/>
            </w:rPr>
            <w:id w:val="132831984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E2DC2E4" w14:textId="77777777" w:rsidR="00E60336" w:rsidRPr="00D35154" w:rsidRDefault="00E60336" w:rsidP="00050EEC">
                <w:pPr>
                  <w:jc w:val="center"/>
                  <w:rPr>
                    <w:b/>
                    <w:sz w:val="22"/>
                    <w:szCs w:val="22"/>
                  </w:rPr>
                </w:pPr>
                <w:r>
                  <w:rPr>
                    <w:rFonts w:ascii="MS Gothic" w:eastAsia="MS Gothic" w:hAnsi="MS Gothic" w:hint="eastAsia"/>
                    <w:b/>
                    <w:sz w:val="22"/>
                    <w:szCs w:val="22"/>
                  </w:rPr>
                  <w:t>☒</w:t>
                </w:r>
              </w:p>
            </w:tc>
          </w:sdtContent>
        </w:sdt>
        <w:tc>
          <w:tcPr>
            <w:tcW w:w="1281" w:type="dxa"/>
            <w:gridSpan w:val="2"/>
            <w:tcBorders>
              <w:top w:val="single" w:sz="4" w:space="0" w:color="auto"/>
              <w:left w:val="nil"/>
              <w:bottom w:val="single" w:sz="4" w:space="0" w:color="auto"/>
              <w:right w:val="nil"/>
            </w:tcBorders>
          </w:tcPr>
          <w:p w14:paraId="7C9A78F8" w14:textId="77777777" w:rsidR="00E60336" w:rsidRPr="00D35154" w:rsidRDefault="00E60336" w:rsidP="00050EEC">
            <w:pPr>
              <w:ind w:right="-108"/>
              <w:rPr>
                <w:b/>
                <w:sz w:val="22"/>
                <w:szCs w:val="22"/>
              </w:rPr>
            </w:pPr>
            <w:r w:rsidRPr="00D35154">
              <w:rPr>
                <w:b/>
                <w:sz w:val="22"/>
                <w:szCs w:val="22"/>
              </w:rPr>
              <w:t>Pozitívne</w:t>
            </w:r>
          </w:p>
        </w:tc>
        <w:sdt>
          <w:sdtPr>
            <w:rPr>
              <w:b/>
              <w:sz w:val="22"/>
              <w:szCs w:val="22"/>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4D1FC19F" w14:textId="77777777" w:rsidR="00E60336" w:rsidRPr="00D35154" w:rsidRDefault="00E60336" w:rsidP="00050EEC">
                <w:pPr>
                  <w:jc w:val="center"/>
                  <w:rPr>
                    <w:b/>
                    <w:sz w:val="22"/>
                    <w:szCs w:val="22"/>
                  </w:rPr>
                </w:pPr>
                <w:r w:rsidRPr="00D35154">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14:paraId="5653D098" w14:textId="77777777" w:rsidR="00E60336" w:rsidRPr="00D35154" w:rsidRDefault="00E60336" w:rsidP="00050EEC">
            <w:pPr>
              <w:rPr>
                <w:b/>
                <w:sz w:val="22"/>
                <w:szCs w:val="22"/>
              </w:rPr>
            </w:pPr>
            <w:r w:rsidRPr="00D35154">
              <w:rPr>
                <w:b/>
                <w:sz w:val="22"/>
                <w:szCs w:val="22"/>
              </w:rPr>
              <w:t>Žiadne</w:t>
            </w:r>
          </w:p>
        </w:tc>
        <w:sdt>
          <w:sdtPr>
            <w:rPr>
              <w:b/>
              <w:sz w:val="22"/>
              <w:szCs w:val="22"/>
            </w:rPr>
            <w:id w:val="217354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8763D45" w14:textId="77777777" w:rsidR="00E60336" w:rsidRPr="00D35154" w:rsidRDefault="00E60336" w:rsidP="00050EEC">
                <w:pPr>
                  <w:jc w:val="center"/>
                  <w:rPr>
                    <w:b/>
                    <w:sz w:val="22"/>
                    <w:szCs w:val="22"/>
                  </w:rPr>
                </w:pPr>
                <w:r w:rsidRPr="00D35154">
                  <w:rPr>
                    <w:rFonts w:ascii="MS Gothic" w:eastAsia="MS Gothic" w:hAnsi="MS Gothic"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1B19690B" w14:textId="77777777" w:rsidR="00E60336" w:rsidRPr="00D35154" w:rsidRDefault="00E60336" w:rsidP="00050EEC">
            <w:pPr>
              <w:ind w:left="54"/>
              <w:rPr>
                <w:b/>
                <w:sz w:val="22"/>
                <w:szCs w:val="22"/>
              </w:rPr>
            </w:pPr>
            <w:r w:rsidRPr="00D35154">
              <w:rPr>
                <w:b/>
                <w:sz w:val="22"/>
                <w:szCs w:val="22"/>
              </w:rPr>
              <w:t>Negatívne</w:t>
            </w:r>
          </w:p>
        </w:tc>
      </w:tr>
      <w:tr w:rsidR="00E60336" w:rsidRPr="00D35154" w14:paraId="4614D8CE" w14:textId="77777777" w:rsidTr="00050EEC">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14:paraId="73C3F9F1" w14:textId="77777777" w:rsidR="00E60336" w:rsidRPr="00D35154" w:rsidRDefault="00E60336" w:rsidP="00050EEC">
            <w:pPr>
              <w:rPr>
                <w:sz w:val="22"/>
                <w:szCs w:val="22"/>
              </w:rPr>
            </w:pPr>
            <w:r w:rsidRPr="00D35154">
              <w:rPr>
                <w:sz w:val="22"/>
                <w:szCs w:val="22"/>
              </w:rPr>
              <w:t xml:space="preserve">    z toho vplyvy na MSP</w:t>
            </w:r>
          </w:p>
        </w:tc>
        <w:sdt>
          <w:sdtPr>
            <w:rPr>
              <w:sz w:val="22"/>
              <w:szCs w:val="22"/>
            </w:r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14:paraId="40588617" w14:textId="77777777" w:rsidR="00E60336" w:rsidRPr="00D35154" w:rsidRDefault="00E60336" w:rsidP="00050EEC">
                <w:pPr>
                  <w:jc w:val="center"/>
                  <w:rPr>
                    <w:sz w:val="22"/>
                    <w:szCs w:val="22"/>
                  </w:rPr>
                </w:pPr>
                <w:r w:rsidRPr="00D35154">
                  <w:rPr>
                    <w:rFonts w:ascii="MS Mincho" w:eastAsia="MS Mincho" w:hAnsi="MS Mincho" w:cs="MS Mincho" w:hint="eastAsia"/>
                    <w:sz w:val="22"/>
                    <w:szCs w:val="22"/>
                  </w:rPr>
                  <w:t>☐</w:t>
                </w:r>
              </w:p>
            </w:tc>
          </w:sdtContent>
        </w:sdt>
        <w:tc>
          <w:tcPr>
            <w:tcW w:w="1281" w:type="dxa"/>
            <w:gridSpan w:val="2"/>
            <w:tcBorders>
              <w:top w:val="single" w:sz="4" w:space="0" w:color="auto"/>
              <w:left w:val="nil"/>
              <w:bottom w:val="single" w:sz="4" w:space="0" w:color="auto"/>
              <w:right w:val="nil"/>
            </w:tcBorders>
          </w:tcPr>
          <w:p w14:paraId="1F1CFDCB" w14:textId="77777777" w:rsidR="00E60336" w:rsidRPr="00D35154" w:rsidRDefault="00E60336" w:rsidP="00050EEC">
            <w:pPr>
              <w:ind w:right="-108"/>
              <w:rPr>
                <w:sz w:val="22"/>
                <w:szCs w:val="22"/>
              </w:rPr>
            </w:pPr>
            <w:r w:rsidRPr="00D35154">
              <w:rPr>
                <w:sz w:val="22"/>
                <w:szCs w:val="22"/>
              </w:rPr>
              <w:t>Pozitívne</w:t>
            </w:r>
          </w:p>
        </w:tc>
        <w:sdt>
          <w:sdtPr>
            <w:rPr>
              <w:sz w:val="22"/>
              <w:szCs w:val="22"/>
            </w:rPr>
            <w:id w:val="-16960637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36411BA1" w14:textId="77777777" w:rsidR="00E60336" w:rsidRPr="00D35154" w:rsidRDefault="00E60336" w:rsidP="00050EEC">
                <w:pPr>
                  <w:jc w:val="center"/>
                  <w:rPr>
                    <w:sz w:val="22"/>
                    <w:szCs w:val="22"/>
                  </w:rPr>
                </w:pPr>
                <w:r w:rsidRPr="00D35154">
                  <w:rPr>
                    <w:rFonts w:ascii="MS Gothic" w:eastAsia="MS Gothic" w:hAnsi="MS Gothic" w:hint="eastAsia"/>
                    <w:sz w:val="22"/>
                    <w:szCs w:val="22"/>
                  </w:rPr>
                  <w:t>☒</w:t>
                </w:r>
              </w:p>
            </w:tc>
          </w:sdtContent>
        </w:sdt>
        <w:tc>
          <w:tcPr>
            <w:tcW w:w="1133" w:type="dxa"/>
            <w:tcBorders>
              <w:top w:val="single" w:sz="4" w:space="0" w:color="auto"/>
              <w:left w:val="nil"/>
              <w:bottom w:val="single" w:sz="4" w:space="0" w:color="auto"/>
              <w:right w:val="nil"/>
            </w:tcBorders>
          </w:tcPr>
          <w:p w14:paraId="7ACDC2E1" w14:textId="77777777" w:rsidR="00E60336" w:rsidRPr="00D35154" w:rsidRDefault="00E60336" w:rsidP="00050EEC">
            <w:pPr>
              <w:rPr>
                <w:sz w:val="22"/>
                <w:szCs w:val="22"/>
              </w:rPr>
            </w:pPr>
            <w:r w:rsidRPr="00D35154">
              <w:rPr>
                <w:sz w:val="22"/>
                <w:szCs w:val="22"/>
              </w:rPr>
              <w:t>Žiadne</w:t>
            </w:r>
          </w:p>
        </w:tc>
        <w:sdt>
          <w:sdtPr>
            <w:rPr>
              <w:sz w:val="22"/>
              <w:szCs w:val="22"/>
            </w:r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2BA384F" w14:textId="77777777" w:rsidR="00E60336" w:rsidRPr="00D35154" w:rsidRDefault="00E60336" w:rsidP="00050EEC">
                <w:pPr>
                  <w:jc w:val="center"/>
                  <w:rPr>
                    <w:sz w:val="22"/>
                    <w:szCs w:val="22"/>
                  </w:rPr>
                </w:pPr>
                <w:r w:rsidRPr="00D35154">
                  <w:rPr>
                    <w:rFonts w:ascii="MS Mincho" w:eastAsia="MS Mincho" w:hAnsi="MS Mincho" w:cs="MS Mincho" w:hint="eastAsia"/>
                    <w:sz w:val="22"/>
                    <w:szCs w:val="22"/>
                  </w:rPr>
                  <w:t>☐</w:t>
                </w:r>
              </w:p>
            </w:tc>
          </w:sdtContent>
        </w:sdt>
        <w:tc>
          <w:tcPr>
            <w:tcW w:w="1297" w:type="dxa"/>
            <w:tcBorders>
              <w:top w:val="single" w:sz="4" w:space="0" w:color="auto"/>
              <w:left w:val="nil"/>
              <w:bottom w:val="single" w:sz="4" w:space="0" w:color="auto"/>
              <w:right w:val="single" w:sz="4" w:space="0" w:color="auto"/>
            </w:tcBorders>
          </w:tcPr>
          <w:p w14:paraId="7D0F113A" w14:textId="77777777" w:rsidR="00E60336" w:rsidRPr="00D35154" w:rsidRDefault="00E60336" w:rsidP="00050EEC">
            <w:pPr>
              <w:ind w:left="54"/>
              <w:rPr>
                <w:sz w:val="22"/>
                <w:szCs w:val="22"/>
              </w:rPr>
            </w:pPr>
            <w:r w:rsidRPr="00D35154">
              <w:rPr>
                <w:sz w:val="22"/>
                <w:szCs w:val="22"/>
              </w:rPr>
              <w:t>Negatívne</w:t>
            </w:r>
          </w:p>
        </w:tc>
      </w:tr>
      <w:tr w:rsidR="00E60336" w:rsidRPr="00D35154" w14:paraId="00AD710E" w14:textId="77777777" w:rsidTr="00050EEC">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14:paraId="28CE1EB2" w14:textId="77777777" w:rsidR="00E60336" w:rsidRPr="00D35154" w:rsidRDefault="00E60336" w:rsidP="00050EEC">
            <w:pPr>
              <w:rPr>
                <w:b/>
                <w:sz w:val="22"/>
                <w:szCs w:val="22"/>
              </w:rPr>
            </w:pPr>
            <w:r w:rsidRPr="00D35154">
              <w:rPr>
                <w:b/>
                <w:sz w:val="22"/>
                <w:szCs w:val="22"/>
              </w:rPr>
              <w:t>Sociálne vplyvy</w:t>
            </w:r>
          </w:p>
        </w:tc>
        <w:sdt>
          <w:sdtPr>
            <w:rPr>
              <w:b/>
              <w:sz w:val="22"/>
              <w:szCs w:val="22"/>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67C4D90" w14:textId="77777777" w:rsidR="00E60336" w:rsidRPr="00D35154" w:rsidRDefault="00E60336" w:rsidP="00050EEC">
                <w:pPr>
                  <w:jc w:val="center"/>
                  <w:rPr>
                    <w:b/>
                    <w:sz w:val="22"/>
                    <w:szCs w:val="22"/>
                  </w:rPr>
                </w:pPr>
                <w:r w:rsidRPr="00D35154">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69B837F2" w14:textId="77777777" w:rsidR="00E60336" w:rsidRPr="00D35154" w:rsidRDefault="00E60336" w:rsidP="00050EEC">
            <w:pPr>
              <w:ind w:right="-108"/>
              <w:rPr>
                <w:b/>
                <w:sz w:val="22"/>
                <w:szCs w:val="22"/>
              </w:rPr>
            </w:pPr>
            <w:r w:rsidRPr="00D35154">
              <w:rPr>
                <w:b/>
                <w:sz w:val="22"/>
                <w:szCs w:val="22"/>
              </w:rPr>
              <w:t>Pozitívne</w:t>
            </w:r>
          </w:p>
        </w:tc>
        <w:sdt>
          <w:sdtPr>
            <w:rPr>
              <w:b/>
              <w:sz w:val="22"/>
              <w:szCs w:val="22"/>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5B472650" w14:textId="77777777" w:rsidR="00E60336" w:rsidRPr="00D35154" w:rsidRDefault="00E60336" w:rsidP="00050EEC">
                <w:pPr>
                  <w:jc w:val="center"/>
                  <w:rPr>
                    <w:b/>
                    <w:sz w:val="22"/>
                    <w:szCs w:val="22"/>
                  </w:rPr>
                </w:pPr>
                <w:r w:rsidRPr="00D35154">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14:paraId="5395BE60" w14:textId="77777777" w:rsidR="00E60336" w:rsidRPr="00D35154" w:rsidRDefault="00E60336" w:rsidP="00050EEC">
            <w:pPr>
              <w:rPr>
                <w:b/>
                <w:sz w:val="22"/>
                <w:szCs w:val="22"/>
              </w:rPr>
            </w:pPr>
            <w:r w:rsidRPr="00D35154">
              <w:rPr>
                <w:b/>
                <w:sz w:val="22"/>
                <w:szCs w:val="22"/>
              </w:rPr>
              <w:t>Žiadne</w:t>
            </w:r>
          </w:p>
        </w:tc>
        <w:sdt>
          <w:sdtPr>
            <w:rPr>
              <w:b/>
              <w:sz w:val="22"/>
              <w:szCs w:val="22"/>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2B5579F" w14:textId="77777777" w:rsidR="00E60336" w:rsidRPr="00D35154" w:rsidRDefault="00E60336" w:rsidP="00050EEC">
                <w:pPr>
                  <w:jc w:val="center"/>
                  <w:rPr>
                    <w:b/>
                    <w:sz w:val="22"/>
                    <w:szCs w:val="22"/>
                  </w:rPr>
                </w:pPr>
                <w:r w:rsidRPr="00D35154">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71EF3411" w14:textId="77777777" w:rsidR="00E60336" w:rsidRPr="00D35154" w:rsidRDefault="00E60336" w:rsidP="00050EEC">
            <w:pPr>
              <w:ind w:left="54"/>
              <w:rPr>
                <w:b/>
                <w:sz w:val="22"/>
                <w:szCs w:val="22"/>
              </w:rPr>
            </w:pPr>
            <w:r w:rsidRPr="00D35154">
              <w:rPr>
                <w:b/>
                <w:sz w:val="22"/>
                <w:szCs w:val="22"/>
              </w:rPr>
              <w:t>Negatívne</w:t>
            </w:r>
          </w:p>
        </w:tc>
      </w:tr>
      <w:tr w:rsidR="00E60336" w:rsidRPr="00D35154" w14:paraId="473E7BC9" w14:textId="77777777" w:rsidTr="00050EEC">
        <w:tc>
          <w:tcPr>
            <w:tcW w:w="3812" w:type="dxa"/>
            <w:tcBorders>
              <w:top w:val="single" w:sz="4" w:space="0" w:color="auto"/>
              <w:left w:val="single" w:sz="4" w:space="0" w:color="auto"/>
              <w:bottom w:val="single" w:sz="4" w:space="0" w:color="auto"/>
              <w:right w:val="single" w:sz="4" w:space="0" w:color="auto"/>
            </w:tcBorders>
            <w:shd w:val="clear" w:color="auto" w:fill="E2E2E2"/>
          </w:tcPr>
          <w:p w14:paraId="18D6E9C0" w14:textId="77777777" w:rsidR="00E60336" w:rsidRPr="00D35154" w:rsidRDefault="00E60336" w:rsidP="00050EEC">
            <w:pPr>
              <w:rPr>
                <w:b/>
                <w:sz w:val="22"/>
                <w:szCs w:val="22"/>
              </w:rPr>
            </w:pPr>
            <w:r w:rsidRPr="00D35154">
              <w:rPr>
                <w:b/>
                <w:sz w:val="22"/>
                <w:szCs w:val="22"/>
              </w:rPr>
              <w:t>Vplyvy na životné prostredie</w:t>
            </w:r>
          </w:p>
        </w:tc>
        <w:sdt>
          <w:sdtPr>
            <w:rPr>
              <w:b/>
              <w:sz w:val="22"/>
              <w:szCs w:val="22"/>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7D21F0E" w14:textId="77777777" w:rsidR="00E60336" w:rsidRPr="00D35154" w:rsidRDefault="00E60336" w:rsidP="00050EEC">
                <w:pPr>
                  <w:jc w:val="center"/>
                  <w:rPr>
                    <w:b/>
                    <w:sz w:val="22"/>
                    <w:szCs w:val="22"/>
                  </w:rPr>
                </w:pPr>
                <w:r w:rsidRPr="00D35154">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22FE12D3" w14:textId="77777777" w:rsidR="00E60336" w:rsidRPr="00D35154" w:rsidRDefault="00E60336" w:rsidP="00050EEC">
            <w:pPr>
              <w:ind w:right="-108"/>
              <w:rPr>
                <w:b/>
                <w:sz w:val="22"/>
                <w:szCs w:val="22"/>
              </w:rPr>
            </w:pPr>
            <w:r w:rsidRPr="00D35154">
              <w:rPr>
                <w:b/>
                <w:sz w:val="22"/>
                <w:szCs w:val="22"/>
              </w:rPr>
              <w:t>Pozitívne</w:t>
            </w:r>
          </w:p>
        </w:tc>
        <w:sdt>
          <w:sdtPr>
            <w:rPr>
              <w:b/>
              <w:sz w:val="22"/>
              <w:szCs w:val="22"/>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0824E35D" w14:textId="77777777" w:rsidR="00E60336" w:rsidRPr="00D35154" w:rsidRDefault="00E60336" w:rsidP="00050EEC">
                <w:pPr>
                  <w:jc w:val="center"/>
                  <w:rPr>
                    <w:b/>
                    <w:sz w:val="22"/>
                    <w:szCs w:val="22"/>
                  </w:rPr>
                </w:pPr>
                <w:r w:rsidRPr="00D35154">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14:paraId="0A33132F" w14:textId="77777777" w:rsidR="00E60336" w:rsidRPr="00D35154" w:rsidRDefault="00E60336" w:rsidP="00050EEC">
            <w:pPr>
              <w:rPr>
                <w:b/>
                <w:sz w:val="22"/>
                <w:szCs w:val="22"/>
              </w:rPr>
            </w:pPr>
            <w:r w:rsidRPr="00D35154">
              <w:rPr>
                <w:b/>
                <w:sz w:val="22"/>
                <w:szCs w:val="22"/>
              </w:rPr>
              <w:t>Žiadne</w:t>
            </w:r>
          </w:p>
        </w:tc>
        <w:sdt>
          <w:sdtPr>
            <w:rPr>
              <w:b/>
              <w:sz w:val="22"/>
              <w:szCs w:val="22"/>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473AA3B" w14:textId="77777777" w:rsidR="00E60336" w:rsidRPr="00D35154" w:rsidRDefault="00E60336" w:rsidP="00050EEC">
                <w:pPr>
                  <w:jc w:val="center"/>
                  <w:rPr>
                    <w:b/>
                    <w:sz w:val="22"/>
                    <w:szCs w:val="22"/>
                  </w:rPr>
                </w:pPr>
                <w:r w:rsidRPr="00D35154">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44568BD0" w14:textId="77777777" w:rsidR="00E60336" w:rsidRPr="00D35154" w:rsidRDefault="00E60336" w:rsidP="00050EEC">
            <w:pPr>
              <w:ind w:left="54"/>
              <w:rPr>
                <w:b/>
                <w:sz w:val="22"/>
                <w:szCs w:val="22"/>
              </w:rPr>
            </w:pPr>
            <w:r w:rsidRPr="00D35154">
              <w:rPr>
                <w:b/>
                <w:sz w:val="22"/>
                <w:szCs w:val="22"/>
              </w:rPr>
              <w:t>Negatívne</w:t>
            </w:r>
          </w:p>
        </w:tc>
      </w:tr>
      <w:tr w:rsidR="00E60336" w:rsidRPr="00D35154" w14:paraId="0B26B688" w14:textId="77777777" w:rsidTr="00050EEC">
        <w:tc>
          <w:tcPr>
            <w:tcW w:w="3812" w:type="dxa"/>
            <w:tcBorders>
              <w:top w:val="single" w:sz="4" w:space="0" w:color="auto"/>
              <w:left w:val="single" w:sz="4" w:space="0" w:color="auto"/>
              <w:bottom w:val="single" w:sz="4" w:space="0" w:color="auto"/>
              <w:right w:val="single" w:sz="4" w:space="0" w:color="auto"/>
            </w:tcBorders>
            <w:shd w:val="clear" w:color="auto" w:fill="E2E2E2"/>
          </w:tcPr>
          <w:p w14:paraId="431FA3F6" w14:textId="77777777" w:rsidR="00E60336" w:rsidRPr="00D35154" w:rsidRDefault="00E60336" w:rsidP="00050EEC">
            <w:pPr>
              <w:rPr>
                <w:b/>
                <w:sz w:val="22"/>
                <w:szCs w:val="22"/>
              </w:rPr>
            </w:pPr>
            <w:r w:rsidRPr="00D35154">
              <w:rPr>
                <w:b/>
                <w:sz w:val="22"/>
                <w:szCs w:val="22"/>
              </w:rPr>
              <w:t>Vplyvy na informatizáciu</w:t>
            </w:r>
          </w:p>
        </w:tc>
        <w:sdt>
          <w:sdtPr>
            <w:rPr>
              <w:b/>
              <w:sz w:val="22"/>
              <w:szCs w:val="22"/>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FE1FB52" w14:textId="77777777" w:rsidR="00E60336" w:rsidRPr="00D35154" w:rsidRDefault="00E60336" w:rsidP="00050EEC">
                <w:pPr>
                  <w:jc w:val="center"/>
                  <w:rPr>
                    <w:b/>
                    <w:sz w:val="22"/>
                    <w:szCs w:val="22"/>
                  </w:rPr>
                </w:pPr>
                <w:r w:rsidRPr="00D35154">
                  <w:rPr>
                    <w:rFonts w:ascii="MS Mincho" w:eastAsia="MS Mincho" w:hAnsi="MS Mincho" w:cs="MS Mincho" w:hint="eastAsia"/>
                    <w:b/>
                    <w:sz w:val="22"/>
                    <w:szCs w:val="22"/>
                  </w:rPr>
                  <w:t>☐</w:t>
                </w:r>
              </w:p>
            </w:tc>
          </w:sdtContent>
        </w:sdt>
        <w:tc>
          <w:tcPr>
            <w:tcW w:w="1281" w:type="dxa"/>
            <w:gridSpan w:val="2"/>
            <w:tcBorders>
              <w:top w:val="single" w:sz="4" w:space="0" w:color="auto"/>
              <w:left w:val="nil"/>
              <w:bottom w:val="single" w:sz="4" w:space="0" w:color="auto"/>
              <w:right w:val="nil"/>
            </w:tcBorders>
          </w:tcPr>
          <w:p w14:paraId="0B73424C" w14:textId="77777777" w:rsidR="00E60336" w:rsidRPr="00D35154" w:rsidRDefault="00E60336" w:rsidP="00050EEC">
            <w:pPr>
              <w:ind w:right="-108"/>
              <w:rPr>
                <w:b/>
                <w:sz w:val="22"/>
                <w:szCs w:val="22"/>
              </w:rPr>
            </w:pPr>
            <w:r w:rsidRPr="00D35154">
              <w:rPr>
                <w:b/>
                <w:sz w:val="22"/>
                <w:szCs w:val="22"/>
              </w:rPr>
              <w:t>Pozitívne</w:t>
            </w:r>
          </w:p>
        </w:tc>
        <w:sdt>
          <w:sdtPr>
            <w:rPr>
              <w:b/>
              <w:sz w:val="22"/>
              <w:szCs w:val="22"/>
            </w:rPr>
            <w:id w:val="-1126152168"/>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5FC3185A" w14:textId="77777777" w:rsidR="00E60336" w:rsidRPr="00D35154" w:rsidRDefault="00E60336" w:rsidP="00050EEC">
                <w:pPr>
                  <w:jc w:val="center"/>
                  <w:rPr>
                    <w:b/>
                    <w:sz w:val="22"/>
                    <w:szCs w:val="22"/>
                  </w:rPr>
                </w:pPr>
                <w:r w:rsidRPr="00D35154">
                  <w:rPr>
                    <w:rFonts w:ascii="MS Gothic" w:eastAsia="MS Gothic" w:hAnsi="MS Gothic" w:hint="eastAsia"/>
                    <w:b/>
                    <w:sz w:val="22"/>
                    <w:szCs w:val="22"/>
                  </w:rPr>
                  <w:t>☒</w:t>
                </w:r>
              </w:p>
            </w:tc>
          </w:sdtContent>
        </w:sdt>
        <w:tc>
          <w:tcPr>
            <w:tcW w:w="1133" w:type="dxa"/>
            <w:tcBorders>
              <w:top w:val="single" w:sz="4" w:space="0" w:color="auto"/>
              <w:left w:val="nil"/>
              <w:bottom w:val="single" w:sz="4" w:space="0" w:color="auto"/>
              <w:right w:val="nil"/>
            </w:tcBorders>
          </w:tcPr>
          <w:p w14:paraId="5A8A1E1E" w14:textId="77777777" w:rsidR="00E60336" w:rsidRPr="00D35154" w:rsidRDefault="00E60336" w:rsidP="00050EEC">
            <w:pPr>
              <w:rPr>
                <w:b/>
                <w:sz w:val="22"/>
                <w:szCs w:val="22"/>
              </w:rPr>
            </w:pPr>
            <w:r w:rsidRPr="00D35154">
              <w:rPr>
                <w:b/>
                <w:sz w:val="22"/>
                <w:szCs w:val="22"/>
              </w:rPr>
              <w:t>Žiadne</w:t>
            </w:r>
          </w:p>
        </w:tc>
        <w:sdt>
          <w:sdtPr>
            <w:rPr>
              <w:b/>
              <w:sz w:val="22"/>
              <w:szCs w:val="22"/>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FB2548A" w14:textId="77777777" w:rsidR="00E60336" w:rsidRPr="00D35154" w:rsidRDefault="00E60336" w:rsidP="00050EEC">
                <w:pPr>
                  <w:jc w:val="center"/>
                  <w:rPr>
                    <w:b/>
                    <w:sz w:val="22"/>
                    <w:szCs w:val="22"/>
                  </w:rPr>
                </w:pPr>
                <w:r w:rsidRPr="00D35154">
                  <w:rPr>
                    <w:rFonts w:ascii="MS Mincho" w:eastAsia="MS Mincho" w:hAnsi="MS Mincho" w:cs="MS Mincho" w:hint="eastAsia"/>
                    <w:b/>
                    <w:sz w:val="22"/>
                    <w:szCs w:val="22"/>
                  </w:rPr>
                  <w:t>☐</w:t>
                </w:r>
              </w:p>
            </w:tc>
          </w:sdtContent>
        </w:sdt>
        <w:tc>
          <w:tcPr>
            <w:tcW w:w="1297" w:type="dxa"/>
            <w:tcBorders>
              <w:top w:val="single" w:sz="4" w:space="0" w:color="auto"/>
              <w:left w:val="nil"/>
              <w:bottom w:val="single" w:sz="4" w:space="0" w:color="auto"/>
              <w:right w:val="single" w:sz="4" w:space="0" w:color="auto"/>
            </w:tcBorders>
          </w:tcPr>
          <w:p w14:paraId="776224B2" w14:textId="77777777" w:rsidR="00E60336" w:rsidRPr="00D35154" w:rsidRDefault="00E60336" w:rsidP="00050EEC">
            <w:pPr>
              <w:ind w:left="54"/>
              <w:rPr>
                <w:b/>
                <w:sz w:val="22"/>
                <w:szCs w:val="22"/>
              </w:rPr>
            </w:pPr>
            <w:r w:rsidRPr="00D35154">
              <w:rPr>
                <w:b/>
                <w:sz w:val="22"/>
                <w:szCs w:val="22"/>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E60336" w:rsidRPr="00D35154" w14:paraId="42F0043C" w14:textId="77777777" w:rsidTr="00050EEC">
        <w:tc>
          <w:tcPr>
            <w:tcW w:w="3812" w:type="dxa"/>
            <w:tcBorders>
              <w:top w:val="single" w:sz="4" w:space="0" w:color="auto"/>
              <w:left w:val="single" w:sz="4" w:space="0" w:color="auto"/>
              <w:bottom w:val="nil"/>
              <w:right w:val="single" w:sz="4" w:space="0" w:color="auto"/>
            </w:tcBorders>
            <w:shd w:val="clear" w:color="auto" w:fill="E2E2E2"/>
          </w:tcPr>
          <w:p w14:paraId="6735283D" w14:textId="77777777" w:rsidR="00E60336" w:rsidRPr="00D35154" w:rsidRDefault="00E60336" w:rsidP="00050EEC">
            <w:pPr>
              <w:rPr>
                <w:b/>
                <w:sz w:val="22"/>
                <w:szCs w:val="22"/>
              </w:rPr>
            </w:pPr>
            <w:r w:rsidRPr="00D35154">
              <w:rPr>
                <w:rFonts w:eastAsia="Calibri"/>
                <w:b/>
                <w:sz w:val="22"/>
                <w:szCs w:val="22"/>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7D55AC22" w14:textId="77777777" w:rsidR="00E60336" w:rsidRPr="00D35154" w:rsidRDefault="00E60336" w:rsidP="00050EEC">
            <w:pPr>
              <w:jc w:val="center"/>
              <w:rPr>
                <w:rFonts w:eastAsia="MS Mincho"/>
                <w:b/>
                <w:sz w:val="22"/>
                <w:szCs w:val="22"/>
              </w:rPr>
            </w:pPr>
          </w:p>
        </w:tc>
        <w:tc>
          <w:tcPr>
            <w:tcW w:w="1281" w:type="dxa"/>
            <w:tcBorders>
              <w:top w:val="single" w:sz="4" w:space="0" w:color="auto"/>
              <w:left w:val="nil"/>
              <w:bottom w:val="nil"/>
              <w:right w:val="nil"/>
            </w:tcBorders>
            <w:shd w:val="clear" w:color="auto" w:fill="auto"/>
          </w:tcPr>
          <w:p w14:paraId="5AB99DD8" w14:textId="77777777" w:rsidR="00E60336" w:rsidRPr="00D35154" w:rsidRDefault="00E60336" w:rsidP="00050EEC">
            <w:pPr>
              <w:ind w:right="-108"/>
              <w:rPr>
                <w:b/>
                <w:sz w:val="22"/>
                <w:szCs w:val="22"/>
              </w:rPr>
            </w:pPr>
          </w:p>
        </w:tc>
        <w:tc>
          <w:tcPr>
            <w:tcW w:w="569" w:type="dxa"/>
            <w:tcBorders>
              <w:top w:val="single" w:sz="4" w:space="0" w:color="auto"/>
              <w:left w:val="nil"/>
              <w:bottom w:val="nil"/>
              <w:right w:val="nil"/>
            </w:tcBorders>
            <w:shd w:val="clear" w:color="auto" w:fill="auto"/>
          </w:tcPr>
          <w:p w14:paraId="1DE94D4C" w14:textId="77777777" w:rsidR="00E60336" w:rsidRPr="00D35154" w:rsidRDefault="00E60336" w:rsidP="00050EEC">
            <w:pPr>
              <w:jc w:val="center"/>
              <w:rPr>
                <w:rFonts w:eastAsia="MS Mincho"/>
                <w:b/>
                <w:sz w:val="22"/>
                <w:szCs w:val="22"/>
              </w:rPr>
            </w:pPr>
          </w:p>
        </w:tc>
        <w:tc>
          <w:tcPr>
            <w:tcW w:w="1133" w:type="dxa"/>
            <w:tcBorders>
              <w:top w:val="single" w:sz="4" w:space="0" w:color="auto"/>
              <w:left w:val="nil"/>
              <w:bottom w:val="nil"/>
              <w:right w:val="nil"/>
            </w:tcBorders>
            <w:shd w:val="clear" w:color="auto" w:fill="auto"/>
          </w:tcPr>
          <w:p w14:paraId="1A4730AE" w14:textId="77777777" w:rsidR="00E60336" w:rsidRPr="00D35154" w:rsidRDefault="00E60336" w:rsidP="00050EEC">
            <w:pPr>
              <w:rPr>
                <w:b/>
                <w:sz w:val="22"/>
                <w:szCs w:val="22"/>
              </w:rPr>
            </w:pPr>
          </w:p>
        </w:tc>
        <w:tc>
          <w:tcPr>
            <w:tcW w:w="547" w:type="dxa"/>
            <w:tcBorders>
              <w:top w:val="single" w:sz="4" w:space="0" w:color="auto"/>
              <w:left w:val="nil"/>
              <w:bottom w:val="nil"/>
              <w:right w:val="nil"/>
            </w:tcBorders>
            <w:shd w:val="clear" w:color="auto" w:fill="auto"/>
          </w:tcPr>
          <w:p w14:paraId="38235568" w14:textId="77777777" w:rsidR="00E60336" w:rsidRPr="00D35154" w:rsidRDefault="00E60336" w:rsidP="00050EEC">
            <w:pPr>
              <w:jc w:val="center"/>
              <w:rPr>
                <w:rFonts w:eastAsia="MS Mincho"/>
                <w:b/>
                <w:sz w:val="22"/>
                <w:szCs w:val="22"/>
              </w:rPr>
            </w:pPr>
          </w:p>
        </w:tc>
        <w:tc>
          <w:tcPr>
            <w:tcW w:w="1297" w:type="dxa"/>
            <w:tcBorders>
              <w:top w:val="single" w:sz="4" w:space="0" w:color="auto"/>
              <w:left w:val="nil"/>
              <w:bottom w:val="nil"/>
              <w:right w:val="single" w:sz="4" w:space="0" w:color="auto"/>
            </w:tcBorders>
            <w:shd w:val="clear" w:color="auto" w:fill="auto"/>
          </w:tcPr>
          <w:p w14:paraId="3E905A96" w14:textId="77777777" w:rsidR="00E60336" w:rsidRPr="00D35154" w:rsidRDefault="00E60336" w:rsidP="00050EEC">
            <w:pPr>
              <w:ind w:left="54"/>
              <w:rPr>
                <w:b/>
                <w:sz w:val="22"/>
                <w:szCs w:val="22"/>
              </w:rPr>
            </w:pPr>
          </w:p>
        </w:tc>
      </w:tr>
      <w:tr w:rsidR="00E60336" w:rsidRPr="00D35154" w14:paraId="7FF2D3B8" w14:textId="77777777" w:rsidTr="00050EEC">
        <w:tc>
          <w:tcPr>
            <w:tcW w:w="3812" w:type="dxa"/>
            <w:tcBorders>
              <w:top w:val="nil"/>
              <w:left w:val="single" w:sz="4" w:space="0" w:color="auto"/>
              <w:bottom w:val="nil"/>
              <w:right w:val="single" w:sz="4" w:space="0" w:color="auto"/>
            </w:tcBorders>
            <w:shd w:val="clear" w:color="auto" w:fill="E2E2E2"/>
          </w:tcPr>
          <w:p w14:paraId="0CDF402D" w14:textId="77777777" w:rsidR="00E60336" w:rsidRPr="00D35154" w:rsidRDefault="00E60336" w:rsidP="00050EEC">
            <w:pPr>
              <w:ind w:left="196" w:hanging="196"/>
              <w:rPr>
                <w:rFonts w:eastAsia="Calibri"/>
                <w:b/>
                <w:sz w:val="22"/>
                <w:szCs w:val="22"/>
                <w:lang w:eastAsia="en-US"/>
              </w:rPr>
            </w:pPr>
            <w:r w:rsidRPr="00D35154">
              <w:rPr>
                <w:rFonts w:eastAsia="Calibri"/>
                <w:b/>
                <w:sz w:val="22"/>
                <w:szCs w:val="22"/>
                <w:lang w:eastAsia="en-US"/>
              </w:rPr>
              <w:t xml:space="preserve">    vplyvy služieb verejnej správy na občana</w:t>
            </w:r>
          </w:p>
        </w:tc>
        <w:sdt>
          <w:sdtPr>
            <w:rPr>
              <w:b/>
              <w:sz w:val="22"/>
              <w:szCs w:val="22"/>
            </w:rPr>
            <w:id w:val="-1688362683"/>
            <w14:checkbox>
              <w14:checked w14:val="0"/>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14:paraId="6BADB1AC" w14:textId="77777777" w:rsidR="00E60336" w:rsidRPr="00D35154" w:rsidRDefault="00E60336" w:rsidP="00050EEC">
                <w:pPr>
                  <w:jc w:val="center"/>
                  <w:rPr>
                    <w:b/>
                    <w:sz w:val="22"/>
                    <w:szCs w:val="22"/>
                  </w:rPr>
                </w:pPr>
                <w:r w:rsidRPr="00D35154">
                  <w:rPr>
                    <w:rFonts w:ascii="MS Gothic" w:eastAsia="MS Gothic" w:hAnsi="MS Gothic" w:hint="eastAsia"/>
                    <w:b/>
                    <w:sz w:val="22"/>
                    <w:szCs w:val="22"/>
                  </w:rPr>
                  <w:t>☐</w:t>
                </w:r>
              </w:p>
            </w:tc>
          </w:sdtContent>
        </w:sdt>
        <w:tc>
          <w:tcPr>
            <w:tcW w:w="1281" w:type="dxa"/>
            <w:tcBorders>
              <w:top w:val="nil"/>
              <w:left w:val="nil"/>
              <w:bottom w:val="nil"/>
              <w:right w:val="nil"/>
            </w:tcBorders>
            <w:shd w:val="clear" w:color="auto" w:fill="auto"/>
          </w:tcPr>
          <w:p w14:paraId="0185FD96" w14:textId="77777777" w:rsidR="00E60336" w:rsidRPr="00D35154" w:rsidRDefault="00E60336" w:rsidP="00050EEC">
            <w:pPr>
              <w:ind w:right="-108"/>
              <w:rPr>
                <w:b/>
                <w:sz w:val="22"/>
                <w:szCs w:val="22"/>
              </w:rPr>
            </w:pPr>
            <w:r w:rsidRPr="00D35154">
              <w:rPr>
                <w:b/>
                <w:sz w:val="22"/>
                <w:szCs w:val="22"/>
              </w:rPr>
              <w:t>Pozitívne</w:t>
            </w:r>
          </w:p>
        </w:tc>
        <w:sdt>
          <w:sdtPr>
            <w:rPr>
              <w:b/>
              <w:sz w:val="22"/>
              <w:szCs w:val="22"/>
            </w:rPr>
            <w:id w:val="884985506"/>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14:paraId="0C5E1EC4" w14:textId="77777777" w:rsidR="00E60336" w:rsidRPr="00D35154" w:rsidRDefault="00E60336" w:rsidP="00050EEC">
                <w:pPr>
                  <w:jc w:val="center"/>
                  <w:rPr>
                    <w:b/>
                    <w:sz w:val="22"/>
                    <w:szCs w:val="22"/>
                  </w:rPr>
                </w:pPr>
                <w:r w:rsidRPr="00D35154">
                  <w:rPr>
                    <w:rFonts w:ascii="MS Gothic" w:eastAsia="MS Gothic" w:hAnsi="MS Gothic" w:hint="eastAsia"/>
                    <w:b/>
                    <w:sz w:val="22"/>
                    <w:szCs w:val="22"/>
                  </w:rPr>
                  <w:t>☒</w:t>
                </w:r>
              </w:p>
            </w:tc>
          </w:sdtContent>
        </w:sdt>
        <w:tc>
          <w:tcPr>
            <w:tcW w:w="1133" w:type="dxa"/>
            <w:tcBorders>
              <w:top w:val="nil"/>
              <w:left w:val="nil"/>
              <w:bottom w:val="nil"/>
              <w:right w:val="nil"/>
            </w:tcBorders>
            <w:shd w:val="clear" w:color="auto" w:fill="auto"/>
          </w:tcPr>
          <w:p w14:paraId="11CEEC52" w14:textId="77777777" w:rsidR="00E60336" w:rsidRPr="00D35154" w:rsidRDefault="00E60336" w:rsidP="00050EEC">
            <w:pPr>
              <w:rPr>
                <w:b/>
                <w:sz w:val="22"/>
                <w:szCs w:val="22"/>
              </w:rPr>
            </w:pPr>
            <w:r w:rsidRPr="00D35154">
              <w:rPr>
                <w:b/>
                <w:sz w:val="22"/>
                <w:szCs w:val="22"/>
              </w:rPr>
              <w:t>Žiadne</w:t>
            </w:r>
          </w:p>
        </w:tc>
        <w:sdt>
          <w:sdtPr>
            <w:rPr>
              <w:b/>
              <w:sz w:val="22"/>
              <w:szCs w:val="22"/>
            </w:rPr>
            <w:id w:val="-2146805846"/>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14:paraId="4A4CBDB9" w14:textId="77777777" w:rsidR="00E60336" w:rsidRPr="00D35154" w:rsidRDefault="00E60336" w:rsidP="00050EEC">
                <w:pPr>
                  <w:jc w:val="center"/>
                  <w:rPr>
                    <w:b/>
                    <w:sz w:val="22"/>
                    <w:szCs w:val="22"/>
                  </w:rPr>
                </w:pPr>
                <w:r w:rsidRPr="00D35154">
                  <w:rPr>
                    <w:rFonts w:ascii="MS Mincho" w:eastAsia="MS Mincho" w:hAnsi="MS Mincho" w:cs="MS Mincho" w:hint="eastAsia"/>
                    <w:b/>
                    <w:sz w:val="22"/>
                    <w:szCs w:val="22"/>
                  </w:rPr>
                  <w:t>☐</w:t>
                </w:r>
              </w:p>
            </w:tc>
          </w:sdtContent>
        </w:sdt>
        <w:tc>
          <w:tcPr>
            <w:tcW w:w="1297" w:type="dxa"/>
            <w:tcBorders>
              <w:top w:val="nil"/>
              <w:left w:val="nil"/>
              <w:bottom w:val="nil"/>
              <w:right w:val="single" w:sz="4" w:space="0" w:color="auto"/>
            </w:tcBorders>
            <w:shd w:val="clear" w:color="auto" w:fill="auto"/>
          </w:tcPr>
          <w:p w14:paraId="7D173FAD" w14:textId="77777777" w:rsidR="00E60336" w:rsidRPr="00D35154" w:rsidRDefault="00E60336" w:rsidP="00050EEC">
            <w:pPr>
              <w:ind w:left="54"/>
              <w:rPr>
                <w:b/>
                <w:sz w:val="22"/>
                <w:szCs w:val="22"/>
              </w:rPr>
            </w:pPr>
            <w:r w:rsidRPr="00D35154">
              <w:rPr>
                <w:b/>
                <w:sz w:val="22"/>
                <w:szCs w:val="22"/>
              </w:rPr>
              <w:t>Negatívne</w:t>
            </w:r>
          </w:p>
        </w:tc>
      </w:tr>
      <w:tr w:rsidR="00E60336" w:rsidRPr="00D35154" w14:paraId="51AC50FF" w14:textId="77777777" w:rsidTr="00050EEC">
        <w:tc>
          <w:tcPr>
            <w:tcW w:w="3812" w:type="dxa"/>
            <w:tcBorders>
              <w:top w:val="nil"/>
              <w:left w:val="single" w:sz="4" w:space="0" w:color="auto"/>
              <w:bottom w:val="single" w:sz="4" w:space="0" w:color="auto"/>
              <w:right w:val="single" w:sz="4" w:space="0" w:color="auto"/>
            </w:tcBorders>
            <w:shd w:val="clear" w:color="auto" w:fill="E2E2E2"/>
          </w:tcPr>
          <w:p w14:paraId="21B12E0F" w14:textId="77777777" w:rsidR="00E60336" w:rsidRPr="00D35154" w:rsidRDefault="00E60336" w:rsidP="00050EEC">
            <w:pPr>
              <w:ind w:left="168" w:hanging="168"/>
              <w:rPr>
                <w:rFonts w:eastAsia="Calibri"/>
                <w:b/>
                <w:sz w:val="22"/>
                <w:szCs w:val="22"/>
                <w:lang w:eastAsia="en-US"/>
              </w:rPr>
            </w:pPr>
            <w:r w:rsidRPr="00D35154">
              <w:rPr>
                <w:rFonts w:eastAsia="Calibri"/>
                <w:b/>
                <w:sz w:val="22"/>
                <w:szCs w:val="22"/>
                <w:lang w:eastAsia="en-US"/>
              </w:rPr>
              <w:t xml:space="preserve">    vplyvy na procesy služieb vo verejnej správe</w:t>
            </w:r>
          </w:p>
        </w:tc>
        <w:sdt>
          <w:sdtPr>
            <w:rPr>
              <w:b/>
              <w:sz w:val="22"/>
              <w:szCs w:val="22"/>
            </w:rPr>
            <w:id w:val="-113984565"/>
            <w14:checkbox>
              <w14:checked w14:val="0"/>
              <w14:checkedState w14:val="2612" w14:font="MS Gothic"/>
              <w14:uncheckedState w14:val="2610" w14:font="MS Gothic"/>
            </w14:checkbox>
          </w:sdtPr>
          <w:sdtEndPr/>
          <w:sdtContent>
            <w:tc>
              <w:tcPr>
                <w:tcW w:w="541" w:type="dxa"/>
                <w:tcBorders>
                  <w:top w:val="nil"/>
                  <w:left w:val="single" w:sz="4" w:space="0" w:color="auto"/>
                  <w:bottom w:val="single" w:sz="4" w:space="0" w:color="auto"/>
                  <w:right w:val="nil"/>
                </w:tcBorders>
                <w:shd w:val="clear" w:color="auto" w:fill="auto"/>
              </w:tcPr>
              <w:p w14:paraId="2540C4CD" w14:textId="77777777" w:rsidR="00E60336" w:rsidRPr="00D35154" w:rsidRDefault="00E60336" w:rsidP="00050EEC">
                <w:pPr>
                  <w:jc w:val="center"/>
                  <w:rPr>
                    <w:b/>
                    <w:sz w:val="22"/>
                    <w:szCs w:val="22"/>
                  </w:rPr>
                </w:pPr>
                <w:r w:rsidRPr="00D35154">
                  <w:rPr>
                    <w:rFonts w:ascii="MS Mincho" w:eastAsia="MS Mincho" w:hAnsi="MS Mincho" w:cs="MS Mincho" w:hint="eastAsia"/>
                    <w:b/>
                    <w:sz w:val="22"/>
                    <w:szCs w:val="22"/>
                  </w:rPr>
                  <w:t>☐</w:t>
                </w:r>
              </w:p>
            </w:tc>
          </w:sdtContent>
        </w:sdt>
        <w:tc>
          <w:tcPr>
            <w:tcW w:w="1281" w:type="dxa"/>
            <w:tcBorders>
              <w:top w:val="nil"/>
              <w:left w:val="nil"/>
              <w:bottom w:val="single" w:sz="4" w:space="0" w:color="auto"/>
              <w:right w:val="nil"/>
            </w:tcBorders>
            <w:shd w:val="clear" w:color="auto" w:fill="auto"/>
          </w:tcPr>
          <w:p w14:paraId="40CAADA9" w14:textId="77777777" w:rsidR="00E60336" w:rsidRPr="00D35154" w:rsidRDefault="00E60336" w:rsidP="00050EEC">
            <w:pPr>
              <w:ind w:right="-108"/>
              <w:rPr>
                <w:b/>
                <w:sz w:val="22"/>
                <w:szCs w:val="22"/>
              </w:rPr>
            </w:pPr>
            <w:r w:rsidRPr="00D35154">
              <w:rPr>
                <w:b/>
                <w:sz w:val="22"/>
                <w:szCs w:val="22"/>
              </w:rPr>
              <w:t>Pozitívne</w:t>
            </w:r>
          </w:p>
        </w:tc>
        <w:sdt>
          <w:sdtPr>
            <w:rPr>
              <w:b/>
              <w:sz w:val="22"/>
              <w:szCs w:val="22"/>
            </w:rPr>
            <w:id w:val="-1325040833"/>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14:paraId="3A750749" w14:textId="77777777" w:rsidR="00E60336" w:rsidRPr="00D35154" w:rsidRDefault="00E60336" w:rsidP="00050EEC">
                <w:pPr>
                  <w:jc w:val="center"/>
                  <w:rPr>
                    <w:b/>
                    <w:sz w:val="22"/>
                    <w:szCs w:val="22"/>
                  </w:rPr>
                </w:pPr>
                <w:r w:rsidRPr="00D35154">
                  <w:rPr>
                    <w:rFonts w:ascii="MS Gothic" w:eastAsia="MS Gothic" w:hAnsi="MS Gothic" w:hint="eastAsia"/>
                    <w:b/>
                    <w:sz w:val="22"/>
                    <w:szCs w:val="22"/>
                  </w:rPr>
                  <w:t>☒</w:t>
                </w:r>
              </w:p>
            </w:tc>
          </w:sdtContent>
        </w:sdt>
        <w:tc>
          <w:tcPr>
            <w:tcW w:w="1133" w:type="dxa"/>
            <w:tcBorders>
              <w:top w:val="nil"/>
              <w:left w:val="nil"/>
              <w:bottom w:val="single" w:sz="4" w:space="0" w:color="auto"/>
              <w:right w:val="nil"/>
            </w:tcBorders>
            <w:shd w:val="clear" w:color="auto" w:fill="auto"/>
          </w:tcPr>
          <w:p w14:paraId="36A53BA9" w14:textId="77777777" w:rsidR="00E60336" w:rsidRPr="00D35154" w:rsidRDefault="00E60336" w:rsidP="00050EEC">
            <w:pPr>
              <w:rPr>
                <w:b/>
                <w:sz w:val="22"/>
                <w:szCs w:val="22"/>
              </w:rPr>
            </w:pPr>
            <w:r w:rsidRPr="00D35154">
              <w:rPr>
                <w:b/>
                <w:sz w:val="22"/>
                <w:szCs w:val="22"/>
              </w:rPr>
              <w:t>Žiadne</w:t>
            </w:r>
          </w:p>
        </w:tc>
        <w:sdt>
          <w:sdtPr>
            <w:rPr>
              <w:b/>
              <w:sz w:val="22"/>
              <w:szCs w:val="22"/>
            </w:rPr>
            <w:id w:val="2018029189"/>
            <w14:checkbox>
              <w14:checked w14:val="0"/>
              <w14:checkedState w14:val="2612" w14:font="MS Gothic"/>
              <w14:uncheckedState w14:val="2610" w14:font="MS Gothic"/>
            </w14:checkbox>
          </w:sdtPr>
          <w:sdtEndPr/>
          <w:sdtContent>
            <w:tc>
              <w:tcPr>
                <w:tcW w:w="547" w:type="dxa"/>
                <w:tcBorders>
                  <w:top w:val="nil"/>
                  <w:left w:val="nil"/>
                  <w:bottom w:val="single" w:sz="4" w:space="0" w:color="auto"/>
                  <w:right w:val="nil"/>
                </w:tcBorders>
                <w:shd w:val="clear" w:color="auto" w:fill="auto"/>
              </w:tcPr>
              <w:p w14:paraId="7BEE8873" w14:textId="77777777" w:rsidR="00E60336" w:rsidRPr="00D35154" w:rsidRDefault="00E60336" w:rsidP="00050EEC">
                <w:pPr>
                  <w:jc w:val="center"/>
                  <w:rPr>
                    <w:b/>
                    <w:sz w:val="22"/>
                    <w:szCs w:val="22"/>
                  </w:rPr>
                </w:pPr>
                <w:r w:rsidRPr="00D35154">
                  <w:rPr>
                    <w:rFonts w:ascii="MS Mincho" w:eastAsia="MS Mincho" w:hAnsi="MS Mincho" w:cs="MS Mincho" w:hint="eastAsia"/>
                    <w:b/>
                    <w:sz w:val="22"/>
                    <w:szCs w:val="22"/>
                  </w:rPr>
                  <w:t>☐</w:t>
                </w:r>
              </w:p>
            </w:tc>
          </w:sdtContent>
        </w:sdt>
        <w:tc>
          <w:tcPr>
            <w:tcW w:w="1297" w:type="dxa"/>
            <w:tcBorders>
              <w:top w:val="nil"/>
              <w:left w:val="nil"/>
              <w:bottom w:val="single" w:sz="4" w:space="0" w:color="auto"/>
              <w:right w:val="single" w:sz="4" w:space="0" w:color="auto"/>
            </w:tcBorders>
            <w:shd w:val="clear" w:color="auto" w:fill="auto"/>
          </w:tcPr>
          <w:p w14:paraId="08F59D9D" w14:textId="77777777" w:rsidR="00E60336" w:rsidRPr="00D35154" w:rsidRDefault="00E60336" w:rsidP="00050EEC">
            <w:pPr>
              <w:ind w:left="54"/>
              <w:rPr>
                <w:b/>
                <w:sz w:val="22"/>
                <w:szCs w:val="22"/>
              </w:rPr>
            </w:pPr>
            <w:r w:rsidRPr="00D35154">
              <w:rPr>
                <w:b/>
                <w:sz w:val="22"/>
                <w:szCs w:val="22"/>
              </w:rPr>
              <w:t>Negatívne</w:t>
            </w:r>
          </w:p>
        </w:tc>
      </w:tr>
      <w:tr w:rsidR="00E60336" w:rsidRPr="00D35154" w14:paraId="1B34556C" w14:textId="77777777" w:rsidTr="00050EEC">
        <w:tc>
          <w:tcPr>
            <w:tcW w:w="3812" w:type="dxa"/>
            <w:tcBorders>
              <w:top w:val="nil"/>
              <w:left w:val="single" w:sz="4" w:space="0" w:color="auto"/>
              <w:bottom w:val="single" w:sz="4" w:space="0" w:color="auto"/>
              <w:right w:val="single" w:sz="4" w:space="0" w:color="auto"/>
            </w:tcBorders>
            <w:shd w:val="clear" w:color="auto" w:fill="E2E2E2"/>
          </w:tcPr>
          <w:p w14:paraId="5AAC32FB" w14:textId="77777777" w:rsidR="00E60336" w:rsidRPr="00D35154" w:rsidRDefault="00E60336" w:rsidP="00050EEC">
            <w:pPr>
              <w:ind w:left="168" w:hanging="168"/>
              <w:rPr>
                <w:rFonts w:eastAsia="Calibri"/>
                <w:b/>
                <w:sz w:val="22"/>
                <w:szCs w:val="22"/>
                <w:lang w:eastAsia="en-US"/>
              </w:rPr>
            </w:pPr>
            <w:r w:rsidRPr="00D35154">
              <w:rPr>
                <w:rFonts w:eastAsia="Calibri"/>
                <w:b/>
                <w:sz w:val="22"/>
                <w:szCs w:val="22"/>
                <w:lang w:eastAsia="en-US"/>
              </w:rPr>
              <w:t>Vplyvy na manželstvo, rodičovstvo a rodinu</w:t>
            </w:r>
          </w:p>
        </w:tc>
        <w:tc>
          <w:tcPr>
            <w:tcW w:w="541" w:type="dxa"/>
            <w:tcBorders>
              <w:top w:val="nil"/>
              <w:left w:val="single" w:sz="4" w:space="0" w:color="auto"/>
              <w:bottom w:val="single" w:sz="4" w:space="0" w:color="auto"/>
              <w:right w:val="nil"/>
            </w:tcBorders>
            <w:shd w:val="clear" w:color="auto" w:fill="auto"/>
          </w:tcPr>
          <w:p w14:paraId="1B2CBA0D" w14:textId="77777777" w:rsidR="00E60336" w:rsidRPr="00D35154" w:rsidRDefault="00E60336" w:rsidP="00050EEC">
            <w:pPr>
              <w:jc w:val="center"/>
              <w:rPr>
                <w:b/>
                <w:sz w:val="22"/>
                <w:szCs w:val="22"/>
              </w:rPr>
            </w:pPr>
            <w:r w:rsidRPr="00D35154">
              <w:rPr>
                <w:rFonts w:ascii="Segoe UI Symbol" w:hAnsi="Segoe UI Symbol" w:cs="Segoe UI Symbol"/>
                <w:b/>
                <w:sz w:val="22"/>
                <w:szCs w:val="22"/>
              </w:rPr>
              <w:t>☐</w:t>
            </w:r>
          </w:p>
        </w:tc>
        <w:tc>
          <w:tcPr>
            <w:tcW w:w="1281" w:type="dxa"/>
            <w:tcBorders>
              <w:top w:val="nil"/>
              <w:left w:val="nil"/>
              <w:bottom w:val="single" w:sz="4" w:space="0" w:color="auto"/>
              <w:right w:val="nil"/>
            </w:tcBorders>
            <w:shd w:val="clear" w:color="auto" w:fill="auto"/>
          </w:tcPr>
          <w:p w14:paraId="1DEA49A9" w14:textId="77777777" w:rsidR="00E60336" w:rsidRPr="00D35154" w:rsidRDefault="00E60336" w:rsidP="00050EEC">
            <w:pPr>
              <w:ind w:right="-108"/>
              <w:rPr>
                <w:b/>
                <w:sz w:val="22"/>
                <w:szCs w:val="22"/>
              </w:rPr>
            </w:pPr>
            <w:r w:rsidRPr="00D35154">
              <w:rPr>
                <w:b/>
                <w:sz w:val="22"/>
                <w:szCs w:val="22"/>
              </w:rPr>
              <w:t>Pozitívne</w:t>
            </w:r>
          </w:p>
        </w:tc>
        <w:sdt>
          <w:sdtPr>
            <w:rPr>
              <w:rFonts w:hint="eastAsia"/>
              <w:b/>
              <w:sz w:val="22"/>
              <w:szCs w:val="22"/>
            </w:rPr>
            <w:id w:val="440654307"/>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14:paraId="40189011" w14:textId="77777777" w:rsidR="00E60336" w:rsidRPr="00D35154" w:rsidRDefault="00E60336" w:rsidP="00050EEC">
                <w:pPr>
                  <w:jc w:val="center"/>
                  <w:rPr>
                    <w:b/>
                    <w:sz w:val="22"/>
                    <w:szCs w:val="22"/>
                  </w:rPr>
                </w:pPr>
                <w:r w:rsidRPr="00D35154">
                  <w:rPr>
                    <w:rFonts w:ascii="Segoe UI Symbol" w:hAnsi="Segoe UI Symbol" w:cs="Segoe UI Symbol"/>
                    <w:b/>
                    <w:sz w:val="22"/>
                    <w:szCs w:val="22"/>
                  </w:rPr>
                  <w:t>☒</w:t>
                </w:r>
              </w:p>
            </w:tc>
          </w:sdtContent>
        </w:sdt>
        <w:tc>
          <w:tcPr>
            <w:tcW w:w="1133" w:type="dxa"/>
            <w:tcBorders>
              <w:top w:val="nil"/>
              <w:left w:val="nil"/>
              <w:bottom w:val="single" w:sz="4" w:space="0" w:color="auto"/>
              <w:right w:val="nil"/>
            </w:tcBorders>
            <w:shd w:val="clear" w:color="auto" w:fill="auto"/>
          </w:tcPr>
          <w:p w14:paraId="095BB472" w14:textId="77777777" w:rsidR="00E60336" w:rsidRPr="00D35154" w:rsidRDefault="00E60336" w:rsidP="00050EEC">
            <w:pPr>
              <w:rPr>
                <w:b/>
                <w:sz w:val="22"/>
                <w:szCs w:val="22"/>
              </w:rPr>
            </w:pPr>
            <w:r w:rsidRPr="00D35154">
              <w:rPr>
                <w:b/>
                <w:sz w:val="22"/>
                <w:szCs w:val="22"/>
              </w:rPr>
              <w:t>Žiadne</w:t>
            </w:r>
          </w:p>
        </w:tc>
        <w:tc>
          <w:tcPr>
            <w:tcW w:w="547" w:type="dxa"/>
            <w:tcBorders>
              <w:top w:val="nil"/>
              <w:left w:val="nil"/>
              <w:bottom w:val="single" w:sz="4" w:space="0" w:color="auto"/>
              <w:right w:val="nil"/>
            </w:tcBorders>
            <w:shd w:val="clear" w:color="auto" w:fill="auto"/>
          </w:tcPr>
          <w:p w14:paraId="1E262BD8" w14:textId="77777777" w:rsidR="00E60336" w:rsidRPr="00D35154" w:rsidRDefault="00E60336" w:rsidP="00050EEC">
            <w:pPr>
              <w:jc w:val="center"/>
              <w:rPr>
                <w:b/>
                <w:sz w:val="22"/>
                <w:szCs w:val="22"/>
              </w:rPr>
            </w:pPr>
            <w:r w:rsidRPr="00D35154">
              <w:rPr>
                <w:rFonts w:ascii="Segoe UI Symbol" w:hAnsi="Segoe UI Symbol" w:cs="Segoe UI Symbol"/>
                <w:b/>
                <w:sz w:val="22"/>
                <w:szCs w:val="22"/>
              </w:rPr>
              <w:t>☐</w:t>
            </w:r>
          </w:p>
        </w:tc>
        <w:tc>
          <w:tcPr>
            <w:tcW w:w="1297" w:type="dxa"/>
            <w:tcBorders>
              <w:top w:val="nil"/>
              <w:left w:val="nil"/>
              <w:bottom w:val="single" w:sz="4" w:space="0" w:color="auto"/>
              <w:right w:val="single" w:sz="4" w:space="0" w:color="auto"/>
            </w:tcBorders>
            <w:shd w:val="clear" w:color="auto" w:fill="auto"/>
          </w:tcPr>
          <w:p w14:paraId="396CBA50" w14:textId="77777777" w:rsidR="00E60336" w:rsidRPr="00D35154" w:rsidRDefault="00E60336" w:rsidP="00050EEC">
            <w:pPr>
              <w:ind w:left="54"/>
              <w:rPr>
                <w:b/>
                <w:sz w:val="22"/>
                <w:szCs w:val="22"/>
              </w:rPr>
            </w:pPr>
            <w:r w:rsidRPr="00D35154">
              <w:rPr>
                <w:b/>
                <w:sz w:val="22"/>
                <w:szCs w:val="22"/>
              </w:rPr>
              <w:t>Negatívne</w:t>
            </w:r>
          </w:p>
        </w:tc>
      </w:tr>
    </w:tbl>
    <w:p w14:paraId="45539834" w14:textId="77777777" w:rsidR="00E60336" w:rsidRDefault="00E60336">
      <w:pPr>
        <w:jc w:val="both"/>
      </w:pPr>
    </w:p>
    <w:p w14:paraId="51562913" w14:textId="77777777" w:rsidR="00E60336" w:rsidRPr="00D35154" w:rsidRDefault="00E60336" w:rsidP="00E60336">
      <w:pPr>
        <w:ind w:right="141"/>
        <w:rPr>
          <w:b/>
          <w:sz w:val="22"/>
          <w:szCs w:val="22"/>
        </w:rPr>
      </w:pPr>
    </w:p>
    <w:tbl>
      <w:tblPr>
        <w:tblStyle w:val="Mriekatabuky"/>
        <w:tblW w:w="9176" w:type="dxa"/>
        <w:tblLayout w:type="fixed"/>
        <w:tblLook w:val="04A0" w:firstRow="1" w:lastRow="0" w:firstColumn="1" w:lastColumn="0" w:noHBand="0" w:noVBand="1"/>
      </w:tblPr>
      <w:tblGrid>
        <w:gridCol w:w="9176"/>
      </w:tblGrid>
      <w:tr w:rsidR="00E60336" w:rsidRPr="00D35154" w14:paraId="571CA433" w14:textId="77777777" w:rsidTr="00050EEC">
        <w:tc>
          <w:tcPr>
            <w:tcW w:w="9176" w:type="dxa"/>
            <w:tcBorders>
              <w:top w:val="single" w:sz="4" w:space="0" w:color="auto"/>
              <w:left w:val="single" w:sz="4" w:space="0" w:color="auto"/>
              <w:bottom w:val="nil"/>
              <w:right w:val="single" w:sz="4" w:space="0" w:color="auto"/>
            </w:tcBorders>
            <w:shd w:val="clear" w:color="auto" w:fill="E2E2E2"/>
          </w:tcPr>
          <w:p w14:paraId="7172AB25" w14:textId="0F4737C8" w:rsidR="00E60336" w:rsidRPr="00E60336" w:rsidRDefault="00E60336" w:rsidP="00E60336">
            <w:pPr>
              <w:rPr>
                <w:b/>
              </w:rPr>
            </w:pPr>
            <w:r>
              <w:rPr>
                <w:b/>
              </w:rPr>
              <w:t xml:space="preserve">10. </w:t>
            </w:r>
            <w:r w:rsidRPr="00E60336">
              <w:rPr>
                <w:b/>
              </w:rPr>
              <w:t>Poznámky</w:t>
            </w:r>
          </w:p>
        </w:tc>
      </w:tr>
      <w:tr w:rsidR="00E60336" w:rsidRPr="00D35154" w14:paraId="47657FF6" w14:textId="77777777" w:rsidTr="00050EEC">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14:paraId="00D418D0" w14:textId="77777777" w:rsidR="00E60336" w:rsidRPr="00D35154" w:rsidRDefault="00E60336" w:rsidP="00050EEC">
            <w:pPr>
              <w:rPr>
                <w:i/>
                <w:sz w:val="22"/>
                <w:szCs w:val="22"/>
              </w:rPr>
            </w:pPr>
            <w:r w:rsidRPr="00D35154">
              <w:rPr>
                <w:i/>
                <w:sz w:val="22"/>
                <w:szCs w:val="22"/>
              </w:rPr>
              <w:t>V prípade potreby uveďte doplňujúce informácie k návrhu.</w:t>
            </w:r>
          </w:p>
          <w:p w14:paraId="63C8A6B2" w14:textId="77777777" w:rsidR="00E60336" w:rsidRDefault="00E60336" w:rsidP="00050EEC">
            <w:pPr>
              <w:rPr>
                <w:sz w:val="22"/>
                <w:szCs w:val="22"/>
              </w:rPr>
            </w:pPr>
          </w:p>
          <w:p w14:paraId="23AFF147" w14:textId="77777777" w:rsidR="00E60336" w:rsidRDefault="00E60336" w:rsidP="00050EEC">
            <w:pPr>
              <w:jc w:val="both"/>
              <w:rPr>
                <w:sz w:val="22"/>
                <w:szCs w:val="22"/>
              </w:rPr>
            </w:pPr>
            <w:r>
              <w:rPr>
                <w:sz w:val="22"/>
                <w:szCs w:val="22"/>
              </w:rPr>
              <w:t xml:space="preserve">Z hľadiska negatívnych vplyvov na podnikateľské prostredie dochádza k navýšeniu počiatočného kapitálu (výpočet uvedený v analýze vplyvov na podnikateľské prostredie), ktorému sa musia podriadiť obchodníci s cennými papiermi. </w:t>
            </w:r>
          </w:p>
          <w:p w14:paraId="2FC80457" w14:textId="77777777" w:rsidR="00E60336" w:rsidRPr="00D35154" w:rsidRDefault="00E60336" w:rsidP="00050EEC">
            <w:pPr>
              <w:jc w:val="both"/>
              <w:rPr>
                <w:sz w:val="22"/>
                <w:szCs w:val="22"/>
              </w:rPr>
            </w:pPr>
            <w:r>
              <w:rPr>
                <w:sz w:val="22"/>
                <w:szCs w:val="22"/>
              </w:rPr>
              <w:t xml:space="preserve">Z hľadiska pozitívnych vplyvov na podnikateľské prostredie dochádza k zníženiu požiadaviek na vlastné zdroje a ruší sa požiadavka na udržiavanie tlmiacej rezervy. Vzhľadom na skutočnosť, že sa zavádza kategorizácia obchodníkov s cennými papiermi, nie je možné určiť, do ktorej kategórie budú jednotlivé subjekty spadať, nakoľko ide aj o rozhodnutie samotného subjektu v závislosti od charakteru a rozsahu svojich činností. </w:t>
            </w:r>
          </w:p>
          <w:p w14:paraId="275B4563" w14:textId="77777777" w:rsidR="00E60336" w:rsidRDefault="00E60336" w:rsidP="00050EEC">
            <w:pPr>
              <w:jc w:val="both"/>
              <w:rPr>
                <w:sz w:val="22"/>
                <w:szCs w:val="22"/>
              </w:rPr>
            </w:pPr>
            <w:r w:rsidRPr="00D35154">
              <w:rPr>
                <w:sz w:val="22"/>
                <w:szCs w:val="22"/>
              </w:rPr>
              <w:t>Čo sa týka navrhovaných zmien v oblasti odmeňovania, ich podstatou je len presnejšie vymedzenie podmienok jeho uplatňovania bez akéhokoľvek vplyvu na stanovovanie a prideľovanie odmien jednotlivým osobám. Z tohto dôvodu nepredpokladáme žiadne sociálne vplyvy, a to ani na hospodárenie dotknutých domácností, ani na prístup k zdrojom, právam, tovarom a službám.</w:t>
            </w:r>
          </w:p>
          <w:p w14:paraId="7381C140" w14:textId="77777777" w:rsidR="00E60336" w:rsidRPr="00D35154" w:rsidRDefault="00E60336" w:rsidP="00050EEC">
            <w:pPr>
              <w:jc w:val="both"/>
              <w:rPr>
                <w:sz w:val="22"/>
                <w:szCs w:val="22"/>
              </w:rPr>
            </w:pPr>
            <w:r>
              <w:rPr>
                <w:sz w:val="22"/>
                <w:szCs w:val="22"/>
              </w:rPr>
              <w:t>Na základe vyššie uvedených dôvodov nie je možné jednoznačne určiť a kvantifikovať, ktoré vplyvy (pozitívne alebo negatívne) na podnikateľské prostredie prevládajú.</w:t>
            </w:r>
          </w:p>
          <w:p w14:paraId="53DFAFBB" w14:textId="77777777" w:rsidR="00E60336" w:rsidRPr="00D35154" w:rsidRDefault="00E60336" w:rsidP="00050EEC">
            <w:pPr>
              <w:jc w:val="both"/>
              <w:rPr>
                <w:b/>
              </w:rPr>
            </w:pPr>
          </w:p>
        </w:tc>
      </w:tr>
      <w:tr w:rsidR="00E60336" w:rsidRPr="00D35154" w14:paraId="1A5AA518" w14:textId="77777777" w:rsidTr="00050EEC">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1BEAD0D8" w14:textId="3C8DC38D" w:rsidR="00E60336" w:rsidRPr="00E60336" w:rsidRDefault="00E60336" w:rsidP="00E60336">
            <w:pPr>
              <w:rPr>
                <w:b/>
              </w:rPr>
            </w:pPr>
            <w:r>
              <w:rPr>
                <w:b/>
              </w:rPr>
              <w:lastRenderedPageBreak/>
              <w:t xml:space="preserve">11. </w:t>
            </w:r>
            <w:r w:rsidRPr="00E60336">
              <w:rPr>
                <w:b/>
              </w:rPr>
              <w:t>Kontakt na spracovateľa</w:t>
            </w:r>
          </w:p>
        </w:tc>
      </w:tr>
      <w:tr w:rsidR="00E60336" w:rsidRPr="00D35154" w14:paraId="140E8122" w14:textId="77777777" w:rsidTr="00050EEC">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227C4D28" w14:textId="77777777" w:rsidR="00E60336" w:rsidRPr="00D35154" w:rsidRDefault="00E60336" w:rsidP="00050EEC">
            <w:pPr>
              <w:rPr>
                <w:i/>
                <w:sz w:val="22"/>
                <w:szCs w:val="22"/>
              </w:rPr>
            </w:pPr>
            <w:r w:rsidRPr="00D35154">
              <w:rPr>
                <w:i/>
                <w:sz w:val="22"/>
                <w:szCs w:val="22"/>
              </w:rPr>
              <w:t>Uveďte údaje na kontaktnú osobu, ktorú je možné kontaktovať v súvislosti s posúdením vybraných vplyvov</w:t>
            </w:r>
          </w:p>
          <w:p w14:paraId="15A8BD4B" w14:textId="77777777" w:rsidR="00E60336" w:rsidRPr="00D35154" w:rsidRDefault="00E60336" w:rsidP="00050EEC">
            <w:pPr>
              <w:rPr>
                <w:i/>
                <w:sz w:val="22"/>
                <w:szCs w:val="22"/>
              </w:rPr>
            </w:pPr>
          </w:p>
          <w:p w14:paraId="05729DD9" w14:textId="77777777" w:rsidR="00E60336" w:rsidRPr="00D35154" w:rsidRDefault="00E60336" w:rsidP="00050EEC">
            <w:pPr>
              <w:rPr>
                <w:sz w:val="22"/>
                <w:szCs w:val="22"/>
              </w:rPr>
            </w:pPr>
            <w:r w:rsidRPr="00D35154">
              <w:rPr>
                <w:sz w:val="22"/>
                <w:szCs w:val="22"/>
              </w:rPr>
              <w:t xml:space="preserve">Ing. </w:t>
            </w:r>
            <w:r>
              <w:rPr>
                <w:sz w:val="22"/>
                <w:szCs w:val="22"/>
              </w:rPr>
              <w:t xml:space="preserve">Ján </w:t>
            </w:r>
            <w:proofErr w:type="spellStart"/>
            <w:r>
              <w:rPr>
                <w:sz w:val="22"/>
                <w:szCs w:val="22"/>
              </w:rPr>
              <w:t>Kaššovič</w:t>
            </w:r>
            <w:proofErr w:type="spellEnd"/>
            <w:r>
              <w:rPr>
                <w:sz w:val="22"/>
                <w:szCs w:val="22"/>
              </w:rPr>
              <w:t>, PhD.</w:t>
            </w:r>
          </w:p>
          <w:p w14:paraId="191E38C5" w14:textId="77777777" w:rsidR="00E60336" w:rsidRDefault="00E60336" w:rsidP="00050EEC">
            <w:pPr>
              <w:rPr>
                <w:sz w:val="22"/>
                <w:szCs w:val="22"/>
              </w:rPr>
            </w:pPr>
            <w:r w:rsidRPr="00D35154">
              <w:rPr>
                <w:sz w:val="22"/>
                <w:szCs w:val="22"/>
              </w:rPr>
              <w:t>02/5958 252</w:t>
            </w:r>
            <w:r>
              <w:rPr>
                <w:sz w:val="22"/>
                <w:szCs w:val="22"/>
              </w:rPr>
              <w:t>9</w:t>
            </w:r>
            <w:r w:rsidRPr="00D35154">
              <w:rPr>
                <w:sz w:val="22"/>
                <w:szCs w:val="22"/>
              </w:rPr>
              <w:t xml:space="preserve">, </w:t>
            </w:r>
            <w:hyperlink r:id="rId7" w:history="1">
              <w:r w:rsidRPr="008813E6">
                <w:rPr>
                  <w:rStyle w:val="Hypertextovprepojenie"/>
                  <w:sz w:val="22"/>
                  <w:szCs w:val="22"/>
                </w:rPr>
                <w:t>jan.kassovic@mfsr.sk</w:t>
              </w:r>
            </w:hyperlink>
            <w:r>
              <w:rPr>
                <w:sz w:val="22"/>
                <w:szCs w:val="22"/>
              </w:rPr>
              <w:t xml:space="preserve"> </w:t>
            </w:r>
          </w:p>
          <w:p w14:paraId="3774941D" w14:textId="77777777" w:rsidR="00E60336" w:rsidRDefault="00E60336" w:rsidP="00050EEC">
            <w:pPr>
              <w:rPr>
                <w:sz w:val="22"/>
                <w:szCs w:val="22"/>
              </w:rPr>
            </w:pPr>
            <w:r w:rsidRPr="00D35154">
              <w:rPr>
                <w:sz w:val="22"/>
                <w:szCs w:val="22"/>
              </w:rPr>
              <w:t>Ministerstvo financií Slovenskej republiky</w:t>
            </w:r>
          </w:p>
          <w:p w14:paraId="0E62FF5E" w14:textId="77777777" w:rsidR="00E60336" w:rsidRPr="00D35154" w:rsidRDefault="00E60336" w:rsidP="00050EEC">
            <w:pPr>
              <w:rPr>
                <w:sz w:val="22"/>
                <w:szCs w:val="22"/>
              </w:rPr>
            </w:pPr>
          </w:p>
          <w:p w14:paraId="06EB8308" w14:textId="77777777" w:rsidR="00E60336" w:rsidRPr="00D35154" w:rsidRDefault="00E60336" w:rsidP="00050EEC">
            <w:pPr>
              <w:rPr>
                <w:i/>
                <w:sz w:val="22"/>
                <w:szCs w:val="22"/>
              </w:rPr>
            </w:pPr>
          </w:p>
        </w:tc>
      </w:tr>
      <w:tr w:rsidR="00E60336" w:rsidRPr="00D35154" w14:paraId="47A5075A" w14:textId="77777777" w:rsidTr="00050EEC">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0B7CA3D0" w14:textId="14D181B0" w:rsidR="00E60336" w:rsidRPr="00E60336" w:rsidRDefault="00E60336" w:rsidP="00E60336">
            <w:pPr>
              <w:rPr>
                <w:b/>
              </w:rPr>
            </w:pPr>
            <w:r>
              <w:rPr>
                <w:b/>
              </w:rPr>
              <w:t xml:space="preserve">12. </w:t>
            </w:r>
            <w:r w:rsidRPr="00E60336">
              <w:rPr>
                <w:b/>
              </w:rPr>
              <w:t>Zdroje</w:t>
            </w:r>
          </w:p>
        </w:tc>
      </w:tr>
      <w:tr w:rsidR="00E60336" w:rsidRPr="00D35154" w14:paraId="516F120D" w14:textId="77777777" w:rsidTr="00050EEC">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2117E8A8" w14:textId="77777777" w:rsidR="00E60336" w:rsidRPr="00D35154" w:rsidRDefault="00E60336" w:rsidP="00050EEC">
            <w:pPr>
              <w:rPr>
                <w:i/>
                <w:sz w:val="22"/>
                <w:szCs w:val="22"/>
              </w:rPr>
            </w:pPr>
            <w:r w:rsidRPr="00D35154">
              <w:rPr>
                <w:i/>
                <w:sz w:val="22"/>
                <w:szCs w:val="22"/>
              </w:rPr>
              <w:t>Uveďte zdroje (štatistiky, prieskumy, spoluprácu s odborníkmi a iné), z ktorých ste pri vypracovávaní doložky, príp. analýz vplyvov vychádzali.</w:t>
            </w:r>
          </w:p>
          <w:p w14:paraId="2D452A28" w14:textId="77777777" w:rsidR="00E60336" w:rsidRPr="00D35154" w:rsidRDefault="00E60336" w:rsidP="00050EEC">
            <w:pPr>
              <w:rPr>
                <w:b/>
                <w:sz w:val="22"/>
                <w:szCs w:val="22"/>
              </w:rPr>
            </w:pPr>
          </w:p>
        </w:tc>
      </w:tr>
      <w:tr w:rsidR="00E60336" w:rsidRPr="00D35154" w14:paraId="03E17A9B" w14:textId="77777777" w:rsidTr="00050EEC">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2D146E8A" w14:textId="7488DA08" w:rsidR="00E60336" w:rsidRPr="00E60336" w:rsidRDefault="00E60336" w:rsidP="00E60336">
            <w:pPr>
              <w:rPr>
                <w:b/>
              </w:rPr>
            </w:pPr>
            <w:r>
              <w:rPr>
                <w:b/>
              </w:rPr>
              <w:t xml:space="preserve">13. </w:t>
            </w:r>
            <w:r w:rsidRPr="00E60336">
              <w:rPr>
                <w:b/>
              </w:rPr>
              <w:t>Stanovisko Komisie pre posudzovanie vybraných vplyvov z PPK</w:t>
            </w:r>
          </w:p>
        </w:tc>
      </w:tr>
      <w:tr w:rsidR="00E60336" w:rsidRPr="00D35154" w14:paraId="7EEF9E6D" w14:textId="77777777" w:rsidTr="00050EEC">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7C2930F2" w14:textId="77777777" w:rsidR="00E60336" w:rsidRPr="00D35154" w:rsidRDefault="00E60336" w:rsidP="00050EEC">
            <w:pPr>
              <w:rPr>
                <w:i/>
                <w:sz w:val="22"/>
                <w:szCs w:val="22"/>
              </w:rPr>
            </w:pPr>
            <w:r w:rsidRPr="00D35154">
              <w:rPr>
                <w:i/>
                <w:sz w:val="22"/>
                <w:szCs w:val="22"/>
              </w:rPr>
              <w:t>Uveďte stanovisko Komisie pre posudzovanie vybraných vplyvov, ktoré Vám bolo zaslané v rámci predbežného pripomienkového konania</w:t>
            </w:r>
          </w:p>
          <w:p w14:paraId="5347AD4C" w14:textId="77777777" w:rsidR="00E60336" w:rsidRPr="002563AE" w:rsidRDefault="00E60336" w:rsidP="00050EEC">
            <w:pPr>
              <w:rPr>
                <w:sz w:val="22"/>
                <w:szCs w:val="22"/>
              </w:rPr>
            </w:pPr>
            <w:r w:rsidRPr="002563AE">
              <w:rPr>
                <w:sz w:val="22"/>
                <w:szCs w:val="22"/>
              </w:rPr>
              <w:t xml:space="preserve">Stála pracovná komisia na posudzovanie vybraných vplyvov neuplatňuje k materiálu žiadne pripomienky a odporúčania. </w:t>
            </w:r>
          </w:p>
          <w:p w14:paraId="7FD02056" w14:textId="77777777" w:rsidR="00E60336" w:rsidRPr="002563AE" w:rsidRDefault="00E60336" w:rsidP="00050EEC">
            <w:pPr>
              <w:rPr>
                <w:sz w:val="22"/>
                <w:szCs w:val="22"/>
              </w:rPr>
            </w:pPr>
            <w:r w:rsidRPr="002563AE">
              <w:rPr>
                <w:sz w:val="22"/>
                <w:szCs w:val="22"/>
              </w:rPr>
              <w:t xml:space="preserve">Stála pracovná komisia na posudzovanie vybraných vplyvov vyjadruje </w:t>
            </w:r>
            <w:r w:rsidRPr="002563AE">
              <w:rPr>
                <w:sz w:val="22"/>
                <w:szCs w:val="22"/>
                <w:u w:val="single"/>
              </w:rPr>
              <w:t>súhlasné stanovisko</w:t>
            </w:r>
            <w:r w:rsidRPr="002563AE">
              <w:rPr>
                <w:sz w:val="22"/>
                <w:szCs w:val="22"/>
              </w:rPr>
              <w:t xml:space="preserve"> </w:t>
            </w:r>
          </w:p>
          <w:p w14:paraId="6E757A60" w14:textId="77777777" w:rsidR="00E60336" w:rsidRPr="002563AE" w:rsidRDefault="00E60336" w:rsidP="00050EEC">
            <w:pPr>
              <w:rPr>
                <w:sz w:val="22"/>
                <w:szCs w:val="22"/>
              </w:rPr>
            </w:pPr>
            <w:r w:rsidRPr="002563AE">
              <w:rPr>
                <w:sz w:val="22"/>
                <w:szCs w:val="22"/>
              </w:rPr>
              <w:t>s materiálom predloženým na predbežné pripomienkové konanie.</w:t>
            </w:r>
          </w:p>
          <w:p w14:paraId="2BE4ADE3" w14:textId="77777777" w:rsidR="00E60336" w:rsidRPr="00D35154" w:rsidRDefault="00E60336" w:rsidP="00050EEC">
            <w:pPr>
              <w:tabs>
                <w:tab w:val="center" w:pos="6360"/>
              </w:tabs>
              <w:ind w:right="-2"/>
              <w:jc w:val="both"/>
              <w:rPr>
                <w:b/>
                <w:sz w:val="22"/>
                <w:szCs w:val="22"/>
              </w:rPr>
            </w:pPr>
          </w:p>
        </w:tc>
      </w:tr>
    </w:tbl>
    <w:p w14:paraId="6195F7F4" w14:textId="77777777" w:rsidR="00E60336" w:rsidRDefault="00E60336">
      <w:pPr>
        <w:jc w:val="both"/>
      </w:pPr>
    </w:p>
    <w:p w14:paraId="033A45A6" w14:textId="6D8EAC0C" w:rsidR="00E60336" w:rsidRDefault="00E60336">
      <w:pPr>
        <w:spacing w:after="160" w:line="259" w:lineRule="auto"/>
      </w:pPr>
      <w:r>
        <w:br w:type="page"/>
      </w:r>
    </w:p>
    <w:tbl>
      <w:tblPr>
        <w:tblStyle w:val="Mriekatabuky"/>
        <w:tblW w:w="0" w:type="auto"/>
        <w:tblLook w:val="04A0" w:firstRow="1" w:lastRow="0" w:firstColumn="1" w:lastColumn="0" w:noHBand="0" w:noVBand="1"/>
      </w:tblPr>
      <w:tblGrid>
        <w:gridCol w:w="9062"/>
      </w:tblGrid>
      <w:tr w:rsidR="00E60336" w:rsidRPr="006C294C" w14:paraId="4F11194C" w14:textId="77777777" w:rsidTr="00050EEC">
        <w:trPr>
          <w:trHeight w:val="567"/>
        </w:trPr>
        <w:tc>
          <w:tcPr>
            <w:tcW w:w="9212" w:type="dxa"/>
            <w:shd w:val="clear" w:color="auto" w:fill="D9D9D9" w:themeFill="background1" w:themeFillShade="D9"/>
          </w:tcPr>
          <w:p w14:paraId="26C2446A" w14:textId="77777777" w:rsidR="00E60336" w:rsidRPr="006C294C" w:rsidRDefault="00E60336" w:rsidP="00050EEC">
            <w:pPr>
              <w:jc w:val="center"/>
              <w:rPr>
                <w:b/>
              </w:rPr>
            </w:pPr>
            <w:r w:rsidRPr="006C294C">
              <w:rPr>
                <w:b/>
                <w:sz w:val="28"/>
              </w:rPr>
              <w:lastRenderedPageBreak/>
              <w:t xml:space="preserve">Analýza vplyvov na podnikateľské prostredie </w:t>
            </w:r>
          </w:p>
          <w:p w14:paraId="05C76F9A" w14:textId="77777777" w:rsidR="00E60336" w:rsidRPr="006C294C" w:rsidRDefault="00E60336" w:rsidP="00050EEC">
            <w:pPr>
              <w:jc w:val="center"/>
              <w:rPr>
                <w:b/>
              </w:rPr>
            </w:pPr>
            <w:r w:rsidRPr="006C294C">
              <w:rPr>
                <w:b/>
              </w:rPr>
              <w:t>(vrátane testu MSP)</w:t>
            </w:r>
          </w:p>
        </w:tc>
      </w:tr>
      <w:tr w:rsidR="00E60336" w:rsidRPr="006C294C" w14:paraId="6737D34F" w14:textId="77777777" w:rsidTr="00050EEC">
        <w:trPr>
          <w:trHeight w:val="567"/>
        </w:trPr>
        <w:tc>
          <w:tcPr>
            <w:tcW w:w="9212" w:type="dxa"/>
            <w:shd w:val="clear" w:color="auto" w:fill="D9D9D9" w:themeFill="background1" w:themeFillShade="D9"/>
          </w:tcPr>
          <w:p w14:paraId="5E0454D8" w14:textId="77777777" w:rsidR="00E60336" w:rsidRPr="006C294C" w:rsidRDefault="00E60336" w:rsidP="00050EEC">
            <w:pPr>
              <w:rPr>
                <w:b/>
              </w:rPr>
            </w:pPr>
            <w:r w:rsidRPr="006C294C">
              <w:rPr>
                <w:b/>
              </w:rPr>
              <w:t>Materiál bude mať vplyv s ohľadom na veľkostnú kategóriu podnikov:</w:t>
            </w:r>
          </w:p>
        </w:tc>
      </w:tr>
      <w:tr w:rsidR="00E60336" w:rsidRPr="006C294C" w14:paraId="5BAD8C5F" w14:textId="77777777" w:rsidTr="00050EEC">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390"/>
            </w:tblGrid>
            <w:tr w:rsidR="00E60336" w:rsidRPr="006C294C" w14:paraId="4302CF64" w14:textId="77777777" w:rsidTr="00050EEC">
              <w:sdt>
                <w:sdtPr>
                  <w:id w:val="43339831"/>
                  <w14:checkbox>
                    <w14:checked w14:val="0"/>
                    <w14:checkedState w14:val="2612" w14:font="MS Gothic"/>
                    <w14:uncheckedState w14:val="2610" w14:font="MS Gothic"/>
                  </w14:checkbox>
                </w:sdtPr>
                <w:sdtEndPr/>
                <w:sdtContent>
                  <w:tc>
                    <w:tcPr>
                      <w:tcW w:w="436" w:type="dxa"/>
                    </w:tcPr>
                    <w:p w14:paraId="63B26CAB" w14:textId="77777777" w:rsidR="00E60336" w:rsidRPr="006C294C" w:rsidRDefault="00E60336" w:rsidP="00050EEC">
                      <w:pPr>
                        <w:jc w:val="center"/>
                      </w:pPr>
                      <w:r w:rsidRPr="006C294C">
                        <w:rPr>
                          <w:rFonts w:ascii="MS Gothic" w:eastAsia="MS Gothic" w:hAnsi="MS Gothic" w:hint="eastAsia"/>
                        </w:rPr>
                        <w:t>☐</w:t>
                      </w:r>
                    </w:p>
                  </w:tc>
                </w:sdtContent>
              </w:sdt>
              <w:tc>
                <w:tcPr>
                  <w:tcW w:w="8545" w:type="dxa"/>
                </w:tcPr>
                <w:p w14:paraId="4EFFB656" w14:textId="77777777" w:rsidR="00E60336" w:rsidRPr="006C294C" w:rsidRDefault="00E60336" w:rsidP="00050EEC">
                  <w:pPr>
                    <w:rPr>
                      <w:b/>
                    </w:rPr>
                  </w:pPr>
                  <w:r w:rsidRPr="006C294C">
                    <w:rPr>
                      <w:b/>
                    </w:rPr>
                    <w:t xml:space="preserve">iba na MSP (0 - 249 zamestnancov) </w:t>
                  </w:r>
                </w:p>
              </w:tc>
            </w:tr>
            <w:tr w:rsidR="00E60336" w:rsidRPr="006C294C" w14:paraId="6C320B60" w14:textId="77777777" w:rsidTr="00050EEC">
              <w:sdt>
                <w:sdtPr>
                  <w:id w:val="-79453833"/>
                  <w14:checkbox>
                    <w14:checked w14:val="0"/>
                    <w14:checkedState w14:val="2612" w14:font="MS Gothic"/>
                    <w14:uncheckedState w14:val="2610" w14:font="MS Gothic"/>
                  </w14:checkbox>
                </w:sdtPr>
                <w:sdtEndPr/>
                <w:sdtContent>
                  <w:tc>
                    <w:tcPr>
                      <w:tcW w:w="436" w:type="dxa"/>
                    </w:tcPr>
                    <w:p w14:paraId="5DDB1A79" w14:textId="77777777" w:rsidR="00E60336" w:rsidRPr="006C294C" w:rsidRDefault="00E60336" w:rsidP="00050EEC">
                      <w:pPr>
                        <w:jc w:val="center"/>
                      </w:pPr>
                      <w:r>
                        <w:rPr>
                          <w:rFonts w:ascii="MS Gothic" w:eastAsia="MS Gothic" w:hAnsi="MS Gothic" w:hint="eastAsia"/>
                        </w:rPr>
                        <w:t>☐</w:t>
                      </w:r>
                    </w:p>
                  </w:tc>
                </w:sdtContent>
              </w:sdt>
              <w:tc>
                <w:tcPr>
                  <w:tcW w:w="8545" w:type="dxa"/>
                </w:tcPr>
                <w:p w14:paraId="39938A6B" w14:textId="77777777" w:rsidR="00E60336" w:rsidRPr="006C294C" w:rsidRDefault="00E60336" w:rsidP="00050EEC">
                  <w:pPr>
                    <w:rPr>
                      <w:b/>
                    </w:rPr>
                  </w:pPr>
                  <w:r w:rsidRPr="006C294C">
                    <w:rPr>
                      <w:b/>
                    </w:rPr>
                    <w:t>iba na veľké podniky (250 a viac zamestnancov)</w:t>
                  </w:r>
                </w:p>
              </w:tc>
            </w:tr>
            <w:tr w:rsidR="00E60336" w:rsidRPr="006C294C" w14:paraId="16624513" w14:textId="77777777" w:rsidTr="00050EEC">
              <w:sdt>
                <w:sdtPr>
                  <w:id w:val="1290634502"/>
                  <w14:checkbox>
                    <w14:checked w14:val="1"/>
                    <w14:checkedState w14:val="2612" w14:font="MS Gothic"/>
                    <w14:uncheckedState w14:val="2610" w14:font="MS Gothic"/>
                  </w14:checkbox>
                </w:sdtPr>
                <w:sdtEndPr/>
                <w:sdtContent>
                  <w:tc>
                    <w:tcPr>
                      <w:tcW w:w="436" w:type="dxa"/>
                    </w:tcPr>
                    <w:p w14:paraId="56EB6047" w14:textId="77777777" w:rsidR="00E60336" w:rsidRPr="006C294C" w:rsidRDefault="00E60336" w:rsidP="00050EEC">
                      <w:pPr>
                        <w:jc w:val="center"/>
                      </w:pPr>
                      <w:r>
                        <w:rPr>
                          <w:rFonts w:ascii="MS Gothic" w:eastAsia="MS Gothic" w:hAnsi="MS Gothic" w:hint="eastAsia"/>
                        </w:rPr>
                        <w:t>☒</w:t>
                      </w:r>
                    </w:p>
                  </w:tc>
                </w:sdtContent>
              </w:sdt>
              <w:tc>
                <w:tcPr>
                  <w:tcW w:w="8545" w:type="dxa"/>
                </w:tcPr>
                <w:p w14:paraId="1ED96E1E" w14:textId="77777777" w:rsidR="00E60336" w:rsidRPr="006C294C" w:rsidRDefault="00E60336" w:rsidP="00050EEC">
                  <w:r w:rsidRPr="006C294C">
                    <w:rPr>
                      <w:b/>
                    </w:rPr>
                    <w:t>na všetky kategórie podnikov</w:t>
                  </w:r>
                </w:p>
              </w:tc>
            </w:tr>
          </w:tbl>
          <w:p w14:paraId="5300AB04" w14:textId="77777777" w:rsidR="00E60336" w:rsidRPr="006C294C" w:rsidRDefault="00E60336" w:rsidP="00050EEC">
            <w:pPr>
              <w:rPr>
                <w:b/>
              </w:rPr>
            </w:pPr>
          </w:p>
        </w:tc>
      </w:tr>
      <w:tr w:rsidR="00E60336" w:rsidRPr="006C294C" w14:paraId="4E1FEF0C" w14:textId="77777777" w:rsidTr="00050EEC">
        <w:tc>
          <w:tcPr>
            <w:tcW w:w="9212" w:type="dxa"/>
            <w:shd w:val="clear" w:color="auto" w:fill="D9D9D9" w:themeFill="background1" w:themeFillShade="D9"/>
          </w:tcPr>
          <w:p w14:paraId="2BEF0323" w14:textId="77777777" w:rsidR="00E60336" w:rsidRPr="006C294C" w:rsidRDefault="00E60336" w:rsidP="00050EEC">
            <w:pPr>
              <w:rPr>
                <w:b/>
              </w:rPr>
            </w:pPr>
            <w:r w:rsidRPr="006C294C">
              <w:rPr>
                <w:b/>
              </w:rPr>
              <w:t>3.1 Dotknuté podnikateľské subjekty</w:t>
            </w:r>
          </w:p>
          <w:p w14:paraId="0B581B67" w14:textId="77777777" w:rsidR="00E60336" w:rsidRPr="006C294C" w:rsidRDefault="00E60336" w:rsidP="00050EEC">
            <w:pPr>
              <w:ind w:left="284"/>
              <w:rPr>
                <w:b/>
              </w:rPr>
            </w:pPr>
            <w:r w:rsidRPr="006C294C">
              <w:t xml:space="preserve"> - </w:t>
            </w:r>
            <w:r w:rsidRPr="006C294C">
              <w:rPr>
                <w:b/>
              </w:rPr>
              <w:t>z toho MSP</w:t>
            </w:r>
          </w:p>
        </w:tc>
      </w:tr>
      <w:tr w:rsidR="00E60336" w:rsidRPr="006C294C" w14:paraId="7032F55D" w14:textId="77777777" w:rsidTr="00050EEC">
        <w:tc>
          <w:tcPr>
            <w:tcW w:w="9212" w:type="dxa"/>
            <w:tcBorders>
              <w:bottom w:val="single" w:sz="4" w:space="0" w:color="auto"/>
            </w:tcBorders>
          </w:tcPr>
          <w:p w14:paraId="3A2274C7" w14:textId="77777777" w:rsidR="00E60336" w:rsidRPr="006C294C" w:rsidRDefault="00E60336" w:rsidP="00050EEC">
            <w:pPr>
              <w:rPr>
                <w:i/>
              </w:rPr>
            </w:pPr>
            <w:r w:rsidRPr="006C294C">
              <w:rPr>
                <w:i/>
              </w:rPr>
              <w:t>Uveďte, aké podnikateľské subjekty budú predkladaným návrhom ovplyvnené.</w:t>
            </w:r>
          </w:p>
          <w:p w14:paraId="56E6D2D4" w14:textId="77777777" w:rsidR="00E60336" w:rsidRPr="006C294C" w:rsidRDefault="00E60336" w:rsidP="00050EEC">
            <w:pPr>
              <w:rPr>
                <w:i/>
              </w:rPr>
            </w:pPr>
            <w:r w:rsidRPr="006C294C">
              <w:rPr>
                <w:i/>
              </w:rPr>
              <w:t>Aký je ich počet?</w:t>
            </w:r>
          </w:p>
        </w:tc>
      </w:tr>
      <w:tr w:rsidR="00E60336" w:rsidRPr="006C294C" w14:paraId="07AA4EF4" w14:textId="77777777" w:rsidTr="00050EEC">
        <w:trPr>
          <w:trHeight w:val="1090"/>
        </w:trPr>
        <w:tc>
          <w:tcPr>
            <w:tcW w:w="9212" w:type="dxa"/>
            <w:tcBorders>
              <w:bottom w:val="single" w:sz="4" w:space="0" w:color="auto"/>
            </w:tcBorders>
          </w:tcPr>
          <w:p w14:paraId="6DFBF5A1" w14:textId="77777777" w:rsidR="00E60336" w:rsidRPr="006C294C" w:rsidRDefault="00E60336" w:rsidP="00050EEC">
            <w:pPr>
              <w:rPr>
                <w:i/>
              </w:rPr>
            </w:pPr>
          </w:p>
          <w:p w14:paraId="760B23A3" w14:textId="77777777" w:rsidR="00E60336" w:rsidRPr="006C294C" w:rsidRDefault="00E60336" w:rsidP="00050EEC">
            <w:pPr>
              <w:rPr>
                <w:sz w:val="22"/>
                <w:szCs w:val="22"/>
              </w:rPr>
            </w:pPr>
            <w:r w:rsidRPr="006C294C">
              <w:rPr>
                <w:sz w:val="22"/>
                <w:szCs w:val="22"/>
              </w:rPr>
              <w:t>banky (</w:t>
            </w:r>
            <w:r>
              <w:rPr>
                <w:sz w:val="22"/>
                <w:szCs w:val="22"/>
              </w:rPr>
              <w:t>8</w:t>
            </w:r>
            <w:r w:rsidRPr="006C294C">
              <w:rPr>
                <w:sz w:val="22"/>
                <w:szCs w:val="22"/>
              </w:rPr>
              <w:t>),</w:t>
            </w:r>
          </w:p>
          <w:p w14:paraId="246311B0" w14:textId="77777777" w:rsidR="00E60336" w:rsidRPr="003B5113" w:rsidRDefault="00E60336" w:rsidP="00050EEC">
            <w:pPr>
              <w:rPr>
                <w:sz w:val="22"/>
                <w:szCs w:val="22"/>
              </w:rPr>
            </w:pPr>
            <w:r w:rsidRPr="006C294C">
              <w:rPr>
                <w:sz w:val="22"/>
                <w:szCs w:val="22"/>
              </w:rPr>
              <w:t>obchodníci s cennými papiermi (</w:t>
            </w:r>
            <w:r>
              <w:rPr>
                <w:sz w:val="22"/>
                <w:szCs w:val="22"/>
              </w:rPr>
              <w:t>24</w:t>
            </w:r>
            <w:r w:rsidRPr="006C294C">
              <w:rPr>
                <w:sz w:val="22"/>
                <w:szCs w:val="22"/>
              </w:rPr>
              <w:t>)</w:t>
            </w:r>
            <w:r>
              <w:rPr>
                <w:sz w:val="22"/>
                <w:szCs w:val="22"/>
              </w:rPr>
              <w:t>.</w:t>
            </w:r>
          </w:p>
        </w:tc>
      </w:tr>
      <w:tr w:rsidR="00E60336" w:rsidRPr="006C294C" w14:paraId="0E061503" w14:textId="77777777" w:rsidTr="00050EEC">
        <w:trPr>
          <w:trHeight w:val="339"/>
        </w:trPr>
        <w:tc>
          <w:tcPr>
            <w:tcW w:w="9212" w:type="dxa"/>
            <w:tcBorders>
              <w:bottom w:val="single" w:sz="4" w:space="0" w:color="auto"/>
            </w:tcBorders>
            <w:shd w:val="clear" w:color="auto" w:fill="D9D9D9" w:themeFill="background1" w:themeFillShade="D9"/>
          </w:tcPr>
          <w:p w14:paraId="2BA39B18" w14:textId="77777777" w:rsidR="00E60336" w:rsidRPr="006C294C" w:rsidRDefault="00E60336" w:rsidP="00050EEC">
            <w:pPr>
              <w:rPr>
                <w:b/>
              </w:rPr>
            </w:pPr>
            <w:r w:rsidRPr="006C294C">
              <w:rPr>
                <w:b/>
              </w:rPr>
              <w:t>3.2 Vyhodnotenie konzultácií</w:t>
            </w:r>
          </w:p>
          <w:p w14:paraId="3E81A0E4" w14:textId="77777777" w:rsidR="00E60336" w:rsidRPr="006C294C" w:rsidRDefault="00E60336" w:rsidP="00050EEC">
            <w:pPr>
              <w:rPr>
                <w:b/>
              </w:rPr>
            </w:pPr>
            <w:r w:rsidRPr="006C294C">
              <w:t xml:space="preserve">       - </w:t>
            </w:r>
            <w:r w:rsidRPr="006C294C">
              <w:rPr>
                <w:b/>
              </w:rPr>
              <w:t>z toho MSP</w:t>
            </w:r>
          </w:p>
        </w:tc>
      </w:tr>
      <w:tr w:rsidR="00E60336" w:rsidRPr="006C294C" w14:paraId="15A93730" w14:textId="77777777" w:rsidTr="00050EEC">
        <w:trPr>
          <w:trHeight w:val="557"/>
        </w:trPr>
        <w:tc>
          <w:tcPr>
            <w:tcW w:w="9212" w:type="dxa"/>
            <w:tcBorders>
              <w:bottom w:val="single" w:sz="4" w:space="0" w:color="auto"/>
            </w:tcBorders>
          </w:tcPr>
          <w:p w14:paraId="1A60C0D3" w14:textId="77777777" w:rsidR="00E60336" w:rsidRPr="006C294C" w:rsidRDefault="00E60336" w:rsidP="00050EEC">
            <w:pPr>
              <w:rPr>
                <w:i/>
              </w:rPr>
            </w:pPr>
            <w:r w:rsidRPr="006C294C">
              <w:rPr>
                <w:i/>
              </w:rPr>
              <w:t>Uveďte, akou formou (verejné alebo cielené konzultácie a prečo) a s kým bol návrh konzultovaný.</w:t>
            </w:r>
          </w:p>
          <w:p w14:paraId="0CD222FE" w14:textId="77777777" w:rsidR="00E60336" w:rsidRPr="006C294C" w:rsidRDefault="00E60336" w:rsidP="00050EEC">
            <w:pPr>
              <w:rPr>
                <w:i/>
              </w:rPr>
            </w:pPr>
            <w:r w:rsidRPr="006C294C">
              <w:rPr>
                <w:i/>
              </w:rPr>
              <w:t>Ako dlho trvali konzultácie?</w:t>
            </w:r>
          </w:p>
          <w:p w14:paraId="7495108F" w14:textId="77777777" w:rsidR="00E60336" w:rsidRPr="006C294C" w:rsidRDefault="00E60336" w:rsidP="00050EEC">
            <w:pPr>
              <w:rPr>
                <w:i/>
              </w:rPr>
            </w:pPr>
            <w:r w:rsidRPr="006C294C">
              <w:rPr>
                <w:i/>
              </w:rPr>
              <w:t xml:space="preserve">Uveďte hlavné body konzultácií a výsledky konzultácií. </w:t>
            </w:r>
          </w:p>
        </w:tc>
      </w:tr>
      <w:tr w:rsidR="00E60336" w:rsidRPr="006C294C" w14:paraId="5EF7FE10" w14:textId="77777777" w:rsidTr="00050EEC">
        <w:trPr>
          <w:trHeight w:val="1440"/>
        </w:trPr>
        <w:tc>
          <w:tcPr>
            <w:tcW w:w="9212" w:type="dxa"/>
            <w:tcBorders>
              <w:bottom w:val="single" w:sz="4" w:space="0" w:color="auto"/>
            </w:tcBorders>
          </w:tcPr>
          <w:p w14:paraId="17B6DC05" w14:textId="77777777" w:rsidR="00E60336" w:rsidRPr="006C294C" w:rsidRDefault="00E60336" w:rsidP="00050EEC">
            <w:pPr>
              <w:jc w:val="both"/>
              <w:rPr>
                <w:i/>
                <w:sz w:val="22"/>
                <w:szCs w:val="22"/>
              </w:rPr>
            </w:pPr>
          </w:p>
          <w:p w14:paraId="5D236C67" w14:textId="77777777" w:rsidR="00E60336" w:rsidRPr="006C294C" w:rsidRDefault="00E60336" w:rsidP="00050EEC">
            <w:pPr>
              <w:jc w:val="both"/>
              <w:rPr>
                <w:i/>
                <w:sz w:val="22"/>
                <w:szCs w:val="22"/>
              </w:rPr>
            </w:pPr>
          </w:p>
          <w:p w14:paraId="33029B49" w14:textId="77777777" w:rsidR="00E60336" w:rsidRPr="006C294C" w:rsidRDefault="00E60336" w:rsidP="00050EEC">
            <w:pPr>
              <w:jc w:val="both"/>
              <w:rPr>
                <w:sz w:val="22"/>
                <w:szCs w:val="22"/>
              </w:rPr>
            </w:pPr>
            <w:r w:rsidRPr="006C294C">
              <w:rPr>
                <w:sz w:val="22"/>
                <w:szCs w:val="22"/>
              </w:rPr>
              <w:t xml:space="preserve">Predkladateľ </w:t>
            </w:r>
            <w:r>
              <w:rPr>
                <w:sz w:val="22"/>
                <w:szCs w:val="22"/>
              </w:rPr>
              <w:t>zverejnil predbežnú informáciu</w:t>
            </w:r>
            <w:r w:rsidRPr="006C294C">
              <w:rPr>
                <w:sz w:val="22"/>
                <w:szCs w:val="22"/>
              </w:rPr>
              <w:t xml:space="preserve"> v súlade s bodm</w:t>
            </w:r>
            <w:r>
              <w:rPr>
                <w:sz w:val="22"/>
                <w:szCs w:val="22"/>
              </w:rPr>
              <w:t>i</w:t>
            </w:r>
            <w:r w:rsidRPr="006C294C">
              <w:rPr>
                <w:sz w:val="22"/>
                <w:szCs w:val="22"/>
              </w:rPr>
              <w:t xml:space="preserve"> 5.</w:t>
            </w:r>
            <w:r>
              <w:rPr>
                <w:sz w:val="22"/>
                <w:szCs w:val="22"/>
              </w:rPr>
              <w:t>7</w:t>
            </w:r>
            <w:r w:rsidRPr="006C294C">
              <w:rPr>
                <w:sz w:val="22"/>
                <w:szCs w:val="22"/>
              </w:rPr>
              <w:t>.</w:t>
            </w:r>
            <w:r>
              <w:rPr>
                <w:sz w:val="22"/>
                <w:szCs w:val="22"/>
              </w:rPr>
              <w:t xml:space="preserve"> a 5.8.</w:t>
            </w:r>
            <w:r w:rsidRPr="006C294C">
              <w:rPr>
                <w:sz w:val="22"/>
                <w:szCs w:val="22"/>
              </w:rPr>
              <w:t xml:space="preserve"> Jednotnej metodiky na posudzovanie vybraných vplyvov o</w:t>
            </w:r>
            <w:r>
              <w:rPr>
                <w:sz w:val="22"/>
                <w:szCs w:val="22"/>
              </w:rPr>
              <w:t xml:space="preserve"> začatí </w:t>
            </w:r>
            <w:r w:rsidRPr="006C294C">
              <w:rPr>
                <w:sz w:val="22"/>
                <w:szCs w:val="22"/>
              </w:rPr>
              <w:t>konzultáci</w:t>
            </w:r>
            <w:r>
              <w:rPr>
                <w:sz w:val="22"/>
                <w:szCs w:val="22"/>
              </w:rPr>
              <w:t>e</w:t>
            </w:r>
            <w:r w:rsidRPr="006C294C">
              <w:rPr>
                <w:sz w:val="22"/>
                <w:szCs w:val="22"/>
              </w:rPr>
              <w:t xml:space="preserve"> </w:t>
            </w:r>
            <w:r>
              <w:rPr>
                <w:sz w:val="22"/>
                <w:szCs w:val="22"/>
              </w:rPr>
              <w:t xml:space="preserve">k </w:t>
            </w:r>
            <w:r w:rsidRPr="006C294C">
              <w:rPr>
                <w:sz w:val="22"/>
                <w:szCs w:val="22"/>
              </w:rPr>
              <w:t>legislatívne</w:t>
            </w:r>
            <w:r>
              <w:rPr>
                <w:sz w:val="22"/>
                <w:szCs w:val="22"/>
              </w:rPr>
              <w:t>mu</w:t>
            </w:r>
            <w:r w:rsidRPr="006C294C">
              <w:rPr>
                <w:sz w:val="22"/>
                <w:szCs w:val="22"/>
              </w:rPr>
              <w:t xml:space="preserve"> </w:t>
            </w:r>
            <w:r>
              <w:rPr>
                <w:sz w:val="22"/>
                <w:szCs w:val="22"/>
              </w:rPr>
              <w:t>n</w:t>
            </w:r>
            <w:r w:rsidRPr="003E1F87">
              <w:rPr>
                <w:sz w:val="22"/>
                <w:szCs w:val="22"/>
              </w:rPr>
              <w:t>ávrh</w:t>
            </w:r>
            <w:r>
              <w:rPr>
                <w:sz w:val="22"/>
                <w:szCs w:val="22"/>
              </w:rPr>
              <w:t>u</w:t>
            </w:r>
            <w:r w:rsidRPr="003E1F87">
              <w:rPr>
                <w:sz w:val="22"/>
                <w:szCs w:val="22"/>
              </w:rPr>
              <w:t xml:space="preserve"> zákona, ktorým sa mení a dopĺňa zákon č. 566/2001 Z. z. o cenných papieroch a investičných službách a o zmene a doplnení niektorých zákonov (zákon o cenných papieroch) v znení neskorších predpisov a ktorým sa menia a dopĺňajú niektoré zákony</w:t>
            </w:r>
            <w:r w:rsidRPr="006C294C">
              <w:rPr>
                <w:sz w:val="22"/>
                <w:szCs w:val="22"/>
              </w:rPr>
              <w:t>, ku ktorému bola zverejnená predbežná informácia pod č. PI/2020/</w:t>
            </w:r>
            <w:r>
              <w:rPr>
                <w:sz w:val="22"/>
                <w:szCs w:val="22"/>
              </w:rPr>
              <w:t>175</w:t>
            </w:r>
            <w:r w:rsidRPr="006C294C">
              <w:rPr>
                <w:sz w:val="22"/>
                <w:szCs w:val="22"/>
              </w:rPr>
              <w:t xml:space="preserve">, v rámci doby trvania konzultácie, ktorú sme navrhli od </w:t>
            </w:r>
            <w:r>
              <w:rPr>
                <w:sz w:val="22"/>
                <w:szCs w:val="22"/>
              </w:rPr>
              <w:t>17</w:t>
            </w:r>
            <w:r w:rsidRPr="006C294C">
              <w:rPr>
                <w:sz w:val="22"/>
                <w:szCs w:val="22"/>
              </w:rPr>
              <w:t xml:space="preserve">. </w:t>
            </w:r>
            <w:r>
              <w:rPr>
                <w:sz w:val="22"/>
                <w:szCs w:val="22"/>
              </w:rPr>
              <w:t>augusta</w:t>
            </w:r>
            <w:r w:rsidRPr="006C294C">
              <w:rPr>
                <w:sz w:val="22"/>
                <w:szCs w:val="22"/>
              </w:rPr>
              <w:t xml:space="preserve"> 2020 do </w:t>
            </w:r>
            <w:r>
              <w:rPr>
                <w:sz w:val="22"/>
                <w:szCs w:val="22"/>
              </w:rPr>
              <w:t>28</w:t>
            </w:r>
            <w:r w:rsidRPr="006C294C">
              <w:rPr>
                <w:sz w:val="22"/>
                <w:szCs w:val="22"/>
              </w:rPr>
              <w:t xml:space="preserve">. </w:t>
            </w:r>
            <w:r>
              <w:rPr>
                <w:sz w:val="22"/>
                <w:szCs w:val="22"/>
              </w:rPr>
              <w:t>augusta</w:t>
            </w:r>
            <w:r w:rsidRPr="006C294C">
              <w:rPr>
                <w:sz w:val="22"/>
                <w:szCs w:val="22"/>
              </w:rPr>
              <w:t xml:space="preserve"> 2020. </w:t>
            </w:r>
          </w:p>
          <w:p w14:paraId="060C20A1" w14:textId="77777777" w:rsidR="00E60336" w:rsidRPr="006C294C" w:rsidRDefault="00E60336" w:rsidP="00050EEC">
            <w:pPr>
              <w:jc w:val="both"/>
              <w:rPr>
                <w:i/>
                <w:sz w:val="22"/>
                <w:szCs w:val="22"/>
              </w:rPr>
            </w:pPr>
            <w:r w:rsidRPr="006C294C">
              <w:rPr>
                <w:sz w:val="22"/>
                <w:szCs w:val="22"/>
              </w:rPr>
              <w:t>K predbežnej informácii sa nevyjadril žiadny subjekt, ani nikto nenamietal navrhovanú lehotu, ani neprejavil záujem o konzultáciu.</w:t>
            </w:r>
          </w:p>
          <w:p w14:paraId="1A4C838D" w14:textId="77777777" w:rsidR="00E60336" w:rsidRPr="006C294C" w:rsidRDefault="00E60336" w:rsidP="00050EEC">
            <w:pPr>
              <w:jc w:val="both"/>
              <w:rPr>
                <w:i/>
              </w:rPr>
            </w:pPr>
          </w:p>
          <w:p w14:paraId="045F8182" w14:textId="77777777" w:rsidR="00E60336" w:rsidRPr="006C294C" w:rsidRDefault="00E60336" w:rsidP="00050EEC">
            <w:pPr>
              <w:rPr>
                <w:i/>
              </w:rPr>
            </w:pPr>
          </w:p>
        </w:tc>
      </w:tr>
      <w:tr w:rsidR="00E60336" w:rsidRPr="006C294C" w14:paraId="3745114A" w14:textId="77777777" w:rsidTr="00050EEC">
        <w:tc>
          <w:tcPr>
            <w:tcW w:w="9212" w:type="dxa"/>
            <w:shd w:val="clear" w:color="auto" w:fill="D9D9D9" w:themeFill="background1" w:themeFillShade="D9"/>
          </w:tcPr>
          <w:p w14:paraId="6ADAA199" w14:textId="77777777" w:rsidR="00E60336" w:rsidRPr="006C294C" w:rsidRDefault="00E60336" w:rsidP="00050EEC">
            <w:pPr>
              <w:rPr>
                <w:b/>
              </w:rPr>
            </w:pPr>
            <w:r w:rsidRPr="006C294C">
              <w:rPr>
                <w:b/>
              </w:rPr>
              <w:t>3.3 Náklady regulácie</w:t>
            </w:r>
          </w:p>
          <w:p w14:paraId="6076591A" w14:textId="77777777" w:rsidR="00E60336" w:rsidRPr="006C294C" w:rsidRDefault="00E60336" w:rsidP="00050EEC">
            <w:pPr>
              <w:rPr>
                <w:b/>
              </w:rPr>
            </w:pPr>
            <w:r w:rsidRPr="006C294C">
              <w:t xml:space="preserve">      - </w:t>
            </w:r>
            <w:r w:rsidRPr="006C294C">
              <w:rPr>
                <w:b/>
              </w:rPr>
              <w:t>z toho MSP</w:t>
            </w:r>
          </w:p>
        </w:tc>
      </w:tr>
      <w:tr w:rsidR="00E60336" w:rsidRPr="006C294C" w14:paraId="029E20FF" w14:textId="77777777" w:rsidTr="00050EEC">
        <w:tc>
          <w:tcPr>
            <w:tcW w:w="9212" w:type="dxa"/>
            <w:tcBorders>
              <w:bottom w:val="single" w:sz="4" w:space="0" w:color="auto"/>
            </w:tcBorders>
          </w:tcPr>
          <w:p w14:paraId="6FB50B5D" w14:textId="77777777" w:rsidR="00E60336" w:rsidRPr="006C294C" w:rsidRDefault="00E60336" w:rsidP="00050EEC">
            <w:pPr>
              <w:rPr>
                <w:b/>
                <w:i/>
              </w:rPr>
            </w:pPr>
            <w:r w:rsidRPr="006C294C">
              <w:rPr>
                <w:b/>
                <w:i/>
              </w:rPr>
              <w:t>3.3.1 Priame finančné náklady</w:t>
            </w:r>
          </w:p>
          <w:p w14:paraId="0F81D391" w14:textId="77777777" w:rsidR="00E60336" w:rsidRPr="006C294C" w:rsidRDefault="00E60336" w:rsidP="00050EEC">
            <w:pPr>
              <w:rPr>
                <w:i/>
              </w:rPr>
            </w:pPr>
            <w:r w:rsidRPr="006C294C">
              <w:rPr>
                <w:i/>
              </w:rPr>
              <w:t xml:space="preserve">Dochádza k zvýšeniu/zníženiu priamych finančných nákladov (poplatky, odvody, dane clá...)? Ak áno, popíšte a vyčíslite ich. Uveďte tiež spôsob ich výpočtu. </w:t>
            </w:r>
          </w:p>
        </w:tc>
      </w:tr>
      <w:tr w:rsidR="00E60336" w:rsidRPr="006C294C" w14:paraId="33FBD27D" w14:textId="77777777" w:rsidTr="00050EEC">
        <w:tc>
          <w:tcPr>
            <w:tcW w:w="9212" w:type="dxa"/>
            <w:tcBorders>
              <w:bottom w:val="single" w:sz="4" w:space="0" w:color="auto"/>
            </w:tcBorders>
          </w:tcPr>
          <w:p w14:paraId="07647669" w14:textId="77777777" w:rsidR="00E60336" w:rsidRPr="006C294C" w:rsidRDefault="00E60336" w:rsidP="00050EEC">
            <w:pPr>
              <w:rPr>
                <w:b/>
                <w:i/>
              </w:rPr>
            </w:pPr>
          </w:p>
          <w:p w14:paraId="341F4E39" w14:textId="77777777" w:rsidR="00E60336" w:rsidRDefault="00E60336" w:rsidP="00050EEC">
            <w:pPr>
              <w:rPr>
                <w:sz w:val="22"/>
                <w:szCs w:val="22"/>
              </w:rPr>
            </w:pPr>
            <w:r>
              <w:rPr>
                <w:sz w:val="22"/>
                <w:szCs w:val="22"/>
              </w:rPr>
              <w:t>Z hľadiska negatívnych vplyvov na podnikateľské prostredie predpokladáme, že zavedenie nových pravidiel vyplývajúcich z návrhu zákona si vyžiada zvýšenie nákladov na počiatočný kapitál podľa príslušnej kategorizácie jednotlivých obchodníkov s cennými papiermi</w:t>
            </w:r>
            <w:r w:rsidRPr="00DC6D66">
              <w:rPr>
                <w:sz w:val="22"/>
                <w:szCs w:val="22"/>
              </w:rPr>
              <w:t xml:space="preserve"> </w:t>
            </w:r>
            <w:r>
              <w:rPr>
                <w:sz w:val="22"/>
                <w:szCs w:val="22"/>
              </w:rPr>
              <w:t>a to nasledovne:</w:t>
            </w:r>
          </w:p>
          <w:p w14:paraId="3008B465" w14:textId="77777777" w:rsidR="00E60336" w:rsidRDefault="00E60336" w:rsidP="00E60336">
            <w:pPr>
              <w:pStyle w:val="Odsekzoznamu"/>
              <w:numPr>
                <w:ilvl w:val="0"/>
                <w:numId w:val="5"/>
              </w:numPr>
              <w:spacing w:after="0" w:line="240" w:lineRule="auto"/>
            </w:pPr>
            <w:r>
              <w:t>obchodník s cennými papiermi</w:t>
            </w:r>
            <w:r w:rsidRPr="005C4212">
              <w:t xml:space="preserve"> s</w:t>
            </w:r>
            <w:r>
              <w:t xml:space="preserve"> výškou </w:t>
            </w:r>
            <w:r w:rsidRPr="005C4212">
              <w:t>počiatočn</w:t>
            </w:r>
            <w:r>
              <w:t>ého</w:t>
            </w:r>
            <w:r w:rsidRPr="005C4212">
              <w:t xml:space="preserve"> kapitál</w:t>
            </w:r>
            <w:r>
              <w:t>u</w:t>
            </w:r>
            <w:r w:rsidRPr="005C4212">
              <w:t xml:space="preserve"> 730 000 eur</w:t>
            </w:r>
            <w:r>
              <w:t xml:space="preserve"> sa navrhuje výška počiatočného kapitálu 750 000 eur – zvýšenie nákladov o 20 000 eur</w:t>
            </w:r>
          </w:p>
          <w:p w14:paraId="58FD4D29" w14:textId="77777777" w:rsidR="00E60336" w:rsidRDefault="00E60336" w:rsidP="00E60336">
            <w:pPr>
              <w:pStyle w:val="Odsekzoznamu"/>
              <w:numPr>
                <w:ilvl w:val="0"/>
                <w:numId w:val="5"/>
              </w:numPr>
              <w:spacing w:after="0" w:line="240" w:lineRule="auto"/>
            </w:pPr>
            <w:r w:rsidRPr="001A71A8">
              <w:t>obchodník s cennými papiermi</w:t>
            </w:r>
            <w:r>
              <w:t xml:space="preserve"> s výškou počiatočného kapitálu 50 000 eur sa navrhuje výška počiatočného kapitálu 75 000 eur – zvýšenie nákladov o 25 000 eur</w:t>
            </w:r>
          </w:p>
          <w:p w14:paraId="08860483" w14:textId="77777777" w:rsidR="00E60336" w:rsidRDefault="00E60336" w:rsidP="00E60336">
            <w:pPr>
              <w:pStyle w:val="Odsekzoznamu"/>
              <w:numPr>
                <w:ilvl w:val="0"/>
                <w:numId w:val="5"/>
              </w:numPr>
              <w:spacing w:after="0" w:line="240" w:lineRule="auto"/>
            </w:pPr>
            <w:r w:rsidRPr="001A71A8">
              <w:t xml:space="preserve">obchodník s cennými papiermi </w:t>
            </w:r>
            <w:r>
              <w:t>s výškou počiatočného kapitálu 125 000 sa navrhuje výška počiatočného kapitálu 150 000 eur – zvýšenie nákladov o 25 000 eur.</w:t>
            </w:r>
          </w:p>
          <w:p w14:paraId="1867D2E2" w14:textId="77777777" w:rsidR="00E60336" w:rsidRDefault="00E60336" w:rsidP="00050EEC">
            <w:pPr>
              <w:rPr>
                <w:sz w:val="22"/>
                <w:szCs w:val="22"/>
              </w:rPr>
            </w:pPr>
          </w:p>
          <w:p w14:paraId="6211F1E7" w14:textId="77777777" w:rsidR="00E60336" w:rsidRPr="003B5113" w:rsidRDefault="00E60336" w:rsidP="00050EEC">
            <w:pPr>
              <w:rPr>
                <w:sz w:val="22"/>
                <w:szCs w:val="22"/>
              </w:rPr>
            </w:pPr>
            <w:r>
              <w:rPr>
                <w:sz w:val="22"/>
                <w:szCs w:val="22"/>
              </w:rPr>
              <w:lastRenderedPageBreak/>
              <w:t>Z uvedeného počtu obchodníkov s cennými papiermi sa na všetkých vzťahuje zvýšenie o 25 000 eur.</w:t>
            </w:r>
          </w:p>
          <w:p w14:paraId="657A27E5" w14:textId="77777777" w:rsidR="00E60336" w:rsidRDefault="00E60336" w:rsidP="00050EEC">
            <w:pPr>
              <w:rPr>
                <w:sz w:val="22"/>
                <w:szCs w:val="22"/>
              </w:rPr>
            </w:pPr>
          </w:p>
          <w:p w14:paraId="1A597B7F" w14:textId="77777777" w:rsidR="00E60336" w:rsidRPr="006C294C" w:rsidRDefault="00E60336" w:rsidP="00050EEC">
            <w:pPr>
              <w:rPr>
                <w:sz w:val="22"/>
                <w:szCs w:val="22"/>
              </w:rPr>
            </w:pPr>
            <w:r>
              <w:rPr>
                <w:sz w:val="22"/>
                <w:szCs w:val="22"/>
              </w:rPr>
              <w:t>V tejto súvislosti uvádzame, že výška počiatočného kapitálu sa dlhodobo nemenila a iba reflektuje súčasnú situáciu na trhu.</w:t>
            </w:r>
          </w:p>
          <w:p w14:paraId="75E381EA" w14:textId="77777777" w:rsidR="00E60336" w:rsidRPr="006C294C" w:rsidRDefault="00E60336" w:rsidP="00050EEC">
            <w:pPr>
              <w:rPr>
                <w:b/>
                <w:i/>
              </w:rPr>
            </w:pPr>
          </w:p>
        </w:tc>
      </w:tr>
      <w:tr w:rsidR="00E60336" w:rsidRPr="006C294C" w14:paraId="34AF9186" w14:textId="77777777" w:rsidTr="00050EEC">
        <w:tc>
          <w:tcPr>
            <w:tcW w:w="9212" w:type="dxa"/>
            <w:tcBorders>
              <w:bottom w:val="single" w:sz="4" w:space="0" w:color="auto"/>
            </w:tcBorders>
          </w:tcPr>
          <w:p w14:paraId="5EC6CF37" w14:textId="77777777" w:rsidR="00E60336" w:rsidRPr="006C294C" w:rsidRDefault="00E60336" w:rsidP="00050EEC">
            <w:pPr>
              <w:rPr>
                <w:b/>
                <w:i/>
              </w:rPr>
            </w:pPr>
            <w:r w:rsidRPr="006C294C">
              <w:rPr>
                <w:b/>
                <w:i/>
              </w:rPr>
              <w:lastRenderedPageBreak/>
              <w:t>3.3.2 Nepriame finančné náklady</w:t>
            </w:r>
          </w:p>
          <w:p w14:paraId="0C08479A" w14:textId="77777777" w:rsidR="00E60336" w:rsidRPr="006C294C" w:rsidRDefault="00E60336" w:rsidP="00050EEC">
            <w:pPr>
              <w:rPr>
                <w:i/>
              </w:rPr>
            </w:pPr>
            <w:r w:rsidRPr="006C294C">
              <w:rPr>
                <w:i/>
              </w:rPr>
              <w:t>Vyžaduje si predkladaný návrh dodatočné náklady na nákup tovarov alebo služieb? Zvyšuje predkladaný návrh náklady súvisiace so zamestnávaním? Ak áno, popíšte a vyčíslite ich. Uveďte tiež spôsob ich výpočtu.</w:t>
            </w:r>
          </w:p>
        </w:tc>
      </w:tr>
      <w:tr w:rsidR="00E60336" w:rsidRPr="006C294C" w14:paraId="1B8A3472" w14:textId="77777777" w:rsidTr="00050EEC">
        <w:tc>
          <w:tcPr>
            <w:tcW w:w="9212" w:type="dxa"/>
            <w:tcBorders>
              <w:bottom w:val="single" w:sz="4" w:space="0" w:color="auto"/>
            </w:tcBorders>
          </w:tcPr>
          <w:p w14:paraId="4E6E8C75" w14:textId="77777777" w:rsidR="00E60336" w:rsidRPr="006C294C" w:rsidRDefault="00E60336" w:rsidP="00050EEC">
            <w:pPr>
              <w:rPr>
                <w:b/>
                <w:i/>
              </w:rPr>
            </w:pPr>
          </w:p>
          <w:p w14:paraId="020F48FD" w14:textId="77777777" w:rsidR="00E60336" w:rsidRPr="006C294C" w:rsidRDefault="00E60336" w:rsidP="00050EEC">
            <w:pPr>
              <w:jc w:val="both"/>
              <w:rPr>
                <w:sz w:val="22"/>
                <w:szCs w:val="22"/>
              </w:rPr>
            </w:pPr>
            <w:r w:rsidRPr="001A71A8">
              <w:rPr>
                <w:sz w:val="22"/>
                <w:szCs w:val="22"/>
              </w:rPr>
              <w:t>Z hľadiska pozitívnych vplyvov na podnikateľské prostredie dochádza k zníženiu požiadaviek na vlastné zdroje a ruší sa požiadavka na udržiavanie tlmiacej rezervy. Vzhľadom na skutočnosť, že sa zavádza kategorizácia obchodníkov s cennými papiermi, nie je možné určiť, do ktorej kategórie budú jednotlivé subjekty spadať, nakoľko ide aj o rozhodnutie samotného subjektu v závislosti od charak</w:t>
            </w:r>
            <w:r>
              <w:rPr>
                <w:sz w:val="22"/>
                <w:szCs w:val="22"/>
              </w:rPr>
              <w:t xml:space="preserve">teru a rozsahu svojich činností, a z uvedeného dôvodu nie je možné kvantifikovať tieto pozitívne vplyvy. </w:t>
            </w:r>
          </w:p>
          <w:p w14:paraId="1F6FB547" w14:textId="77777777" w:rsidR="00E60336" w:rsidRPr="006C294C" w:rsidRDefault="00E60336" w:rsidP="00050EEC">
            <w:pPr>
              <w:rPr>
                <w:b/>
                <w:i/>
              </w:rPr>
            </w:pPr>
          </w:p>
        </w:tc>
      </w:tr>
      <w:tr w:rsidR="00E60336" w:rsidRPr="006C294C" w14:paraId="163B65A0" w14:textId="77777777" w:rsidTr="00050EEC">
        <w:tc>
          <w:tcPr>
            <w:tcW w:w="9212" w:type="dxa"/>
            <w:tcBorders>
              <w:bottom w:val="single" w:sz="4" w:space="0" w:color="auto"/>
            </w:tcBorders>
          </w:tcPr>
          <w:p w14:paraId="200AC71E" w14:textId="77777777" w:rsidR="00E60336" w:rsidRPr="006C294C" w:rsidRDefault="00E60336" w:rsidP="00050EEC">
            <w:pPr>
              <w:rPr>
                <w:b/>
                <w:i/>
              </w:rPr>
            </w:pPr>
            <w:r w:rsidRPr="006C294C">
              <w:rPr>
                <w:b/>
                <w:i/>
              </w:rPr>
              <w:t>3.3.3 Administratívne náklady</w:t>
            </w:r>
          </w:p>
          <w:p w14:paraId="58858B3C" w14:textId="77777777" w:rsidR="00E60336" w:rsidRPr="006C294C" w:rsidRDefault="00E60336" w:rsidP="00050EEC">
            <w:pPr>
              <w:rPr>
                <w:i/>
              </w:rPr>
            </w:pPr>
            <w:r w:rsidRPr="006C294C">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E60336" w:rsidRPr="006C294C" w14:paraId="422CC071" w14:textId="77777777" w:rsidTr="00050EEC">
        <w:tc>
          <w:tcPr>
            <w:tcW w:w="9212" w:type="dxa"/>
            <w:tcBorders>
              <w:bottom w:val="single" w:sz="4" w:space="0" w:color="auto"/>
            </w:tcBorders>
          </w:tcPr>
          <w:p w14:paraId="7FB66305" w14:textId="77777777" w:rsidR="00E60336" w:rsidRPr="006C294C" w:rsidRDefault="00E60336" w:rsidP="00050EEC">
            <w:pPr>
              <w:rPr>
                <w:b/>
                <w:i/>
                <w:sz w:val="22"/>
                <w:szCs w:val="22"/>
              </w:rPr>
            </w:pPr>
          </w:p>
          <w:p w14:paraId="1301A3FD" w14:textId="77777777" w:rsidR="00E60336" w:rsidRPr="006C294C" w:rsidRDefault="00E60336" w:rsidP="00050EEC">
            <w:pPr>
              <w:jc w:val="both"/>
              <w:rPr>
                <w:sz w:val="22"/>
                <w:szCs w:val="22"/>
              </w:rPr>
            </w:pPr>
            <w:r>
              <w:rPr>
                <w:sz w:val="22"/>
                <w:szCs w:val="22"/>
              </w:rPr>
              <w:t>Bez vplyvu, nakoľko s</w:t>
            </w:r>
            <w:r w:rsidRPr="00BE796B">
              <w:rPr>
                <w:sz w:val="22"/>
                <w:szCs w:val="22"/>
              </w:rPr>
              <w:t>mernicou 2019/2034 dochádza k vyňatiu obchodníkov s cennými papiermi z prudenciálnych požiadaviek týkajúcich sa bánk.</w:t>
            </w:r>
            <w:r>
              <w:rPr>
                <w:sz w:val="22"/>
                <w:szCs w:val="22"/>
              </w:rPr>
              <w:t xml:space="preserve"> Oproti doterajšej právnej úprave nedochádza k zmenám v oblasti informačných povinností, tieto sú len nanovo zadefinované. Informačná povinnosť zostáva nezmenená.</w:t>
            </w:r>
          </w:p>
          <w:p w14:paraId="40FCED6A" w14:textId="77777777" w:rsidR="00E60336" w:rsidRPr="006C294C" w:rsidRDefault="00E60336" w:rsidP="00050EEC">
            <w:pPr>
              <w:rPr>
                <w:b/>
                <w:i/>
              </w:rPr>
            </w:pPr>
          </w:p>
        </w:tc>
      </w:tr>
      <w:tr w:rsidR="00E60336" w:rsidRPr="006C294C" w14:paraId="1F39CECA" w14:textId="77777777" w:rsidTr="00050EEC">
        <w:trPr>
          <w:trHeight w:val="2318"/>
        </w:trPr>
        <w:tc>
          <w:tcPr>
            <w:tcW w:w="9212" w:type="dxa"/>
            <w:tcBorders>
              <w:bottom w:val="single" w:sz="4" w:space="0" w:color="auto"/>
            </w:tcBorders>
          </w:tcPr>
          <w:p w14:paraId="49DF8D16" w14:textId="77777777" w:rsidR="00E60336" w:rsidRPr="006C294C" w:rsidRDefault="00E60336" w:rsidP="00050EEC">
            <w:pPr>
              <w:rPr>
                <w:i/>
              </w:rPr>
            </w:pPr>
            <w:r w:rsidRPr="006C294C">
              <w:rPr>
                <w:b/>
                <w:i/>
              </w:rPr>
              <w:t>3.3.4 Súhrnná tabuľka nákladov regulácie</w:t>
            </w:r>
          </w:p>
          <w:p w14:paraId="20345D43" w14:textId="77777777" w:rsidR="00E60336" w:rsidRPr="006C294C" w:rsidRDefault="00E60336" w:rsidP="00050EEC">
            <w:pPr>
              <w:rPr>
                <w:i/>
              </w:rPr>
            </w:pPr>
          </w:p>
          <w:tbl>
            <w:tblPr>
              <w:tblStyle w:val="Mriekatabuky"/>
              <w:tblW w:w="0" w:type="auto"/>
              <w:tblLook w:val="04A0" w:firstRow="1" w:lastRow="0" w:firstColumn="1" w:lastColumn="0" w:noHBand="0" w:noVBand="1"/>
            </w:tblPr>
            <w:tblGrid>
              <w:gridCol w:w="2951"/>
              <w:gridCol w:w="2939"/>
              <w:gridCol w:w="2946"/>
            </w:tblGrid>
            <w:tr w:rsidR="00E60336" w:rsidRPr="006C294C" w14:paraId="2F2BC2D8" w14:textId="77777777" w:rsidTr="00050EEC">
              <w:tc>
                <w:tcPr>
                  <w:tcW w:w="2993" w:type="dxa"/>
                </w:tcPr>
                <w:p w14:paraId="13EA85C5" w14:textId="77777777" w:rsidR="00E60336" w:rsidRPr="006C294C" w:rsidRDefault="00E60336" w:rsidP="00050EEC">
                  <w:pPr>
                    <w:rPr>
                      <w:i/>
                    </w:rPr>
                  </w:pPr>
                </w:p>
              </w:tc>
              <w:tc>
                <w:tcPr>
                  <w:tcW w:w="2994" w:type="dxa"/>
                </w:tcPr>
                <w:p w14:paraId="271A9369" w14:textId="77777777" w:rsidR="00E60336" w:rsidRPr="006C294C" w:rsidRDefault="00E60336" w:rsidP="00050EEC">
                  <w:pPr>
                    <w:jc w:val="center"/>
                    <w:rPr>
                      <w:i/>
                    </w:rPr>
                  </w:pPr>
                  <w:r w:rsidRPr="006C294C">
                    <w:rPr>
                      <w:i/>
                    </w:rPr>
                    <w:t>Náklady na 1 podnikateľa</w:t>
                  </w:r>
                </w:p>
              </w:tc>
              <w:tc>
                <w:tcPr>
                  <w:tcW w:w="2994" w:type="dxa"/>
                </w:tcPr>
                <w:p w14:paraId="4195E981" w14:textId="77777777" w:rsidR="00E60336" w:rsidRPr="006C294C" w:rsidRDefault="00E60336" w:rsidP="00050EEC">
                  <w:pPr>
                    <w:jc w:val="center"/>
                    <w:rPr>
                      <w:i/>
                    </w:rPr>
                  </w:pPr>
                  <w:r w:rsidRPr="006C294C">
                    <w:rPr>
                      <w:i/>
                    </w:rPr>
                    <w:t>Náklady na celé podnikateľské prostredie</w:t>
                  </w:r>
                </w:p>
              </w:tc>
            </w:tr>
            <w:tr w:rsidR="00E60336" w:rsidRPr="006C294C" w14:paraId="226C46A1" w14:textId="77777777" w:rsidTr="00050EEC">
              <w:tc>
                <w:tcPr>
                  <w:tcW w:w="2993" w:type="dxa"/>
                </w:tcPr>
                <w:p w14:paraId="3CDEAF29" w14:textId="77777777" w:rsidR="00E60336" w:rsidRPr="006C294C" w:rsidRDefault="00E60336" w:rsidP="00050EEC">
                  <w:pPr>
                    <w:rPr>
                      <w:i/>
                    </w:rPr>
                  </w:pPr>
                  <w:r w:rsidRPr="006C294C">
                    <w:rPr>
                      <w:i/>
                    </w:rPr>
                    <w:t>Priame finančné náklady</w:t>
                  </w:r>
                </w:p>
              </w:tc>
              <w:tc>
                <w:tcPr>
                  <w:tcW w:w="2994" w:type="dxa"/>
                </w:tcPr>
                <w:p w14:paraId="45F297CD" w14:textId="77777777" w:rsidR="00E60336" w:rsidRPr="006C294C" w:rsidRDefault="00E60336" w:rsidP="00050EEC">
                  <w:pPr>
                    <w:jc w:val="center"/>
                    <w:rPr>
                      <w:i/>
                    </w:rPr>
                  </w:pPr>
                  <w:r>
                    <w:rPr>
                      <w:i/>
                    </w:rPr>
                    <w:t>25 000 eur</w:t>
                  </w:r>
                </w:p>
              </w:tc>
              <w:tc>
                <w:tcPr>
                  <w:tcW w:w="2994" w:type="dxa"/>
                </w:tcPr>
                <w:p w14:paraId="06B6807F" w14:textId="77777777" w:rsidR="00E60336" w:rsidRPr="006C294C" w:rsidRDefault="00E60336" w:rsidP="00050EEC">
                  <w:pPr>
                    <w:jc w:val="center"/>
                    <w:rPr>
                      <w:i/>
                    </w:rPr>
                  </w:pPr>
                  <w:r>
                    <w:rPr>
                      <w:i/>
                    </w:rPr>
                    <w:t>600 000 eur</w:t>
                  </w:r>
                </w:p>
              </w:tc>
            </w:tr>
            <w:tr w:rsidR="00E60336" w:rsidRPr="006C294C" w14:paraId="0F28D01F" w14:textId="77777777" w:rsidTr="00050EEC">
              <w:tc>
                <w:tcPr>
                  <w:tcW w:w="2993" w:type="dxa"/>
                </w:tcPr>
                <w:p w14:paraId="2EDE54B3" w14:textId="77777777" w:rsidR="00E60336" w:rsidRPr="006C294C" w:rsidRDefault="00E60336" w:rsidP="00050EEC">
                  <w:pPr>
                    <w:rPr>
                      <w:i/>
                    </w:rPr>
                  </w:pPr>
                  <w:r w:rsidRPr="006C294C">
                    <w:rPr>
                      <w:i/>
                    </w:rPr>
                    <w:t>Nepriame finančné náklady</w:t>
                  </w:r>
                </w:p>
              </w:tc>
              <w:tc>
                <w:tcPr>
                  <w:tcW w:w="2994" w:type="dxa"/>
                </w:tcPr>
                <w:p w14:paraId="22641213" w14:textId="77777777" w:rsidR="00E60336" w:rsidRPr="006C294C" w:rsidRDefault="00E60336" w:rsidP="00050EEC">
                  <w:pPr>
                    <w:jc w:val="center"/>
                    <w:rPr>
                      <w:i/>
                    </w:rPr>
                  </w:pPr>
                  <w:r w:rsidRPr="006C294C">
                    <w:rPr>
                      <w:i/>
                    </w:rPr>
                    <w:t>0</w:t>
                  </w:r>
                </w:p>
              </w:tc>
              <w:tc>
                <w:tcPr>
                  <w:tcW w:w="2994" w:type="dxa"/>
                </w:tcPr>
                <w:p w14:paraId="74161B78" w14:textId="77777777" w:rsidR="00E60336" w:rsidRPr="006C294C" w:rsidRDefault="00E60336" w:rsidP="00050EEC">
                  <w:pPr>
                    <w:jc w:val="center"/>
                    <w:rPr>
                      <w:i/>
                    </w:rPr>
                  </w:pPr>
                  <w:r w:rsidRPr="006C294C">
                    <w:rPr>
                      <w:i/>
                    </w:rPr>
                    <w:t>0</w:t>
                  </w:r>
                </w:p>
              </w:tc>
            </w:tr>
            <w:tr w:rsidR="00E60336" w:rsidRPr="006C294C" w14:paraId="26EE4EDA" w14:textId="77777777" w:rsidTr="00050EEC">
              <w:tc>
                <w:tcPr>
                  <w:tcW w:w="2993" w:type="dxa"/>
                </w:tcPr>
                <w:p w14:paraId="2BC4DCC0" w14:textId="77777777" w:rsidR="00E60336" w:rsidRPr="006C294C" w:rsidRDefault="00E60336" w:rsidP="00050EEC">
                  <w:pPr>
                    <w:rPr>
                      <w:i/>
                    </w:rPr>
                  </w:pPr>
                  <w:r w:rsidRPr="006C294C">
                    <w:rPr>
                      <w:i/>
                    </w:rPr>
                    <w:t>Administratívne náklady</w:t>
                  </w:r>
                </w:p>
              </w:tc>
              <w:tc>
                <w:tcPr>
                  <w:tcW w:w="2994" w:type="dxa"/>
                </w:tcPr>
                <w:p w14:paraId="3A558106" w14:textId="77777777" w:rsidR="00E60336" w:rsidRPr="006C294C" w:rsidRDefault="00E60336" w:rsidP="00050EEC">
                  <w:pPr>
                    <w:jc w:val="center"/>
                    <w:rPr>
                      <w:i/>
                    </w:rPr>
                  </w:pPr>
                  <w:r w:rsidRPr="006C294C">
                    <w:rPr>
                      <w:i/>
                    </w:rPr>
                    <w:t>0</w:t>
                  </w:r>
                </w:p>
              </w:tc>
              <w:tc>
                <w:tcPr>
                  <w:tcW w:w="2994" w:type="dxa"/>
                </w:tcPr>
                <w:p w14:paraId="7D43A3C2" w14:textId="77777777" w:rsidR="00E60336" w:rsidRPr="006C294C" w:rsidRDefault="00E60336" w:rsidP="00050EEC">
                  <w:pPr>
                    <w:jc w:val="center"/>
                    <w:rPr>
                      <w:i/>
                    </w:rPr>
                  </w:pPr>
                  <w:r w:rsidRPr="006C294C">
                    <w:rPr>
                      <w:i/>
                    </w:rPr>
                    <w:t>0</w:t>
                  </w:r>
                </w:p>
              </w:tc>
            </w:tr>
            <w:tr w:rsidR="00E60336" w:rsidRPr="006C294C" w14:paraId="6E9D8449" w14:textId="77777777" w:rsidTr="00050EEC">
              <w:tc>
                <w:tcPr>
                  <w:tcW w:w="2993" w:type="dxa"/>
                </w:tcPr>
                <w:p w14:paraId="1F53C0F6" w14:textId="77777777" w:rsidR="00E60336" w:rsidRPr="006C294C" w:rsidRDefault="00E60336" w:rsidP="00050EEC">
                  <w:pPr>
                    <w:rPr>
                      <w:b/>
                      <w:i/>
                    </w:rPr>
                  </w:pPr>
                  <w:r w:rsidRPr="006C294C">
                    <w:rPr>
                      <w:b/>
                      <w:i/>
                    </w:rPr>
                    <w:t>Celkové náklady regulácie</w:t>
                  </w:r>
                </w:p>
              </w:tc>
              <w:tc>
                <w:tcPr>
                  <w:tcW w:w="2994" w:type="dxa"/>
                </w:tcPr>
                <w:p w14:paraId="6B1E66F2" w14:textId="77777777" w:rsidR="00E60336" w:rsidRPr="006C294C" w:rsidRDefault="00E60336" w:rsidP="00050EEC">
                  <w:pPr>
                    <w:jc w:val="center"/>
                    <w:rPr>
                      <w:b/>
                      <w:i/>
                    </w:rPr>
                  </w:pPr>
                  <w:r>
                    <w:rPr>
                      <w:b/>
                      <w:i/>
                    </w:rPr>
                    <w:t>25 000 eur</w:t>
                  </w:r>
                </w:p>
              </w:tc>
              <w:tc>
                <w:tcPr>
                  <w:tcW w:w="2994" w:type="dxa"/>
                </w:tcPr>
                <w:p w14:paraId="086039FE" w14:textId="77777777" w:rsidR="00E60336" w:rsidRPr="006C294C" w:rsidRDefault="00E60336" w:rsidP="00050EEC">
                  <w:pPr>
                    <w:jc w:val="center"/>
                    <w:rPr>
                      <w:b/>
                      <w:i/>
                    </w:rPr>
                  </w:pPr>
                  <w:r>
                    <w:rPr>
                      <w:b/>
                      <w:i/>
                    </w:rPr>
                    <w:t>600 000 eur</w:t>
                  </w:r>
                </w:p>
              </w:tc>
            </w:tr>
          </w:tbl>
          <w:p w14:paraId="2BE8DB82" w14:textId="77777777" w:rsidR="00E60336" w:rsidRPr="006C294C" w:rsidRDefault="00E60336" w:rsidP="00050EEC">
            <w:pPr>
              <w:rPr>
                <w:i/>
              </w:rPr>
            </w:pPr>
          </w:p>
        </w:tc>
      </w:tr>
      <w:tr w:rsidR="00E60336" w:rsidRPr="006C294C" w14:paraId="49D5FE59" w14:textId="77777777" w:rsidTr="00050EEC">
        <w:tc>
          <w:tcPr>
            <w:tcW w:w="9212" w:type="dxa"/>
            <w:shd w:val="clear" w:color="auto" w:fill="D9D9D9" w:themeFill="background1" w:themeFillShade="D9"/>
          </w:tcPr>
          <w:p w14:paraId="07BED694" w14:textId="77777777" w:rsidR="00E60336" w:rsidRPr="006C294C" w:rsidRDefault="00E60336" w:rsidP="00050EEC">
            <w:pPr>
              <w:rPr>
                <w:b/>
              </w:rPr>
            </w:pPr>
            <w:r w:rsidRPr="006C294C">
              <w:rPr>
                <w:b/>
              </w:rPr>
              <w:t>3.4 Konkurencieschopnosť a správanie sa podnikov na trhu</w:t>
            </w:r>
          </w:p>
          <w:p w14:paraId="3F3AB246" w14:textId="77777777" w:rsidR="00E60336" w:rsidRPr="006C294C" w:rsidRDefault="00E60336" w:rsidP="00050EEC">
            <w:r w:rsidRPr="006C294C">
              <w:rPr>
                <w:b/>
              </w:rPr>
              <w:t xml:space="preserve">       </w:t>
            </w:r>
            <w:r w:rsidRPr="006C294C">
              <w:t xml:space="preserve">- </w:t>
            </w:r>
            <w:r w:rsidRPr="006C294C">
              <w:rPr>
                <w:b/>
              </w:rPr>
              <w:t>z toho MSP</w:t>
            </w:r>
          </w:p>
        </w:tc>
      </w:tr>
      <w:tr w:rsidR="00E60336" w:rsidRPr="006C294C" w14:paraId="3BBB9C88" w14:textId="77777777" w:rsidTr="00050EEC">
        <w:tc>
          <w:tcPr>
            <w:tcW w:w="9212" w:type="dxa"/>
            <w:tcBorders>
              <w:bottom w:val="single" w:sz="4" w:space="0" w:color="auto"/>
            </w:tcBorders>
          </w:tcPr>
          <w:p w14:paraId="318B6AC8" w14:textId="77777777" w:rsidR="00E60336" w:rsidRPr="006C294C" w:rsidRDefault="00E60336" w:rsidP="00050EEC">
            <w:pPr>
              <w:rPr>
                <w:i/>
              </w:rPr>
            </w:pPr>
            <w:r w:rsidRPr="006C294C">
              <w:rPr>
                <w:i/>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6C294C">
              <w:rPr>
                <w:i/>
              </w:rPr>
              <w:t>mikro</w:t>
            </w:r>
            <w:proofErr w:type="spellEnd"/>
            <w:r w:rsidRPr="006C294C">
              <w:rPr>
                <w:i/>
              </w:rPr>
              <w:t>, malé a stredné podniky tzv. MSP)? Ak áno, popíšte.</w:t>
            </w:r>
          </w:p>
          <w:p w14:paraId="4C8C5B50" w14:textId="77777777" w:rsidR="00E60336" w:rsidRPr="006C294C" w:rsidRDefault="00E60336" w:rsidP="00050EEC">
            <w:pPr>
              <w:rPr>
                <w:i/>
              </w:rPr>
            </w:pPr>
            <w:r w:rsidRPr="006C294C">
              <w:rPr>
                <w:i/>
              </w:rPr>
              <w:t>Aký vplyv bude mať navrhovaná zmena na obchodné bariéry? Bude mať vplyv na vyvolanie cezhraničných investícií (príliv /odliv zahraničných investícií resp. uplatnenie slovenských podnikov na zahraničných trhoch)? Ak áno, popíšte.</w:t>
            </w:r>
          </w:p>
          <w:p w14:paraId="3F97F20A" w14:textId="77777777" w:rsidR="00E60336" w:rsidRPr="006C294C" w:rsidRDefault="00E60336" w:rsidP="00050EEC">
            <w:pPr>
              <w:rPr>
                <w:i/>
              </w:rPr>
            </w:pPr>
            <w:r w:rsidRPr="006C294C">
              <w:rPr>
                <w:i/>
              </w:rPr>
              <w:t>Ako ovplyvní cenu alebo dostupnosť základných zdrojov (suroviny, mechanizmy, pracovná sila, energie atď.)?</w:t>
            </w:r>
          </w:p>
          <w:p w14:paraId="432D4BA4" w14:textId="77777777" w:rsidR="00E60336" w:rsidRPr="006C294C" w:rsidRDefault="00E60336" w:rsidP="00050EEC">
            <w:pPr>
              <w:rPr>
                <w:i/>
              </w:rPr>
            </w:pPr>
            <w:r w:rsidRPr="006C294C">
              <w:rPr>
                <w:i/>
              </w:rPr>
              <w:t>Ovplyvňuje prístup k financiám? Ak áno, ako?</w:t>
            </w:r>
          </w:p>
        </w:tc>
      </w:tr>
      <w:tr w:rsidR="00E60336" w:rsidRPr="006C294C" w14:paraId="0489C6B5" w14:textId="77777777" w:rsidTr="00050EEC">
        <w:trPr>
          <w:trHeight w:val="1282"/>
        </w:trPr>
        <w:tc>
          <w:tcPr>
            <w:tcW w:w="9212" w:type="dxa"/>
            <w:tcBorders>
              <w:bottom w:val="single" w:sz="4" w:space="0" w:color="auto"/>
            </w:tcBorders>
          </w:tcPr>
          <w:p w14:paraId="2770F1F6" w14:textId="77777777" w:rsidR="00E60336" w:rsidRPr="006C294C" w:rsidRDefault="00E60336" w:rsidP="00050EEC">
            <w:pPr>
              <w:rPr>
                <w:i/>
                <w:sz w:val="22"/>
                <w:szCs w:val="22"/>
              </w:rPr>
            </w:pPr>
          </w:p>
          <w:p w14:paraId="32FF3B11" w14:textId="77777777" w:rsidR="00E60336" w:rsidRPr="006C294C" w:rsidRDefault="00E60336" w:rsidP="00050EEC">
            <w:pPr>
              <w:rPr>
                <w:i/>
                <w:sz w:val="22"/>
                <w:szCs w:val="22"/>
              </w:rPr>
            </w:pPr>
            <w:r w:rsidRPr="006C294C">
              <w:rPr>
                <w:sz w:val="22"/>
                <w:szCs w:val="22"/>
              </w:rPr>
              <w:t xml:space="preserve">Nedochádza k vplyvu na konkurencieschopnosť a správanie sa podnikov na trhu.  </w:t>
            </w:r>
          </w:p>
        </w:tc>
      </w:tr>
      <w:tr w:rsidR="00E60336" w:rsidRPr="006C294C" w14:paraId="67A5ADF3" w14:textId="77777777" w:rsidTr="00050EEC">
        <w:tc>
          <w:tcPr>
            <w:tcW w:w="9212" w:type="dxa"/>
            <w:shd w:val="clear" w:color="auto" w:fill="D9D9D9" w:themeFill="background1" w:themeFillShade="D9"/>
          </w:tcPr>
          <w:p w14:paraId="3498C4D4" w14:textId="77777777" w:rsidR="00E60336" w:rsidRPr="006C294C" w:rsidRDefault="00E60336" w:rsidP="00050EEC">
            <w:pPr>
              <w:rPr>
                <w:b/>
              </w:rPr>
            </w:pPr>
            <w:r w:rsidRPr="006C294C">
              <w:rPr>
                <w:b/>
              </w:rPr>
              <w:t xml:space="preserve">3.5 Inovácie </w:t>
            </w:r>
          </w:p>
          <w:p w14:paraId="63C3BFE5" w14:textId="77777777" w:rsidR="00E60336" w:rsidRPr="006C294C" w:rsidRDefault="00E60336" w:rsidP="00050EEC">
            <w:pPr>
              <w:rPr>
                <w:b/>
              </w:rPr>
            </w:pPr>
            <w:r w:rsidRPr="006C294C">
              <w:t xml:space="preserve">       - </w:t>
            </w:r>
            <w:r w:rsidRPr="006C294C">
              <w:rPr>
                <w:b/>
              </w:rPr>
              <w:t>z toho MSP</w:t>
            </w:r>
          </w:p>
        </w:tc>
      </w:tr>
      <w:tr w:rsidR="00E60336" w:rsidRPr="006C294C" w14:paraId="491428D3" w14:textId="77777777" w:rsidTr="00050EEC">
        <w:tc>
          <w:tcPr>
            <w:tcW w:w="9212" w:type="dxa"/>
          </w:tcPr>
          <w:p w14:paraId="5A0F237C" w14:textId="77777777" w:rsidR="00E60336" w:rsidRPr="006C294C" w:rsidRDefault="00E60336" w:rsidP="00050EEC">
            <w:pPr>
              <w:rPr>
                <w:i/>
              </w:rPr>
            </w:pPr>
            <w:r w:rsidRPr="006C294C">
              <w:rPr>
                <w:i/>
              </w:rPr>
              <w:t>Uveďte, ako podporuje navrhovaná zmena inovácie.</w:t>
            </w:r>
          </w:p>
          <w:p w14:paraId="11D12E95" w14:textId="77777777" w:rsidR="00E60336" w:rsidRPr="006C294C" w:rsidRDefault="00E60336" w:rsidP="00050EEC">
            <w:pPr>
              <w:rPr>
                <w:i/>
              </w:rPr>
            </w:pPr>
            <w:r w:rsidRPr="006C294C">
              <w:rPr>
                <w:i/>
              </w:rPr>
              <w:t>Zjednodušuje uvedenie alebo rozšírenie nových výrobných metód, technológií a výrobkov na trh?</w:t>
            </w:r>
          </w:p>
          <w:p w14:paraId="20F4B823" w14:textId="77777777" w:rsidR="00E60336" w:rsidRPr="006C294C" w:rsidRDefault="00E60336" w:rsidP="00050EEC">
            <w:pPr>
              <w:rPr>
                <w:i/>
              </w:rPr>
            </w:pPr>
            <w:r w:rsidRPr="006C294C">
              <w:rPr>
                <w:i/>
              </w:rPr>
              <w:t>Uveďte, ako vplýva navrhovaná zmena na jednotlivé práva duševného vlastníctva (napr. patenty, ochranné známky, autorské práva, vlastníctvo know-how).</w:t>
            </w:r>
          </w:p>
          <w:p w14:paraId="6748DE6B" w14:textId="77777777" w:rsidR="00E60336" w:rsidRPr="006C294C" w:rsidRDefault="00E60336" w:rsidP="00050EEC">
            <w:pPr>
              <w:rPr>
                <w:i/>
              </w:rPr>
            </w:pPr>
            <w:r w:rsidRPr="006C294C">
              <w:rPr>
                <w:i/>
              </w:rPr>
              <w:t>Podporuje vyššiu efektivitu výroby/využívania zdrojov? Ak áno, ako?</w:t>
            </w:r>
          </w:p>
          <w:p w14:paraId="7189A88D" w14:textId="77777777" w:rsidR="00E60336" w:rsidRPr="006C294C" w:rsidRDefault="00E60336" w:rsidP="00050EEC">
            <w:r w:rsidRPr="006C294C">
              <w:rPr>
                <w:i/>
              </w:rPr>
              <w:t>Vytvorí zmena nové pracovné miesta pre zamestnancov výskumu a vývoja v SR?</w:t>
            </w:r>
          </w:p>
        </w:tc>
      </w:tr>
      <w:tr w:rsidR="00E60336" w:rsidRPr="006C294C" w14:paraId="18AA1B00" w14:textId="77777777" w:rsidTr="00050EEC">
        <w:trPr>
          <w:trHeight w:val="978"/>
        </w:trPr>
        <w:tc>
          <w:tcPr>
            <w:tcW w:w="9212" w:type="dxa"/>
          </w:tcPr>
          <w:p w14:paraId="256F0D62" w14:textId="77777777" w:rsidR="00E60336" w:rsidRPr="006C294C" w:rsidRDefault="00E60336" w:rsidP="00050EEC">
            <w:pPr>
              <w:rPr>
                <w:i/>
                <w:sz w:val="22"/>
                <w:szCs w:val="22"/>
              </w:rPr>
            </w:pPr>
          </w:p>
          <w:p w14:paraId="30611D34" w14:textId="77777777" w:rsidR="00E60336" w:rsidRPr="006C294C" w:rsidRDefault="00E60336" w:rsidP="00050EEC">
            <w:pPr>
              <w:rPr>
                <w:i/>
              </w:rPr>
            </w:pPr>
            <w:r w:rsidRPr="006C294C">
              <w:rPr>
                <w:sz w:val="22"/>
                <w:szCs w:val="22"/>
              </w:rPr>
              <w:t>Nedochádza k vplyvu na inovácie.</w:t>
            </w:r>
            <w:r w:rsidRPr="006C294C">
              <w:t xml:space="preserve">  </w:t>
            </w:r>
          </w:p>
        </w:tc>
      </w:tr>
    </w:tbl>
    <w:p w14:paraId="156B31CA" w14:textId="77777777" w:rsidR="00E60336" w:rsidRDefault="00E60336">
      <w:pPr>
        <w:jc w:val="both"/>
      </w:pPr>
    </w:p>
    <w:p w14:paraId="50DA90F0" w14:textId="6BF71B08" w:rsidR="00E60336" w:rsidRDefault="00E60336">
      <w:pPr>
        <w:spacing w:after="160" w:line="259" w:lineRule="auto"/>
      </w:pPr>
      <w:r>
        <w:br w:type="page"/>
      </w:r>
    </w:p>
    <w:p w14:paraId="7EEB2141" w14:textId="77777777" w:rsidR="00E60336" w:rsidRDefault="00E60336" w:rsidP="00E60336">
      <w:pPr>
        <w:jc w:val="center"/>
        <w:rPr>
          <w:b/>
          <w:bCs/>
          <w:color w:val="000000"/>
          <w:lang w:eastAsia="sk-SK"/>
        </w:rPr>
      </w:pPr>
      <w:r w:rsidRPr="001A45EA">
        <w:rPr>
          <w:b/>
          <w:bCs/>
          <w:color w:val="000000"/>
          <w:lang w:eastAsia="sk-SK"/>
        </w:rPr>
        <w:lastRenderedPageBreak/>
        <w:t>DOLOŽKA ZLUČITEĽNOSTI</w:t>
      </w:r>
    </w:p>
    <w:p w14:paraId="1D67C5D5" w14:textId="77777777" w:rsidR="00E60336" w:rsidRPr="001A45EA" w:rsidRDefault="00E60336" w:rsidP="00E60336">
      <w:pPr>
        <w:jc w:val="center"/>
        <w:rPr>
          <w:color w:val="000000"/>
          <w:sz w:val="27"/>
          <w:szCs w:val="27"/>
          <w:lang w:eastAsia="sk-SK"/>
        </w:rPr>
      </w:pPr>
    </w:p>
    <w:p w14:paraId="311D42BD" w14:textId="77777777" w:rsidR="00E60336" w:rsidRPr="00A338B7" w:rsidRDefault="00E60336" w:rsidP="00E60336">
      <w:pPr>
        <w:jc w:val="center"/>
        <w:rPr>
          <w:b/>
          <w:bCs/>
          <w:color w:val="000000"/>
          <w:lang w:eastAsia="sk-SK"/>
        </w:rPr>
      </w:pPr>
      <w:r w:rsidRPr="00A338B7">
        <w:rPr>
          <w:b/>
          <w:bCs/>
          <w:color w:val="000000"/>
          <w:lang w:eastAsia="sk-SK"/>
        </w:rPr>
        <w:t xml:space="preserve">návrhu zákona </w:t>
      </w:r>
    </w:p>
    <w:p w14:paraId="4A9615A4" w14:textId="77777777" w:rsidR="00E60336" w:rsidRDefault="00E60336" w:rsidP="00E60336">
      <w:pPr>
        <w:pBdr>
          <w:bottom w:val="single" w:sz="12" w:space="1" w:color="auto"/>
        </w:pBdr>
        <w:jc w:val="center"/>
        <w:rPr>
          <w:b/>
          <w:bCs/>
          <w:color w:val="000000"/>
          <w:lang w:eastAsia="sk-SK"/>
        </w:rPr>
      </w:pPr>
      <w:r w:rsidRPr="00A338B7">
        <w:rPr>
          <w:b/>
          <w:bCs/>
          <w:color w:val="000000"/>
          <w:lang w:eastAsia="sk-SK"/>
        </w:rPr>
        <w:t>s právom Európskej únie</w:t>
      </w:r>
    </w:p>
    <w:p w14:paraId="7AC90B44" w14:textId="77777777" w:rsidR="00E60336" w:rsidRDefault="00E60336" w:rsidP="00E60336">
      <w:pPr>
        <w:rPr>
          <w:color w:val="000000"/>
          <w:sz w:val="27"/>
          <w:szCs w:val="27"/>
          <w:lang w:eastAsia="sk-SK"/>
        </w:rPr>
      </w:pPr>
    </w:p>
    <w:p w14:paraId="0DC235FA" w14:textId="77777777" w:rsidR="00E60336" w:rsidRPr="001A45EA" w:rsidRDefault="00E60336" w:rsidP="00E60336">
      <w:pPr>
        <w:rPr>
          <w:color w:val="000000"/>
          <w:sz w:val="27"/>
          <w:szCs w:val="27"/>
          <w:lang w:eastAsia="sk-SK"/>
        </w:rPr>
      </w:pPr>
    </w:p>
    <w:p w14:paraId="6E9D7E7A" w14:textId="77777777" w:rsidR="00E60336" w:rsidRPr="001A45EA" w:rsidRDefault="00E60336" w:rsidP="00E60336">
      <w:pPr>
        <w:pStyle w:val="Odsekzoznamu"/>
        <w:numPr>
          <w:ilvl w:val="0"/>
          <w:numId w:val="6"/>
        </w:numPr>
        <w:spacing w:after="0" w:line="240" w:lineRule="auto"/>
        <w:ind w:left="426" w:hanging="426"/>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Navrhovateľ</w:t>
      </w:r>
      <w:r w:rsidRPr="001A45EA">
        <w:rPr>
          <w:rFonts w:ascii="Times New Roman" w:eastAsia="Times New Roman" w:hAnsi="Times New Roman" w:cs="Times New Roman"/>
          <w:b/>
          <w:bCs/>
          <w:color w:val="000000"/>
          <w:sz w:val="24"/>
          <w:szCs w:val="24"/>
          <w:lang w:eastAsia="sk-SK"/>
        </w:rPr>
        <w:t xml:space="preserve"> zákona:</w:t>
      </w:r>
    </w:p>
    <w:p w14:paraId="2B09F32D" w14:textId="77777777" w:rsidR="00E60336" w:rsidRDefault="00E60336" w:rsidP="00E60336">
      <w:pPr>
        <w:rPr>
          <w:color w:val="000000"/>
          <w:lang w:eastAsia="sk-SK"/>
        </w:rPr>
      </w:pPr>
      <w:r w:rsidRPr="00A338B7">
        <w:rPr>
          <w:color w:val="000000"/>
          <w:lang w:eastAsia="sk-SK"/>
        </w:rPr>
        <w:t>Vláda S</w:t>
      </w:r>
      <w:r>
        <w:rPr>
          <w:color w:val="000000"/>
          <w:lang w:eastAsia="sk-SK"/>
        </w:rPr>
        <w:t>lovenskej republiky.</w:t>
      </w:r>
    </w:p>
    <w:p w14:paraId="37C2CBB5" w14:textId="77777777" w:rsidR="00E60336" w:rsidRPr="001A45EA" w:rsidRDefault="00E60336" w:rsidP="00E60336">
      <w:pPr>
        <w:rPr>
          <w:color w:val="000000"/>
          <w:sz w:val="27"/>
          <w:szCs w:val="27"/>
          <w:lang w:eastAsia="sk-SK"/>
        </w:rPr>
      </w:pPr>
    </w:p>
    <w:p w14:paraId="470DA7BC" w14:textId="77777777" w:rsidR="00E60336" w:rsidRPr="001A45EA" w:rsidRDefault="00E60336" w:rsidP="00E60336">
      <w:pPr>
        <w:pStyle w:val="Odsekzoznamu"/>
        <w:numPr>
          <w:ilvl w:val="0"/>
          <w:numId w:val="6"/>
        </w:numPr>
        <w:spacing w:after="0" w:line="240" w:lineRule="auto"/>
        <w:ind w:left="426" w:hanging="426"/>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Názov návrhu</w:t>
      </w:r>
      <w:r w:rsidRPr="001A45EA">
        <w:rPr>
          <w:rFonts w:ascii="Times New Roman" w:eastAsia="Times New Roman" w:hAnsi="Times New Roman" w:cs="Times New Roman"/>
          <w:b/>
          <w:bCs/>
          <w:color w:val="000000"/>
          <w:sz w:val="24"/>
          <w:szCs w:val="24"/>
          <w:lang w:eastAsia="sk-SK"/>
        </w:rPr>
        <w:t xml:space="preserve"> zákona:</w:t>
      </w:r>
    </w:p>
    <w:p w14:paraId="71E8ADFC" w14:textId="77777777" w:rsidR="00E60336" w:rsidRDefault="00E60336" w:rsidP="00E60336">
      <w:pPr>
        <w:jc w:val="both"/>
        <w:rPr>
          <w:color w:val="000000"/>
          <w:lang w:eastAsia="sk-SK"/>
        </w:rPr>
      </w:pPr>
      <w:r w:rsidRPr="001A45EA">
        <w:rPr>
          <w:color w:val="000000"/>
          <w:lang w:eastAsia="sk-SK"/>
        </w:rPr>
        <w:t>Návrh</w:t>
      </w:r>
      <w:r w:rsidRPr="001A45EA">
        <w:rPr>
          <w:color w:val="000000"/>
          <w:spacing w:val="51"/>
          <w:lang w:eastAsia="sk-SK"/>
        </w:rPr>
        <w:t xml:space="preserve"> </w:t>
      </w:r>
      <w:r w:rsidRPr="001A45EA">
        <w:rPr>
          <w:color w:val="000000"/>
          <w:lang w:eastAsia="sk-SK"/>
        </w:rPr>
        <w:t>zákona,</w:t>
      </w:r>
      <w:r w:rsidRPr="001A45EA">
        <w:rPr>
          <w:color w:val="000000"/>
          <w:spacing w:val="51"/>
          <w:lang w:eastAsia="sk-SK"/>
        </w:rPr>
        <w:t xml:space="preserve"> </w:t>
      </w:r>
      <w:r w:rsidRPr="001A45EA">
        <w:rPr>
          <w:color w:val="000000"/>
          <w:lang w:eastAsia="sk-SK"/>
        </w:rPr>
        <w:t>ktorým</w:t>
      </w:r>
      <w:r w:rsidRPr="001A45EA">
        <w:rPr>
          <w:color w:val="000000"/>
          <w:spacing w:val="51"/>
          <w:lang w:eastAsia="sk-SK"/>
        </w:rPr>
        <w:t xml:space="preserve"> </w:t>
      </w:r>
      <w:r w:rsidRPr="001A45EA">
        <w:rPr>
          <w:color w:val="000000"/>
          <w:lang w:eastAsia="sk-SK"/>
        </w:rPr>
        <w:t>sa</w:t>
      </w:r>
      <w:r w:rsidRPr="001A45EA">
        <w:rPr>
          <w:color w:val="000000"/>
          <w:spacing w:val="51"/>
          <w:lang w:eastAsia="sk-SK"/>
        </w:rPr>
        <w:t xml:space="preserve"> </w:t>
      </w:r>
      <w:r w:rsidRPr="001A45EA">
        <w:rPr>
          <w:color w:val="000000"/>
          <w:lang w:eastAsia="sk-SK"/>
        </w:rPr>
        <w:t>mení</w:t>
      </w:r>
      <w:r w:rsidRPr="001A45EA">
        <w:rPr>
          <w:color w:val="000000"/>
          <w:spacing w:val="51"/>
          <w:lang w:eastAsia="sk-SK"/>
        </w:rPr>
        <w:t xml:space="preserve"> </w:t>
      </w:r>
      <w:r w:rsidRPr="001A45EA">
        <w:rPr>
          <w:color w:val="000000"/>
          <w:lang w:eastAsia="sk-SK"/>
        </w:rPr>
        <w:t>a</w:t>
      </w:r>
      <w:r>
        <w:rPr>
          <w:color w:val="000000"/>
          <w:spacing w:val="51"/>
          <w:lang w:eastAsia="sk-SK"/>
        </w:rPr>
        <w:t> </w:t>
      </w:r>
      <w:r w:rsidRPr="001A45EA">
        <w:rPr>
          <w:color w:val="000000"/>
          <w:lang w:eastAsia="sk-SK"/>
        </w:rPr>
        <w:t>dopĺňa</w:t>
      </w:r>
      <w:r>
        <w:rPr>
          <w:color w:val="000000"/>
          <w:lang w:eastAsia="sk-SK"/>
        </w:rPr>
        <w:t xml:space="preserve"> </w:t>
      </w:r>
      <w:r w:rsidRPr="001A45EA">
        <w:rPr>
          <w:color w:val="000000"/>
          <w:lang w:eastAsia="sk-SK"/>
        </w:rPr>
        <w:t>zákon</w:t>
      </w:r>
      <w:r w:rsidRPr="001A45EA">
        <w:rPr>
          <w:color w:val="000000"/>
          <w:spacing w:val="51"/>
          <w:lang w:eastAsia="sk-SK"/>
        </w:rPr>
        <w:t xml:space="preserve"> </w:t>
      </w:r>
      <w:r w:rsidRPr="001A45EA">
        <w:rPr>
          <w:color w:val="000000"/>
          <w:lang w:eastAsia="sk-SK"/>
        </w:rPr>
        <w:t xml:space="preserve">č. </w:t>
      </w:r>
      <w:r>
        <w:rPr>
          <w:color w:val="000000"/>
          <w:lang w:eastAsia="sk-SK"/>
        </w:rPr>
        <w:t>566</w:t>
      </w:r>
      <w:r w:rsidRPr="001A45EA">
        <w:rPr>
          <w:color w:val="000000"/>
          <w:lang w:eastAsia="sk-SK"/>
        </w:rPr>
        <w:t>/2001 Z. z.</w:t>
      </w:r>
      <w:r w:rsidRPr="001A45EA">
        <w:rPr>
          <w:color w:val="000000"/>
          <w:spacing w:val="51"/>
          <w:lang w:eastAsia="sk-SK"/>
        </w:rPr>
        <w:t xml:space="preserve"> </w:t>
      </w:r>
      <w:r w:rsidRPr="00B9033B">
        <w:rPr>
          <w:color w:val="000000"/>
          <w:lang w:eastAsia="sk-SK"/>
        </w:rPr>
        <w:t>o cenných papieroch a investičných službách a o zmene a doplnení niektorých zákonov (zákon o cenných papieroch) a ktorým sa menia a dopĺňajú niektoré zákony</w:t>
      </w:r>
      <w:r>
        <w:rPr>
          <w:color w:val="000000"/>
          <w:lang w:eastAsia="sk-SK"/>
        </w:rPr>
        <w:t>.</w:t>
      </w:r>
    </w:p>
    <w:p w14:paraId="0667A2D2" w14:textId="77777777" w:rsidR="00E60336" w:rsidRPr="001A45EA" w:rsidRDefault="00E60336" w:rsidP="00E60336">
      <w:pPr>
        <w:jc w:val="both"/>
        <w:rPr>
          <w:color w:val="000000"/>
          <w:sz w:val="27"/>
          <w:szCs w:val="27"/>
          <w:lang w:eastAsia="sk-SK"/>
        </w:rPr>
      </w:pPr>
    </w:p>
    <w:p w14:paraId="50DE18F2" w14:textId="77777777" w:rsidR="00E60336" w:rsidRPr="001A45EA" w:rsidRDefault="00E60336" w:rsidP="00E60336">
      <w:pPr>
        <w:pStyle w:val="Odsekzoznamu"/>
        <w:numPr>
          <w:ilvl w:val="0"/>
          <w:numId w:val="6"/>
        </w:numPr>
        <w:spacing w:after="0" w:line="240" w:lineRule="auto"/>
        <w:ind w:left="426" w:hanging="426"/>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Predmet návrhu</w:t>
      </w:r>
      <w:r w:rsidRPr="001A45EA">
        <w:rPr>
          <w:rFonts w:ascii="Times New Roman" w:eastAsia="Times New Roman" w:hAnsi="Times New Roman" w:cs="Times New Roman"/>
          <w:b/>
          <w:bCs/>
          <w:color w:val="000000"/>
          <w:sz w:val="24"/>
          <w:szCs w:val="24"/>
          <w:lang w:eastAsia="sk-SK"/>
        </w:rPr>
        <w:t xml:space="preserve"> zákona</w:t>
      </w:r>
      <w:r>
        <w:rPr>
          <w:rFonts w:ascii="Times New Roman" w:eastAsia="Times New Roman" w:hAnsi="Times New Roman" w:cs="Times New Roman"/>
          <w:b/>
          <w:bCs/>
          <w:color w:val="000000"/>
          <w:sz w:val="24"/>
          <w:szCs w:val="24"/>
          <w:lang w:eastAsia="sk-SK"/>
        </w:rPr>
        <w:t xml:space="preserve"> je upravený v práve Európskej únie</w:t>
      </w:r>
      <w:r w:rsidRPr="001A45EA">
        <w:rPr>
          <w:rFonts w:ascii="Times New Roman" w:eastAsia="Times New Roman" w:hAnsi="Times New Roman" w:cs="Times New Roman"/>
          <w:b/>
          <w:bCs/>
          <w:color w:val="000000"/>
          <w:sz w:val="24"/>
          <w:szCs w:val="24"/>
          <w:lang w:eastAsia="sk-SK"/>
        </w:rPr>
        <w:t>:</w:t>
      </w:r>
    </w:p>
    <w:p w14:paraId="736FE0C4" w14:textId="77777777" w:rsidR="00E60336" w:rsidRPr="001A45EA" w:rsidRDefault="00E60336" w:rsidP="00E60336">
      <w:pPr>
        <w:pStyle w:val="Odsekzoznamu"/>
        <w:numPr>
          <w:ilvl w:val="0"/>
          <w:numId w:val="7"/>
        </w:num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primárnom práve</w:t>
      </w:r>
    </w:p>
    <w:p w14:paraId="260EABC7" w14:textId="77777777" w:rsidR="00E60336" w:rsidRPr="00A338B7" w:rsidRDefault="00E60336" w:rsidP="00E60336">
      <w:pPr>
        <w:pStyle w:val="Odsekzoznamu"/>
        <w:numPr>
          <w:ilvl w:val="0"/>
          <w:numId w:val="8"/>
        </w:numPr>
        <w:spacing w:after="0" w:line="240" w:lineRule="auto"/>
        <w:jc w:val="both"/>
        <w:rPr>
          <w:rFonts w:ascii="Times New Roman" w:eastAsia="Times New Roman" w:hAnsi="Times New Roman" w:cs="Times New Roman"/>
          <w:color w:val="000000"/>
          <w:sz w:val="24"/>
          <w:szCs w:val="24"/>
          <w:lang w:eastAsia="sk-SK"/>
        </w:rPr>
      </w:pPr>
      <w:r w:rsidRPr="009D6F4B">
        <w:rPr>
          <w:rFonts w:ascii="Times New Roman" w:eastAsia="Times New Roman" w:hAnsi="Times New Roman" w:cs="Times New Roman"/>
          <w:color w:val="000000"/>
          <w:sz w:val="24"/>
          <w:szCs w:val="24"/>
          <w:lang w:eastAsia="sk-SK"/>
        </w:rPr>
        <w:t xml:space="preserve">čl. 3 ods. 1 písm. b), čl. 4, čl. 26 </w:t>
      </w:r>
      <w:r w:rsidRPr="00A338B7">
        <w:rPr>
          <w:rFonts w:ascii="Times New Roman" w:eastAsia="Times New Roman" w:hAnsi="Times New Roman" w:cs="Times New Roman"/>
          <w:color w:val="000000"/>
          <w:sz w:val="24"/>
          <w:szCs w:val="24"/>
          <w:lang w:eastAsia="sk-SK"/>
        </w:rPr>
        <w:t>ods. 2, čl. 54 až 66 Zmluvy o fungovaní Európskej únie</w:t>
      </w:r>
      <w:r w:rsidRPr="00A338B7">
        <w:rPr>
          <w:rFonts w:ascii="Times New Roman" w:hAnsi="Times New Roman" w:cs="Times New Roman"/>
          <w:sz w:val="24"/>
          <w:szCs w:val="24"/>
        </w:rPr>
        <w:t xml:space="preserve"> (Ú. v. EÚ C 202, 7.6. 2016) v platnom znení,</w:t>
      </w:r>
    </w:p>
    <w:p w14:paraId="1BE0AC6A" w14:textId="77777777" w:rsidR="00E60336" w:rsidRPr="00A338B7" w:rsidRDefault="00E60336" w:rsidP="00E60336">
      <w:pPr>
        <w:pStyle w:val="Odsekzoznamu"/>
        <w:numPr>
          <w:ilvl w:val="0"/>
          <w:numId w:val="8"/>
        </w:numPr>
        <w:spacing w:after="0" w:line="240" w:lineRule="auto"/>
        <w:jc w:val="both"/>
        <w:rPr>
          <w:rFonts w:ascii="Times New Roman" w:eastAsia="Times New Roman" w:hAnsi="Times New Roman" w:cs="Times New Roman"/>
          <w:color w:val="000000"/>
          <w:sz w:val="24"/>
          <w:szCs w:val="24"/>
          <w:lang w:eastAsia="sk-SK"/>
        </w:rPr>
      </w:pPr>
      <w:r w:rsidRPr="00A338B7">
        <w:rPr>
          <w:rFonts w:ascii="Times New Roman" w:hAnsi="Times New Roman" w:cs="Times New Roman"/>
          <w:sz w:val="24"/>
          <w:szCs w:val="24"/>
        </w:rPr>
        <w:t xml:space="preserve">Protokol č. 4 o Štatúte Európskeho systému centrálnych bánk a Európskej centrálnej banky pripojený k </w:t>
      </w:r>
      <w:r w:rsidRPr="00A338B7">
        <w:rPr>
          <w:rFonts w:ascii="Times New Roman" w:eastAsia="Times New Roman" w:hAnsi="Times New Roman" w:cs="Times New Roman"/>
          <w:color w:val="000000"/>
          <w:sz w:val="24"/>
          <w:szCs w:val="24"/>
          <w:lang w:eastAsia="sk-SK"/>
        </w:rPr>
        <w:t xml:space="preserve">Zmluve o fungovaní Európskej únie </w:t>
      </w:r>
      <w:r>
        <w:rPr>
          <w:rFonts w:ascii="Times New Roman" w:hAnsi="Times New Roman" w:cs="Times New Roman"/>
          <w:sz w:val="24"/>
          <w:szCs w:val="24"/>
        </w:rPr>
        <w:t>(Ú. v. EÚ C 202, 7.6. 2016).</w:t>
      </w:r>
    </w:p>
    <w:p w14:paraId="15431E0D" w14:textId="77777777" w:rsidR="00E60336" w:rsidRPr="00A338B7" w:rsidRDefault="00E60336" w:rsidP="00E60336">
      <w:pPr>
        <w:rPr>
          <w:b/>
          <w:bCs/>
          <w:i/>
          <w:iCs/>
          <w:color w:val="000000"/>
          <w:lang w:eastAsia="sk-SK"/>
        </w:rPr>
      </w:pPr>
    </w:p>
    <w:p w14:paraId="4AE48D66" w14:textId="77777777" w:rsidR="00E60336" w:rsidRPr="00A338B7" w:rsidRDefault="00E60336" w:rsidP="00E60336">
      <w:pPr>
        <w:pStyle w:val="Odsekzoznamu"/>
        <w:numPr>
          <w:ilvl w:val="0"/>
          <w:numId w:val="7"/>
        </w:numPr>
        <w:spacing w:after="0" w:line="240" w:lineRule="auto"/>
        <w:rPr>
          <w:rFonts w:ascii="Times New Roman" w:eastAsia="Times New Roman" w:hAnsi="Times New Roman" w:cs="Times New Roman"/>
          <w:color w:val="000000"/>
          <w:sz w:val="24"/>
          <w:szCs w:val="24"/>
          <w:lang w:eastAsia="sk-SK"/>
        </w:rPr>
      </w:pPr>
      <w:r w:rsidRPr="00A338B7">
        <w:rPr>
          <w:rFonts w:ascii="Times New Roman" w:eastAsia="Times New Roman" w:hAnsi="Times New Roman" w:cs="Times New Roman"/>
          <w:color w:val="000000"/>
          <w:sz w:val="24"/>
          <w:szCs w:val="24"/>
          <w:lang w:eastAsia="sk-SK"/>
        </w:rPr>
        <w:t>v sekundárnom práve</w:t>
      </w:r>
    </w:p>
    <w:p w14:paraId="3D115021" w14:textId="77777777" w:rsidR="00E60336" w:rsidRPr="00E8175F" w:rsidRDefault="00E60336" w:rsidP="00E60336">
      <w:pPr>
        <w:pStyle w:val="Odsekzoznamu"/>
        <w:numPr>
          <w:ilvl w:val="0"/>
          <w:numId w:val="8"/>
        </w:numPr>
        <w:spacing w:after="0" w:line="240" w:lineRule="auto"/>
        <w:jc w:val="both"/>
        <w:rPr>
          <w:rFonts w:ascii="Times New Roman" w:hAnsi="Times New Roman" w:cs="Times New Roman"/>
          <w:sz w:val="24"/>
          <w:szCs w:val="24"/>
        </w:rPr>
      </w:pPr>
      <w:r w:rsidRPr="00E8175F">
        <w:rPr>
          <w:rFonts w:ascii="Times New Roman" w:hAnsi="Times New Roman" w:cs="Times New Roman"/>
          <w:sz w:val="24"/>
          <w:szCs w:val="24"/>
        </w:rPr>
        <w:t>smernic</w:t>
      </w:r>
      <w:r>
        <w:rPr>
          <w:rFonts w:ascii="Times New Roman" w:hAnsi="Times New Roman" w:cs="Times New Roman"/>
          <w:sz w:val="24"/>
          <w:szCs w:val="24"/>
        </w:rPr>
        <w:t xml:space="preserve">a </w:t>
      </w:r>
      <w:r w:rsidRPr="00D449AF">
        <w:rPr>
          <w:rFonts w:ascii="Times New Roman" w:hAnsi="Times New Roman" w:cs="Times New Roman"/>
          <w:sz w:val="24"/>
          <w:szCs w:val="24"/>
        </w:rPr>
        <w:t xml:space="preserve">Európskeho parlamentu a Rady (EÚ) </w:t>
      </w:r>
      <w:r w:rsidRPr="00D449AF">
        <w:rPr>
          <w:rFonts w:ascii="Times New Roman" w:hAnsi="Times New Roman" w:cs="Times New Roman"/>
          <w:sz w:val="24"/>
          <w:szCs w:val="24"/>
          <w:u w:val="single"/>
        </w:rPr>
        <w:t xml:space="preserve">2020/1504 </w:t>
      </w:r>
      <w:r w:rsidRPr="00D449AF">
        <w:rPr>
          <w:rFonts w:ascii="Times New Roman" w:hAnsi="Times New Roman" w:cs="Times New Roman"/>
          <w:sz w:val="24"/>
          <w:szCs w:val="24"/>
        </w:rPr>
        <w:t xml:space="preserve">zo 7. októbra 2020, ktorou sa mení smernica 2014/65/EÚ o trhoch s finančnými nástrojmi </w:t>
      </w:r>
      <w:r w:rsidRPr="00E8175F">
        <w:rPr>
          <w:rFonts w:ascii="Times New Roman" w:hAnsi="Times New Roman" w:cs="Times New Roman"/>
          <w:sz w:val="24"/>
          <w:szCs w:val="24"/>
        </w:rPr>
        <w:t>(Ú. v. EÚ L 347, 20.10.2020), gestor: MF SR, ÚV SR</w:t>
      </w:r>
    </w:p>
    <w:p w14:paraId="5C3BE62A" w14:textId="77777777" w:rsidR="00E60336" w:rsidRPr="00D449AF" w:rsidRDefault="00E60336" w:rsidP="00E60336">
      <w:pPr>
        <w:pStyle w:val="Odsekzoznamu"/>
        <w:numPr>
          <w:ilvl w:val="0"/>
          <w:numId w:val="8"/>
        </w:numPr>
        <w:spacing w:after="0" w:line="240" w:lineRule="auto"/>
        <w:jc w:val="both"/>
        <w:rPr>
          <w:rFonts w:ascii="Times New Roman" w:hAnsi="Times New Roman" w:cs="Times New Roman"/>
          <w:sz w:val="24"/>
          <w:szCs w:val="24"/>
        </w:rPr>
      </w:pPr>
      <w:r w:rsidRPr="00D449AF">
        <w:rPr>
          <w:rFonts w:ascii="Times New Roman" w:hAnsi="Times New Roman" w:cs="Times New Roman"/>
          <w:sz w:val="24"/>
          <w:szCs w:val="24"/>
        </w:rPr>
        <w:t xml:space="preserve">smernica Európskeho parlamentu a Rady (EÚ) </w:t>
      </w:r>
      <w:r w:rsidRPr="00D449AF">
        <w:rPr>
          <w:rFonts w:ascii="Times New Roman" w:hAnsi="Times New Roman" w:cs="Times New Roman"/>
          <w:sz w:val="24"/>
          <w:szCs w:val="24"/>
          <w:u w:val="single"/>
        </w:rPr>
        <w:t>2019/2177</w:t>
      </w:r>
      <w:r w:rsidRPr="00D449AF">
        <w:rPr>
          <w:rFonts w:ascii="Times New Roman" w:hAnsi="Times New Roman" w:cs="Times New Roman"/>
          <w:sz w:val="24"/>
          <w:szCs w:val="24"/>
        </w:rPr>
        <w:t xml:space="preserve"> z 18. decembra 2019, ktorou sa mení smernica 2009/138/ES o začatí a vykonávaní poistenia a zaistenia (Solventnosť II), smernica 2014/65/EÚ o trhoch s finančnými nástrojmi a smernica (EÚ) 2015/849 o predchádzaní využívaniu finančného systému na účely prania špinavých peňazí alebo financovania terorizmu (Ú. v. EÚ L 334, 27.12.2019), gestor MF SR, </w:t>
      </w:r>
      <w:proofErr w:type="spellStart"/>
      <w:r w:rsidRPr="00D449AF">
        <w:rPr>
          <w:rFonts w:ascii="Times New Roman" w:hAnsi="Times New Roman" w:cs="Times New Roman"/>
          <w:sz w:val="24"/>
          <w:szCs w:val="24"/>
        </w:rPr>
        <w:t>spolugestor</w:t>
      </w:r>
      <w:proofErr w:type="spellEnd"/>
      <w:r w:rsidRPr="00D449AF">
        <w:rPr>
          <w:rFonts w:ascii="Times New Roman" w:hAnsi="Times New Roman" w:cs="Times New Roman"/>
          <w:sz w:val="24"/>
          <w:szCs w:val="24"/>
        </w:rPr>
        <w:t xml:space="preserve"> MV SR, NBS,</w:t>
      </w:r>
    </w:p>
    <w:p w14:paraId="00F9D3D8" w14:textId="77777777" w:rsidR="00E60336" w:rsidRPr="00D449AF" w:rsidRDefault="00E60336" w:rsidP="00E60336">
      <w:pPr>
        <w:pStyle w:val="Odsekzoznamu"/>
        <w:numPr>
          <w:ilvl w:val="0"/>
          <w:numId w:val="8"/>
        </w:numPr>
        <w:spacing w:after="0" w:line="240" w:lineRule="auto"/>
        <w:jc w:val="both"/>
        <w:rPr>
          <w:rFonts w:ascii="Times New Roman" w:eastAsia="Times New Roman" w:hAnsi="Times New Roman" w:cs="Times New Roman"/>
          <w:color w:val="000000"/>
          <w:sz w:val="27"/>
          <w:szCs w:val="27"/>
          <w:lang w:eastAsia="sk-SK"/>
        </w:rPr>
      </w:pPr>
      <w:r w:rsidRPr="00D449AF">
        <w:rPr>
          <w:rFonts w:ascii="Times New Roman" w:eastAsia="Times New Roman" w:hAnsi="Times New Roman" w:cs="Times New Roman"/>
          <w:color w:val="000000"/>
          <w:sz w:val="24"/>
          <w:szCs w:val="24"/>
          <w:lang w:eastAsia="sk-SK"/>
        </w:rPr>
        <w:t xml:space="preserve">smernica Európskeho parlamentu a Rady (EÚ) </w:t>
      </w:r>
      <w:r w:rsidRPr="00D449AF">
        <w:rPr>
          <w:rFonts w:ascii="Times New Roman" w:eastAsia="Times New Roman" w:hAnsi="Times New Roman" w:cs="Times New Roman"/>
          <w:color w:val="000000"/>
          <w:sz w:val="24"/>
          <w:szCs w:val="24"/>
          <w:u w:val="single"/>
          <w:lang w:eastAsia="sk-SK"/>
        </w:rPr>
        <w:t>2019/2034</w:t>
      </w:r>
      <w:r w:rsidRPr="00D449AF">
        <w:rPr>
          <w:rFonts w:ascii="Times New Roman" w:eastAsia="Times New Roman" w:hAnsi="Times New Roman" w:cs="Times New Roman"/>
          <w:color w:val="000000"/>
          <w:sz w:val="24"/>
          <w:szCs w:val="24"/>
          <w:lang w:eastAsia="sk-SK"/>
        </w:rPr>
        <w:t xml:space="preserve"> z 27. novembra 2019 o </w:t>
      </w:r>
      <w:proofErr w:type="spellStart"/>
      <w:r w:rsidRPr="00D449AF">
        <w:rPr>
          <w:rFonts w:ascii="Times New Roman" w:eastAsia="Times New Roman" w:hAnsi="Times New Roman" w:cs="Times New Roman"/>
          <w:color w:val="000000"/>
          <w:sz w:val="24"/>
          <w:szCs w:val="24"/>
          <w:lang w:eastAsia="sk-SK"/>
        </w:rPr>
        <w:t>prudenciálnom</w:t>
      </w:r>
      <w:proofErr w:type="spellEnd"/>
      <w:r w:rsidRPr="00D449AF">
        <w:rPr>
          <w:rFonts w:ascii="Times New Roman" w:eastAsia="Times New Roman" w:hAnsi="Times New Roman" w:cs="Times New Roman"/>
          <w:color w:val="000000"/>
          <w:sz w:val="24"/>
          <w:szCs w:val="24"/>
          <w:lang w:eastAsia="sk-SK"/>
        </w:rPr>
        <w:t xml:space="preserve"> dohľade nad investičnými spoločnosťami a o zmene smerníc 2002/87/ES, 2009/65/ES, 2011/61/ES, 2013/36/EÚ, 2014/59/EÚ a 2014/65/EÚ (Ú. v. EÚ L 314, 5. 12. 2019), gestor: MF SR, </w:t>
      </w:r>
      <w:proofErr w:type="spellStart"/>
      <w:r w:rsidRPr="00D449AF">
        <w:rPr>
          <w:rFonts w:ascii="Times New Roman" w:eastAsia="Times New Roman" w:hAnsi="Times New Roman" w:cs="Times New Roman"/>
          <w:color w:val="000000"/>
          <w:sz w:val="24"/>
          <w:szCs w:val="24"/>
          <w:lang w:eastAsia="sk-SK"/>
        </w:rPr>
        <w:t>spolugestor</w:t>
      </w:r>
      <w:proofErr w:type="spellEnd"/>
      <w:r w:rsidRPr="00D449AF">
        <w:rPr>
          <w:rFonts w:ascii="Times New Roman" w:eastAsia="Times New Roman" w:hAnsi="Times New Roman" w:cs="Times New Roman"/>
          <w:color w:val="000000"/>
          <w:sz w:val="24"/>
          <w:szCs w:val="24"/>
          <w:lang w:eastAsia="sk-SK"/>
        </w:rPr>
        <w:t>: NBS,</w:t>
      </w:r>
    </w:p>
    <w:p w14:paraId="0B40BF3E" w14:textId="77777777" w:rsidR="00E60336" w:rsidRPr="00D449AF" w:rsidRDefault="00E60336" w:rsidP="00E60336">
      <w:pPr>
        <w:pStyle w:val="Odsekzoznamu"/>
        <w:numPr>
          <w:ilvl w:val="0"/>
          <w:numId w:val="8"/>
        </w:numPr>
        <w:spacing w:after="0" w:line="240" w:lineRule="auto"/>
        <w:jc w:val="both"/>
        <w:rPr>
          <w:rFonts w:ascii="Times New Roman" w:eastAsia="Times New Roman" w:hAnsi="Times New Roman" w:cs="Times New Roman"/>
          <w:color w:val="000000"/>
          <w:sz w:val="24"/>
          <w:szCs w:val="24"/>
          <w:lang w:eastAsia="sk-SK"/>
        </w:rPr>
      </w:pPr>
      <w:r w:rsidRPr="00D449AF">
        <w:rPr>
          <w:rFonts w:ascii="Times New Roman" w:hAnsi="Times New Roman" w:cs="Times New Roman"/>
          <w:bCs/>
          <w:sz w:val="24"/>
          <w:szCs w:val="24"/>
        </w:rPr>
        <w:t xml:space="preserve">smernica Európskeho parlamentu a Rady </w:t>
      </w:r>
      <w:r w:rsidRPr="00D449AF">
        <w:rPr>
          <w:rFonts w:ascii="Times New Roman" w:hAnsi="Times New Roman" w:cs="Times New Roman"/>
          <w:bCs/>
          <w:sz w:val="24"/>
          <w:szCs w:val="24"/>
          <w:u w:val="single"/>
        </w:rPr>
        <w:t>2014/65/EÚ</w:t>
      </w:r>
      <w:r w:rsidRPr="00D449AF">
        <w:rPr>
          <w:rFonts w:ascii="Times New Roman" w:hAnsi="Times New Roman" w:cs="Times New Roman"/>
          <w:bCs/>
          <w:sz w:val="24"/>
          <w:szCs w:val="24"/>
        </w:rPr>
        <w:t xml:space="preserve"> z 15. mája 2014 o trhoch s finančnými nástrojmi, ktorou sa mení smernica 2002/92/ES a smernica 2011/61/</w:t>
      </w:r>
      <w:r w:rsidRPr="00E8175F">
        <w:rPr>
          <w:rFonts w:ascii="Times New Roman" w:hAnsi="Times New Roman" w:cs="Times New Roman"/>
          <w:bCs/>
          <w:sz w:val="24"/>
          <w:szCs w:val="24"/>
        </w:rPr>
        <w:t>EÚ (prepracované znenie) (</w:t>
      </w:r>
      <w:r w:rsidRPr="00D449AF">
        <w:rPr>
          <w:rFonts w:ascii="Times New Roman" w:hAnsi="Times New Roman" w:cs="Times New Roman"/>
          <w:bCs/>
          <w:iCs/>
          <w:sz w:val="24"/>
          <w:szCs w:val="24"/>
        </w:rPr>
        <w:t xml:space="preserve">Ú. v. EÚ L 173, 12.6.2014) v platnom znení, gestor: MF SR, </w:t>
      </w:r>
      <w:proofErr w:type="spellStart"/>
      <w:r w:rsidRPr="00D449AF">
        <w:rPr>
          <w:rFonts w:ascii="Times New Roman" w:hAnsi="Times New Roman" w:cs="Times New Roman"/>
          <w:bCs/>
          <w:iCs/>
          <w:sz w:val="24"/>
          <w:szCs w:val="24"/>
        </w:rPr>
        <w:t>spolugestor</w:t>
      </w:r>
      <w:proofErr w:type="spellEnd"/>
      <w:r w:rsidRPr="00D449AF">
        <w:rPr>
          <w:rFonts w:ascii="Times New Roman" w:hAnsi="Times New Roman" w:cs="Times New Roman"/>
          <w:bCs/>
          <w:iCs/>
          <w:sz w:val="24"/>
          <w:szCs w:val="24"/>
        </w:rPr>
        <w:t>: NBS,</w:t>
      </w:r>
    </w:p>
    <w:p w14:paraId="4DF562B9" w14:textId="77777777" w:rsidR="00E60336" w:rsidRPr="00E8175F" w:rsidRDefault="00E60336" w:rsidP="00E60336">
      <w:pPr>
        <w:pStyle w:val="Odsekzoznamu"/>
        <w:numPr>
          <w:ilvl w:val="0"/>
          <w:numId w:val="8"/>
        </w:numPr>
        <w:spacing w:after="0" w:line="240" w:lineRule="auto"/>
        <w:jc w:val="both"/>
        <w:rPr>
          <w:rFonts w:ascii="Times New Roman" w:eastAsia="Times New Roman" w:hAnsi="Times New Roman" w:cs="Times New Roman"/>
          <w:color w:val="000000"/>
          <w:sz w:val="24"/>
          <w:szCs w:val="24"/>
          <w:lang w:eastAsia="sk-SK"/>
        </w:rPr>
      </w:pPr>
      <w:r w:rsidRPr="00D449AF">
        <w:rPr>
          <w:rFonts w:ascii="Times New Roman" w:hAnsi="Times New Roman" w:cs="Times New Roman"/>
          <w:bCs/>
          <w:iCs/>
          <w:sz w:val="24"/>
          <w:szCs w:val="24"/>
        </w:rPr>
        <w:t xml:space="preserve">smernica Európskeho parlamentu a Rady </w:t>
      </w:r>
      <w:r w:rsidRPr="00D449AF">
        <w:rPr>
          <w:rFonts w:ascii="Times New Roman" w:hAnsi="Times New Roman" w:cs="Times New Roman"/>
          <w:bCs/>
          <w:iCs/>
          <w:sz w:val="24"/>
          <w:szCs w:val="24"/>
          <w:u w:val="single"/>
        </w:rPr>
        <w:t>2014/59/EÚ</w:t>
      </w:r>
      <w:r w:rsidRPr="00D449AF">
        <w:rPr>
          <w:rFonts w:ascii="Times New Roman" w:hAnsi="Times New Roman" w:cs="Times New Roman"/>
          <w:bCs/>
          <w:iCs/>
          <w:sz w:val="24"/>
          <w:szCs w:val="24"/>
        </w:rPr>
        <w:t xml:space="preserve"> z 15. mája 2014 ,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w:t>
      </w:r>
      <w:r w:rsidRPr="00E8175F">
        <w:rPr>
          <w:rFonts w:ascii="Times New Roman" w:hAnsi="Times New Roman" w:cs="Times New Roman"/>
          <w:bCs/>
          <w:iCs/>
          <w:sz w:val="24"/>
          <w:szCs w:val="24"/>
        </w:rPr>
        <w:t xml:space="preserve">648/2012, (Ú. v. EÚ L 173, 12.6.2014), v platnom znení, gestor MF SR, </w:t>
      </w:r>
      <w:proofErr w:type="spellStart"/>
      <w:r w:rsidRPr="00E8175F">
        <w:rPr>
          <w:rFonts w:ascii="Times New Roman" w:hAnsi="Times New Roman" w:cs="Times New Roman"/>
          <w:bCs/>
          <w:iCs/>
          <w:sz w:val="24"/>
          <w:szCs w:val="24"/>
        </w:rPr>
        <w:t>spolugestor</w:t>
      </w:r>
      <w:proofErr w:type="spellEnd"/>
      <w:r w:rsidRPr="00E8175F">
        <w:rPr>
          <w:rFonts w:ascii="Times New Roman" w:hAnsi="Times New Roman" w:cs="Times New Roman"/>
          <w:bCs/>
          <w:iCs/>
          <w:sz w:val="24"/>
          <w:szCs w:val="24"/>
        </w:rPr>
        <w:t>: NBS,</w:t>
      </w:r>
    </w:p>
    <w:p w14:paraId="59D93733" w14:textId="77777777" w:rsidR="00E60336" w:rsidRPr="00727471" w:rsidRDefault="00E60336" w:rsidP="00E60336">
      <w:pPr>
        <w:pStyle w:val="Odsekzoznamu"/>
        <w:numPr>
          <w:ilvl w:val="0"/>
          <w:numId w:val="8"/>
        </w:numPr>
        <w:spacing w:after="0" w:line="240" w:lineRule="auto"/>
        <w:jc w:val="both"/>
        <w:rPr>
          <w:rFonts w:ascii="Times New Roman" w:eastAsia="Times New Roman" w:hAnsi="Times New Roman" w:cs="Times New Roman"/>
          <w:color w:val="000000"/>
          <w:sz w:val="27"/>
          <w:szCs w:val="27"/>
          <w:lang w:eastAsia="sk-SK"/>
        </w:rPr>
      </w:pPr>
      <w:r w:rsidRPr="00D449AF">
        <w:rPr>
          <w:rFonts w:ascii="Times New Roman" w:eastAsia="Times New Roman" w:hAnsi="Times New Roman" w:cs="Times New Roman"/>
          <w:color w:val="000000"/>
          <w:sz w:val="24"/>
          <w:szCs w:val="24"/>
          <w:lang w:eastAsia="sk-SK"/>
        </w:rPr>
        <w:t>smernica</w:t>
      </w:r>
      <w:r w:rsidRPr="00D449AF">
        <w:rPr>
          <w:rFonts w:ascii="Times New Roman" w:eastAsia="Times New Roman" w:hAnsi="Times New Roman" w:cs="Times New Roman"/>
          <w:color w:val="000000"/>
          <w:spacing w:val="6"/>
          <w:sz w:val="24"/>
          <w:szCs w:val="24"/>
          <w:lang w:eastAsia="sk-SK"/>
        </w:rPr>
        <w:t xml:space="preserve"> </w:t>
      </w:r>
      <w:r w:rsidRPr="00D449AF">
        <w:rPr>
          <w:rFonts w:ascii="Times New Roman" w:eastAsia="Times New Roman" w:hAnsi="Times New Roman" w:cs="Times New Roman"/>
          <w:color w:val="000000"/>
          <w:sz w:val="24"/>
          <w:szCs w:val="24"/>
          <w:lang w:eastAsia="sk-SK"/>
        </w:rPr>
        <w:t>Európskeho</w:t>
      </w:r>
      <w:r w:rsidRPr="00D449AF">
        <w:rPr>
          <w:rFonts w:ascii="Times New Roman" w:eastAsia="Times New Roman" w:hAnsi="Times New Roman" w:cs="Times New Roman"/>
          <w:color w:val="000000"/>
          <w:spacing w:val="6"/>
          <w:sz w:val="24"/>
          <w:szCs w:val="24"/>
          <w:lang w:eastAsia="sk-SK"/>
        </w:rPr>
        <w:t xml:space="preserve"> </w:t>
      </w:r>
      <w:r w:rsidRPr="00D449AF">
        <w:rPr>
          <w:rFonts w:ascii="Times New Roman" w:eastAsia="Times New Roman" w:hAnsi="Times New Roman" w:cs="Times New Roman"/>
          <w:color w:val="000000"/>
          <w:sz w:val="24"/>
          <w:szCs w:val="24"/>
          <w:lang w:eastAsia="sk-SK"/>
        </w:rPr>
        <w:t>parlamentu</w:t>
      </w:r>
      <w:r w:rsidRPr="00D449AF">
        <w:rPr>
          <w:rFonts w:ascii="Times New Roman" w:eastAsia="Times New Roman" w:hAnsi="Times New Roman" w:cs="Times New Roman"/>
          <w:color w:val="000000"/>
          <w:spacing w:val="6"/>
          <w:sz w:val="24"/>
          <w:szCs w:val="24"/>
          <w:lang w:eastAsia="sk-SK"/>
        </w:rPr>
        <w:t xml:space="preserve"> </w:t>
      </w:r>
      <w:r w:rsidRPr="00D449AF">
        <w:rPr>
          <w:rFonts w:ascii="Times New Roman" w:eastAsia="Times New Roman" w:hAnsi="Times New Roman" w:cs="Times New Roman"/>
          <w:color w:val="000000"/>
          <w:sz w:val="24"/>
          <w:szCs w:val="24"/>
          <w:lang w:eastAsia="sk-SK"/>
        </w:rPr>
        <w:t>a</w:t>
      </w:r>
      <w:r w:rsidRPr="00D449AF">
        <w:rPr>
          <w:rFonts w:ascii="Times New Roman" w:eastAsia="Times New Roman" w:hAnsi="Times New Roman" w:cs="Times New Roman"/>
          <w:color w:val="000000"/>
          <w:spacing w:val="6"/>
          <w:sz w:val="24"/>
          <w:szCs w:val="24"/>
          <w:lang w:eastAsia="sk-SK"/>
        </w:rPr>
        <w:t> </w:t>
      </w:r>
      <w:r w:rsidRPr="00D449AF">
        <w:rPr>
          <w:rFonts w:ascii="Times New Roman" w:eastAsia="Times New Roman" w:hAnsi="Times New Roman" w:cs="Times New Roman"/>
          <w:color w:val="000000"/>
          <w:sz w:val="24"/>
          <w:szCs w:val="24"/>
          <w:lang w:eastAsia="sk-SK"/>
        </w:rPr>
        <w:t xml:space="preserve">Rady </w:t>
      </w:r>
      <w:r w:rsidRPr="00D449AF">
        <w:rPr>
          <w:rFonts w:ascii="Times New Roman" w:eastAsia="Times New Roman" w:hAnsi="Times New Roman" w:cs="Times New Roman"/>
          <w:color w:val="000000"/>
          <w:sz w:val="24"/>
          <w:szCs w:val="24"/>
          <w:u w:val="single"/>
          <w:lang w:eastAsia="sk-SK"/>
        </w:rPr>
        <w:t>2013/36/EÚ</w:t>
      </w:r>
      <w:r w:rsidRPr="00D449AF">
        <w:rPr>
          <w:rFonts w:ascii="Times New Roman" w:eastAsia="Times New Roman" w:hAnsi="Times New Roman" w:cs="Times New Roman"/>
          <w:color w:val="000000"/>
          <w:spacing w:val="6"/>
          <w:sz w:val="24"/>
          <w:szCs w:val="24"/>
          <w:lang w:eastAsia="sk-SK"/>
        </w:rPr>
        <w:t xml:space="preserve"> </w:t>
      </w:r>
      <w:r w:rsidRPr="00D449AF">
        <w:rPr>
          <w:rFonts w:ascii="Times New Roman" w:eastAsia="Times New Roman" w:hAnsi="Times New Roman" w:cs="Times New Roman"/>
          <w:color w:val="000000"/>
          <w:sz w:val="24"/>
          <w:szCs w:val="24"/>
          <w:lang w:eastAsia="sk-SK"/>
        </w:rPr>
        <w:t>z</w:t>
      </w:r>
      <w:r w:rsidRPr="00D449AF">
        <w:rPr>
          <w:rFonts w:ascii="Times New Roman" w:eastAsia="Times New Roman" w:hAnsi="Times New Roman" w:cs="Times New Roman"/>
          <w:color w:val="000000"/>
          <w:spacing w:val="6"/>
          <w:sz w:val="24"/>
          <w:szCs w:val="24"/>
          <w:lang w:eastAsia="sk-SK"/>
        </w:rPr>
        <w:t xml:space="preserve"> </w:t>
      </w:r>
      <w:r w:rsidRPr="00D449AF">
        <w:rPr>
          <w:rFonts w:ascii="Times New Roman" w:eastAsia="Times New Roman" w:hAnsi="Times New Roman" w:cs="Times New Roman"/>
          <w:color w:val="000000"/>
          <w:sz w:val="24"/>
          <w:szCs w:val="24"/>
          <w:lang w:eastAsia="sk-SK"/>
        </w:rPr>
        <w:t>26.</w:t>
      </w:r>
      <w:r w:rsidRPr="00D449AF">
        <w:rPr>
          <w:rFonts w:ascii="Times New Roman" w:eastAsia="Times New Roman" w:hAnsi="Times New Roman" w:cs="Times New Roman"/>
          <w:color w:val="000000"/>
          <w:spacing w:val="6"/>
          <w:sz w:val="24"/>
          <w:szCs w:val="24"/>
          <w:lang w:eastAsia="sk-SK"/>
        </w:rPr>
        <w:t xml:space="preserve"> </w:t>
      </w:r>
      <w:r w:rsidRPr="00D449AF">
        <w:rPr>
          <w:rFonts w:ascii="Times New Roman" w:eastAsia="Times New Roman" w:hAnsi="Times New Roman" w:cs="Times New Roman"/>
          <w:color w:val="000000"/>
          <w:sz w:val="24"/>
          <w:szCs w:val="24"/>
          <w:lang w:eastAsia="sk-SK"/>
        </w:rPr>
        <w:t>júna</w:t>
      </w:r>
      <w:r w:rsidRPr="00D449AF">
        <w:rPr>
          <w:rFonts w:ascii="Times New Roman" w:eastAsia="Times New Roman" w:hAnsi="Times New Roman" w:cs="Times New Roman"/>
          <w:color w:val="000000"/>
          <w:spacing w:val="6"/>
          <w:sz w:val="24"/>
          <w:szCs w:val="24"/>
          <w:lang w:eastAsia="sk-SK"/>
        </w:rPr>
        <w:t xml:space="preserve"> </w:t>
      </w:r>
      <w:r w:rsidRPr="00D449AF">
        <w:rPr>
          <w:rFonts w:ascii="Times New Roman" w:eastAsia="Times New Roman" w:hAnsi="Times New Roman" w:cs="Times New Roman"/>
          <w:color w:val="000000"/>
          <w:sz w:val="24"/>
          <w:szCs w:val="24"/>
          <w:lang w:eastAsia="sk-SK"/>
        </w:rPr>
        <w:t>2013</w:t>
      </w:r>
      <w:r w:rsidRPr="00D449AF">
        <w:rPr>
          <w:rFonts w:ascii="Times New Roman" w:eastAsia="Times New Roman" w:hAnsi="Times New Roman" w:cs="Times New Roman"/>
          <w:color w:val="000000"/>
          <w:spacing w:val="6"/>
          <w:sz w:val="24"/>
          <w:szCs w:val="24"/>
          <w:lang w:eastAsia="sk-SK"/>
        </w:rPr>
        <w:t xml:space="preserve"> </w:t>
      </w:r>
      <w:r w:rsidRPr="00D449AF">
        <w:rPr>
          <w:rFonts w:ascii="Times New Roman" w:eastAsia="Times New Roman" w:hAnsi="Times New Roman" w:cs="Times New Roman"/>
          <w:color w:val="000000"/>
          <w:sz w:val="24"/>
          <w:szCs w:val="24"/>
          <w:lang w:eastAsia="sk-SK"/>
        </w:rPr>
        <w:t>o</w:t>
      </w:r>
      <w:r w:rsidRPr="00D449AF">
        <w:rPr>
          <w:rFonts w:ascii="Times New Roman" w:eastAsia="Times New Roman" w:hAnsi="Times New Roman" w:cs="Times New Roman"/>
          <w:color w:val="000000"/>
          <w:spacing w:val="6"/>
          <w:sz w:val="24"/>
          <w:szCs w:val="24"/>
          <w:lang w:eastAsia="sk-SK"/>
        </w:rPr>
        <w:t> </w:t>
      </w:r>
      <w:r w:rsidRPr="00D449AF">
        <w:rPr>
          <w:rFonts w:ascii="Times New Roman" w:eastAsia="Times New Roman" w:hAnsi="Times New Roman" w:cs="Times New Roman"/>
          <w:color w:val="000000"/>
          <w:sz w:val="24"/>
          <w:szCs w:val="24"/>
          <w:lang w:eastAsia="sk-SK"/>
        </w:rPr>
        <w:t>prístupe</w:t>
      </w:r>
      <w:r w:rsidRPr="00A338B7">
        <w:rPr>
          <w:rFonts w:ascii="Times New Roman" w:eastAsia="Times New Roman" w:hAnsi="Times New Roman" w:cs="Times New Roman"/>
          <w:color w:val="000000"/>
          <w:sz w:val="24"/>
          <w:szCs w:val="24"/>
          <w:lang w:eastAsia="sk-SK"/>
        </w:rPr>
        <w:t xml:space="preserve"> k</w:t>
      </w:r>
      <w:r w:rsidRPr="00A338B7">
        <w:rPr>
          <w:rFonts w:ascii="Times New Roman" w:eastAsia="Times New Roman" w:hAnsi="Times New Roman" w:cs="Times New Roman"/>
          <w:color w:val="000000"/>
          <w:spacing w:val="6"/>
          <w:sz w:val="24"/>
          <w:szCs w:val="24"/>
          <w:lang w:eastAsia="sk-SK"/>
        </w:rPr>
        <w:t> </w:t>
      </w:r>
      <w:r w:rsidRPr="00A338B7">
        <w:rPr>
          <w:rFonts w:ascii="Times New Roman" w:eastAsia="Times New Roman" w:hAnsi="Times New Roman" w:cs="Times New Roman"/>
          <w:color w:val="000000"/>
          <w:sz w:val="24"/>
          <w:szCs w:val="24"/>
          <w:lang w:eastAsia="sk-SK"/>
        </w:rPr>
        <w:t>činnosti úverových</w:t>
      </w:r>
      <w:r w:rsidRPr="00A338B7">
        <w:rPr>
          <w:rFonts w:ascii="Times New Roman" w:eastAsia="Times New Roman" w:hAnsi="Times New Roman" w:cs="Times New Roman"/>
          <w:color w:val="000000"/>
          <w:spacing w:val="24"/>
          <w:sz w:val="24"/>
          <w:szCs w:val="24"/>
          <w:lang w:eastAsia="sk-SK"/>
        </w:rPr>
        <w:t xml:space="preserve"> </w:t>
      </w:r>
      <w:r w:rsidRPr="00A338B7">
        <w:rPr>
          <w:rFonts w:ascii="Times New Roman" w:eastAsia="Times New Roman" w:hAnsi="Times New Roman" w:cs="Times New Roman"/>
          <w:color w:val="000000"/>
          <w:sz w:val="24"/>
          <w:szCs w:val="24"/>
          <w:lang w:eastAsia="sk-SK"/>
        </w:rPr>
        <w:t>inštitúcií</w:t>
      </w:r>
      <w:r w:rsidRPr="00A338B7">
        <w:rPr>
          <w:rFonts w:ascii="Times New Roman" w:eastAsia="Times New Roman" w:hAnsi="Times New Roman" w:cs="Times New Roman"/>
          <w:color w:val="000000"/>
          <w:spacing w:val="24"/>
          <w:sz w:val="24"/>
          <w:szCs w:val="24"/>
          <w:lang w:eastAsia="sk-SK"/>
        </w:rPr>
        <w:t xml:space="preserve"> </w:t>
      </w:r>
      <w:r w:rsidRPr="00A338B7">
        <w:rPr>
          <w:rFonts w:ascii="Times New Roman" w:eastAsia="Times New Roman" w:hAnsi="Times New Roman" w:cs="Times New Roman"/>
          <w:color w:val="000000"/>
          <w:sz w:val="24"/>
          <w:szCs w:val="24"/>
          <w:lang w:eastAsia="sk-SK"/>
        </w:rPr>
        <w:t>a</w:t>
      </w:r>
      <w:r w:rsidRPr="00A338B7">
        <w:rPr>
          <w:rFonts w:ascii="Times New Roman" w:eastAsia="Times New Roman" w:hAnsi="Times New Roman" w:cs="Times New Roman"/>
          <w:color w:val="000000"/>
          <w:spacing w:val="24"/>
          <w:sz w:val="24"/>
          <w:szCs w:val="24"/>
          <w:lang w:eastAsia="sk-SK"/>
        </w:rPr>
        <w:t> </w:t>
      </w:r>
      <w:proofErr w:type="spellStart"/>
      <w:r w:rsidRPr="00A338B7">
        <w:rPr>
          <w:rFonts w:ascii="Times New Roman" w:eastAsia="Times New Roman" w:hAnsi="Times New Roman" w:cs="Times New Roman"/>
          <w:color w:val="000000"/>
          <w:sz w:val="24"/>
          <w:szCs w:val="24"/>
          <w:lang w:eastAsia="sk-SK"/>
        </w:rPr>
        <w:t>prudenciálnom</w:t>
      </w:r>
      <w:proofErr w:type="spellEnd"/>
      <w:r w:rsidRPr="00A338B7">
        <w:rPr>
          <w:rFonts w:ascii="Times New Roman" w:eastAsia="Times New Roman" w:hAnsi="Times New Roman" w:cs="Times New Roman"/>
          <w:color w:val="000000"/>
          <w:sz w:val="24"/>
          <w:szCs w:val="24"/>
          <w:lang w:eastAsia="sk-SK"/>
        </w:rPr>
        <w:t xml:space="preserve"> dohľade</w:t>
      </w:r>
      <w:r w:rsidRPr="00A338B7">
        <w:rPr>
          <w:rFonts w:ascii="Times New Roman" w:eastAsia="Times New Roman" w:hAnsi="Times New Roman" w:cs="Times New Roman"/>
          <w:color w:val="000000"/>
          <w:spacing w:val="24"/>
          <w:sz w:val="24"/>
          <w:szCs w:val="24"/>
          <w:lang w:eastAsia="sk-SK"/>
        </w:rPr>
        <w:t xml:space="preserve"> </w:t>
      </w:r>
      <w:r w:rsidRPr="00A338B7">
        <w:rPr>
          <w:rFonts w:ascii="Times New Roman" w:eastAsia="Times New Roman" w:hAnsi="Times New Roman" w:cs="Times New Roman"/>
          <w:color w:val="000000"/>
          <w:sz w:val="24"/>
          <w:szCs w:val="24"/>
          <w:lang w:eastAsia="sk-SK"/>
        </w:rPr>
        <w:t>nad</w:t>
      </w:r>
      <w:r w:rsidRPr="00A338B7">
        <w:rPr>
          <w:rFonts w:ascii="Times New Roman" w:eastAsia="Times New Roman" w:hAnsi="Times New Roman" w:cs="Times New Roman"/>
          <w:color w:val="000000"/>
          <w:spacing w:val="24"/>
          <w:sz w:val="24"/>
          <w:szCs w:val="24"/>
          <w:lang w:eastAsia="sk-SK"/>
        </w:rPr>
        <w:t xml:space="preserve"> </w:t>
      </w:r>
      <w:r w:rsidRPr="00A338B7">
        <w:rPr>
          <w:rFonts w:ascii="Times New Roman" w:eastAsia="Times New Roman" w:hAnsi="Times New Roman" w:cs="Times New Roman"/>
          <w:color w:val="000000"/>
          <w:sz w:val="24"/>
          <w:szCs w:val="24"/>
          <w:lang w:eastAsia="sk-SK"/>
        </w:rPr>
        <w:t>úverovými</w:t>
      </w:r>
      <w:r w:rsidRPr="00A338B7">
        <w:rPr>
          <w:rFonts w:ascii="Times New Roman" w:eastAsia="Times New Roman" w:hAnsi="Times New Roman" w:cs="Times New Roman"/>
          <w:color w:val="000000"/>
          <w:spacing w:val="24"/>
          <w:sz w:val="24"/>
          <w:szCs w:val="24"/>
          <w:lang w:eastAsia="sk-SK"/>
        </w:rPr>
        <w:t xml:space="preserve"> </w:t>
      </w:r>
      <w:r w:rsidRPr="00A338B7">
        <w:rPr>
          <w:rFonts w:ascii="Times New Roman" w:eastAsia="Times New Roman" w:hAnsi="Times New Roman" w:cs="Times New Roman"/>
          <w:color w:val="000000"/>
          <w:sz w:val="24"/>
          <w:szCs w:val="24"/>
          <w:lang w:eastAsia="sk-SK"/>
        </w:rPr>
        <w:t>inštitúciami</w:t>
      </w:r>
      <w:r w:rsidRPr="00A338B7">
        <w:rPr>
          <w:rFonts w:ascii="Times New Roman" w:eastAsia="Times New Roman" w:hAnsi="Times New Roman" w:cs="Times New Roman"/>
          <w:color w:val="000000"/>
          <w:spacing w:val="24"/>
          <w:sz w:val="24"/>
          <w:szCs w:val="24"/>
          <w:lang w:eastAsia="sk-SK"/>
        </w:rPr>
        <w:t xml:space="preserve"> </w:t>
      </w:r>
      <w:r w:rsidRPr="00A338B7">
        <w:rPr>
          <w:rFonts w:ascii="Times New Roman" w:eastAsia="Times New Roman" w:hAnsi="Times New Roman" w:cs="Times New Roman"/>
          <w:color w:val="000000"/>
          <w:sz w:val="24"/>
          <w:szCs w:val="24"/>
          <w:lang w:eastAsia="sk-SK"/>
        </w:rPr>
        <w:t>a</w:t>
      </w:r>
      <w:r w:rsidRPr="00A338B7">
        <w:rPr>
          <w:rFonts w:ascii="Times New Roman" w:eastAsia="Times New Roman" w:hAnsi="Times New Roman" w:cs="Times New Roman"/>
          <w:color w:val="000000"/>
          <w:spacing w:val="24"/>
          <w:sz w:val="24"/>
          <w:szCs w:val="24"/>
          <w:lang w:eastAsia="sk-SK"/>
        </w:rPr>
        <w:t> </w:t>
      </w:r>
      <w:r w:rsidRPr="00A338B7">
        <w:rPr>
          <w:rFonts w:ascii="Times New Roman" w:eastAsia="Times New Roman" w:hAnsi="Times New Roman" w:cs="Times New Roman"/>
          <w:color w:val="000000"/>
          <w:sz w:val="24"/>
          <w:szCs w:val="24"/>
          <w:lang w:eastAsia="sk-SK"/>
        </w:rPr>
        <w:t>investičnými spoločnosťami,</w:t>
      </w:r>
      <w:r w:rsidRPr="00A338B7">
        <w:rPr>
          <w:rFonts w:ascii="Times New Roman" w:eastAsia="Times New Roman" w:hAnsi="Times New Roman" w:cs="Times New Roman"/>
          <w:color w:val="000000"/>
          <w:spacing w:val="107"/>
          <w:sz w:val="24"/>
          <w:szCs w:val="24"/>
          <w:lang w:eastAsia="sk-SK"/>
        </w:rPr>
        <w:t xml:space="preserve"> </w:t>
      </w:r>
      <w:r w:rsidRPr="00A338B7">
        <w:rPr>
          <w:rFonts w:ascii="Times New Roman" w:eastAsia="Times New Roman" w:hAnsi="Times New Roman" w:cs="Times New Roman"/>
          <w:color w:val="000000"/>
          <w:sz w:val="24"/>
          <w:szCs w:val="24"/>
          <w:lang w:eastAsia="sk-SK"/>
        </w:rPr>
        <w:t>o</w:t>
      </w:r>
      <w:r w:rsidRPr="00A338B7">
        <w:rPr>
          <w:rFonts w:ascii="Times New Roman" w:eastAsia="Times New Roman" w:hAnsi="Times New Roman" w:cs="Times New Roman"/>
          <w:color w:val="000000"/>
          <w:spacing w:val="107"/>
          <w:sz w:val="24"/>
          <w:szCs w:val="24"/>
          <w:lang w:eastAsia="sk-SK"/>
        </w:rPr>
        <w:t> </w:t>
      </w:r>
      <w:r w:rsidRPr="00A338B7">
        <w:rPr>
          <w:rFonts w:ascii="Times New Roman" w:eastAsia="Times New Roman" w:hAnsi="Times New Roman" w:cs="Times New Roman"/>
          <w:color w:val="000000"/>
          <w:sz w:val="24"/>
          <w:szCs w:val="24"/>
          <w:lang w:eastAsia="sk-SK"/>
        </w:rPr>
        <w:t>zmene smernice</w:t>
      </w:r>
      <w:r w:rsidRPr="00A338B7">
        <w:rPr>
          <w:rFonts w:ascii="Times New Roman" w:eastAsia="Times New Roman" w:hAnsi="Times New Roman" w:cs="Times New Roman"/>
          <w:color w:val="000000"/>
          <w:spacing w:val="107"/>
          <w:sz w:val="24"/>
          <w:szCs w:val="24"/>
          <w:lang w:eastAsia="sk-SK"/>
        </w:rPr>
        <w:t xml:space="preserve"> </w:t>
      </w:r>
      <w:r w:rsidRPr="00A338B7">
        <w:rPr>
          <w:rFonts w:ascii="Times New Roman" w:eastAsia="Times New Roman" w:hAnsi="Times New Roman" w:cs="Times New Roman"/>
          <w:color w:val="000000"/>
          <w:sz w:val="24"/>
          <w:szCs w:val="24"/>
          <w:lang w:eastAsia="sk-SK"/>
        </w:rPr>
        <w:t>2002/87/ES</w:t>
      </w:r>
      <w:r w:rsidRPr="00A338B7">
        <w:rPr>
          <w:rFonts w:ascii="Times New Roman" w:eastAsia="Times New Roman" w:hAnsi="Times New Roman" w:cs="Times New Roman"/>
          <w:color w:val="000000"/>
          <w:spacing w:val="107"/>
          <w:sz w:val="24"/>
          <w:szCs w:val="24"/>
          <w:lang w:eastAsia="sk-SK"/>
        </w:rPr>
        <w:t xml:space="preserve"> </w:t>
      </w:r>
      <w:r w:rsidRPr="00A338B7">
        <w:rPr>
          <w:rFonts w:ascii="Times New Roman" w:eastAsia="Times New Roman" w:hAnsi="Times New Roman" w:cs="Times New Roman"/>
          <w:color w:val="000000"/>
          <w:sz w:val="24"/>
          <w:szCs w:val="24"/>
          <w:lang w:eastAsia="sk-SK"/>
        </w:rPr>
        <w:lastRenderedPageBreak/>
        <w:t>a</w:t>
      </w:r>
      <w:r w:rsidRPr="00A338B7">
        <w:rPr>
          <w:rFonts w:ascii="Times New Roman" w:eastAsia="Times New Roman" w:hAnsi="Times New Roman" w:cs="Times New Roman"/>
          <w:color w:val="000000"/>
          <w:spacing w:val="107"/>
          <w:sz w:val="24"/>
          <w:szCs w:val="24"/>
          <w:lang w:eastAsia="sk-SK"/>
        </w:rPr>
        <w:t> </w:t>
      </w:r>
      <w:r w:rsidRPr="00A338B7">
        <w:rPr>
          <w:rFonts w:ascii="Times New Roman" w:eastAsia="Times New Roman" w:hAnsi="Times New Roman" w:cs="Times New Roman"/>
          <w:color w:val="000000"/>
          <w:sz w:val="24"/>
          <w:szCs w:val="24"/>
          <w:lang w:eastAsia="sk-SK"/>
        </w:rPr>
        <w:t>o zrušení smerníc</w:t>
      </w:r>
      <w:r w:rsidRPr="00A338B7">
        <w:rPr>
          <w:rFonts w:ascii="Times New Roman" w:eastAsia="Times New Roman" w:hAnsi="Times New Roman" w:cs="Times New Roman"/>
          <w:color w:val="000000"/>
          <w:spacing w:val="107"/>
          <w:sz w:val="24"/>
          <w:szCs w:val="24"/>
          <w:lang w:eastAsia="sk-SK"/>
        </w:rPr>
        <w:t xml:space="preserve"> </w:t>
      </w:r>
      <w:r w:rsidRPr="00A338B7">
        <w:rPr>
          <w:rFonts w:ascii="Times New Roman" w:eastAsia="Times New Roman" w:hAnsi="Times New Roman" w:cs="Times New Roman"/>
          <w:color w:val="000000"/>
          <w:sz w:val="24"/>
          <w:szCs w:val="24"/>
          <w:lang w:eastAsia="sk-SK"/>
        </w:rPr>
        <w:t>2006/48/ES</w:t>
      </w:r>
      <w:r w:rsidRPr="00A338B7">
        <w:rPr>
          <w:rFonts w:ascii="Times New Roman" w:eastAsia="Times New Roman" w:hAnsi="Times New Roman" w:cs="Times New Roman"/>
          <w:color w:val="000000"/>
          <w:spacing w:val="107"/>
          <w:sz w:val="24"/>
          <w:szCs w:val="24"/>
          <w:lang w:eastAsia="sk-SK"/>
        </w:rPr>
        <w:t xml:space="preserve"> </w:t>
      </w:r>
      <w:r w:rsidRPr="00A338B7">
        <w:rPr>
          <w:rFonts w:ascii="Times New Roman" w:eastAsia="Times New Roman" w:hAnsi="Times New Roman" w:cs="Times New Roman"/>
          <w:color w:val="000000"/>
          <w:sz w:val="24"/>
          <w:szCs w:val="24"/>
          <w:lang w:eastAsia="sk-SK"/>
        </w:rPr>
        <w:t xml:space="preserve">a 2006/49/ES (Ú. v. EÚ L 176, 27.6.2013) v platnom znení, gestor: MF SR, </w:t>
      </w:r>
      <w:proofErr w:type="spellStart"/>
      <w:r w:rsidRPr="00A338B7">
        <w:rPr>
          <w:rFonts w:ascii="Times New Roman" w:eastAsia="Times New Roman" w:hAnsi="Times New Roman" w:cs="Times New Roman"/>
          <w:color w:val="000000"/>
          <w:sz w:val="24"/>
          <w:szCs w:val="24"/>
          <w:lang w:eastAsia="sk-SK"/>
        </w:rPr>
        <w:t>spolugestor</w:t>
      </w:r>
      <w:proofErr w:type="spellEnd"/>
      <w:r w:rsidRPr="00A338B7">
        <w:rPr>
          <w:rFonts w:ascii="Times New Roman" w:eastAsia="Times New Roman" w:hAnsi="Times New Roman" w:cs="Times New Roman"/>
          <w:color w:val="000000"/>
          <w:sz w:val="24"/>
          <w:szCs w:val="24"/>
          <w:lang w:eastAsia="sk-SK"/>
        </w:rPr>
        <w:t>: NBS,</w:t>
      </w:r>
    </w:p>
    <w:p w14:paraId="7D27758B" w14:textId="77777777" w:rsidR="00E60336" w:rsidRPr="002E6CF2" w:rsidRDefault="00E60336" w:rsidP="00E60336">
      <w:pPr>
        <w:pStyle w:val="Odsekzoznamu"/>
        <w:numPr>
          <w:ilvl w:val="0"/>
          <w:numId w:val="8"/>
        </w:numPr>
        <w:spacing w:after="0" w:line="240" w:lineRule="auto"/>
        <w:jc w:val="both"/>
        <w:rPr>
          <w:rFonts w:ascii="Times New Roman" w:eastAsia="Times New Roman" w:hAnsi="Times New Roman" w:cs="Times New Roman"/>
          <w:color w:val="000000"/>
          <w:sz w:val="27"/>
          <w:szCs w:val="27"/>
          <w:lang w:eastAsia="sk-SK"/>
        </w:rPr>
      </w:pPr>
      <w:r w:rsidRPr="002E6CF2">
        <w:rPr>
          <w:rFonts w:ascii="Times New Roman" w:eastAsia="Times New Roman" w:hAnsi="Times New Roman" w:cs="Times New Roman"/>
          <w:color w:val="000000"/>
          <w:sz w:val="24"/>
          <w:szCs w:val="24"/>
          <w:lang w:eastAsia="sk-SK"/>
        </w:rPr>
        <w:t xml:space="preserve">smernica Európskeho parlamentu a Rady (EÚ) </w:t>
      </w:r>
      <w:r w:rsidRPr="002E6CF2">
        <w:rPr>
          <w:rFonts w:ascii="Times New Roman" w:eastAsia="Times New Roman" w:hAnsi="Times New Roman" w:cs="Times New Roman"/>
          <w:color w:val="000000"/>
          <w:sz w:val="24"/>
          <w:szCs w:val="24"/>
          <w:u w:val="single"/>
          <w:lang w:eastAsia="sk-SK"/>
        </w:rPr>
        <w:t>2019/878</w:t>
      </w:r>
      <w:r w:rsidRPr="002E6CF2">
        <w:rPr>
          <w:rFonts w:ascii="Times New Roman" w:eastAsia="Times New Roman" w:hAnsi="Times New Roman" w:cs="Times New Roman"/>
          <w:color w:val="000000"/>
          <w:sz w:val="24"/>
          <w:szCs w:val="24"/>
          <w:lang w:eastAsia="sk-SK"/>
        </w:rPr>
        <w:t xml:space="preserve"> z 20. mája 2019, ktorou sa mení smernica 2013/36/EÚ, pokiaľ ide o oslobodené subjekty, finančné holdingové spoločnosti, zmiešané finančné holdingové spoločnosti, odmeňovanie, opatrenia a právomoci v oblasti dohľadu a opatrenia na zachovanie kapitálu (Ú. v. EÚ L 150, 7.6.2019), gestor: MF SR, </w:t>
      </w:r>
      <w:proofErr w:type="spellStart"/>
      <w:r w:rsidRPr="002E6CF2">
        <w:rPr>
          <w:rFonts w:ascii="Times New Roman" w:eastAsia="Times New Roman" w:hAnsi="Times New Roman" w:cs="Times New Roman"/>
          <w:color w:val="000000"/>
          <w:sz w:val="24"/>
          <w:szCs w:val="24"/>
          <w:lang w:eastAsia="sk-SK"/>
        </w:rPr>
        <w:t>spolugestor</w:t>
      </w:r>
      <w:proofErr w:type="spellEnd"/>
      <w:r w:rsidRPr="002E6CF2">
        <w:rPr>
          <w:rFonts w:ascii="Times New Roman" w:eastAsia="Times New Roman" w:hAnsi="Times New Roman" w:cs="Times New Roman"/>
          <w:color w:val="000000"/>
          <w:sz w:val="24"/>
          <w:szCs w:val="24"/>
          <w:lang w:eastAsia="sk-SK"/>
        </w:rPr>
        <w:t>: NBS</w:t>
      </w:r>
    </w:p>
    <w:p w14:paraId="6DD5436A" w14:textId="77777777" w:rsidR="00E60336" w:rsidRPr="00A338B7" w:rsidRDefault="00E60336" w:rsidP="00E60336">
      <w:pPr>
        <w:pStyle w:val="Odsekzoznamu"/>
        <w:numPr>
          <w:ilvl w:val="0"/>
          <w:numId w:val="8"/>
        </w:numPr>
        <w:spacing w:after="0" w:line="240" w:lineRule="auto"/>
        <w:jc w:val="both"/>
        <w:rPr>
          <w:rFonts w:ascii="Times New Roman" w:hAnsi="Times New Roman" w:cs="Times New Roman"/>
          <w:sz w:val="24"/>
          <w:szCs w:val="24"/>
        </w:rPr>
      </w:pPr>
      <w:r w:rsidRPr="00A338B7">
        <w:rPr>
          <w:rFonts w:ascii="Times New Roman" w:hAnsi="Times New Roman" w:cs="Times New Roman"/>
          <w:sz w:val="24"/>
          <w:szCs w:val="24"/>
        </w:rPr>
        <w:t xml:space="preserve">smernica Európskeho parlamentu a Rady (EÚ) </w:t>
      </w:r>
      <w:r w:rsidRPr="00A338B7">
        <w:rPr>
          <w:rFonts w:ascii="Times New Roman" w:hAnsi="Times New Roman" w:cs="Times New Roman"/>
          <w:sz w:val="24"/>
          <w:szCs w:val="24"/>
          <w:u w:val="single"/>
        </w:rPr>
        <w:t>2009/138/ES</w:t>
      </w:r>
      <w:r w:rsidRPr="00A338B7">
        <w:rPr>
          <w:rFonts w:ascii="Times New Roman" w:hAnsi="Times New Roman" w:cs="Times New Roman"/>
          <w:sz w:val="24"/>
          <w:szCs w:val="24"/>
        </w:rPr>
        <w:t xml:space="preserve"> z 25. novembra 2009 o začatí a vykonávaní poistenia a zaistenia (Solventnosť II) (prepracované znenie) (Ú. v. EÚ L 335, 17.12.2009) v platnom znení, gestor: MF SR, </w:t>
      </w:r>
      <w:proofErr w:type="spellStart"/>
      <w:r w:rsidRPr="00A338B7">
        <w:rPr>
          <w:rFonts w:ascii="Times New Roman" w:eastAsia="Times New Roman" w:hAnsi="Times New Roman" w:cs="Times New Roman"/>
          <w:color w:val="000000"/>
          <w:sz w:val="24"/>
          <w:szCs w:val="24"/>
          <w:lang w:eastAsia="sk-SK"/>
        </w:rPr>
        <w:t>spolugestor</w:t>
      </w:r>
      <w:proofErr w:type="spellEnd"/>
      <w:r w:rsidRPr="00A338B7">
        <w:rPr>
          <w:rFonts w:ascii="Times New Roman" w:eastAsia="Times New Roman" w:hAnsi="Times New Roman" w:cs="Times New Roman"/>
          <w:color w:val="000000"/>
          <w:sz w:val="24"/>
          <w:szCs w:val="24"/>
          <w:lang w:eastAsia="sk-SK"/>
        </w:rPr>
        <w:t>: NBS,</w:t>
      </w:r>
    </w:p>
    <w:p w14:paraId="29882555" w14:textId="77777777" w:rsidR="00E60336" w:rsidRPr="00A338B7" w:rsidRDefault="00E60336" w:rsidP="00E60336">
      <w:pPr>
        <w:pStyle w:val="Odsekzoznamu"/>
        <w:numPr>
          <w:ilvl w:val="0"/>
          <w:numId w:val="8"/>
        </w:numPr>
        <w:spacing w:before="120" w:after="120" w:line="240" w:lineRule="auto"/>
        <w:jc w:val="both"/>
        <w:rPr>
          <w:rFonts w:ascii="Times New Roman" w:hAnsi="Times New Roman" w:cs="Times New Roman"/>
          <w:sz w:val="24"/>
          <w:szCs w:val="24"/>
        </w:rPr>
      </w:pPr>
      <w:r w:rsidRPr="00A338B7">
        <w:rPr>
          <w:rFonts w:ascii="Times New Roman" w:hAnsi="Times New Roman" w:cs="Times New Roman"/>
          <w:sz w:val="24"/>
          <w:szCs w:val="24"/>
        </w:rPr>
        <w:t xml:space="preserve">nariadenie Európskeho Parlamentu a Rady (EÚ) </w:t>
      </w:r>
      <w:r w:rsidRPr="00A338B7">
        <w:rPr>
          <w:rFonts w:ascii="Times New Roman" w:hAnsi="Times New Roman" w:cs="Times New Roman"/>
          <w:sz w:val="24"/>
          <w:szCs w:val="24"/>
          <w:u w:val="single"/>
        </w:rPr>
        <w:t>2019/2175</w:t>
      </w:r>
      <w:r w:rsidRPr="00A338B7">
        <w:rPr>
          <w:rFonts w:ascii="Times New Roman" w:hAnsi="Times New Roman" w:cs="Times New Roman"/>
          <w:sz w:val="24"/>
          <w:szCs w:val="24"/>
        </w:rPr>
        <w:t xml:space="preserve"> z 18. decembra 2019, ktorým sa mení nariadenie (EÚ) č. 1093/2010, ktorým sa zriaďuje Európsky orgán dohľadu (Európsky orgán pre bankovníctvo), nariadenie (EÚ) č. 1094/2010, ktorým sa zriaďuje Európsky orgán dohľadu (Európsky orgán pre poisťovníctvo a dôchodkové poistenie zamestnancov), nariadenie (EÚ) č. 1095/2010, ktorým sa zriaďuje Európsky orgán dohľadu (Európsky orgán pre cenné papiere a trhy), nariadenie (EÚ) č. 600/2014 o trhoch s finančnými nástrojmi, nariadenie (EÚ) 2016/1011 o indexoch používaných ako referenčné hodnoty vo finančných nástrojoch a finančných zmluvách alebo na meranie výkonnosti investičných fondov a nariadenie (EÚ) 2015/847 o údajoch sprevádzajúcich prevody finančných prostriedkov (Ú. v. EÚ L 334, 27.12.2019), gestor: MF SR, NBS, MV SR,</w:t>
      </w:r>
    </w:p>
    <w:p w14:paraId="670CF00A" w14:textId="77777777" w:rsidR="00E60336" w:rsidRPr="00A338B7" w:rsidRDefault="00E60336" w:rsidP="00E60336">
      <w:pPr>
        <w:pStyle w:val="Odsekzoznamu"/>
        <w:numPr>
          <w:ilvl w:val="0"/>
          <w:numId w:val="8"/>
        </w:numPr>
        <w:spacing w:before="120" w:after="120" w:line="240" w:lineRule="auto"/>
        <w:jc w:val="both"/>
        <w:rPr>
          <w:rFonts w:ascii="Times New Roman" w:hAnsi="Times New Roman" w:cs="Times New Roman"/>
          <w:sz w:val="24"/>
          <w:szCs w:val="24"/>
        </w:rPr>
      </w:pPr>
      <w:r w:rsidRPr="00A338B7">
        <w:rPr>
          <w:rFonts w:ascii="Times New Roman" w:hAnsi="Times New Roman" w:cs="Times New Roman"/>
          <w:sz w:val="24"/>
          <w:szCs w:val="24"/>
        </w:rPr>
        <w:t xml:space="preserve">nariadenie Európskeho Parlamentu a Rady (EÚ) </w:t>
      </w:r>
      <w:r w:rsidRPr="00A338B7">
        <w:rPr>
          <w:rFonts w:ascii="Times New Roman" w:hAnsi="Times New Roman" w:cs="Times New Roman"/>
          <w:sz w:val="24"/>
          <w:szCs w:val="24"/>
          <w:u w:val="single"/>
        </w:rPr>
        <w:t>2019/2033</w:t>
      </w:r>
      <w:r w:rsidRPr="00A338B7">
        <w:rPr>
          <w:rFonts w:ascii="Times New Roman" w:hAnsi="Times New Roman" w:cs="Times New Roman"/>
          <w:sz w:val="24"/>
          <w:szCs w:val="24"/>
        </w:rPr>
        <w:t xml:space="preserve"> z 27. novembra 2019 o prudenciálnych požiadavkách na investičné spoločnosti a o zmene nariadení (EÚ) č. 1093/2010, (EÚ) č. 575/2013, (EÚ) č. 600/2014 a (EÚ) č. 806/2014 (Ú. v. EÚ L 314, 5.12.2019), gestor: MF SR, NBS,</w:t>
      </w:r>
    </w:p>
    <w:p w14:paraId="76619861" w14:textId="77777777" w:rsidR="00E60336" w:rsidRPr="00A338B7" w:rsidRDefault="00E60336" w:rsidP="00E60336">
      <w:pPr>
        <w:pStyle w:val="Odsekzoznamu"/>
        <w:numPr>
          <w:ilvl w:val="0"/>
          <w:numId w:val="8"/>
        </w:numPr>
        <w:spacing w:after="0" w:line="240" w:lineRule="auto"/>
        <w:jc w:val="both"/>
        <w:rPr>
          <w:rFonts w:ascii="Times New Roman" w:hAnsi="Times New Roman" w:cs="Times New Roman"/>
          <w:sz w:val="24"/>
          <w:szCs w:val="24"/>
        </w:rPr>
      </w:pPr>
      <w:r w:rsidRPr="00A338B7">
        <w:rPr>
          <w:rFonts w:ascii="Times New Roman" w:hAnsi="Times New Roman" w:cs="Times New Roman"/>
          <w:sz w:val="24"/>
          <w:szCs w:val="24"/>
        </w:rPr>
        <w:t xml:space="preserve">nariadenie Európskeho parlamentu a Rady (EÚ) č. </w:t>
      </w:r>
      <w:r w:rsidRPr="00A338B7">
        <w:rPr>
          <w:rFonts w:ascii="Times New Roman" w:hAnsi="Times New Roman" w:cs="Times New Roman"/>
          <w:sz w:val="24"/>
          <w:szCs w:val="24"/>
          <w:u w:val="single"/>
        </w:rPr>
        <w:t>600/2014</w:t>
      </w:r>
      <w:r w:rsidRPr="00A338B7">
        <w:rPr>
          <w:rFonts w:ascii="Times New Roman" w:hAnsi="Times New Roman" w:cs="Times New Roman"/>
          <w:sz w:val="24"/>
          <w:szCs w:val="24"/>
        </w:rPr>
        <w:t xml:space="preserve"> z 15. mája 2014 o trhoch s finančnými nástrojmi, ktorým sa mení nariadenie (EÚ) č. 648/2012 (Ú. v. EÚ L 173, 12.6.2014) v platnom znení, gestor: MF SR, NBS,</w:t>
      </w:r>
    </w:p>
    <w:p w14:paraId="191FBEE5" w14:textId="77777777" w:rsidR="00E60336" w:rsidRPr="00A338B7" w:rsidRDefault="00E60336" w:rsidP="00E60336">
      <w:pPr>
        <w:pStyle w:val="Odsekzoznamu"/>
        <w:numPr>
          <w:ilvl w:val="0"/>
          <w:numId w:val="8"/>
        </w:numPr>
        <w:spacing w:after="0" w:line="240" w:lineRule="auto"/>
        <w:jc w:val="both"/>
        <w:rPr>
          <w:rFonts w:ascii="Times New Roman" w:hAnsi="Times New Roman" w:cs="Times New Roman"/>
          <w:sz w:val="24"/>
          <w:szCs w:val="24"/>
        </w:rPr>
      </w:pPr>
      <w:r w:rsidRPr="00A338B7">
        <w:rPr>
          <w:rFonts w:ascii="Times New Roman" w:eastAsia="Times New Roman" w:hAnsi="Times New Roman" w:cs="Times New Roman"/>
          <w:color w:val="000000"/>
          <w:sz w:val="24"/>
          <w:szCs w:val="24"/>
          <w:lang w:eastAsia="sk-SK"/>
        </w:rPr>
        <w:t>nariadenie Európskeho</w:t>
      </w:r>
      <w:r w:rsidRPr="00A338B7">
        <w:rPr>
          <w:rFonts w:ascii="Times New Roman" w:eastAsia="Times New Roman" w:hAnsi="Times New Roman" w:cs="Times New Roman"/>
          <w:color w:val="000000"/>
          <w:spacing w:val="69"/>
          <w:sz w:val="24"/>
          <w:szCs w:val="24"/>
          <w:lang w:eastAsia="sk-SK"/>
        </w:rPr>
        <w:t xml:space="preserve"> </w:t>
      </w:r>
      <w:r w:rsidRPr="00A338B7">
        <w:rPr>
          <w:rFonts w:ascii="Times New Roman" w:eastAsia="Times New Roman" w:hAnsi="Times New Roman" w:cs="Times New Roman"/>
          <w:color w:val="000000"/>
          <w:sz w:val="24"/>
          <w:szCs w:val="24"/>
          <w:lang w:eastAsia="sk-SK"/>
        </w:rPr>
        <w:t>parlamentu</w:t>
      </w:r>
      <w:r w:rsidRPr="00A338B7">
        <w:rPr>
          <w:rFonts w:ascii="Times New Roman" w:eastAsia="Times New Roman" w:hAnsi="Times New Roman" w:cs="Times New Roman"/>
          <w:color w:val="000000"/>
          <w:spacing w:val="69"/>
          <w:sz w:val="24"/>
          <w:szCs w:val="24"/>
          <w:lang w:eastAsia="sk-SK"/>
        </w:rPr>
        <w:t xml:space="preserve"> </w:t>
      </w:r>
      <w:r w:rsidRPr="00A338B7">
        <w:rPr>
          <w:rFonts w:ascii="Times New Roman" w:eastAsia="Times New Roman" w:hAnsi="Times New Roman" w:cs="Times New Roman"/>
          <w:color w:val="000000"/>
          <w:sz w:val="24"/>
          <w:szCs w:val="24"/>
          <w:lang w:eastAsia="sk-SK"/>
        </w:rPr>
        <w:t>a Rady</w:t>
      </w:r>
      <w:r w:rsidRPr="00A338B7">
        <w:rPr>
          <w:rFonts w:ascii="Times New Roman" w:eastAsia="Times New Roman" w:hAnsi="Times New Roman" w:cs="Times New Roman"/>
          <w:color w:val="000000"/>
          <w:spacing w:val="69"/>
          <w:sz w:val="24"/>
          <w:szCs w:val="24"/>
          <w:lang w:eastAsia="sk-SK"/>
        </w:rPr>
        <w:t xml:space="preserve"> </w:t>
      </w:r>
      <w:r w:rsidRPr="00A338B7">
        <w:rPr>
          <w:rFonts w:ascii="Times New Roman" w:eastAsia="Times New Roman" w:hAnsi="Times New Roman" w:cs="Times New Roman"/>
          <w:color w:val="000000"/>
          <w:sz w:val="24"/>
          <w:szCs w:val="24"/>
          <w:lang w:eastAsia="sk-SK"/>
        </w:rPr>
        <w:t>(EÚ)</w:t>
      </w:r>
      <w:r w:rsidRPr="00A338B7">
        <w:rPr>
          <w:rFonts w:ascii="Times New Roman" w:eastAsia="Times New Roman" w:hAnsi="Times New Roman" w:cs="Times New Roman"/>
          <w:color w:val="000000"/>
          <w:spacing w:val="69"/>
          <w:sz w:val="24"/>
          <w:szCs w:val="24"/>
          <w:lang w:eastAsia="sk-SK"/>
        </w:rPr>
        <w:t xml:space="preserve"> </w:t>
      </w:r>
      <w:r w:rsidRPr="00A338B7">
        <w:rPr>
          <w:rFonts w:ascii="Times New Roman" w:eastAsia="Times New Roman" w:hAnsi="Times New Roman" w:cs="Times New Roman"/>
          <w:color w:val="000000"/>
          <w:sz w:val="24"/>
          <w:szCs w:val="24"/>
          <w:lang w:eastAsia="sk-SK"/>
        </w:rPr>
        <w:t xml:space="preserve">č. </w:t>
      </w:r>
      <w:r w:rsidRPr="00A338B7">
        <w:rPr>
          <w:rFonts w:ascii="Times New Roman" w:eastAsia="Times New Roman" w:hAnsi="Times New Roman" w:cs="Times New Roman"/>
          <w:color w:val="000000"/>
          <w:sz w:val="24"/>
          <w:szCs w:val="24"/>
          <w:u w:val="single"/>
          <w:lang w:eastAsia="sk-SK"/>
        </w:rPr>
        <w:t>575/2013</w:t>
      </w:r>
      <w:r w:rsidRPr="00A338B7">
        <w:rPr>
          <w:rFonts w:ascii="Times New Roman" w:eastAsia="Times New Roman" w:hAnsi="Times New Roman" w:cs="Times New Roman"/>
          <w:color w:val="000000"/>
          <w:sz w:val="24"/>
          <w:szCs w:val="24"/>
          <w:lang w:eastAsia="sk-SK"/>
        </w:rPr>
        <w:t xml:space="preserve"> z 26. júna 2013 o prudenciálnych požiadavkách na úverové inštitúcie a investičné spoločnosti a o zmene nariadenia (EÚ) č. 648/2012 (Ú. v. EÚ L 176, 27.6.2013) v platnom znení,  gestor: MF SR, NBS,</w:t>
      </w:r>
    </w:p>
    <w:p w14:paraId="71EB2231" w14:textId="77777777" w:rsidR="00E60336" w:rsidRPr="00A338B7" w:rsidRDefault="00E60336" w:rsidP="00E60336">
      <w:pPr>
        <w:pStyle w:val="Odsekzoznamu"/>
        <w:numPr>
          <w:ilvl w:val="0"/>
          <w:numId w:val="8"/>
        </w:numPr>
        <w:spacing w:after="0" w:line="240" w:lineRule="auto"/>
        <w:jc w:val="both"/>
        <w:rPr>
          <w:rFonts w:ascii="Times New Roman" w:hAnsi="Times New Roman" w:cs="Times New Roman"/>
          <w:sz w:val="24"/>
          <w:szCs w:val="24"/>
        </w:rPr>
      </w:pPr>
      <w:r w:rsidRPr="00A338B7">
        <w:rPr>
          <w:rFonts w:ascii="Times New Roman" w:hAnsi="Times New Roman" w:cs="Times New Roman"/>
          <w:bCs/>
          <w:iCs/>
          <w:sz w:val="24"/>
          <w:szCs w:val="24"/>
        </w:rPr>
        <w:t xml:space="preserve">nariadenie </w:t>
      </w:r>
      <w:r w:rsidRPr="00A338B7">
        <w:rPr>
          <w:rFonts w:ascii="Times New Roman" w:hAnsi="Times New Roman" w:cs="Times New Roman"/>
          <w:sz w:val="24"/>
          <w:szCs w:val="24"/>
        </w:rPr>
        <w:t xml:space="preserve">Európskeho parlamentu a Rady (EÚ) č. </w:t>
      </w:r>
      <w:r w:rsidRPr="00A338B7">
        <w:rPr>
          <w:rFonts w:ascii="Times New Roman" w:hAnsi="Times New Roman" w:cs="Times New Roman"/>
          <w:sz w:val="24"/>
          <w:szCs w:val="24"/>
          <w:u w:val="single"/>
        </w:rPr>
        <w:t>1092/2010</w:t>
      </w:r>
      <w:r w:rsidRPr="00A338B7">
        <w:rPr>
          <w:rFonts w:ascii="Times New Roman" w:hAnsi="Times New Roman" w:cs="Times New Roman"/>
          <w:sz w:val="24"/>
          <w:szCs w:val="24"/>
        </w:rPr>
        <w:t xml:space="preserve"> z  24. novembra 2010 o </w:t>
      </w:r>
      <w:proofErr w:type="spellStart"/>
      <w:r w:rsidRPr="00A338B7">
        <w:rPr>
          <w:rFonts w:ascii="Times New Roman" w:hAnsi="Times New Roman" w:cs="Times New Roman"/>
          <w:sz w:val="24"/>
          <w:szCs w:val="24"/>
        </w:rPr>
        <w:t>makroprudenciálnom</w:t>
      </w:r>
      <w:proofErr w:type="spellEnd"/>
      <w:r w:rsidRPr="00A338B7">
        <w:rPr>
          <w:rFonts w:ascii="Times New Roman" w:hAnsi="Times New Roman" w:cs="Times New Roman"/>
          <w:sz w:val="24"/>
          <w:szCs w:val="24"/>
        </w:rPr>
        <w:t xml:space="preserve"> dohľade Európskej únie nad finančným systémom a o zriadení Európskeho výboru pre systémové riziká (</w:t>
      </w:r>
      <w:r w:rsidRPr="00A338B7">
        <w:rPr>
          <w:rFonts w:ascii="Times New Roman" w:hAnsi="Times New Roman" w:cs="Times New Roman"/>
          <w:iCs/>
          <w:sz w:val="24"/>
          <w:szCs w:val="24"/>
        </w:rPr>
        <w:t xml:space="preserve">Ú. v. EÚ L 331, 15.12.2010), </w:t>
      </w:r>
      <w:r w:rsidRPr="00A338B7">
        <w:rPr>
          <w:rFonts w:ascii="Times New Roman" w:eastAsia="Times New Roman" w:hAnsi="Times New Roman" w:cs="Times New Roman"/>
          <w:color w:val="000000"/>
          <w:sz w:val="24"/>
          <w:szCs w:val="24"/>
          <w:lang w:eastAsia="sk-SK"/>
        </w:rPr>
        <w:t xml:space="preserve">v platnom znení, </w:t>
      </w:r>
      <w:r w:rsidRPr="00A338B7">
        <w:rPr>
          <w:rFonts w:ascii="Times New Roman" w:hAnsi="Times New Roman" w:cs="Times New Roman"/>
          <w:iCs/>
          <w:sz w:val="24"/>
          <w:szCs w:val="24"/>
        </w:rPr>
        <w:t xml:space="preserve"> gestor: MF SR, NBS,</w:t>
      </w:r>
    </w:p>
    <w:p w14:paraId="648BAB2F" w14:textId="77777777" w:rsidR="00E60336" w:rsidRPr="00A338B7" w:rsidRDefault="00E60336" w:rsidP="00E60336">
      <w:pPr>
        <w:pStyle w:val="Odsekzoznamu"/>
        <w:numPr>
          <w:ilvl w:val="0"/>
          <w:numId w:val="8"/>
        </w:numPr>
        <w:spacing w:after="0" w:line="240" w:lineRule="auto"/>
        <w:jc w:val="both"/>
        <w:rPr>
          <w:rFonts w:ascii="Times New Roman" w:eastAsia="Times New Roman" w:hAnsi="Times New Roman" w:cs="Times New Roman"/>
          <w:color w:val="000000"/>
          <w:sz w:val="27"/>
          <w:szCs w:val="27"/>
          <w:lang w:eastAsia="sk-SK"/>
        </w:rPr>
      </w:pPr>
      <w:r w:rsidRPr="00A338B7">
        <w:rPr>
          <w:rFonts w:ascii="Times New Roman" w:eastAsia="Times New Roman" w:hAnsi="Times New Roman" w:cs="Times New Roman"/>
          <w:color w:val="000000"/>
          <w:sz w:val="24"/>
          <w:szCs w:val="24"/>
          <w:lang w:eastAsia="sk-SK"/>
        </w:rPr>
        <w:t>nariadenie</w:t>
      </w:r>
      <w:r w:rsidRPr="00A338B7">
        <w:rPr>
          <w:rFonts w:ascii="Times New Roman" w:eastAsia="Times New Roman" w:hAnsi="Times New Roman" w:cs="Times New Roman"/>
          <w:color w:val="000000"/>
          <w:spacing w:val="75"/>
          <w:sz w:val="24"/>
          <w:szCs w:val="24"/>
          <w:lang w:eastAsia="sk-SK"/>
        </w:rPr>
        <w:t xml:space="preserve"> </w:t>
      </w:r>
      <w:r w:rsidRPr="00A338B7">
        <w:rPr>
          <w:rFonts w:ascii="Times New Roman" w:eastAsia="Times New Roman" w:hAnsi="Times New Roman" w:cs="Times New Roman"/>
          <w:color w:val="000000"/>
          <w:sz w:val="24"/>
          <w:szCs w:val="24"/>
          <w:lang w:eastAsia="sk-SK"/>
        </w:rPr>
        <w:t>Európskeho</w:t>
      </w:r>
      <w:r w:rsidRPr="00A338B7">
        <w:rPr>
          <w:rFonts w:ascii="Times New Roman" w:eastAsia="Times New Roman" w:hAnsi="Times New Roman" w:cs="Times New Roman"/>
          <w:color w:val="000000"/>
          <w:spacing w:val="75"/>
          <w:sz w:val="24"/>
          <w:szCs w:val="24"/>
          <w:lang w:eastAsia="sk-SK"/>
        </w:rPr>
        <w:t xml:space="preserve"> </w:t>
      </w:r>
      <w:r w:rsidRPr="00A338B7">
        <w:rPr>
          <w:rFonts w:ascii="Times New Roman" w:eastAsia="Times New Roman" w:hAnsi="Times New Roman" w:cs="Times New Roman"/>
          <w:color w:val="000000"/>
          <w:sz w:val="24"/>
          <w:szCs w:val="24"/>
          <w:lang w:eastAsia="sk-SK"/>
        </w:rPr>
        <w:t>parlamentu</w:t>
      </w:r>
      <w:r w:rsidRPr="00A338B7">
        <w:rPr>
          <w:rFonts w:ascii="Times New Roman" w:eastAsia="Times New Roman" w:hAnsi="Times New Roman" w:cs="Times New Roman"/>
          <w:color w:val="000000"/>
          <w:spacing w:val="75"/>
          <w:sz w:val="24"/>
          <w:szCs w:val="24"/>
          <w:lang w:eastAsia="sk-SK"/>
        </w:rPr>
        <w:t xml:space="preserve"> </w:t>
      </w:r>
      <w:r w:rsidRPr="00A338B7">
        <w:rPr>
          <w:rFonts w:ascii="Times New Roman" w:eastAsia="Times New Roman" w:hAnsi="Times New Roman" w:cs="Times New Roman"/>
          <w:color w:val="000000"/>
          <w:sz w:val="24"/>
          <w:szCs w:val="24"/>
          <w:lang w:eastAsia="sk-SK"/>
        </w:rPr>
        <w:t>a Rady (EÚ)</w:t>
      </w:r>
      <w:r w:rsidRPr="00A338B7">
        <w:rPr>
          <w:rFonts w:ascii="Times New Roman" w:eastAsia="Times New Roman" w:hAnsi="Times New Roman" w:cs="Times New Roman"/>
          <w:color w:val="000000"/>
          <w:spacing w:val="75"/>
          <w:sz w:val="24"/>
          <w:szCs w:val="24"/>
          <w:lang w:eastAsia="sk-SK"/>
        </w:rPr>
        <w:t xml:space="preserve"> </w:t>
      </w:r>
      <w:r w:rsidRPr="00A338B7">
        <w:rPr>
          <w:rFonts w:ascii="Times New Roman" w:eastAsia="Times New Roman" w:hAnsi="Times New Roman" w:cs="Times New Roman"/>
          <w:color w:val="000000"/>
          <w:sz w:val="24"/>
          <w:szCs w:val="24"/>
          <w:lang w:eastAsia="sk-SK"/>
        </w:rPr>
        <w:t>č. </w:t>
      </w:r>
      <w:r w:rsidRPr="00A338B7">
        <w:rPr>
          <w:rFonts w:ascii="Times New Roman" w:eastAsia="Times New Roman" w:hAnsi="Times New Roman" w:cs="Times New Roman"/>
          <w:color w:val="000000"/>
          <w:sz w:val="24"/>
          <w:szCs w:val="24"/>
          <w:u w:val="single"/>
          <w:lang w:eastAsia="sk-SK"/>
        </w:rPr>
        <w:t>1093/2010</w:t>
      </w:r>
      <w:r w:rsidRPr="00A338B7">
        <w:rPr>
          <w:rFonts w:ascii="Times New Roman" w:eastAsia="Times New Roman" w:hAnsi="Times New Roman" w:cs="Times New Roman"/>
          <w:color w:val="000000"/>
          <w:spacing w:val="75"/>
          <w:sz w:val="24"/>
          <w:szCs w:val="24"/>
          <w:lang w:eastAsia="sk-SK"/>
        </w:rPr>
        <w:t xml:space="preserve"> </w:t>
      </w:r>
      <w:r w:rsidRPr="00A338B7">
        <w:rPr>
          <w:rFonts w:ascii="Times New Roman" w:eastAsia="Times New Roman" w:hAnsi="Times New Roman" w:cs="Times New Roman"/>
          <w:color w:val="000000"/>
          <w:sz w:val="24"/>
          <w:szCs w:val="24"/>
          <w:lang w:eastAsia="sk-SK"/>
        </w:rPr>
        <w:t>z 24. novembra</w:t>
      </w:r>
      <w:r w:rsidRPr="00A338B7">
        <w:rPr>
          <w:rFonts w:ascii="Times New Roman" w:eastAsia="Times New Roman" w:hAnsi="Times New Roman" w:cs="Times New Roman"/>
          <w:color w:val="000000"/>
          <w:spacing w:val="82"/>
          <w:sz w:val="24"/>
          <w:szCs w:val="24"/>
          <w:lang w:eastAsia="sk-SK"/>
        </w:rPr>
        <w:t xml:space="preserve"> </w:t>
      </w:r>
      <w:r w:rsidRPr="00A338B7">
        <w:rPr>
          <w:rFonts w:ascii="Times New Roman" w:eastAsia="Times New Roman" w:hAnsi="Times New Roman" w:cs="Times New Roman"/>
          <w:color w:val="000000"/>
          <w:sz w:val="24"/>
          <w:szCs w:val="24"/>
          <w:lang w:eastAsia="sk-SK"/>
        </w:rPr>
        <w:t>2010, ktorým</w:t>
      </w:r>
      <w:r w:rsidRPr="00A338B7">
        <w:rPr>
          <w:rFonts w:ascii="Times New Roman" w:eastAsia="Times New Roman" w:hAnsi="Times New Roman" w:cs="Times New Roman"/>
          <w:color w:val="000000"/>
          <w:spacing w:val="14"/>
          <w:sz w:val="24"/>
          <w:szCs w:val="24"/>
          <w:lang w:eastAsia="sk-SK"/>
        </w:rPr>
        <w:t xml:space="preserve"> </w:t>
      </w:r>
      <w:r w:rsidRPr="00A338B7">
        <w:rPr>
          <w:rFonts w:ascii="Times New Roman" w:eastAsia="Times New Roman" w:hAnsi="Times New Roman" w:cs="Times New Roman"/>
          <w:color w:val="000000"/>
          <w:sz w:val="24"/>
          <w:szCs w:val="24"/>
          <w:lang w:eastAsia="sk-SK"/>
        </w:rPr>
        <w:t>sa</w:t>
      </w:r>
      <w:r w:rsidRPr="00A338B7">
        <w:rPr>
          <w:rFonts w:ascii="Times New Roman" w:eastAsia="Times New Roman" w:hAnsi="Times New Roman" w:cs="Times New Roman"/>
          <w:color w:val="000000"/>
          <w:spacing w:val="14"/>
          <w:sz w:val="24"/>
          <w:szCs w:val="24"/>
          <w:lang w:eastAsia="sk-SK"/>
        </w:rPr>
        <w:t xml:space="preserve"> </w:t>
      </w:r>
      <w:r w:rsidRPr="00A338B7">
        <w:rPr>
          <w:rFonts w:ascii="Times New Roman" w:eastAsia="Times New Roman" w:hAnsi="Times New Roman" w:cs="Times New Roman"/>
          <w:color w:val="000000"/>
          <w:sz w:val="24"/>
          <w:szCs w:val="24"/>
          <w:lang w:eastAsia="sk-SK"/>
        </w:rPr>
        <w:t>zriaďuje</w:t>
      </w:r>
      <w:r w:rsidRPr="00A338B7">
        <w:rPr>
          <w:rFonts w:ascii="Times New Roman" w:eastAsia="Times New Roman" w:hAnsi="Times New Roman" w:cs="Times New Roman"/>
          <w:color w:val="000000"/>
          <w:spacing w:val="14"/>
          <w:sz w:val="24"/>
          <w:szCs w:val="24"/>
          <w:lang w:eastAsia="sk-SK"/>
        </w:rPr>
        <w:t xml:space="preserve"> </w:t>
      </w:r>
      <w:r w:rsidRPr="00A338B7">
        <w:rPr>
          <w:rFonts w:ascii="Times New Roman" w:eastAsia="Times New Roman" w:hAnsi="Times New Roman" w:cs="Times New Roman"/>
          <w:color w:val="000000"/>
          <w:sz w:val="24"/>
          <w:szCs w:val="24"/>
          <w:lang w:eastAsia="sk-SK"/>
        </w:rPr>
        <w:t>Európsky</w:t>
      </w:r>
      <w:r w:rsidRPr="00A338B7">
        <w:rPr>
          <w:rFonts w:ascii="Times New Roman" w:eastAsia="Times New Roman" w:hAnsi="Times New Roman" w:cs="Times New Roman"/>
          <w:color w:val="000000"/>
          <w:spacing w:val="14"/>
          <w:sz w:val="24"/>
          <w:szCs w:val="24"/>
          <w:lang w:eastAsia="sk-SK"/>
        </w:rPr>
        <w:t xml:space="preserve"> </w:t>
      </w:r>
      <w:r w:rsidRPr="00A338B7">
        <w:rPr>
          <w:rFonts w:ascii="Times New Roman" w:eastAsia="Times New Roman" w:hAnsi="Times New Roman" w:cs="Times New Roman"/>
          <w:color w:val="000000"/>
          <w:sz w:val="24"/>
          <w:szCs w:val="24"/>
          <w:lang w:eastAsia="sk-SK"/>
        </w:rPr>
        <w:t>orgán</w:t>
      </w:r>
      <w:r w:rsidRPr="00A338B7">
        <w:rPr>
          <w:rFonts w:ascii="Times New Roman" w:eastAsia="Times New Roman" w:hAnsi="Times New Roman" w:cs="Times New Roman"/>
          <w:color w:val="000000"/>
          <w:spacing w:val="14"/>
          <w:sz w:val="24"/>
          <w:szCs w:val="24"/>
          <w:lang w:eastAsia="sk-SK"/>
        </w:rPr>
        <w:t xml:space="preserve"> </w:t>
      </w:r>
      <w:r w:rsidRPr="00A338B7">
        <w:rPr>
          <w:rFonts w:ascii="Times New Roman" w:eastAsia="Times New Roman" w:hAnsi="Times New Roman" w:cs="Times New Roman"/>
          <w:color w:val="000000"/>
          <w:sz w:val="24"/>
          <w:szCs w:val="24"/>
          <w:lang w:eastAsia="sk-SK"/>
        </w:rPr>
        <w:t>dohľadu</w:t>
      </w:r>
      <w:r w:rsidRPr="00A338B7">
        <w:rPr>
          <w:rFonts w:ascii="Times New Roman" w:eastAsia="Times New Roman" w:hAnsi="Times New Roman" w:cs="Times New Roman"/>
          <w:color w:val="000000"/>
          <w:spacing w:val="14"/>
          <w:sz w:val="24"/>
          <w:szCs w:val="24"/>
          <w:lang w:eastAsia="sk-SK"/>
        </w:rPr>
        <w:t xml:space="preserve"> </w:t>
      </w:r>
      <w:r w:rsidRPr="00A338B7">
        <w:rPr>
          <w:rFonts w:ascii="Times New Roman" w:eastAsia="Times New Roman" w:hAnsi="Times New Roman" w:cs="Times New Roman"/>
          <w:color w:val="000000"/>
          <w:sz w:val="24"/>
          <w:szCs w:val="24"/>
          <w:lang w:eastAsia="sk-SK"/>
        </w:rPr>
        <w:t>(Európsky</w:t>
      </w:r>
      <w:r w:rsidRPr="00A338B7">
        <w:rPr>
          <w:rFonts w:ascii="Times New Roman" w:eastAsia="Times New Roman" w:hAnsi="Times New Roman" w:cs="Times New Roman"/>
          <w:color w:val="000000"/>
          <w:spacing w:val="14"/>
          <w:sz w:val="24"/>
          <w:szCs w:val="24"/>
          <w:lang w:eastAsia="sk-SK"/>
        </w:rPr>
        <w:t xml:space="preserve"> </w:t>
      </w:r>
      <w:r w:rsidRPr="00A338B7">
        <w:rPr>
          <w:rFonts w:ascii="Times New Roman" w:eastAsia="Times New Roman" w:hAnsi="Times New Roman" w:cs="Times New Roman"/>
          <w:color w:val="000000"/>
          <w:sz w:val="24"/>
          <w:szCs w:val="24"/>
          <w:lang w:eastAsia="sk-SK"/>
        </w:rPr>
        <w:t>orgán</w:t>
      </w:r>
      <w:r w:rsidRPr="00A338B7">
        <w:rPr>
          <w:rFonts w:ascii="Times New Roman" w:eastAsia="Times New Roman" w:hAnsi="Times New Roman" w:cs="Times New Roman"/>
          <w:color w:val="000000"/>
          <w:spacing w:val="14"/>
          <w:sz w:val="24"/>
          <w:szCs w:val="24"/>
          <w:lang w:eastAsia="sk-SK"/>
        </w:rPr>
        <w:t xml:space="preserve"> </w:t>
      </w:r>
      <w:r w:rsidRPr="00A338B7">
        <w:rPr>
          <w:rFonts w:ascii="Times New Roman" w:eastAsia="Times New Roman" w:hAnsi="Times New Roman" w:cs="Times New Roman"/>
          <w:color w:val="000000"/>
          <w:sz w:val="24"/>
          <w:szCs w:val="24"/>
          <w:lang w:eastAsia="sk-SK"/>
        </w:rPr>
        <w:t>pre</w:t>
      </w:r>
      <w:r w:rsidRPr="00A338B7">
        <w:rPr>
          <w:rFonts w:ascii="Times New Roman" w:eastAsia="Times New Roman" w:hAnsi="Times New Roman" w:cs="Times New Roman"/>
          <w:color w:val="000000"/>
          <w:spacing w:val="14"/>
          <w:sz w:val="24"/>
          <w:szCs w:val="24"/>
          <w:lang w:eastAsia="sk-SK"/>
        </w:rPr>
        <w:t xml:space="preserve"> </w:t>
      </w:r>
      <w:r w:rsidRPr="00A338B7">
        <w:rPr>
          <w:rFonts w:ascii="Times New Roman" w:eastAsia="Times New Roman" w:hAnsi="Times New Roman" w:cs="Times New Roman"/>
          <w:color w:val="000000"/>
          <w:sz w:val="24"/>
          <w:szCs w:val="24"/>
          <w:lang w:eastAsia="sk-SK"/>
        </w:rPr>
        <w:t>bankovníctvo)</w:t>
      </w:r>
      <w:r w:rsidRPr="00A338B7">
        <w:rPr>
          <w:rFonts w:ascii="Times New Roman" w:eastAsia="Times New Roman" w:hAnsi="Times New Roman" w:cs="Times New Roman"/>
          <w:color w:val="000000"/>
          <w:spacing w:val="14"/>
          <w:sz w:val="24"/>
          <w:szCs w:val="24"/>
          <w:lang w:eastAsia="sk-SK"/>
        </w:rPr>
        <w:t xml:space="preserve"> </w:t>
      </w:r>
      <w:r w:rsidRPr="00A338B7">
        <w:rPr>
          <w:rFonts w:ascii="Times New Roman" w:eastAsia="Times New Roman" w:hAnsi="Times New Roman" w:cs="Times New Roman"/>
          <w:color w:val="000000"/>
          <w:sz w:val="24"/>
          <w:szCs w:val="24"/>
          <w:lang w:eastAsia="sk-SK"/>
        </w:rPr>
        <w:t>a ktorým sa</w:t>
      </w:r>
      <w:r w:rsidRPr="00A338B7">
        <w:rPr>
          <w:rFonts w:ascii="Times New Roman" w:eastAsia="Times New Roman" w:hAnsi="Times New Roman" w:cs="Times New Roman"/>
          <w:color w:val="000000"/>
          <w:spacing w:val="32"/>
          <w:sz w:val="24"/>
          <w:szCs w:val="24"/>
          <w:lang w:eastAsia="sk-SK"/>
        </w:rPr>
        <w:t xml:space="preserve"> </w:t>
      </w:r>
      <w:r w:rsidRPr="00A338B7">
        <w:rPr>
          <w:rFonts w:ascii="Times New Roman" w:eastAsia="Times New Roman" w:hAnsi="Times New Roman" w:cs="Times New Roman"/>
          <w:color w:val="000000"/>
          <w:sz w:val="24"/>
          <w:szCs w:val="24"/>
          <w:lang w:eastAsia="sk-SK"/>
        </w:rPr>
        <w:t>mení</w:t>
      </w:r>
      <w:r w:rsidRPr="00A338B7">
        <w:rPr>
          <w:rFonts w:ascii="Times New Roman" w:eastAsia="Times New Roman" w:hAnsi="Times New Roman" w:cs="Times New Roman"/>
          <w:color w:val="000000"/>
          <w:spacing w:val="32"/>
          <w:sz w:val="24"/>
          <w:szCs w:val="24"/>
          <w:lang w:eastAsia="sk-SK"/>
        </w:rPr>
        <w:t xml:space="preserve"> </w:t>
      </w:r>
      <w:r w:rsidRPr="00A338B7">
        <w:rPr>
          <w:rFonts w:ascii="Times New Roman" w:eastAsia="Times New Roman" w:hAnsi="Times New Roman" w:cs="Times New Roman"/>
          <w:color w:val="000000"/>
          <w:sz w:val="24"/>
          <w:szCs w:val="24"/>
          <w:lang w:eastAsia="sk-SK"/>
        </w:rPr>
        <w:t>a dopĺňa rozhodnutie</w:t>
      </w:r>
      <w:r w:rsidRPr="00A338B7">
        <w:rPr>
          <w:rFonts w:ascii="Times New Roman" w:eastAsia="Times New Roman" w:hAnsi="Times New Roman" w:cs="Times New Roman"/>
          <w:color w:val="000000"/>
          <w:spacing w:val="32"/>
          <w:sz w:val="24"/>
          <w:szCs w:val="24"/>
          <w:lang w:eastAsia="sk-SK"/>
        </w:rPr>
        <w:t xml:space="preserve"> </w:t>
      </w:r>
      <w:r w:rsidRPr="00A338B7">
        <w:rPr>
          <w:rFonts w:ascii="Times New Roman" w:eastAsia="Times New Roman" w:hAnsi="Times New Roman" w:cs="Times New Roman"/>
          <w:color w:val="000000"/>
          <w:sz w:val="24"/>
          <w:szCs w:val="24"/>
          <w:lang w:eastAsia="sk-SK"/>
        </w:rPr>
        <w:t>č. 716/2009/ES</w:t>
      </w:r>
      <w:r w:rsidRPr="00A338B7">
        <w:rPr>
          <w:rFonts w:ascii="Times New Roman" w:eastAsia="Times New Roman" w:hAnsi="Times New Roman" w:cs="Times New Roman"/>
          <w:color w:val="000000"/>
          <w:spacing w:val="32"/>
          <w:sz w:val="24"/>
          <w:szCs w:val="24"/>
          <w:lang w:eastAsia="sk-SK"/>
        </w:rPr>
        <w:t xml:space="preserve"> </w:t>
      </w:r>
      <w:r w:rsidRPr="00A338B7">
        <w:rPr>
          <w:rFonts w:ascii="Times New Roman" w:eastAsia="Times New Roman" w:hAnsi="Times New Roman" w:cs="Times New Roman"/>
          <w:color w:val="000000"/>
          <w:sz w:val="24"/>
          <w:szCs w:val="24"/>
          <w:lang w:eastAsia="sk-SK"/>
        </w:rPr>
        <w:t>a zrušuje rozhodnutie</w:t>
      </w:r>
      <w:r w:rsidRPr="00A338B7">
        <w:rPr>
          <w:rFonts w:ascii="Times New Roman" w:eastAsia="Times New Roman" w:hAnsi="Times New Roman" w:cs="Times New Roman"/>
          <w:color w:val="000000"/>
          <w:spacing w:val="32"/>
          <w:sz w:val="24"/>
          <w:szCs w:val="24"/>
          <w:lang w:eastAsia="sk-SK"/>
        </w:rPr>
        <w:t xml:space="preserve"> </w:t>
      </w:r>
      <w:r w:rsidRPr="00A338B7">
        <w:rPr>
          <w:rFonts w:ascii="Times New Roman" w:eastAsia="Times New Roman" w:hAnsi="Times New Roman" w:cs="Times New Roman"/>
          <w:color w:val="000000"/>
          <w:sz w:val="24"/>
          <w:szCs w:val="24"/>
          <w:lang w:eastAsia="sk-SK"/>
        </w:rPr>
        <w:t>Komisie</w:t>
      </w:r>
      <w:r w:rsidRPr="00A338B7">
        <w:rPr>
          <w:rFonts w:ascii="Times New Roman" w:eastAsia="Times New Roman" w:hAnsi="Times New Roman" w:cs="Times New Roman"/>
          <w:color w:val="000000"/>
          <w:spacing w:val="32"/>
          <w:sz w:val="24"/>
          <w:szCs w:val="24"/>
          <w:lang w:eastAsia="sk-SK"/>
        </w:rPr>
        <w:t xml:space="preserve"> </w:t>
      </w:r>
      <w:r w:rsidRPr="00A338B7">
        <w:rPr>
          <w:rFonts w:ascii="Times New Roman" w:eastAsia="Times New Roman" w:hAnsi="Times New Roman" w:cs="Times New Roman"/>
          <w:color w:val="000000"/>
          <w:sz w:val="24"/>
          <w:szCs w:val="24"/>
          <w:lang w:eastAsia="sk-SK"/>
        </w:rPr>
        <w:t>2009/78/ES (Ú. v. EÚ L 331, 15.12.2010) v platnom znení, gestor: MF SR, NBS,</w:t>
      </w:r>
    </w:p>
    <w:p w14:paraId="5D330DCD" w14:textId="77777777" w:rsidR="00E60336" w:rsidRPr="00A338B7" w:rsidRDefault="00E60336" w:rsidP="00E60336">
      <w:pPr>
        <w:pStyle w:val="Odsekzoznamu"/>
        <w:numPr>
          <w:ilvl w:val="0"/>
          <w:numId w:val="8"/>
        </w:numPr>
        <w:spacing w:after="0" w:line="240" w:lineRule="auto"/>
        <w:jc w:val="both"/>
        <w:rPr>
          <w:rFonts w:ascii="Times New Roman" w:hAnsi="Times New Roman" w:cs="Times New Roman"/>
          <w:sz w:val="24"/>
          <w:szCs w:val="24"/>
        </w:rPr>
      </w:pPr>
      <w:r w:rsidRPr="00A338B7">
        <w:rPr>
          <w:rFonts w:ascii="Times New Roman" w:hAnsi="Times New Roman" w:cs="Times New Roman"/>
          <w:sz w:val="24"/>
          <w:szCs w:val="24"/>
        </w:rPr>
        <w:t xml:space="preserve">nariadenie Európskeho parlamentu a Rady (EÚ) č. </w:t>
      </w:r>
      <w:r w:rsidRPr="00A338B7">
        <w:rPr>
          <w:rFonts w:ascii="Times New Roman" w:hAnsi="Times New Roman" w:cs="Times New Roman"/>
          <w:sz w:val="24"/>
          <w:szCs w:val="24"/>
          <w:u w:val="single"/>
        </w:rPr>
        <w:t>1094/2010</w:t>
      </w:r>
      <w:r w:rsidRPr="00A338B7">
        <w:rPr>
          <w:rFonts w:ascii="Times New Roman" w:hAnsi="Times New Roman" w:cs="Times New Roman"/>
          <w:sz w:val="24"/>
          <w:szCs w:val="24"/>
        </w:rPr>
        <w:t xml:space="preserve"> z  24. novembra 2010, ktorým sa zriaďuje Európsky orgán dohľadu (Európsky orgán pre poisťovníctvo a dôchodkové poistenie zamestnancov), a ktorým sa mení a dopĺňa rozhodnutie č. 716/2009/ES a zrušuje rozhodnutie Komisie 2009/79/ES (Ú. v. EÚ L 331, 15.12.2010) v platnom znení, gestor: MF SR, NBS, MPSVR SR,</w:t>
      </w:r>
    </w:p>
    <w:p w14:paraId="0AA5689D" w14:textId="77777777" w:rsidR="00E60336" w:rsidRPr="00A338B7" w:rsidRDefault="00E60336" w:rsidP="00E60336">
      <w:pPr>
        <w:pStyle w:val="Odsekzoznamu"/>
        <w:numPr>
          <w:ilvl w:val="0"/>
          <w:numId w:val="8"/>
        </w:numPr>
        <w:spacing w:after="0" w:line="240" w:lineRule="auto"/>
        <w:jc w:val="both"/>
        <w:rPr>
          <w:rFonts w:ascii="Times New Roman" w:hAnsi="Times New Roman" w:cs="Times New Roman"/>
          <w:sz w:val="24"/>
          <w:szCs w:val="24"/>
        </w:rPr>
      </w:pPr>
      <w:r w:rsidRPr="00A338B7">
        <w:rPr>
          <w:rFonts w:ascii="Times New Roman" w:hAnsi="Times New Roman" w:cs="Times New Roman"/>
          <w:sz w:val="24"/>
          <w:szCs w:val="24"/>
        </w:rPr>
        <w:t xml:space="preserve">nariadenie Európskeho parlamentu a Rady (EÚ) č. </w:t>
      </w:r>
      <w:r w:rsidRPr="00A338B7">
        <w:rPr>
          <w:rFonts w:ascii="Times New Roman" w:hAnsi="Times New Roman" w:cs="Times New Roman"/>
          <w:sz w:val="24"/>
          <w:szCs w:val="24"/>
          <w:u w:val="single"/>
        </w:rPr>
        <w:t>1095/2010</w:t>
      </w:r>
      <w:r w:rsidRPr="00A338B7">
        <w:rPr>
          <w:rFonts w:ascii="Times New Roman" w:hAnsi="Times New Roman" w:cs="Times New Roman"/>
          <w:sz w:val="24"/>
          <w:szCs w:val="24"/>
        </w:rPr>
        <w:t xml:space="preserve"> z  24. novembra 2010, ktorým sa zriaďuje Európsky orgán dohľadu (Európsky orgán pre cenné papiere a trhy) a ktorým sa mení a dopĺňa rozhodnutie č. 716/2009/ES a zrušuje rozhodnutie </w:t>
      </w:r>
      <w:r w:rsidRPr="00A338B7">
        <w:rPr>
          <w:rFonts w:ascii="Times New Roman" w:hAnsi="Times New Roman" w:cs="Times New Roman"/>
          <w:sz w:val="24"/>
          <w:szCs w:val="24"/>
        </w:rPr>
        <w:lastRenderedPageBreak/>
        <w:t>Komisie 2009/77/ES (Ú. v. EÚ L 331, 15.12.2010) v platnom znení, gestor MF SR, NBS.</w:t>
      </w:r>
    </w:p>
    <w:p w14:paraId="06AAFB2C" w14:textId="77777777" w:rsidR="00E60336" w:rsidRPr="00A338B7" w:rsidRDefault="00E60336" w:rsidP="00E60336">
      <w:pPr>
        <w:rPr>
          <w:color w:val="000000"/>
          <w:lang w:eastAsia="sk-SK"/>
        </w:rPr>
      </w:pPr>
    </w:p>
    <w:p w14:paraId="687279EF" w14:textId="77777777" w:rsidR="00E60336" w:rsidRPr="00A338B7" w:rsidRDefault="00E60336" w:rsidP="00E60336">
      <w:pPr>
        <w:pStyle w:val="Odsekzoznamu"/>
        <w:numPr>
          <w:ilvl w:val="0"/>
          <w:numId w:val="7"/>
        </w:numPr>
        <w:spacing w:after="0" w:line="240" w:lineRule="auto"/>
        <w:rPr>
          <w:rFonts w:ascii="Times New Roman" w:eastAsia="Times New Roman" w:hAnsi="Times New Roman" w:cs="Times New Roman"/>
          <w:color w:val="000000"/>
          <w:sz w:val="24"/>
          <w:szCs w:val="24"/>
          <w:lang w:eastAsia="sk-SK"/>
        </w:rPr>
      </w:pPr>
      <w:r w:rsidRPr="00A338B7">
        <w:rPr>
          <w:rFonts w:ascii="Times New Roman" w:eastAsia="Times New Roman" w:hAnsi="Times New Roman" w:cs="Times New Roman"/>
          <w:color w:val="000000"/>
          <w:sz w:val="24"/>
          <w:szCs w:val="24"/>
          <w:lang w:eastAsia="sk-SK"/>
        </w:rPr>
        <w:t>v judikatúre Súdneho dvora Európskej únie:</w:t>
      </w:r>
    </w:p>
    <w:p w14:paraId="0ABCB373" w14:textId="77777777" w:rsidR="00E60336" w:rsidRPr="00A338B7" w:rsidRDefault="00E60336" w:rsidP="00E60336">
      <w:pPr>
        <w:pStyle w:val="Odsekzoznamu"/>
        <w:numPr>
          <w:ilvl w:val="0"/>
          <w:numId w:val="8"/>
        </w:numPr>
        <w:spacing w:after="0" w:line="240" w:lineRule="auto"/>
        <w:jc w:val="both"/>
        <w:rPr>
          <w:rFonts w:ascii="Times New Roman" w:eastAsia="Times New Roman" w:hAnsi="Times New Roman" w:cs="Times New Roman"/>
          <w:color w:val="000000"/>
          <w:sz w:val="24"/>
          <w:szCs w:val="24"/>
          <w:lang w:eastAsia="sk-SK"/>
        </w:rPr>
      </w:pPr>
      <w:r w:rsidRPr="00A338B7">
        <w:rPr>
          <w:rFonts w:ascii="Times New Roman" w:eastAsia="Times New Roman" w:hAnsi="Times New Roman" w:cs="Times New Roman"/>
          <w:sz w:val="24"/>
          <w:szCs w:val="24"/>
          <w:lang w:eastAsia="sk-SK"/>
        </w:rPr>
        <w:t>rozsudok</w:t>
      </w:r>
      <w:r w:rsidRPr="00A338B7">
        <w:rPr>
          <w:rFonts w:ascii="Times New Roman" w:eastAsia="Times New Roman" w:hAnsi="Times New Roman" w:cs="Times New Roman"/>
          <w:spacing w:val="15"/>
          <w:sz w:val="24"/>
          <w:szCs w:val="24"/>
          <w:lang w:eastAsia="sk-SK"/>
        </w:rPr>
        <w:t xml:space="preserve"> </w:t>
      </w:r>
      <w:r w:rsidRPr="00A338B7">
        <w:rPr>
          <w:rFonts w:ascii="Times New Roman" w:eastAsia="Times New Roman" w:hAnsi="Times New Roman" w:cs="Times New Roman"/>
          <w:sz w:val="24"/>
          <w:szCs w:val="24"/>
          <w:lang w:eastAsia="sk-SK"/>
        </w:rPr>
        <w:t>Súdneho</w:t>
      </w:r>
      <w:r w:rsidRPr="00A338B7">
        <w:rPr>
          <w:rFonts w:ascii="Times New Roman" w:eastAsia="Times New Roman" w:hAnsi="Times New Roman" w:cs="Times New Roman"/>
          <w:spacing w:val="15"/>
          <w:sz w:val="24"/>
          <w:szCs w:val="24"/>
          <w:lang w:eastAsia="sk-SK"/>
        </w:rPr>
        <w:t xml:space="preserve"> </w:t>
      </w:r>
      <w:r w:rsidRPr="00A338B7">
        <w:rPr>
          <w:rFonts w:ascii="Times New Roman" w:eastAsia="Times New Roman" w:hAnsi="Times New Roman" w:cs="Times New Roman"/>
          <w:sz w:val="24"/>
          <w:szCs w:val="24"/>
          <w:lang w:eastAsia="sk-SK"/>
        </w:rPr>
        <w:t>dvora</w:t>
      </w:r>
      <w:r w:rsidRPr="00A338B7">
        <w:rPr>
          <w:rFonts w:ascii="Times New Roman" w:eastAsia="Times New Roman" w:hAnsi="Times New Roman" w:cs="Times New Roman"/>
          <w:spacing w:val="15"/>
          <w:sz w:val="24"/>
          <w:szCs w:val="24"/>
          <w:lang w:eastAsia="sk-SK"/>
        </w:rPr>
        <w:t xml:space="preserve"> </w:t>
      </w:r>
      <w:r w:rsidRPr="00A338B7">
        <w:rPr>
          <w:rFonts w:ascii="Times New Roman" w:eastAsia="Times New Roman" w:hAnsi="Times New Roman" w:cs="Times New Roman"/>
          <w:sz w:val="24"/>
          <w:szCs w:val="24"/>
          <w:lang w:eastAsia="sk-SK"/>
        </w:rPr>
        <w:t>vo</w:t>
      </w:r>
      <w:r w:rsidRPr="00A338B7">
        <w:rPr>
          <w:rFonts w:ascii="Times New Roman" w:eastAsia="Times New Roman" w:hAnsi="Times New Roman" w:cs="Times New Roman"/>
          <w:spacing w:val="15"/>
          <w:sz w:val="24"/>
          <w:szCs w:val="24"/>
          <w:lang w:eastAsia="sk-SK"/>
        </w:rPr>
        <w:t xml:space="preserve"> </w:t>
      </w:r>
      <w:r w:rsidRPr="00A338B7">
        <w:rPr>
          <w:rFonts w:ascii="Times New Roman" w:eastAsia="Times New Roman" w:hAnsi="Times New Roman" w:cs="Times New Roman"/>
          <w:sz w:val="24"/>
          <w:szCs w:val="24"/>
          <w:lang w:eastAsia="sk-SK"/>
        </w:rPr>
        <w:t xml:space="preserve">veci </w:t>
      </w:r>
      <w:r w:rsidRPr="00A338B7">
        <w:rPr>
          <w:rFonts w:ascii="Times New Roman" w:hAnsi="Times New Roman" w:cs="Times New Roman"/>
          <w:sz w:val="24"/>
          <w:szCs w:val="24"/>
        </w:rPr>
        <w:t xml:space="preserve">C - </w:t>
      </w:r>
      <w:r w:rsidRPr="00A338B7">
        <w:rPr>
          <w:rFonts w:ascii="Times New Roman" w:hAnsi="Times New Roman" w:cs="Times New Roman"/>
          <w:sz w:val="24"/>
          <w:szCs w:val="24"/>
          <w:lang w:val="et-EE"/>
        </w:rPr>
        <w:t>384/93</w:t>
      </w:r>
      <w:r w:rsidRPr="00A338B7">
        <w:rPr>
          <w:rFonts w:ascii="Times New Roman" w:hAnsi="Times New Roman" w:cs="Times New Roman"/>
          <w:sz w:val="24"/>
          <w:szCs w:val="24"/>
        </w:rPr>
        <w:t xml:space="preserve"> </w:t>
      </w:r>
      <w:proofErr w:type="spellStart"/>
      <w:r w:rsidRPr="00A338B7">
        <w:rPr>
          <w:rFonts w:ascii="Times New Roman" w:hAnsi="Times New Roman" w:cs="Times New Roman"/>
          <w:sz w:val="24"/>
          <w:szCs w:val="24"/>
        </w:rPr>
        <w:t>Alpine</w:t>
      </w:r>
      <w:proofErr w:type="spellEnd"/>
      <w:r w:rsidRPr="00A338B7">
        <w:rPr>
          <w:rFonts w:ascii="Times New Roman" w:hAnsi="Times New Roman" w:cs="Times New Roman"/>
          <w:sz w:val="24"/>
          <w:szCs w:val="24"/>
        </w:rPr>
        <w:t xml:space="preserve"> </w:t>
      </w:r>
      <w:proofErr w:type="spellStart"/>
      <w:r w:rsidRPr="00A338B7">
        <w:rPr>
          <w:rFonts w:ascii="Times New Roman" w:hAnsi="Times New Roman" w:cs="Times New Roman"/>
          <w:sz w:val="24"/>
          <w:szCs w:val="24"/>
        </w:rPr>
        <w:t>Investments</w:t>
      </w:r>
      <w:proofErr w:type="spellEnd"/>
      <w:r w:rsidRPr="00A338B7">
        <w:rPr>
          <w:rFonts w:ascii="Times New Roman" w:hAnsi="Times New Roman" w:cs="Times New Roman"/>
          <w:sz w:val="24"/>
          <w:szCs w:val="24"/>
        </w:rPr>
        <w:t xml:space="preserve"> v. Minister van </w:t>
      </w:r>
      <w:proofErr w:type="spellStart"/>
      <w:r w:rsidRPr="00A338B7">
        <w:rPr>
          <w:rFonts w:ascii="Times New Roman" w:hAnsi="Times New Roman" w:cs="Times New Roman"/>
          <w:sz w:val="24"/>
          <w:szCs w:val="24"/>
        </w:rPr>
        <w:t>Financiën</w:t>
      </w:r>
      <w:proofErr w:type="spellEnd"/>
      <w:r w:rsidRPr="00A338B7">
        <w:rPr>
          <w:rFonts w:ascii="Times New Roman" w:hAnsi="Times New Roman" w:cs="Times New Roman"/>
          <w:sz w:val="24"/>
          <w:szCs w:val="24"/>
        </w:rPr>
        <w:t>, [1995].</w:t>
      </w:r>
    </w:p>
    <w:p w14:paraId="043CEC4B" w14:textId="77777777" w:rsidR="00E60336" w:rsidRPr="00A338B7" w:rsidRDefault="00E60336" w:rsidP="00E60336">
      <w:pPr>
        <w:pStyle w:val="Odsekzoznamu"/>
        <w:spacing w:after="0" w:line="240" w:lineRule="auto"/>
        <w:ind w:left="1068"/>
        <w:jc w:val="both"/>
        <w:rPr>
          <w:rFonts w:ascii="Times New Roman" w:eastAsia="Times New Roman" w:hAnsi="Times New Roman" w:cs="Times New Roman"/>
          <w:sz w:val="24"/>
          <w:szCs w:val="24"/>
          <w:lang w:eastAsia="sk-SK"/>
        </w:rPr>
      </w:pPr>
    </w:p>
    <w:p w14:paraId="30419E7D" w14:textId="77777777" w:rsidR="00E60336" w:rsidRPr="00A338B7" w:rsidRDefault="00E60336" w:rsidP="00E60336">
      <w:pPr>
        <w:pStyle w:val="Odsekzoznamu"/>
        <w:spacing w:after="0" w:line="240" w:lineRule="auto"/>
        <w:ind w:left="1068"/>
        <w:jc w:val="both"/>
        <w:rPr>
          <w:rFonts w:ascii="Times New Roman" w:eastAsia="Times New Roman" w:hAnsi="Times New Roman" w:cs="Times New Roman"/>
          <w:b/>
          <w:sz w:val="24"/>
          <w:szCs w:val="24"/>
          <w:lang w:eastAsia="sk-SK"/>
        </w:rPr>
      </w:pPr>
      <w:r w:rsidRPr="00A338B7">
        <w:rPr>
          <w:rFonts w:ascii="Times New Roman" w:eastAsia="Times New Roman" w:hAnsi="Times New Roman" w:cs="Times New Roman"/>
          <w:b/>
          <w:sz w:val="24"/>
          <w:szCs w:val="24"/>
          <w:lang w:eastAsia="sk-SK"/>
        </w:rPr>
        <w:t>Výrok rozhodnutia:</w:t>
      </w:r>
    </w:p>
    <w:p w14:paraId="6069DF73" w14:textId="77777777" w:rsidR="00E60336" w:rsidRPr="00A338B7" w:rsidRDefault="00E60336" w:rsidP="00E60336">
      <w:pPr>
        <w:pStyle w:val="c08dispositif"/>
        <w:spacing w:after="240" w:afterAutospacing="0"/>
        <w:ind w:left="1134" w:hanging="567"/>
        <w:jc w:val="both"/>
        <w:rPr>
          <w:bCs/>
          <w:color w:val="000000"/>
        </w:rPr>
      </w:pPr>
      <w:r w:rsidRPr="00A338B7">
        <w:rPr>
          <w:bCs/>
          <w:color w:val="000000"/>
        </w:rPr>
        <w:t>1. </w:t>
      </w:r>
      <w:r w:rsidRPr="00A338B7">
        <w:rPr>
          <w:bCs/>
          <w:color w:val="000000"/>
        </w:rPr>
        <w:tab/>
        <w:t>Článok 59 Zmluvy EHS treba vykladať v tom zmysle, že sa týka služieb, ktoré poskytovateľ ponúka telefonicky potenciálnym príjemcom usadeným v iných členských štátoch a poskytuje ich bez opustenia členského štátu, v ktorom je usadený.</w:t>
      </w:r>
    </w:p>
    <w:p w14:paraId="58AE27E7" w14:textId="77777777" w:rsidR="00E60336" w:rsidRPr="00A338B7" w:rsidRDefault="00E60336" w:rsidP="00E60336">
      <w:pPr>
        <w:pStyle w:val="c08dispositif"/>
        <w:spacing w:after="240" w:afterAutospacing="0"/>
        <w:ind w:left="1134" w:hanging="567"/>
        <w:jc w:val="both"/>
        <w:rPr>
          <w:bCs/>
          <w:color w:val="000000"/>
        </w:rPr>
      </w:pPr>
      <w:r w:rsidRPr="00A338B7">
        <w:rPr>
          <w:bCs/>
          <w:color w:val="000000"/>
        </w:rPr>
        <w:t>2.      Predpisy niektorého členského štátu zakazujúce poskytovateľom služieb usadeným na jeho území obracať sa s nevyžiadanými telefonátmi na potenciálnych zákazníkov v iných členských štátoch s cieľom ponúknuť im svoje služby sú obmedzením slobodného poskytovania služieb v zmysle článku 59 Zmluvy.</w:t>
      </w:r>
    </w:p>
    <w:p w14:paraId="2C3D9CB0" w14:textId="77777777" w:rsidR="00E60336" w:rsidRPr="00A338B7" w:rsidRDefault="00E60336" w:rsidP="00E60336">
      <w:pPr>
        <w:pStyle w:val="c08dispositif"/>
        <w:spacing w:after="240" w:afterAutospacing="0"/>
        <w:ind w:left="1134" w:hanging="567"/>
        <w:jc w:val="both"/>
        <w:rPr>
          <w:bCs/>
          <w:color w:val="000000"/>
        </w:rPr>
      </w:pPr>
      <w:r w:rsidRPr="00A338B7">
        <w:rPr>
          <w:bCs/>
          <w:color w:val="000000"/>
        </w:rPr>
        <w:t>3.      Článok 59 Zmluvy nebráni vnútroštátnej úprave, ktorá v záujme ochrany dôvery investorov vo vnútroštátne finančné trhy zakazuje prax spočívajúcu v nevyžiadaných telefonátoch potencionálnym zákazníkom s bydliskom v iných členských štátoch s cieľom ponúknuť im služby spojené s investovaním do termínovaných obchodov s tovarom.</w:t>
      </w:r>
    </w:p>
    <w:p w14:paraId="52B0E89F" w14:textId="77777777" w:rsidR="00E60336" w:rsidRPr="00A338B7" w:rsidRDefault="00E60336" w:rsidP="00E60336">
      <w:pPr>
        <w:jc w:val="both"/>
        <w:rPr>
          <w:color w:val="000000"/>
          <w:lang w:eastAsia="sk-SK"/>
        </w:rPr>
      </w:pPr>
    </w:p>
    <w:p w14:paraId="67D9100C" w14:textId="77777777" w:rsidR="00E60336" w:rsidRPr="00A338B7" w:rsidRDefault="00E60336" w:rsidP="00E60336">
      <w:pPr>
        <w:pStyle w:val="Odsekzoznamu"/>
        <w:numPr>
          <w:ilvl w:val="0"/>
          <w:numId w:val="8"/>
        </w:numPr>
        <w:spacing w:after="0" w:line="240" w:lineRule="auto"/>
        <w:jc w:val="both"/>
        <w:rPr>
          <w:rFonts w:ascii="Times New Roman" w:eastAsia="Times New Roman" w:hAnsi="Times New Roman" w:cs="Times New Roman"/>
          <w:color w:val="000000"/>
          <w:sz w:val="24"/>
          <w:szCs w:val="24"/>
          <w:lang w:eastAsia="sk-SK"/>
        </w:rPr>
      </w:pPr>
      <w:r w:rsidRPr="00A338B7">
        <w:rPr>
          <w:rFonts w:ascii="Times New Roman" w:eastAsia="Times New Roman" w:hAnsi="Times New Roman" w:cs="Times New Roman"/>
          <w:sz w:val="24"/>
          <w:szCs w:val="24"/>
          <w:lang w:eastAsia="sk-SK"/>
        </w:rPr>
        <w:t>rozsudok</w:t>
      </w:r>
      <w:r w:rsidRPr="00A338B7">
        <w:rPr>
          <w:rFonts w:ascii="Times New Roman" w:eastAsia="Times New Roman" w:hAnsi="Times New Roman" w:cs="Times New Roman"/>
          <w:spacing w:val="15"/>
          <w:sz w:val="24"/>
          <w:szCs w:val="24"/>
          <w:lang w:eastAsia="sk-SK"/>
        </w:rPr>
        <w:t xml:space="preserve"> </w:t>
      </w:r>
      <w:r w:rsidRPr="00A338B7">
        <w:rPr>
          <w:rFonts w:ascii="Times New Roman" w:eastAsia="Times New Roman" w:hAnsi="Times New Roman" w:cs="Times New Roman"/>
          <w:sz w:val="24"/>
          <w:szCs w:val="24"/>
          <w:lang w:eastAsia="sk-SK"/>
        </w:rPr>
        <w:t>Súdneho</w:t>
      </w:r>
      <w:r w:rsidRPr="00A338B7">
        <w:rPr>
          <w:rFonts w:ascii="Times New Roman" w:eastAsia="Times New Roman" w:hAnsi="Times New Roman" w:cs="Times New Roman"/>
          <w:spacing w:val="15"/>
          <w:sz w:val="24"/>
          <w:szCs w:val="24"/>
          <w:lang w:eastAsia="sk-SK"/>
        </w:rPr>
        <w:t xml:space="preserve"> </w:t>
      </w:r>
      <w:r w:rsidRPr="00A338B7">
        <w:rPr>
          <w:rFonts w:ascii="Times New Roman" w:eastAsia="Times New Roman" w:hAnsi="Times New Roman" w:cs="Times New Roman"/>
          <w:sz w:val="24"/>
          <w:szCs w:val="24"/>
          <w:lang w:eastAsia="sk-SK"/>
        </w:rPr>
        <w:t>dvora</w:t>
      </w:r>
      <w:r w:rsidRPr="00A338B7">
        <w:rPr>
          <w:rFonts w:ascii="Times New Roman" w:eastAsia="Times New Roman" w:hAnsi="Times New Roman" w:cs="Times New Roman"/>
          <w:spacing w:val="15"/>
          <w:sz w:val="24"/>
          <w:szCs w:val="24"/>
          <w:lang w:eastAsia="sk-SK"/>
        </w:rPr>
        <w:t xml:space="preserve"> </w:t>
      </w:r>
      <w:r w:rsidRPr="00A338B7">
        <w:rPr>
          <w:rFonts w:ascii="Times New Roman" w:eastAsia="Times New Roman" w:hAnsi="Times New Roman" w:cs="Times New Roman"/>
          <w:sz w:val="24"/>
          <w:szCs w:val="24"/>
          <w:lang w:eastAsia="sk-SK"/>
        </w:rPr>
        <w:t>vo</w:t>
      </w:r>
      <w:r w:rsidRPr="00A338B7">
        <w:rPr>
          <w:rFonts w:ascii="Times New Roman" w:eastAsia="Times New Roman" w:hAnsi="Times New Roman" w:cs="Times New Roman"/>
          <w:spacing w:val="15"/>
          <w:sz w:val="24"/>
          <w:szCs w:val="24"/>
          <w:lang w:eastAsia="sk-SK"/>
        </w:rPr>
        <w:t xml:space="preserve"> </w:t>
      </w:r>
      <w:r w:rsidRPr="00A338B7">
        <w:rPr>
          <w:rFonts w:ascii="Times New Roman" w:eastAsia="Times New Roman" w:hAnsi="Times New Roman" w:cs="Times New Roman"/>
          <w:sz w:val="24"/>
          <w:szCs w:val="24"/>
          <w:lang w:eastAsia="sk-SK"/>
        </w:rPr>
        <w:t xml:space="preserve">veci C – 15/16 </w:t>
      </w:r>
      <w:proofErr w:type="spellStart"/>
      <w:r w:rsidRPr="00A338B7">
        <w:rPr>
          <w:rFonts w:ascii="Times New Roman" w:hAnsi="Times New Roman" w:cs="Times New Roman"/>
          <w:bCs/>
          <w:color w:val="000000"/>
          <w:sz w:val="24"/>
          <w:szCs w:val="24"/>
        </w:rPr>
        <w:t>Bundesanstalt</w:t>
      </w:r>
      <w:proofErr w:type="spellEnd"/>
      <w:r w:rsidRPr="00A338B7">
        <w:rPr>
          <w:rFonts w:ascii="Times New Roman" w:hAnsi="Times New Roman" w:cs="Times New Roman"/>
          <w:bCs/>
          <w:color w:val="000000"/>
          <w:sz w:val="24"/>
          <w:szCs w:val="24"/>
        </w:rPr>
        <w:t xml:space="preserve"> </w:t>
      </w:r>
      <w:proofErr w:type="spellStart"/>
      <w:r w:rsidRPr="00A338B7">
        <w:rPr>
          <w:rFonts w:ascii="Times New Roman" w:hAnsi="Times New Roman" w:cs="Times New Roman"/>
          <w:bCs/>
          <w:color w:val="000000"/>
          <w:sz w:val="24"/>
          <w:szCs w:val="24"/>
        </w:rPr>
        <w:t>für</w:t>
      </w:r>
      <w:proofErr w:type="spellEnd"/>
      <w:r w:rsidRPr="00A338B7">
        <w:rPr>
          <w:rFonts w:ascii="Times New Roman" w:hAnsi="Times New Roman" w:cs="Times New Roman"/>
          <w:bCs/>
          <w:color w:val="000000"/>
          <w:sz w:val="24"/>
          <w:szCs w:val="24"/>
        </w:rPr>
        <w:t xml:space="preserve"> </w:t>
      </w:r>
      <w:proofErr w:type="spellStart"/>
      <w:r w:rsidRPr="00A338B7">
        <w:rPr>
          <w:rFonts w:ascii="Times New Roman" w:hAnsi="Times New Roman" w:cs="Times New Roman"/>
          <w:bCs/>
          <w:color w:val="000000"/>
          <w:sz w:val="24"/>
          <w:szCs w:val="24"/>
        </w:rPr>
        <w:t>Finanzdienstleistungsaufsicht</w:t>
      </w:r>
      <w:proofErr w:type="spellEnd"/>
      <w:r w:rsidRPr="00A338B7">
        <w:rPr>
          <w:rFonts w:ascii="Times New Roman" w:hAnsi="Times New Roman" w:cs="Times New Roman"/>
          <w:bCs/>
          <w:color w:val="000000"/>
          <w:sz w:val="24"/>
          <w:szCs w:val="24"/>
        </w:rPr>
        <w:t xml:space="preserve"> proti </w:t>
      </w:r>
      <w:proofErr w:type="spellStart"/>
      <w:r w:rsidRPr="00A338B7">
        <w:rPr>
          <w:rFonts w:ascii="Times New Roman" w:hAnsi="Times New Roman" w:cs="Times New Roman"/>
          <w:bCs/>
          <w:color w:val="000000"/>
          <w:sz w:val="24"/>
          <w:szCs w:val="24"/>
        </w:rPr>
        <w:t>Ewaldovi</w:t>
      </w:r>
      <w:proofErr w:type="spellEnd"/>
      <w:r w:rsidRPr="00A338B7">
        <w:rPr>
          <w:rFonts w:ascii="Times New Roman" w:hAnsi="Times New Roman" w:cs="Times New Roman"/>
          <w:bCs/>
          <w:color w:val="000000"/>
          <w:sz w:val="24"/>
          <w:szCs w:val="24"/>
        </w:rPr>
        <w:t xml:space="preserve"> </w:t>
      </w:r>
      <w:proofErr w:type="spellStart"/>
      <w:r w:rsidRPr="00A338B7">
        <w:rPr>
          <w:rFonts w:ascii="Times New Roman" w:hAnsi="Times New Roman" w:cs="Times New Roman"/>
          <w:bCs/>
          <w:color w:val="000000"/>
          <w:sz w:val="24"/>
          <w:szCs w:val="24"/>
        </w:rPr>
        <w:t>Baumeisterovi</w:t>
      </w:r>
      <w:proofErr w:type="spellEnd"/>
      <w:r w:rsidRPr="00A338B7">
        <w:rPr>
          <w:rFonts w:ascii="Times New Roman" w:hAnsi="Times New Roman" w:cs="Times New Roman"/>
          <w:bCs/>
          <w:color w:val="000000"/>
          <w:sz w:val="24"/>
          <w:szCs w:val="24"/>
        </w:rPr>
        <w:t>,</w:t>
      </w:r>
      <w:r w:rsidRPr="00A338B7">
        <w:rPr>
          <w:rFonts w:ascii="Times New Roman" w:hAnsi="Times New Roman" w:cs="Times New Roman"/>
          <w:sz w:val="24"/>
          <w:szCs w:val="24"/>
        </w:rPr>
        <w:t xml:space="preserve"> [2018].</w:t>
      </w:r>
    </w:p>
    <w:p w14:paraId="0D4998F8" w14:textId="77777777" w:rsidR="00E60336" w:rsidRPr="00A338B7" w:rsidRDefault="00E60336" w:rsidP="00E60336">
      <w:pPr>
        <w:pStyle w:val="Odsekzoznamu"/>
        <w:spacing w:after="0" w:line="240" w:lineRule="auto"/>
        <w:ind w:left="1068"/>
        <w:jc w:val="both"/>
        <w:rPr>
          <w:rFonts w:ascii="Times New Roman" w:eastAsia="Times New Roman" w:hAnsi="Times New Roman" w:cs="Times New Roman"/>
          <w:sz w:val="24"/>
          <w:szCs w:val="24"/>
          <w:lang w:eastAsia="sk-SK"/>
        </w:rPr>
      </w:pPr>
    </w:p>
    <w:p w14:paraId="5B7E1831" w14:textId="77777777" w:rsidR="00E60336" w:rsidRPr="00A338B7" w:rsidRDefault="00E60336" w:rsidP="00E60336">
      <w:pPr>
        <w:pStyle w:val="Odsekzoznamu"/>
        <w:spacing w:after="0" w:line="240" w:lineRule="auto"/>
        <w:ind w:left="1068"/>
        <w:jc w:val="both"/>
        <w:rPr>
          <w:rFonts w:ascii="Times New Roman" w:eastAsia="Times New Roman" w:hAnsi="Times New Roman" w:cs="Times New Roman"/>
          <w:b/>
          <w:sz w:val="24"/>
          <w:szCs w:val="24"/>
          <w:lang w:eastAsia="sk-SK"/>
        </w:rPr>
      </w:pPr>
      <w:r w:rsidRPr="00A338B7">
        <w:rPr>
          <w:rFonts w:ascii="Times New Roman" w:eastAsia="Times New Roman" w:hAnsi="Times New Roman" w:cs="Times New Roman"/>
          <w:b/>
          <w:sz w:val="24"/>
          <w:szCs w:val="24"/>
          <w:lang w:eastAsia="sk-SK"/>
        </w:rPr>
        <w:t>Výrok rozhodnutia:</w:t>
      </w:r>
    </w:p>
    <w:p w14:paraId="0F72EF30" w14:textId="77777777" w:rsidR="00E60336" w:rsidRPr="00A338B7" w:rsidRDefault="00E60336" w:rsidP="00E60336">
      <w:pPr>
        <w:pStyle w:val="c08dispositif"/>
        <w:spacing w:after="240" w:afterAutospacing="0"/>
        <w:ind w:left="1134" w:hanging="567"/>
        <w:jc w:val="both"/>
        <w:rPr>
          <w:bCs/>
        </w:rPr>
      </w:pPr>
      <w:r w:rsidRPr="00A338B7">
        <w:rPr>
          <w:bCs/>
          <w:color w:val="000000"/>
        </w:rPr>
        <w:t>1.</w:t>
      </w:r>
      <w:r w:rsidRPr="00A338B7">
        <w:rPr>
          <w:rFonts w:ascii="Arial" w:hAnsi="Arial" w:cs="Arial"/>
          <w:b/>
          <w:bCs/>
          <w:color w:val="000000"/>
          <w:sz w:val="18"/>
          <w:szCs w:val="18"/>
        </w:rPr>
        <w:t> </w:t>
      </w:r>
      <w:r w:rsidRPr="00A338B7">
        <w:rPr>
          <w:rFonts w:ascii="Arial" w:hAnsi="Arial" w:cs="Arial"/>
          <w:b/>
          <w:bCs/>
          <w:color w:val="000000"/>
          <w:sz w:val="18"/>
          <w:szCs w:val="18"/>
        </w:rPr>
        <w:tab/>
      </w:r>
      <w:r w:rsidRPr="00A338B7">
        <w:rPr>
          <w:bCs/>
        </w:rPr>
        <w:t>Článok 54 ods. 1 smernice Európskeho parlamentu a Rady </w:t>
      </w:r>
      <w:bookmarkStart w:id="0" w:name="ctx38"/>
      <w:r w:rsidRPr="00A338B7">
        <w:rPr>
          <w:bCs/>
        </w:rPr>
        <w:t>2004/39</w:t>
      </w:r>
      <w:bookmarkEnd w:id="0"/>
      <w:r w:rsidRPr="00A338B7">
        <w:rPr>
          <w:bCs/>
        </w:rPr>
        <w:t>/ES z 21. apríla 2004 o trhoch s finančnými nástrojmi, o zmene a doplnení smerníc Rady 85/611/EHS a 93/6/EHS a smernice Európskeho parlamentu a Rady 2000/12/ES a o zrušení smernice Rady 93/22/EHS, sa má vykladať v tom zmysle, že všetky informácie týkajúce sa podniku, nad ktorým sa vykonáva dohľad, ktoré tento podnik poskytne príslušnému orgánu, ako aj všetky vyhlásenia toho orgánu uvedené v jeho dokumentácii o dohľade, vrátane jeho korešpondencie s inými orgánmi, nie sú bezpodmienečne dôvernými informáciami, na ktoré sa teda vzťahuje povinnosť zachovávať služobné tajomstvo, ktorá je stanovená v tomto ustanovení. Táto kvalifikácia sa vzťahuje na informácie, ktoré majú k dispozícii orgány určené členskými štátmi na to, aby plnili úlohy stanovené touto smernicou, a ktoré jednak nemajú verejnú povahu a jednak ich sprístupnenie by mohlo poškodiť záujmy fyzickej či právnickej osoby, ktorá ich poskytla, alebo tretej osoby, alebo aj riadne fungovanie systému monitorovania činností investičných podnikov, ktorý normotvorca Únie zaviedol prijatím smernice </w:t>
      </w:r>
      <w:bookmarkStart w:id="1" w:name="ctx39"/>
      <w:r w:rsidRPr="00A338B7">
        <w:rPr>
          <w:bCs/>
        </w:rPr>
        <w:t>2004/39</w:t>
      </w:r>
      <w:bookmarkEnd w:id="1"/>
      <w:r w:rsidRPr="00A338B7">
        <w:rPr>
          <w:bCs/>
        </w:rPr>
        <w:t>.</w:t>
      </w:r>
    </w:p>
    <w:p w14:paraId="474EC0AE" w14:textId="77777777" w:rsidR="00E60336" w:rsidRPr="00A338B7" w:rsidRDefault="00E60336" w:rsidP="00E60336">
      <w:pPr>
        <w:pStyle w:val="c08dispositif"/>
        <w:spacing w:after="240" w:afterAutospacing="0"/>
        <w:ind w:left="1134" w:hanging="567"/>
        <w:jc w:val="both"/>
        <w:rPr>
          <w:bCs/>
        </w:rPr>
      </w:pPr>
      <w:r w:rsidRPr="00A338B7">
        <w:rPr>
          <w:bCs/>
        </w:rPr>
        <w:t>2.      Preto treba na druhú otázku odpovedať tak, že článok 54 ods. 1 smernice </w:t>
      </w:r>
      <w:bookmarkStart w:id="2" w:name="ctx40"/>
      <w:r w:rsidRPr="00A338B7">
        <w:rPr>
          <w:bCs/>
        </w:rPr>
        <w:t>2004/39</w:t>
      </w:r>
      <w:bookmarkEnd w:id="2"/>
      <w:r w:rsidRPr="00A338B7">
        <w:rPr>
          <w:bCs/>
        </w:rPr>
        <w:t xml:space="preserve"> sa má vykladať v tom zmysle, že dôverná povaha informácií týkajúcich sa podniku, nad ktorým sa vykonáva dohľad, ktoré boli poskytnuté orgánom určeným </w:t>
      </w:r>
      <w:r w:rsidRPr="00A338B7">
        <w:rPr>
          <w:bCs/>
        </w:rPr>
        <w:lastRenderedPageBreak/>
        <w:t>členskými štátmi na to, aby plnili úlohy stanovené touto smernicou, sa musí posúdiť ku dňu preskúmania, ktoré majú tieto orgány vykonať pri rozhodovaní o žiadosti o sprístupnenie uvedených informácií, bez ohľadu na to, ako boli kvalifikované v okamihu, keď boli uvedeným orgánom poskytnuté.</w:t>
      </w:r>
    </w:p>
    <w:p w14:paraId="3342AE8D" w14:textId="77777777" w:rsidR="00E60336" w:rsidRPr="00A338B7" w:rsidRDefault="00E60336" w:rsidP="00E60336">
      <w:pPr>
        <w:pStyle w:val="c08dispositif"/>
        <w:spacing w:after="240" w:afterAutospacing="0"/>
        <w:ind w:left="1134" w:hanging="567"/>
        <w:jc w:val="both"/>
        <w:rPr>
          <w:bCs/>
        </w:rPr>
      </w:pPr>
      <w:r w:rsidRPr="00A338B7">
        <w:rPr>
          <w:bCs/>
        </w:rPr>
        <w:t>3.      V dôsledku toho treba na tretiu otázku odpovedať tak, že článok 54 ods. 1 smernice </w:t>
      </w:r>
      <w:bookmarkStart w:id="3" w:name="ctx41"/>
      <w:r w:rsidRPr="00A338B7">
        <w:rPr>
          <w:bCs/>
        </w:rPr>
        <w:t>2004/39</w:t>
      </w:r>
      <w:bookmarkEnd w:id="3"/>
      <w:r w:rsidRPr="00A338B7">
        <w:rPr>
          <w:bCs/>
        </w:rPr>
        <w:t> sa má vykladať v tom zmysle, že informácie, ktoré majú k dispozícii orgány určené členskými štátmi na to, aby plnili úlohy stanovené touto smernicou, a ktoré môžu predstavovať obchodné tajomstvo, no sú staré päť a viac rokov, sa v dôsledku uplynutia času v zásade považujú za zastarané, a z tohto dôvodu stratili svoj tajný charakter, ibaže by účastník konania, ktorý sa odvoláva na tento charakter, výnimočne preukázal, že tieto informácie napriek ich veku stále predstavujú podstatné prvky jeho obchodného postavenia alebo postavenia tretej osoby. Takéto úvahy neplatia v prípade informácií, ktoré majú k dispozícií tieto orgány a ktorých dôvernosť možno odôvodniť inými dôvodmi, než je ich význam pre obchodné postavenie dotknutých podnikov.</w:t>
      </w:r>
    </w:p>
    <w:p w14:paraId="202F1ACF" w14:textId="77777777" w:rsidR="00E60336" w:rsidRPr="00A338B7" w:rsidRDefault="00E60336" w:rsidP="00E60336">
      <w:pPr>
        <w:rPr>
          <w:b/>
          <w:bCs/>
          <w:color w:val="000000"/>
          <w:lang w:eastAsia="sk-SK"/>
        </w:rPr>
      </w:pPr>
    </w:p>
    <w:p w14:paraId="4A244AE5" w14:textId="77777777" w:rsidR="00E60336" w:rsidRPr="00A338B7" w:rsidRDefault="00E60336" w:rsidP="00E60336">
      <w:pPr>
        <w:pStyle w:val="Odsekzoznamu"/>
        <w:numPr>
          <w:ilvl w:val="0"/>
          <w:numId w:val="6"/>
        </w:numPr>
        <w:spacing w:after="0" w:line="240" w:lineRule="auto"/>
        <w:ind w:left="426" w:hanging="426"/>
        <w:rPr>
          <w:rFonts w:ascii="Times New Roman" w:eastAsia="Times New Roman" w:hAnsi="Times New Roman" w:cs="Times New Roman"/>
          <w:color w:val="000000"/>
          <w:sz w:val="27"/>
          <w:szCs w:val="27"/>
          <w:lang w:eastAsia="sk-SK"/>
        </w:rPr>
      </w:pPr>
      <w:r w:rsidRPr="00A338B7">
        <w:rPr>
          <w:rFonts w:ascii="Times New Roman" w:eastAsia="Times New Roman" w:hAnsi="Times New Roman" w:cs="Times New Roman"/>
          <w:b/>
          <w:bCs/>
          <w:color w:val="000000"/>
          <w:sz w:val="24"/>
          <w:szCs w:val="24"/>
          <w:lang w:eastAsia="sk-SK"/>
        </w:rPr>
        <w:t>Záväzky Slovenskej republiky vo vzťahu k Európskej únii:</w:t>
      </w:r>
    </w:p>
    <w:p w14:paraId="6D5A08E8" w14:textId="77777777" w:rsidR="00E60336" w:rsidRPr="00727471" w:rsidRDefault="00E60336" w:rsidP="00E60336">
      <w:pPr>
        <w:pStyle w:val="Odsekzoznamu"/>
        <w:numPr>
          <w:ilvl w:val="0"/>
          <w:numId w:val="10"/>
        </w:numPr>
        <w:spacing w:after="0" w:line="240" w:lineRule="auto"/>
        <w:jc w:val="both"/>
        <w:rPr>
          <w:rFonts w:ascii="Times New Roman" w:eastAsia="Times New Roman" w:hAnsi="Times New Roman" w:cs="Times New Roman"/>
          <w:color w:val="000000"/>
          <w:sz w:val="24"/>
          <w:szCs w:val="24"/>
          <w:lang w:eastAsia="sk-SK"/>
        </w:rPr>
      </w:pPr>
      <w:r w:rsidRPr="00727471">
        <w:rPr>
          <w:rFonts w:ascii="Times New Roman" w:eastAsia="Times New Roman" w:hAnsi="Times New Roman" w:cs="Times New Roman"/>
          <w:color w:val="000000"/>
          <w:sz w:val="24"/>
          <w:szCs w:val="24"/>
          <w:lang w:eastAsia="sk-SK"/>
        </w:rPr>
        <w:t>Lehota</w:t>
      </w:r>
      <w:r w:rsidRPr="00727471">
        <w:rPr>
          <w:rFonts w:ascii="Times New Roman" w:eastAsia="Times New Roman" w:hAnsi="Times New Roman" w:cs="Times New Roman"/>
          <w:color w:val="000000"/>
          <w:spacing w:val="82"/>
          <w:sz w:val="24"/>
          <w:szCs w:val="24"/>
          <w:lang w:eastAsia="sk-SK"/>
        </w:rPr>
        <w:t xml:space="preserve"> </w:t>
      </w:r>
      <w:r w:rsidRPr="00727471">
        <w:rPr>
          <w:rFonts w:ascii="Times New Roman" w:eastAsia="Times New Roman" w:hAnsi="Times New Roman" w:cs="Times New Roman"/>
          <w:color w:val="000000"/>
          <w:sz w:val="24"/>
          <w:szCs w:val="24"/>
          <w:lang w:eastAsia="sk-SK"/>
        </w:rPr>
        <w:t>na</w:t>
      </w:r>
      <w:r w:rsidRPr="00727471">
        <w:rPr>
          <w:rFonts w:ascii="Times New Roman" w:eastAsia="Times New Roman" w:hAnsi="Times New Roman" w:cs="Times New Roman"/>
          <w:color w:val="000000"/>
          <w:spacing w:val="82"/>
          <w:sz w:val="24"/>
          <w:szCs w:val="24"/>
          <w:lang w:eastAsia="sk-SK"/>
        </w:rPr>
        <w:t xml:space="preserve"> </w:t>
      </w:r>
      <w:r w:rsidRPr="00727471">
        <w:rPr>
          <w:rFonts w:ascii="Times New Roman" w:eastAsia="Times New Roman" w:hAnsi="Times New Roman" w:cs="Times New Roman"/>
          <w:color w:val="000000"/>
          <w:sz w:val="24"/>
          <w:szCs w:val="24"/>
          <w:lang w:eastAsia="sk-SK"/>
        </w:rPr>
        <w:t>prebratie</w:t>
      </w:r>
      <w:r w:rsidRPr="00727471">
        <w:rPr>
          <w:rFonts w:ascii="Times New Roman" w:eastAsia="Times New Roman" w:hAnsi="Times New Roman" w:cs="Times New Roman"/>
          <w:color w:val="000000"/>
          <w:spacing w:val="82"/>
          <w:sz w:val="24"/>
          <w:szCs w:val="24"/>
          <w:lang w:eastAsia="sk-SK"/>
        </w:rPr>
        <w:t xml:space="preserve"> </w:t>
      </w:r>
      <w:r w:rsidRPr="00727471">
        <w:rPr>
          <w:rFonts w:ascii="Times New Roman" w:eastAsia="Times New Roman" w:hAnsi="Times New Roman" w:cs="Times New Roman"/>
          <w:color w:val="000000"/>
          <w:sz w:val="24"/>
          <w:szCs w:val="24"/>
          <w:lang w:eastAsia="sk-SK"/>
        </w:rPr>
        <w:t>smernice</w:t>
      </w:r>
      <w:r w:rsidRPr="00727471">
        <w:rPr>
          <w:rFonts w:ascii="Times New Roman" w:eastAsia="Times New Roman" w:hAnsi="Times New Roman" w:cs="Times New Roman"/>
          <w:color w:val="000000"/>
          <w:spacing w:val="82"/>
          <w:sz w:val="24"/>
          <w:szCs w:val="24"/>
          <w:lang w:eastAsia="sk-SK"/>
        </w:rPr>
        <w:t xml:space="preserve"> </w:t>
      </w:r>
      <w:r w:rsidRPr="00727471">
        <w:rPr>
          <w:rFonts w:ascii="Times New Roman" w:eastAsia="Times New Roman" w:hAnsi="Times New Roman" w:cs="Times New Roman"/>
          <w:color w:val="000000"/>
          <w:sz w:val="24"/>
          <w:szCs w:val="24"/>
          <w:lang w:eastAsia="sk-SK"/>
        </w:rPr>
        <w:t>(EÚ</w:t>
      </w:r>
      <w:r w:rsidRPr="00727471">
        <w:rPr>
          <w:rFonts w:ascii="Times New Roman" w:eastAsia="Times New Roman" w:hAnsi="Times New Roman" w:cs="Times New Roman"/>
          <w:color w:val="000000"/>
          <w:spacing w:val="82"/>
          <w:sz w:val="24"/>
          <w:szCs w:val="24"/>
          <w:lang w:eastAsia="sk-SK"/>
        </w:rPr>
        <w:t>)</w:t>
      </w:r>
      <w:r w:rsidRPr="00727471">
        <w:rPr>
          <w:rFonts w:ascii="Times New Roman" w:eastAsia="Times New Roman" w:hAnsi="Times New Roman" w:cs="Times New Roman"/>
          <w:color w:val="000000"/>
          <w:sz w:val="24"/>
          <w:szCs w:val="24"/>
          <w:lang w:eastAsia="sk-SK"/>
        </w:rPr>
        <w:t>2019/2034 je</w:t>
      </w:r>
      <w:r w:rsidRPr="00727471">
        <w:rPr>
          <w:rFonts w:ascii="Times New Roman" w:eastAsia="Times New Roman" w:hAnsi="Times New Roman" w:cs="Times New Roman"/>
          <w:color w:val="000000"/>
          <w:spacing w:val="82"/>
          <w:sz w:val="24"/>
          <w:szCs w:val="24"/>
          <w:lang w:eastAsia="sk-SK"/>
        </w:rPr>
        <w:t xml:space="preserve"> </w:t>
      </w:r>
      <w:r w:rsidRPr="00727471">
        <w:rPr>
          <w:rFonts w:ascii="Times New Roman" w:eastAsia="Times New Roman" w:hAnsi="Times New Roman" w:cs="Times New Roman"/>
          <w:color w:val="000000"/>
          <w:sz w:val="24"/>
          <w:szCs w:val="24"/>
          <w:lang w:eastAsia="sk-SK"/>
        </w:rPr>
        <w:t>stanovená</w:t>
      </w:r>
      <w:r w:rsidRPr="00727471">
        <w:rPr>
          <w:rFonts w:ascii="Times New Roman" w:eastAsia="Times New Roman" w:hAnsi="Times New Roman" w:cs="Times New Roman"/>
          <w:color w:val="000000"/>
          <w:spacing w:val="82"/>
          <w:sz w:val="24"/>
          <w:szCs w:val="24"/>
          <w:lang w:eastAsia="sk-SK"/>
        </w:rPr>
        <w:t xml:space="preserve"> </w:t>
      </w:r>
      <w:r w:rsidRPr="00727471">
        <w:rPr>
          <w:rFonts w:ascii="Times New Roman" w:eastAsia="Times New Roman" w:hAnsi="Times New Roman" w:cs="Times New Roman"/>
          <w:color w:val="000000"/>
          <w:sz w:val="24"/>
          <w:szCs w:val="24"/>
          <w:lang w:eastAsia="sk-SK"/>
        </w:rPr>
        <w:t>do</w:t>
      </w:r>
      <w:r w:rsidRPr="00727471">
        <w:rPr>
          <w:rFonts w:ascii="Times New Roman" w:eastAsia="Times New Roman" w:hAnsi="Times New Roman" w:cs="Times New Roman"/>
          <w:color w:val="000000"/>
          <w:spacing w:val="82"/>
          <w:sz w:val="24"/>
          <w:szCs w:val="24"/>
          <w:lang w:eastAsia="sk-SK"/>
        </w:rPr>
        <w:t xml:space="preserve"> </w:t>
      </w:r>
      <w:r w:rsidRPr="00727471">
        <w:rPr>
          <w:rFonts w:ascii="Times New Roman" w:eastAsia="Times New Roman" w:hAnsi="Times New Roman" w:cs="Times New Roman"/>
          <w:color w:val="000000"/>
          <w:sz w:val="24"/>
          <w:szCs w:val="24"/>
          <w:lang w:eastAsia="sk-SK"/>
        </w:rPr>
        <w:t xml:space="preserve">26. júna 2021 s výnimkou niektorých článkov. </w:t>
      </w:r>
    </w:p>
    <w:p w14:paraId="3214A4B1" w14:textId="77777777" w:rsidR="00E60336" w:rsidRPr="00E8175F" w:rsidRDefault="00E60336" w:rsidP="00E60336">
      <w:pPr>
        <w:pStyle w:val="Odsekzoznamu"/>
        <w:spacing w:after="0" w:line="240" w:lineRule="auto"/>
        <w:jc w:val="both"/>
        <w:rPr>
          <w:rFonts w:ascii="Times New Roman" w:eastAsia="Times New Roman" w:hAnsi="Times New Roman" w:cs="Times New Roman"/>
          <w:color w:val="000000"/>
          <w:sz w:val="24"/>
          <w:szCs w:val="24"/>
          <w:lang w:eastAsia="sk-SK"/>
        </w:rPr>
      </w:pPr>
      <w:r w:rsidRPr="00E8175F">
        <w:rPr>
          <w:rFonts w:ascii="Times New Roman" w:eastAsia="Times New Roman" w:hAnsi="Times New Roman" w:cs="Times New Roman"/>
          <w:color w:val="000000"/>
          <w:sz w:val="24"/>
          <w:szCs w:val="24"/>
          <w:lang w:eastAsia="sk-SK"/>
        </w:rPr>
        <w:t>Lehota</w:t>
      </w:r>
      <w:r w:rsidRPr="00E8175F">
        <w:rPr>
          <w:rFonts w:ascii="Times New Roman" w:eastAsia="Times New Roman" w:hAnsi="Times New Roman" w:cs="Times New Roman"/>
          <w:color w:val="000000"/>
          <w:spacing w:val="82"/>
          <w:sz w:val="24"/>
          <w:szCs w:val="24"/>
          <w:lang w:eastAsia="sk-SK"/>
        </w:rPr>
        <w:t xml:space="preserve"> </w:t>
      </w:r>
      <w:r w:rsidRPr="00E8175F">
        <w:rPr>
          <w:rFonts w:ascii="Times New Roman" w:eastAsia="Times New Roman" w:hAnsi="Times New Roman" w:cs="Times New Roman"/>
          <w:color w:val="000000"/>
          <w:sz w:val="24"/>
          <w:szCs w:val="24"/>
          <w:lang w:eastAsia="sk-SK"/>
        </w:rPr>
        <w:t>na</w:t>
      </w:r>
      <w:r w:rsidRPr="00E8175F">
        <w:rPr>
          <w:rFonts w:ascii="Times New Roman" w:eastAsia="Times New Roman" w:hAnsi="Times New Roman" w:cs="Times New Roman"/>
          <w:color w:val="000000"/>
          <w:spacing w:val="82"/>
          <w:sz w:val="24"/>
          <w:szCs w:val="24"/>
          <w:lang w:eastAsia="sk-SK"/>
        </w:rPr>
        <w:t xml:space="preserve"> </w:t>
      </w:r>
      <w:r w:rsidRPr="00E8175F">
        <w:rPr>
          <w:rFonts w:ascii="Times New Roman" w:eastAsia="Times New Roman" w:hAnsi="Times New Roman" w:cs="Times New Roman"/>
          <w:color w:val="000000"/>
          <w:sz w:val="24"/>
          <w:szCs w:val="24"/>
          <w:lang w:eastAsia="sk-SK"/>
        </w:rPr>
        <w:t>prebratie</w:t>
      </w:r>
      <w:r w:rsidRPr="00E8175F">
        <w:rPr>
          <w:rFonts w:ascii="Times New Roman" w:eastAsia="Times New Roman" w:hAnsi="Times New Roman" w:cs="Times New Roman"/>
          <w:color w:val="000000"/>
          <w:spacing w:val="82"/>
          <w:sz w:val="24"/>
          <w:szCs w:val="24"/>
          <w:lang w:eastAsia="sk-SK"/>
        </w:rPr>
        <w:t xml:space="preserve"> </w:t>
      </w:r>
      <w:r w:rsidRPr="00E8175F">
        <w:rPr>
          <w:rFonts w:ascii="Times New Roman" w:eastAsia="Times New Roman" w:hAnsi="Times New Roman" w:cs="Times New Roman"/>
          <w:color w:val="000000"/>
          <w:sz w:val="24"/>
          <w:szCs w:val="24"/>
          <w:lang w:eastAsia="sk-SK"/>
        </w:rPr>
        <w:t>smernice (EÚ)</w:t>
      </w:r>
      <w:r w:rsidRPr="00E8175F">
        <w:rPr>
          <w:rFonts w:ascii="Times New Roman" w:eastAsia="Times New Roman" w:hAnsi="Times New Roman" w:cs="Times New Roman"/>
          <w:color w:val="000000"/>
          <w:spacing w:val="82"/>
          <w:sz w:val="24"/>
          <w:szCs w:val="24"/>
          <w:lang w:eastAsia="sk-SK"/>
        </w:rPr>
        <w:t xml:space="preserve"> </w:t>
      </w:r>
      <w:r w:rsidRPr="00E8175F">
        <w:rPr>
          <w:rFonts w:ascii="Times New Roman" w:eastAsia="Times New Roman" w:hAnsi="Times New Roman" w:cs="Times New Roman"/>
          <w:color w:val="000000"/>
          <w:sz w:val="24"/>
          <w:szCs w:val="24"/>
          <w:lang w:eastAsia="sk-SK"/>
        </w:rPr>
        <w:t>2019/2177 je</w:t>
      </w:r>
      <w:r w:rsidRPr="00E8175F">
        <w:rPr>
          <w:rFonts w:ascii="Times New Roman" w:eastAsia="Times New Roman" w:hAnsi="Times New Roman" w:cs="Times New Roman"/>
          <w:color w:val="000000"/>
          <w:spacing w:val="82"/>
          <w:sz w:val="24"/>
          <w:szCs w:val="24"/>
          <w:lang w:eastAsia="sk-SK"/>
        </w:rPr>
        <w:t xml:space="preserve"> </w:t>
      </w:r>
      <w:r w:rsidRPr="00E8175F">
        <w:rPr>
          <w:rFonts w:ascii="Times New Roman" w:eastAsia="Times New Roman" w:hAnsi="Times New Roman" w:cs="Times New Roman"/>
          <w:color w:val="000000"/>
          <w:sz w:val="24"/>
          <w:szCs w:val="24"/>
          <w:lang w:eastAsia="sk-SK"/>
        </w:rPr>
        <w:t>stanovená</w:t>
      </w:r>
      <w:r w:rsidRPr="00E8175F">
        <w:rPr>
          <w:rFonts w:ascii="Times New Roman" w:eastAsia="Times New Roman" w:hAnsi="Times New Roman" w:cs="Times New Roman"/>
          <w:color w:val="000000"/>
          <w:spacing w:val="82"/>
          <w:sz w:val="24"/>
          <w:szCs w:val="24"/>
          <w:lang w:eastAsia="sk-SK"/>
        </w:rPr>
        <w:t xml:space="preserve"> </w:t>
      </w:r>
      <w:r w:rsidRPr="00E8175F">
        <w:rPr>
          <w:rFonts w:ascii="Times New Roman" w:eastAsia="Times New Roman" w:hAnsi="Times New Roman" w:cs="Times New Roman"/>
          <w:color w:val="000000"/>
          <w:sz w:val="24"/>
          <w:szCs w:val="24"/>
          <w:lang w:eastAsia="sk-SK"/>
        </w:rPr>
        <w:t>do</w:t>
      </w:r>
      <w:r w:rsidRPr="00E8175F">
        <w:rPr>
          <w:rFonts w:ascii="Times New Roman" w:eastAsia="Times New Roman" w:hAnsi="Times New Roman" w:cs="Times New Roman"/>
          <w:color w:val="000000"/>
          <w:spacing w:val="82"/>
          <w:sz w:val="24"/>
          <w:szCs w:val="24"/>
          <w:lang w:eastAsia="sk-SK"/>
        </w:rPr>
        <w:t xml:space="preserve"> </w:t>
      </w:r>
      <w:r w:rsidRPr="00E8175F">
        <w:rPr>
          <w:rFonts w:ascii="Times New Roman" w:eastAsia="Times New Roman" w:hAnsi="Times New Roman" w:cs="Times New Roman"/>
          <w:color w:val="000000"/>
          <w:sz w:val="24"/>
          <w:szCs w:val="24"/>
          <w:lang w:eastAsia="sk-SK"/>
        </w:rPr>
        <w:t>30. júna 2021</w:t>
      </w:r>
      <w:r w:rsidRPr="00E8175F">
        <w:rPr>
          <w:rFonts w:ascii="Times New Roman" w:eastAsia="Times New Roman" w:hAnsi="Times New Roman" w:cs="Times New Roman"/>
          <w:color w:val="000000"/>
          <w:sz w:val="24"/>
          <w:szCs w:val="24"/>
          <w:lang w:eastAsia="sk-SK"/>
        </w:rPr>
        <w:br/>
        <w:t>s výnimkou článku 2 bodu 1, pri ktorom je stanovená lehota do 30. júna 2020.</w:t>
      </w:r>
    </w:p>
    <w:p w14:paraId="5CFEF03E" w14:textId="77777777" w:rsidR="00E60336" w:rsidRPr="00E8175F" w:rsidRDefault="00E60336" w:rsidP="00E60336">
      <w:pPr>
        <w:pStyle w:val="Odsekzoznamu"/>
        <w:spacing w:after="0" w:line="240" w:lineRule="auto"/>
        <w:jc w:val="both"/>
        <w:rPr>
          <w:rFonts w:ascii="Times New Roman" w:eastAsia="Times New Roman" w:hAnsi="Times New Roman" w:cs="Times New Roman"/>
          <w:color w:val="000000"/>
          <w:sz w:val="24"/>
          <w:szCs w:val="24"/>
          <w:lang w:eastAsia="sk-SK"/>
        </w:rPr>
      </w:pPr>
      <w:r w:rsidRPr="00E8175F">
        <w:rPr>
          <w:rFonts w:ascii="Times New Roman" w:eastAsia="Times New Roman" w:hAnsi="Times New Roman" w:cs="Times New Roman"/>
          <w:color w:val="000000"/>
          <w:sz w:val="24"/>
          <w:szCs w:val="24"/>
          <w:lang w:eastAsia="sk-SK"/>
        </w:rPr>
        <w:t>Lehota na prebratie smernice 2014/65/EÚ v platnom znení bola stanovená do 3.7.2017.</w:t>
      </w:r>
    </w:p>
    <w:p w14:paraId="3B53617A" w14:textId="77777777" w:rsidR="00E60336" w:rsidRDefault="00E60336" w:rsidP="00E60336">
      <w:pPr>
        <w:pStyle w:val="Odsekzoznamu"/>
        <w:spacing w:after="0" w:line="240" w:lineRule="auto"/>
        <w:jc w:val="both"/>
        <w:rPr>
          <w:rFonts w:ascii="Times New Roman" w:eastAsia="Times New Roman" w:hAnsi="Times New Roman" w:cs="Times New Roman"/>
          <w:color w:val="000000"/>
          <w:sz w:val="24"/>
          <w:szCs w:val="24"/>
          <w:lang w:eastAsia="sk-SK"/>
        </w:rPr>
      </w:pPr>
      <w:r w:rsidRPr="00E8175F">
        <w:rPr>
          <w:rFonts w:ascii="Times New Roman" w:eastAsia="Times New Roman" w:hAnsi="Times New Roman" w:cs="Times New Roman"/>
          <w:color w:val="000000"/>
          <w:sz w:val="24"/>
          <w:szCs w:val="24"/>
          <w:lang w:eastAsia="sk-SK"/>
        </w:rPr>
        <w:t>Lehota na prebratie smernice (EÚ) 2020/1504 je stanovená do 10. mája 2021.</w:t>
      </w:r>
    </w:p>
    <w:p w14:paraId="08CF4ED4" w14:textId="77777777" w:rsidR="00E60336" w:rsidRPr="00E8175F" w:rsidRDefault="00E60336" w:rsidP="00E60336">
      <w:pPr>
        <w:pStyle w:val="Odsekzoznamu"/>
        <w:spacing w:after="0" w:line="240" w:lineRule="auto"/>
        <w:jc w:val="both"/>
        <w:rPr>
          <w:rFonts w:ascii="Times New Roman" w:eastAsia="Times New Roman" w:hAnsi="Times New Roman" w:cs="Times New Roman"/>
          <w:color w:val="000000"/>
          <w:sz w:val="24"/>
          <w:szCs w:val="24"/>
          <w:lang w:eastAsia="sk-SK"/>
        </w:rPr>
      </w:pPr>
      <w:r w:rsidRPr="002E6CF2">
        <w:rPr>
          <w:rFonts w:ascii="Times New Roman" w:eastAsia="Times New Roman" w:hAnsi="Times New Roman" w:cs="Times New Roman"/>
          <w:color w:val="000000"/>
          <w:sz w:val="24"/>
          <w:szCs w:val="24"/>
          <w:lang w:eastAsia="sk-SK"/>
        </w:rPr>
        <w:t xml:space="preserve">Lehota na prebratie smernice </w:t>
      </w:r>
      <w:r>
        <w:rPr>
          <w:rFonts w:ascii="Times New Roman" w:eastAsia="Times New Roman" w:hAnsi="Times New Roman" w:cs="Times New Roman"/>
          <w:color w:val="000000"/>
          <w:sz w:val="24"/>
          <w:szCs w:val="24"/>
          <w:lang w:eastAsia="sk-SK"/>
        </w:rPr>
        <w:t xml:space="preserve">(EÚ) </w:t>
      </w:r>
      <w:r w:rsidRPr="002E6CF2">
        <w:rPr>
          <w:rFonts w:ascii="Times New Roman" w:eastAsia="Times New Roman" w:hAnsi="Times New Roman" w:cs="Times New Roman"/>
          <w:color w:val="000000"/>
          <w:sz w:val="24"/>
          <w:szCs w:val="24"/>
          <w:lang w:eastAsia="sk-SK"/>
        </w:rPr>
        <w:t>2019/878 bola stanovená do 28. decembra 2020.</w:t>
      </w:r>
    </w:p>
    <w:p w14:paraId="140FD5C3" w14:textId="77777777" w:rsidR="00E60336" w:rsidRPr="00E8175F" w:rsidRDefault="00E60336" w:rsidP="00E60336">
      <w:pPr>
        <w:pStyle w:val="Odsekzoznamu"/>
        <w:spacing w:after="0" w:line="240" w:lineRule="auto"/>
        <w:jc w:val="both"/>
        <w:rPr>
          <w:rFonts w:ascii="Times New Roman" w:eastAsia="Times New Roman" w:hAnsi="Times New Roman" w:cs="Times New Roman"/>
          <w:color w:val="000000"/>
          <w:sz w:val="24"/>
          <w:szCs w:val="24"/>
          <w:lang w:eastAsia="sk-SK"/>
        </w:rPr>
      </w:pPr>
    </w:p>
    <w:p w14:paraId="3E885CE7" w14:textId="77777777" w:rsidR="00E60336" w:rsidRPr="00E8175F" w:rsidRDefault="00E60336" w:rsidP="00E60336">
      <w:pPr>
        <w:pStyle w:val="Odsekzoznamu"/>
        <w:numPr>
          <w:ilvl w:val="0"/>
          <w:numId w:val="10"/>
        </w:numPr>
        <w:spacing w:line="240" w:lineRule="auto"/>
        <w:jc w:val="both"/>
        <w:rPr>
          <w:rFonts w:ascii="Times New Roman" w:hAnsi="Times New Roman" w:cs="Times New Roman"/>
          <w:sz w:val="24"/>
          <w:szCs w:val="24"/>
        </w:rPr>
      </w:pPr>
      <w:r w:rsidRPr="00E8175F">
        <w:rPr>
          <w:rFonts w:ascii="Times New Roman" w:hAnsi="Times New Roman" w:cs="Times New Roman"/>
          <w:sz w:val="24"/>
          <w:szCs w:val="24"/>
        </w:rPr>
        <w:t xml:space="preserve">V súvislosti s článkom 2 bod 1 smernice (EÚ) 2019/2177 adresovala Európska komisia Slovenskej republike formálne oznámenie C (2020) 4600/26 </w:t>
      </w:r>
      <w:proofErr w:type="spellStart"/>
      <w:r w:rsidRPr="00E8175F">
        <w:rPr>
          <w:rFonts w:ascii="Times New Roman" w:hAnsi="Times New Roman" w:cs="Times New Roman"/>
          <w:sz w:val="24"/>
          <w:szCs w:val="24"/>
        </w:rPr>
        <w:t>final</w:t>
      </w:r>
      <w:proofErr w:type="spellEnd"/>
      <w:r w:rsidRPr="00E8175F">
        <w:rPr>
          <w:rFonts w:ascii="Times New Roman" w:hAnsi="Times New Roman" w:cs="Times New Roman"/>
          <w:sz w:val="24"/>
          <w:szCs w:val="24"/>
        </w:rPr>
        <w:t xml:space="preserve"> zo dňa 17. júla 2020, ktorým iniciuje proti Slovenskej republike konanie o porušení vedené podľa čl. 258 Zmluvy o fungovaní Európskej únie v platnom znení registrované pod č. 2020/0362.</w:t>
      </w:r>
    </w:p>
    <w:p w14:paraId="1060D333" w14:textId="77777777" w:rsidR="00E60336" w:rsidRPr="00E8175F" w:rsidRDefault="00E60336" w:rsidP="00E60336">
      <w:pPr>
        <w:pStyle w:val="Odsekzoznamu"/>
        <w:jc w:val="both"/>
        <w:rPr>
          <w:rFonts w:ascii="Times New Roman" w:hAnsi="Times New Roman" w:cs="Times New Roman"/>
          <w:sz w:val="24"/>
          <w:szCs w:val="24"/>
        </w:rPr>
      </w:pPr>
    </w:p>
    <w:p w14:paraId="6D9317BA" w14:textId="77777777" w:rsidR="00E60336" w:rsidRPr="00E8175F" w:rsidRDefault="00E60336" w:rsidP="00E60336">
      <w:pPr>
        <w:pStyle w:val="Odsekzoznamu"/>
        <w:numPr>
          <w:ilvl w:val="0"/>
          <w:numId w:val="10"/>
        </w:numPr>
        <w:spacing w:after="0" w:line="240" w:lineRule="auto"/>
        <w:jc w:val="both"/>
        <w:rPr>
          <w:rFonts w:ascii="Times New Roman" w:eastAsia="Times New Roman" w:hAnsi="Times New Roman" w:cs="Times New Roman"/>
          <w:color w:val="000000"/>
          <w:sz w:val="24"/>
          <w:szCs w:val="24"/>
          <w:lang w:eastAsia="sk-SK"/>
        </w:rPr>
      </w:pPr>
      <w:r w:rsidRPr="00E8175F">
        <w:rPr>
          <w:rFonts w:ascii="Times New Roman" w:hAnsi="Times New Roman" w:cs="Times New Roman"/>
          <w:bCs/>
          <w:sz w:val="24"/>
          <w:szCs w:val="24"/>
        </w:rPr>
        <w:t>Smernic</w:t>
      </w:r>
      <w:r>
        <w:rPr>
          <w:rFonts w:ascii="Times New Roman" w:hAnsi="Times New Roman" w:cs="Times New Roman"/>
          <w:bCs/>
          <w:sz w:val="24"/>
          <w:szCs w:val="24"/>
        </w:rPr>
        <w:t>a</w:t>
      </w:r>
      <w:r w:rsidRPr="00E8175F">
        <w:rPr>
          <w:rFonts w:ascii="Times New Roman" w:hAnsi="Times New Roman" w:cs="Times New Roman"/>
          <w:bCs/>
          <w:sz w:val="24"/>
          <w:szCs w:val="24"/>
        </w:rPr>
        <w:t xml:space="preserve"> (EÚ) 2019/2034</w:t>
      </w:r>
      <w:r>
        <w:rPr>
          <w:rFonts w:ascii="Times New Roman" w:hAnsi="Times New Roman" w:cs="Times New Roman"/>
          <w:bCs/>
          <w:sz w:val="24"/>
          <w:szCs w:val="24"/>
        </w:rPr>
        <w:t xml:space="preserve"> </w:t>
      </w:r>
      <w:r w:rsidRPr="00E8175F">
        <w:rPr>
          <w:rFonts w:ascii="Times New Roman" w:hAnsi="Times New Roman" w:cs="Times New Roman"/>
          <w:bCs/>
          <w:sz w:val="24"/>
          <w:szCs w:val="24"/>
        </w:rPr>
        <w:t>a smernic</w:t>
      </w:r>
      <w:r>
        <w:rPr>
          <w:rFonts w:ascii="Times New Roman" w:hAnsi="Times New Roman" w:cs="Times New Roman"/>
          <w:bCs/>
          <w:sz w:val="24"/>
          <w:szCs w:val="24"/>
        </w:rPr>
        <w:t>a</w:t>
      </w:r>
      <w:r w:rsidRPr="00E8175F">
        <w:rPr>
          <w:rFonts w:ascii="Times New Roman" w:hAnsi="Times New Roman" w:cs="Times New Roman"/>
          <w:bCs/>
          <w:sz w:val="24"/>
          <w:szCs w:val="24"/>
        </w:rPr>
        <w:t xml:space="preserve"> (EÚ) 2019/2177 boli transponované do zákona č. 340/2020 Z. z., ktorým sa mení a dopĺňa zákon č. 483/2001 Z. z. o bankách </w:t>
      </w:r>
      <w:r w:rsidRPr="00E8175F">
        <w:rPr>
          <w:rFonts w:ascii="Times New Roman" w:eastAsia="Times New Roman" w:hAnsi="Times New Roman" w:cs="Times New Roman"/>
          <w:color w:val="000000"/>
          <w:sz w:val="24"/>
          <w:szCs w:val="24"/>
          <w:lang w:eastAsia="sk-SK"/>
        </w:rPr>
        <w:t>a o zmene a doplnení niektorých zákonov v znení neskorších predpisov a ktorým sa menia a dopĺňajú niektoré zákony.</w:t>
      </w:r>
    </w:p>
    <w:p w14:paraId="3F02305C" w14:textId="77777777" w:rsidR="00E60336" w:rsidRDefault="00E60336" w:rsidP="00E60336">
      <w:pPr>
        <w:pStyle w:val="Odsekzoznamu"/>
        <w:rPr>
          <w:rFonts w:ascii="Times New Roman" w:eastAsia="Times New Roman" w:hAnsi="Times New Roman" w:cs="Times New Roman"/>
          <w:color w:val="000000"/>
          <w:sz w:val="24"/>
          <w:szCs w:val="24"/>
          <w:lang w:eastAsia="sk-SK"/>
        </w:rPr>
      </w:pPr>
    </w:p>
    <w:p w14:paraId="52060194" w14:textId="77777777" w:rsidR="00E60336" w:rsidRDefault="00E60336" w:rsidP="00E60336">
      <w:pPr>
        <w:pStyle w:val="Odsekzoznamu"/>
        <w:rPr>
          <w:rFonts w:ascii="Times New Roman" w:eastAsia="Times New Roman" w:hAnsi="Times New Roman" w:cs="Times New Roman"/>
          <w:color w:val="000000"/>
          <w:sz w:val="24"/>
          <w:szCs w:val="24"/>
          <w:lang w:eastAsia="sk-SK"/>
        </w:rPr>
      </w:pPr>
      <w:r w:rsidRPr="002E6CF2">
        <w:rPr>
          <w:rFonts w:ascii="Times New Roman" w:hAnsi="Times New Roman" w:cs="Times New Roman"/>
          <w:bCs/>
          <w:sz w:val="24"/>
          <w:szCs w:val="24"/>
        </w:rPr>
        <w:t>Smernica (EÚ) 2019/878 bola</w:t>
      </w:r>
      <w:r>
        <w:rPr>
          <w:rFonts w:ascii="Times New Roman" w:hAnsi="Times New Roman" w:cs="Times New Roman"/>
          <w:bCs/>
          <w:sz w:val="24"/>
          <w:szCs w:val="24"/>
        </w:rPr>
        <w:t xml:space="preserve"> transponovaná do zákona č. 483/2001 Z. z. o bankách a o zmene a doplnení niektorých zákonov v znení neskorších predpisov a ktorým sa menia a dopĺňajú niektoré zákony. </w:t>
      </w:r>
    </w:p>
    <w:p w14:paraId="4B776188" w14:textId="77777777" w:rsidR="00E60336" w:rsidRPr="00D449AF" w:rsidRDefault="00E60336" w:rsidP="00E60336">
      <w:pPr>
        <w:pStyle w:val="Odsekzoznamu"/>
        <w:rPr>
          <w:rFonts w:ascii="Times New Roman" w:eastAsia="Times New Roman" w:hAnsi="Times New Roman" w:cs="Times New Roman"/>
          <w:color w:val="000000"/>
          <w:sz w:val="24"/>
          <w:szCs w:val="24"/>
          <w:lang w:eastAsia="sk-SK"/>
        </w:rPr>
      </w:pPr>
    </w:p>
    <w:p w14:paraId="3DE58549" w14:textId="77777777" w:rsidR="00E60336" w:rsidRPr="00A338B7" w:rsidRDefault="00E60336" w:rsidP="00E60336">
      <w:pPr>
        <w:pStyle w:val="Odsekzoznamu"/>
        <w:spacing w:after="0" w:line="240" w:lineRule="auto"/>
        <w:jc w:val="both"/>
        <w:rPr>
          <w:rFonts w:ascii="Times New Roman" w:eastAsia="Times New Roman" w:hAnsi="Times New Roman" w:cs="Times New Roman"/>
          <w:color w:val="000000"/>
          <w:sz w:val="24"/>
          <w:szCs w:val="24"/>
          <w:lang w:eastAsia="sk-SK"/>
        </w:rPr>
      </w:pPr>
      <w:r w:rsidRPr="00D449AF">
        <w:rPr>
          <w:rFonts w:ascii="Times New Roman" w:eastAsia="Times New Roman" w:hAnsi="Times New Roman" w:cs="Times New Roman"/>
          <w:color w:val="000000"/>
          <w:sz w:val="24"/>
          <w:szCs w:val="24"/>
          <w:lang w:eastAsia="sk-SK"/>
        </w:rPr>
        <w:t xml:space="preserve">Smernica 2014/65/EÚ bola prebratá do zákona č. 237/2017 Z. z., ktorým sa mení a dopĺňa zákon č. 566/2001 Z. z. o cenných papieroch a investičných službách a o zmene a doplnení niektorých zákonov (zákon o cenných papieroch) v znení neskorších predpisov a ktorým sa menia a dopĺňajú niektoré zákony, do zákona č. 566/2001 Z. z. o cenných papieroch a investičných službách a o zmene a doplnení niektorých zákonov (zákon o cenných papieroch) v znení neskorších predpisov, do zákona č. 429/2002 Z. z. o burze cenných papierov v znení neskorších predpisov, do zákona č. 747/2004 Z. z. o dohľade nad finančným trhom a o zmene niektorých zákonov </w:t>
      </w:r>
      <w:r w:rsidRPr="00D449AF">
        <w:rPr>
          <w:rFonts w:ascii="Times New Roman" w:eastAsia="Times New Roman" w:hAnsi="Times New Roman" w:cs="Times New Roman"/>
          <w:color w:val="000000"/>
          <w:sz w:val="24"/>
          <w:szCs w:val="24"/>
          <w:lang w:eastAsia="sk-SK"/>
        </w:rPr>
        <w:lastRenderedPageBreak/>
        <w:t>v znení neskorších predpisov, do zákona č. 186/2009 Z. z. o finančnom sprostredkovaní a finančnom poradenstve a o zmene a doplnení niektorých zákonov v znení neskorších predpisov, do zákona č. 203/2011 Z. z. o kolektívnom investovaní v znení neskorších predpisov, do zákona č. 483/2001 Z. z. o bankách a o zmene a doplnení niektorých zákonov v znení neskorších predpisov, do zákona č. 250/2007 Z. z. o ochrane spotrebiteľa a o zmene zákona Slovenskej národnej rady č. 372/1990 Zb. o priestupkoch v znení neskorších predpis</w:t>
      </w:r>
      <w:r>
        <w:rPr>
          <w:rFonts w:ascii="Times New Roman" w:eastAsia="Times New Roman" w:hAnsi="Times New Roman" w:cs="Times New Roman"/>
          <w:color w:val="000000"/>
          <w:sz w:val="24"/>
          <w:szCs w:val="24"/>
          <w:lang w:eastAsia="sk-SK"/>
        </w:rPr>
        <w:t>ov v znení neskorších predpisov,</w:t>
      </w:r>
      <w:r w:rsidRPr="00D449AF">
        <w:rPr>
          <w:rFonts w:ascii="Times New Roman" w:eastAsia="Times New Roman" w:hAnsi="Times New Roman" w:cs="Times New Roman"/>
          <w:color w:val="000000"/>
          <w:sz w:val="24"/>
          <w:szCs w:val="24"/>
          <w:lang w:eastAsia="sk-SK"/>
        </w:rPr>
        <w:t xml:space="preserve"> do zákona č. 423/2015 Z. z. o štatutárnom audite a o zmene a doplnení zákona č. 431/2002 Z. z. o účtovníctve v znení neskorších predpisov v znení neskorších </w:t>
      </w:r>
      <w:r w:rsidRPr="00E8175F">
        <w:rPr>
          <w:rFonts w:ascii="Times New Roman" w:eastAsia="Times New Roman" w:hAnsi="Times New Roman" w:cs="Times New Roman"/>
          <w:color w:val="000000"/>
          <w:sz w:val="24"/>
          <w:szCs w:val="24"/>
          <w:lang w:eastAsia="sk-SK"/>
        </w:rPr>
        <w:t>predpisov a do zákona č. 373/2018 Z. z., ktorým sa mení a dopĺňa zákon č. 371/2014 Z. z. o riešení krízových situácií na finančnom trhu a o zmene a doplnení niektorých zákonov v znení neskorších predpisov a ktorým sa menia a dopĺňajú niektoré zákony.</w:t>
      </w:r>
    </w:p>
    <w:p w14:paraId="2937040F" w14:textId="77777777" w:rsidR="00E60336" w:rsidRPr="00A338B7" w:rsidRDefault="00E60336" w:rsidP="00E60336">
      <w:pPr>
        <w:jc w:val="both"/>
        <w:rPr>
          <w:color w:val="000000"/>
          <w:lang w:eastAsia="sk-SK"/>
        </w:rPr>
      </w:pPr>
    </w:p>
    <w:p w14:paraId="3EA37251" w14:textId="77777777" w:rsidR="00E60336" w:rsidRPr="00A338B7" w:rsidRDefault="00E60336" w:rsidP="00E60336">
      <w:pPr>
        <w:jc w:val="both"/>
        <w:rPr>
          <w:color w:val="000000"/>
          <w:lang w:eastAsia="sk-SK"/>
        </w:rPr>
      </w:pPr>
    </w:p>
    <w:p w14:paraId="1F65501D" w14:textId="77777777" w:rsidR="00E60336" w:rsidRPr="00A338B7" w:rsidRDefault="00E60336" w:rsidP="00E60336">
      <w:pPr>
        <w:pStyle w:val="Odsekzoznamu"/>
        <w:numPr>
          <w:ilvl w:val="0"/>
          <w:numId w:val="6"/>
        </w:numPr>
        <w:spacing w:after="0" w:line="240" w:lineRule="auto"/>
        <w:ind w:left="426" w:hanging="426"/>
        <w:rPr>
          <w:rFonts w:ascii="Times New Roman" w:eastAsia="Times New Roman" w:hAnsi="Times New Roman" w:cs="Times New Roman"/>
          <w:color w:val="000000"/>
          <w:sz w:val="27"/>
          <w:szCs w:val="27"/>
          <w:lang w:eastAsia="sk-SK"/>
        </w:rPr>
      </w:pPr>
      <w:r w:rsidRPr="00A338B7">
        <w:rPr>
          <w:rFonts w:ascii="Times New Roman" w:eastAsia="Times New Roman" w:hAnsi="Times New Roman" w:cs="Times New Roman"/>
          <w:b/>
          <w:bCs/>
          <w:color w:val="000000"/>
          <w:sz w:val="24"/>
          <w:szCs w:val="24"/>
          <w:lang w:eastAsia="sk-SK"/>
        </w:rPr>
        <w:t>Návrh zákona je zlučiteľný s právom Európskej únie:</w:t>
      </w:r>
    </w:p>
    <w:p w14:paraId="0CBF3557" w14:textId="77777777" w:rsidR="00E60336" w:rsidRPr="00A338B7" w:rsidRDefault="00E60336" w:rsidP="00E60336">
      <w:pPr>
        <w:pStyle w:val="Odsekzoznamu"/>
        <w:numPr>
          <w:ilvl w:val="0"/>
          <w:numId w:val="9"/>
        </w:numPr>
        <w:spacing w:after="0" w:line="240" w:lineRule="auto"/>
        <w:jc w:val="both"/>
        <w:rPr>
          <w:rFonts w:ascii="Times New Roman" w:eastAsia="Times New Roman" w:hAnsi="Times New Roman" w:cs="Times New Roman"/>
          <w:color w:val="000000"/>
          <w:sz w:val="24"/>
          <w:szCs w:val="24"/>
          <w:lang w:eastAsia="sk-SK"/>
        </w:rPr>
      </w:pPr>
      <w:r w:rsidRPr="00A338B7">
        <w:rPr>
          <w:rFonts w:ascii="Times New Roman" w:eastAsia="Times New Roman" w:hAnsi="Times New Roman" w:cs="Times New Roman"/>
          <w:color w:val="000000"/>
          <w:sz w:val="24"/>
          <w:szCs w:val="24"/>
          <w:lang w:eastAsia="sk-SK"/>
        </w:rPr>
        <w:t>úplne.</w:t>
      </w:r>
    </w:p>
    <w:p w14:paraId="1E6E050D" w14:textId="77777777" w:rsidR="00E60336" w:rsidRPr="00FC287C" w:rsidRDefault="00E60336" w:rsidP="00E60336"/>
    <w:p w14:paraId="01D4E591" w14:textId="77777777" w:rsidR="00E60336" w:rsidRDefault="00E60336">
      <w:pPr>
        <w:jc w:val="both"/>
      </w:pPr>
    </w:p>
    <w:p w14:paraId="7DC49145" w14:textId="79060431" w:rsidR="00E60336" w:rsidRDefault="00E60336">
      <w:pPr>
        <w:spacing w:after="160" w:line="259" w:lineRule="auto"/>
      </w:pPr>
      <w:r>
        <w:br w:type="page"/>
      </w:r>
    </w:p>
    <w:p w14:paraId="0FB04D08" w14:textId="77777777" w:rsidR="00557563" w:rsidRPr="006A490D" w:rsidRDefault="00557563" w:rsidP="00557563">
      <w:pPr>
        <w:spacing w:after="120"/>
        <w:jc w:val="center"/>
        <w:rPr>
          <w:b/>
          <w:caps/>
          <w:sz w:val="27"/>
          <w:szCs w:val="27"/>
          <w:lang w:eastAsia="sk-SK"/>
        </w:rPr>
      </w:pPr>
      <w:r w:rsidRPr="006A490D">
        <w:rPr>
          <w:b/>
          <w:caps/>
        </w:rPr>
        <w:lastRenderedPageBreak/>
        <w:t>Dôvodová správa</w:t>
      </w:r>
    </w:p>
    <w:p w14:paraId="76DBBD04" w14:textId="77777777" w:rsidR="00E60336" w:rsidRDefault="00E60336">
      <w:pPr>
        <w:jc w:val="both"/>
      </w:pPr>
    </w:p>
    <w:p w14:paraId="15B90916"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Osobitná časť </w:t>
      </w:r>
    </w:p>
    <w:p w14:paraId="769E3CD2" w14:textId="77777777" w:rsidR="00557563" w:rsidRPr="00557563" w:rsidRDefault="00557563" w:rsidP="00557563">
      <w:pPr>
        <w:spacing w:line="259" w:lineRule="auto"/>
        <w:jc w:val="both"/>
        <w:rPr>
          <w:rFonts w:eastAsiaTheme="minorHAnsi"/>
          <w:b/>
          <w:lang w:eastAsia="en-US"/>
        </w:rPr>
      </w:pPr>
    </w:p>
    <w:p w14:paraId="2F904E75" w14:textId="78ECF581" w:rsidR="00557563" w:rsidRPr="00557563" w:rsidRDefault="00557563" w:rsidP="00557563">
      <w:pPr>
        <w:spacing w:line="259" w:lineRule="auto"/>
        <w:jc w:val="both"/>
        <w:rPr>
          <w:rFonts w:eastAsiaTheme="minorHAnsi"/>
          <w:b/>
          <w:lang w:eastAsia="en-US"/>
        </w:rPr>
      </w:pPr>
      <w:r>
        <w:rPr>
          <w:rFonts w:eastAsiaTheme="minorHAnsi"/>
          <w:b/>
          <w:lang w:eastAsia="en-US"/>
        </w:rPr>
        <w:t xml:space="preserve">K </w:t>
      </w:r>
      <w:r w:rsidRPr="00557563">
        <w:rPr>
          <w:rFonts w:eastAsiaTheme="minorHAnsi"/>
          <w:b/>
          <w:lang w:eastAsia="en-US"/>
        </w:rPr>
        <w:t>Čl. I – zákon č. 566/2001 Z. z. o cenných papieroch a investičných službách</w:t>
      </w:r>
    </w:p>
    <w:p w14:paraId="4E1EB63F"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 [§1]</w:t>
      </w:r>
    </w:p>
    <w:p w14:paraId="0B425D4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1 bod 1 písm. a) a b) Smernice Európskeho parlamentu a Rady (EÚ) 2019/2177 z 18. decembra 2019, ktorou sa mení smernica 2009/138/ES o začatí a vykonávaní poistenia a zaistenia (Solventnosť II), smernica 2014/65/EÚ o trhoch s finančnými nástrojmi a smernica (EÚ) 2015/849 o predchádzaní využívaniu finančného systému na účely prania špinavých peňazí alebo financovania terorizmu (ďalej len „smernica 2019/2177“), ktorým sa z rozsahu pôsobnosti Smernice Európskeho parlamentu a Rady 2014/65/EÚ z  15. mája 2014 o trhoch s finančnými nástrojmi, ktorou sa mení smernica 2002/92/ES a smernica 2011/61/EÚ (ďalej len „</w:t>
      </w:r>
      <w:proofErr w:type="spellStart"/>
      <w:r w:rsidRPr="00557563">
        <w:rPr>
          <w:rFonts w:eastAsiaTheme="minorHAnsi"/>
          <w:lang w:eastAsia="en-US"/>
        </w:rPr>
        <w:t>MiFID</w:t>
      </w:r>
      <w:proofErr w:type="spellEnd"/>
      <w:r w:rsidRPr="00557563">
        <w:rPr>
          <w:rFonts w:eastAsiaTheme="minorHAnsi"/>
          <w:lang w:eastAsia="en-US"/>
        </w:rPr>
        <w:t xml:space="preserve"> II“) vypúšťa  udeľovanie povolení poskytovateľom služieb vykazovania údajov a výkonu ich činnosti. Udeľovanie povolenia poskytovateľom služieb vykazovania údajov a výkonu ich činnosti Nariadením Európskeho Parlamentu a Rady (EÚ) 2019/2175 z 18. decembra 2019, ktorým sa mení nariadenie (EÚ) č. 1093/2010, ktorým sa zriaďuje Európsky orgán dohľadu (Európsky orgán pre bankovníctvo), nariadenie (EÚ) č. 1094/2010, ktorým sa zriaďuje Európsky orgán dohľadu (Európsky orgán pre poisťovníctvo a dôchodkové poistenie zamestnancov), nariadenie (EÚ) č. 1095/2010, ktorým sa zriaďuje Európsky orgán dohľadu (Európsky orgán pre cenné papiere a trhy), nariadenie (EÚ) č. 600/2014 o trhoch s finančnými nástrojmi, nariadenie (EÚ) 2016/1011 o indexoch používaných ako referenčné hodnoty vo finančných nástrojoch a finančných zmluvách alebo na meranie výkonnosti investičných fondov a nariadenie (EÚ) 2015/847 o údajoch sprevádzajúcich prevody finančných prostriedkov (ďalej len „Nariadenie o </w:t>
      </w:r>
      <w:proofErr w:type="spellStart"/>
      <w:r w:rsidRPr="00557563">
        <w:rPr>
          <w:rFonts w:eastAsiaTheme="minorHAnsi"/>
          <w:lang w:eastAsia="en-US"/>
        </w:rPr>
        <w:t>ESA´s</w:t>
      </w:r>
      <w:proofErr w:type="spellEnd"/>
      <w:r w:rsidRPr="00557563">
        <w:rPr>
          <w:rFonts w:eastAsiaTheme="minorHAnsi"/>
          <w:lang w:eastAsia="en-US"/>
        </w:rPr>
        <w:t>“) prechádza do pôsobnosti Európskeho orgánu dohľadu (Európsky orgán pre cenné papiere a trhy) s výnimkou podľa čl. 2 ods. 3 nariadenia (EÚ) č. 600/2014 v platnom znení.</w:t>
      </w:r>
    </w:p>
    <w:p w14:paraId="0C00AD08" w14:textId="77777777" w:rsidR="00557563" w:rsidRPr="00557563" w:rsidRDefault="00557563" w:rsidP="00557563">
      <w:pPr>
        <w:spacing w:line="259" w:lineRule="auto"/>
        <w:jc w:val="both"/>
        <w:rPr>
          <w:rFonts w:eastAsiaTheme="minorHAnsi"/>
          <w:b/>
          <w:lang w:eastAsia="en-US"/>
        </w:rPr>
      </w:pPr>
    </w:p>
    <w:p w14:paraId="10FACFA5"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 [§ 4a ods. 2]</w:t>
      </w:r>
    </w:p>
    <w:p w14:paraId="00FCA837"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Legislatívno-technická úprava v nadväznosti na bod 16 (§ 54). V zmysle Smernice Európskeho Parlamentu a Rady (EÚ) 2019/2034 z 27. novembra 2019 o </w:t>
      </w:r>
      <w:proofErr w:type="spellStart"/>
      <w:r w:rsidRPr="00557563">
        <w:rPr>
          <w:rFonts w:eastAsiaTheme="minorHAnsi"/>
          <w:lang w:eastAsia="en-US"/>
        </w:rPr>
        <w:t>prudenciálnom</w:t>
      </w:r>
      <w:proofErr w:type="spellEnd"/>
      <w:r w:rsidRPr="00557563">
        <w:rPr>
          <w:rFonts w:eastAsiaTheme="minorHAnsi"/>
          <w:lang w:eastAsia="en-US"/>
        </w:rPr>
        <w:t xml:space="preserve"> dohľade nad investičnými spoločnosťami a o zmene smerníc 2002/87/ES, 2009/65/ES, 2011/61/EÚ, 2013/36/EÚ, 2014/59/EÚ a 2014/65/EÚ (ďalej len „smernica IFD“) sa na udelenie povolenia pre výkon činnosti u obchodníka s cennými papiermi vyžaduje minimálna výška počiatočného kapitálu, ktorý nahrádza súčasnú požiadavku na základné imanie.</w:t>
      </w:r>
    </w:p>
    <w:p w14:paraId="77CDED17" w14:textId="77777777" w:rsidR="00557563" w:rsidRPr="00557563" w:rsidRDefault="00557563" w:rsidP="00557563">
      <w:pPr>
        <w:spacing w:line="259" w:lineRule="auto"/>
        <w:jc w:val="both"/>
        <w:rPr>
          <w:rFonts w:eastAsiaTheme="minorHAnsi"/>
          <w:b/>
          <w:lang w:eastAsia="en-US"/>
        </w:rPr>
      </w:pPr>
    </w:p>
    <w:p w14:paraId="320D8484"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3 [§ 7 ods. 11]</w:t>
      </w:r>
    </w:p>
    <w:p w14:paraId="4BA1966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Spresňuje sa, že dlhodobé investičné sporenie je možné uskutočniť aj prostredníctvom obchodníkov s cennými papiermi.</w:t>
      </w:r>
    </w:p>
    <w:p w14:paraId="11135D63" w14:textId="77777777" w:rsidR="00557563" w:rsidRPr="00557563" w:rsidRDefault="00557563" w:rsidP="00557563">
      <w:pPr>
        <w:spacing w:line="259" w:lineRule="auto"/>
        <w:jc w:val="both"/>
        <w:rPr>
          <w:rFonts w:eastAsiaTheme="minorHAnsi"/>
          <w:b/>
          <w:lang w:eastAsia="en-US"/>
        </w:rPr>
      </w:pPr>
    </w:p>
    <w:p w14:paraId="2EF25763"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4 [§ 7 ods. 17 až 19 a 23]</w:t>
      </w:r>
    </w:p>
    <w:p w14:paraId="220F423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Nakoľko sa z rozsahu smernice </w:t>
      </w:r>
      <w:proofErr w:type="spellStart"/>
      <w:r w:rsidRPr="00557563">
        <w:rPr>
          <w:rFonts w:eastAsiaTheme="minorHAnsi"/>
          <w:lang w:eastAsia="en-US"/>
        </w:rPr>
        <w:t>MiFID</w:t>
      </w:r>
      <w:proofErr w:type="spellEnd"/>
      <w:r w:rsidRPr="00557563">
        <w:rPr>
          <w:rFonts w:eastAsiaTheme="minorHAnsi"/>
          <w:lang w:eastAsia="en-US"/>
        </w:rPr>
        <w:t xml:space="preserve"> II vypúšťa udeľovanie povolení poskytovateľom služieb vykazovania údajov a výkonu ich činnosti, navrhuje sa z vymedzenia základných pojmov vypustiť dotknuté pojmy.</w:t>
      </w:r>
    </w:p>
    <w:p w14:paraId="3E6B0161" w14:textId="77777777" w:rsidR="00557563" w:rsidRPr="00557563" w:rsidRDefault="00557563" w:rsidP="00557563">
      <w:pPr>
        <w:spacing w:line="259" w:lineRule="auto"/>
        <w:jc w:val="both"/>
        <w:rPr>
          <w:rFonts w:eastAsiaTheme="minorHAnsi"/>
          <w:b/>
          <w:lang w:eastAsia="en-US"/>
        </w:rPr>
      </w:pPr>
    </w:p>
    <w:p w14:paraId="2A20CD31"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5</w:t>
      </w:r>
    </w:p>
    <w:p w14:paraId="476C9A4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lastRenderedPageBreak/>
        <w:t xml:space="preserve">Definícia poľnohospodárskych komoditných derivátov sa rozširuje o produkty rybolovu a </w:t>
      </w:r>
      <w:proofErr w:type="spellStart"/>
      <w:r w:rsidRPr="00557563">
        <w:rPr>
          <w:rFonts w:eastAsiaTheme="minorHAnsi"/>
          <w:lang w:eastAsia="en-US"/>
        </w:rPr>
        <w:t>akvakultúry</w:t>
      </w:r>
      <w:proofErr w:type="spellEnd"/>
      <w:r w:rsidRPr="00557563">
        <w:rPr>
          <w:rFonts w:eastAsiaTheme="minorHAnsi"/>
          <w:lang w:eastAsia="en-US"/>
        </w:rPr>
        <w:t xml:space="preserve"> uvedené v Prílohe 1 nariadenia (EÚ) č. 1379/2013.</w:t>
      </w:r>
    </w:p>
    <w:p w14:paraId="2C688372" w14:textId="77777777" w:rsidR="00557563" w:rsidRPr="00557563" w:rsidRDefault="00557563" w:rsidP="00557563">
      <w:pPr>
        <w:spacing w:line="259" w:lineRule="auto"/>
        <w:jc w:val="both"/>
        <w:rPr>
          <w:rFonts w:eastAsiaTheme="minorHAnsi"/>
          <w:b/>
          <w:lang w:eastAsia="en-US"/>
        </w:rPr>
      </w:pPr>
    </w:p>
    <w:p w14:paraId="40876F7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6 [§ 7 ods. 27 až 30]</w:t>
      </w:r>
    </w:p>
    <w:p w14:paraId="26CC649A"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Zavádzajú sa definície pojmov, ktoré sú potrebné pre jednoznačnejšiu aplikáciu usmernení  smernice </w:t>
      </w:r>
      <w:proofErr w:type="spellStart"/>
      <w:r w:rsidRPr="00557563">
        <w:rPr>
          <w:rFonts w:eastAsiaTheme="minorHAnsi"/>
          <w:lang w:eastAsia="en-US"/>
        </w:rPr>
        <w:t>MiFID</w:t>
      </w:r>
      <w:proofErr w:type="spellEnd"/>
      <w:r w:rsidRPr="00557563">
        <w:rPr>
          <w:rFonts w:eastAsiaTheme="minorHAnsi"/>
          <w:lang w:eastAsia="en-US"/>
        </w:rPr>
        <w:t xml:space="preserve"> II. Výmena finančného nástroja v portfóliu je spojená s nákladmi na túto výmenu, a viažu sa k nej povinnosti vyhodnotenia prínosu nového finančného nástroja pre klienta. Doložka o úplnom splatení pri dlhopisoch doteraz v právnej úprave Slovenskej republiky absentovala, naďalej však zostávajú v platnosti  emisné podmienky ako primárny nástroj pre akékoľvek dohody pre emitentom a investormi. Dopĺňa sa definícia elektronického formátu, keďže doteraz sa pod trvalým médiom vnímali len listinné dokumenty, v praxi sa však  používajú aj elektronické médiá vo forme CD, DVD nosičov a USB kľúčov, ktoré spĺňajú podmienky na trvalé médium. Definíciou prevažne obchodnej skupiny sa má dosiahnuť jasnejšie vymedzenie takejto skupiny s ohľadom na poskytovanie investičných služieb a vykonávanie tvorcu trhu.</w:t>
      </w:r>
    </w:p>
    <w:p w14:paraId="0A3C3427" w14:textId="77777777" w:rsidR="00557563" w:rsidRPr="00557563" w:rsidRDefault="00557563" w:rsidP="00557563">
      <w:pPr>
        <w:spacing w:line="259" w:lineRule="auto"/>
        <w:jc w:val="both"/>
        <w:rPr>
          <w:rFonts w:eastAsiaTheme="minorHAnsi"/>
          <w:b/>
          <w:lang w:eastAsia="en-US"/>
        </w:rPr>
      </w:pPr>
    </w:p>
    <w:p w14:paraId="42A9653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7 [§ 8 písm. b)]</w:t>
      </w:r>
    </w:p>
    <w:p w14:paraId="779D5096"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Navrhuje sa zosúladenie so zákonom č. 330/2007 Z. z. o registri trestov, Národná banka Slovenska je na účely preukázania dôveryhodnosti oprávnená získavať len výpis z registra trestov.</w:t>
      </w:r>
    </w:p>
    <w:p w14:paraId="6929879F" w14:textId="77777777" w:rsidR="00557563" w:rsidRPr="00557563" w:rsidRDefault="00557563" w:rsidP="00557563">
      <w:pPr>
        <w:spacing w:line="259" w:lineRule="auto"/>
        <w:jc w:val="both"/>
        <w:rPr>
          <w:rFonts w:eastAsiaTheme="minorHAnsi"/>
          <w:b/>
          <w:lang w:eastAsia="en-US"/>
        </w:rPr>
      </w:pPr>
    </w:p>
    <w:p w14:paraId="7944C5C9"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bodu 8 [§ 8 písm. c)] </w:t>
      </w:r>
    </w:p>
    <w:p w14:paraId="5E64A6DB"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3 bod 11 smernice IFD, spresňuje sa definícia finančnej inštitúcie.</w:t>
      </w:r>
    </w:p>
    <w:p w14:paraId="5661FCB2" w14:textId="77777777" w:rsidR="00557563" w:rsidRPr="00557563" w:rsidRDefault="00557563" w:rsidP="00557563">
      <w:pPr>
        <w:spacing w:line="259" w:lineRule="auto"/>
        <w:jc w:val="both"/>
        <w:rPr>
          <w:rFonts w:eastAsiaTheme="minorHAnsi"/>
          <w:lang w:eastAsia="en-US"/>
        </w:rPr>
      </w:pPr>
    </w:p>
    <w:p w14:paraId="08280A0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9 [§ 8 písm. u)]</w:t>
      </w:r>
    </w:p>
    <w:p w14:paraId="0315DF27"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3 odsek 1 bod 8 smernice IFD, ktorý definuje čo sa rozumie kapitálovým testom skupiny.</w:t>
      </w:r>
    </w:p>
    <w:p w14:paraId="791E9383" w14:textId="77777777" w:rsidR="00557563" w:rsidRPr="00557563" w:rsidRDefault="00557563" w:rsidP="00557563">
      <w:pPr>
        <w:spacing w:line="259" w:lineRule="auto"/>
        <w:jc w:val="both"/>
        <w:rPr>
          <w:rFonts w:eastAsiaTheme="minorHAnsi"/>
          <w:lang w:eastAsia="en-US"/>
        </w:rPr>
      </w:pPr>
    </w:p>
    <w:p w14:paraId="250DF936"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10 [§ 8 písm. v) a w)]</w:t>
      </w:r>
    </w:p>
    <w:p w14:paraId="241E5753"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w:t>
      </w:r>
      <w:proofErr w:type="spellStart"/>
      <w:r w:rsidRPr="00557563">
        <w:rPr>
          <w:rFonts w:eastAsiaTheme="minorHAnsi"/>
          <w:lang w:eastAsia="en-US"/>
        </w:rPr>
        <w:t>vyprecizovanie</w:t>
      </w:r>
      <w:proofErr w:type="spellEnd"/>
      <w:r w:rsidRPr="00557563">
        <w:rPr>
          <w:rFonts w:eastAsiaTheme="minorHAnsi"/>
          <w:lang w:eastAsia="en-US"/>
        </w:rPr>
        <w:t xml:space="preserve"> textu v nadväznosti na zmeny uvedené v bode 1(§1).</w:t>
      </w:r>
    </w:p>
    <w:p w14:paraId="3B08C24D" w14:textId="77777777" w:rsidR="00557563" w:rsidRPr="00557563" w:rsidRDefault="00557563" w:rsidP="00557563">
      <w:pPr>
        <w:spacing w:line="259" w:lineRule="auto"/>
        <w:jc w:val="both"/>
        <w:rPr>
          <w:rFonts w:eastAsiaTheme="minorHAnsi"/>
          <w:b/>
          <w:lang w:eastAsia="en-US"/>
        </w:rPr>
      </w:pPr>
    </w:p>
    <w:p w14:paraId="5A12D1D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11 [§ 8 písm. z)]</w:t>
      </w:r>
    </w:p>
    <w:p w14:paraId="1F085AE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3 odsek 1 bod 1 smernice IFD, ktorý definuje čo sa rozumie podnikom vedľajších služieb.</w:t>
      </w:r>
    </w:p>
    <w:p w14:paraId="1E9516AF" w14:textId="77777777" w:rsidR="00557563" w:rsidRPr="00557563" w:rsidRDefault="00557563" w:rsidP="00557563">
      <w:pPr>
        <w:spacing w:line="259" w:lineRule="auto"/>
        <w:jc w:val="both"/>
        <w:rPr>
          <w:rFonts w:eastAsiaTheme="minorHAnsi"/>
          <w:b/>
          <w:lang w:eastAsia="en-US"/>
        </w:rPr>
      </w:pPr>
    </w:p>
    <w:p w14:paraId="5893F038"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12</w:t>
      </w:r>
    </w:p>
    <w:p w14:paraId="3E737A79"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 v nadväznosti na aktuálne znenie zákona č. 483/2001 Z. z. o bankách a o zmene a doplnení niektorých zákonov (ďalej len „zákon o bankách“).</w:t>
      </w:r>
    </w:p>
    <w:p w14:paraId="6F2E3D89" w14:textId="77777777" w:rsidR="00557563" w:rsidRPr="00557563" w:rsidRDefault="00557563" w:rsidP="00557563">
      <w:pPr>
        <w:spacing w:line="259" w:lineRule="auto"/>
        <w:jc w:val="both"/>
        <w:rPr>
          <w:rFonts w:eastAsiaTheme="minorHAnsi"/>
          <w:lang w:eastAsia="en-US"/>
        </w:rPr>
      </w:pPr>
    </w:p>
    <w:p w14:paraId="5BFB98D8"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13 [§ 54 ods. 3 písm. g)]</w:t>
      </w:r>
    </w:p>
    <w:p w14:paraId="5E237BD8"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Upravuje sa, že príslušné osoby nemusia každoročne oznamovať Národnej banke Slovenska,  že nepotrebujú k danej činnosti povolenie, avšak zostáva povinnosť oznámiť Národnej banke Slovenska na jej žiadosť dôvod, na základe ktorého využívajú výnimku z § 54 zákona, teda v situácii, kedy považujú svoju činnosť za vedľajšiu činnosť k ich hlavnej činnosti.      </w:t>
      </w:r>
    </w:p>
    <w:p w14:paraId="12530475" w14:textId="77777777" w:rsidR="00557563" w:rsidRPr="00557563" w:rsidRDefault="00557563" w:rsidP="00557563">
      <w:pPr>
        <w:spacing w:line="259" w:lineRule="auto"/>
        <w:jc w:val="both"/>
        <w:rPr>
          <w:rFonts w:eastAsiaTheme="minorHAnsi"/>
          <w:b/>
          <w:lang w:eastAsia="en-US"/>
        </w:rPr>
      </w:pPr>
    </w:p>
    <w:p w14:paraId="15DEC111"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14 [§ 54 ods. 3 písm. l]</w:t>
      </w:r>
    </w:p>
    <w:p w14:paraId="1DA1645F"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lastRenderedPageBreak/>
        <w:t xml:space="preserve">Ide o transpozíciu smernice Európskeho parlamentu a Rady (EÚ) 2020/1504 zo 7. októbra 2020, ktorou sa mení smernica 2014/65/EÚ o trhoch s finančnými nástrojmi (ďalej len „smernica 2020/1504“), ktorá vyníma z rozsahu pôsobnosti smernice </w:t>
      </w:r>
      <w:proofErr w:type="spellStart"/>
      <w:r w:rsidRPr="00557563">
        <w:rPr>
          <w:rFonts w:eastAsiaTheme="minorHAnsi"/>
          <w:lang w:eastAsia="en-US"/>
        </w:rPr>
        <w:t>MiFID</w:t>
      </w:r>
      <w:proofErr w:type="spellEnd"/>
      <w:r w:rsidRPr="00557563">
        <w:rPr>
          <w:rFonts w:eastAsiaTheme="minorHAnsi"/>
          <w:lang w:eastAsia="en-US"/>
        </w:rPr>
        <w:t xml:space="preserve"> II poskytovateľov služieb hromadného financovania, čo znamená, že poskytovatelia služieb hromadného financovania na svoju účinnosť nemusia žiadať o povolenie na výkon svojej činnosti podľa zákona o cenných papierov. Na udelenie povolenia poskytovateľov služieb hromadného financovania sa vzťahuje Nariadenie Európskeho parlamentu a Rady (EÚ) 2020/1503 zo 7. októbra 2020 o európskych poskytovateľoch služieb hromadného financovania pre podnikanie a o zmene nariadenia (EÚ) 2017/1129 a smernice (EÚ) 2019/1937.</w:t>
      </w:r>
    </w:p>
    <w:p w14:paraId="53945705" w14:textId="77777777" w:rsidR="00557563" w:rsidRPr="00557563" w:rsidRDefault="00557563" w:rsidP="00557563">
      <w:pPr>
        <w:spacing w:line="259" w:lineRule="auto"/>
        <w:jc w:val="both"/>
        <w:rPr>
          <w:rFonts w:eastAsiaTheme="minorHAnsi"/>
          <w:b/>
          <w:lang w:eastAsia="en-US"/>
        </w:rPr>
      </w:pPr>
    </w:p>
    <w:p w14:paraId="7CDB31B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15 [§ 54 ods. 7]</w:t>
      </w:r>
    </w:p>
    <w:p w14:paraId="000FC7C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Predmetným ustanovením sa umožňuje, aby obchodníci s cennými papiermi mohli nad rámec poskytovania investičných služieb a výkonu investičných činnosti, v prípade, ak im to umožňuje osobitný predpis, po splnení určených požiadaviek poskytovať služby a vykonávať aj iné činnosti, ktoré je možné poskytovať na základe osobitných predpisov, napríklad na základe čl. 31 nariadenia Európskeho parlamentu a Rady (EÚ) č. 600/2014 z 15. mája 2014 o trhoch s finančnými nástrojmi, ktorým sa mení nariadenie (EÚ) č. 648/2012. Ide napríklad o službu kompresie portfólia, ako aj ďalšie služby súvisiace s transakciami s finančnými nástrojmi a riadením portfólií.</w:t>
      </w:r>
    </w:p>
    <w:p w14:paraId="786ECB1E" w14:textId="77777777" w:rsidR="00557563" w:rsidRPr="00557563" w:rsidRDefault="00557563" w:rsidP="00557563">
      <w:pPr>
        <w:spacing w:line="259" w:lineRule="auto"/>
        <w:jc w:val="both"/>
        <w:rPr>
          <w:rFonts w:eastAsiaTheme="minorHAnsi"/>
          <w:b/>
          <w:lang w:eastAsia="en-US"/>
        </w:rPr>
      </w:pPr>
    </w:p>
    <w:p w14:paraId="4D732AD8"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bodom 16 a 17 [§ 54 ods. 11 až 15, § 54 ods. 16] </w:t>
      </w:r>
    </w:p>
    <w:p w14:paraId="563F8C2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transpozíciu článku 3 odsek 1 body 6 a 18, článku 9 odseky 1 až 4 a článku 11 smernice IFD. Základným cieľom smernice IFD je vyňať investičné spoločnosti (v podmienkach SR ide o obchodníkov s cennými papiermi) z rozsahu Smernice Európskeho parlamentu a Rady 2013/36/EÚ z  26. júna 2013 o prístupe k činnosti úverových inštitúcií a </w:t>
      </w:r>
      <w:proofErr w:type="spellStart"/>
      <w:r w:rsidRPr="00557563">
        <w:rPr>
          <w:rFonts w:eastAsiaTheme="minorHAnsi"/>
          <w:lang w:eastAsia="en-US"/>
        </w:rPr>
        <w:t>prudenciálnom</w:t>
      </w:r>
      <w:proofErr w:type="spellEnd"/>
      <w:r w:rsidRPr="00557563">
        <w:rPr>
          <w:rFonts w:eastAsiaTheme="minorHAnsi"/>
          <w:lang w:eastAsia="en-US"/>
        </w:rPr>
        <w:t xml:space="preserve"> dohľade nad úverovými inštitúciami a investičnými spoločnosťami, o zmene smernice 2002/87/ES a o zrušení smerníc 2006/48/ES a 2006/49/ES (ďalej len „smernica CRD“) a klásť na obchodníkov s cennými papiermi </w:t>
      </w:r>
      <w:proofErr w:type="spellStart"/>
      <w:r w:rsidRPr="00557563">
        <w:rPr>
          <w:rFonts w:eastAsiaTheme="minorHAnsi"/>
          <w:lang w:eastAsia="en-US"/>
        </w:rPr>
        <w:t>prudenciálne</w:t>
      </w:r>
      <w:proofErr w:type="spellEnd"/>
      <w:r w:rsidRPr="00557563">
        <w:rPr>
          <w:rFonts w:eastAsiaTheme="minorHAnsi"/>
          <w:lang w:eastAsia="en-US"/>
        </w:rPr>
        <w:t xml:space="preserve"> požiadavky, ktoré sa zavádzajú smernicou IFD a Nariadením Európskeho Parlamentu a Rady (EÚ) 2019/2033 z 27. novembra 2019 o prudenciálnych požiadavkách na investičné spoločnosti a o zmene nariadení (EÚ) č. 1093/2010, (EÚ) č. 575/2013, (EÚ) č. 600/2014 a (EÚ) č. 806/2014 (ďalej len „nariadenie IFR“) a sú prispôsobené činnostiam obchodníkov s cennými papiermi. V tejto súvislosti sa stanovuje požiadavka na počiatočný kapitál obchodníkov s cennými papiermi. Na uvedenú požiadavku na počiatočný kapitál je naviazané aj udelenie povolenia na činnosť obchodníka s cennými papiermi, ktorá nahrádza súčasnú požiadavku na základné imanie. Nariadenie IFR ustanovuje v článku 9 zloženie počiatočného kapitálu. Novou právnou úpravou investičných spoločností dochádza k tzv. kategorizácii obchodníkov s cennými papiermi. Obchodník s cennými papiermi prvej kategórie je spoločnosť, ktorej činnosť spočíva vo výkone obchodovania na vlastný účet alebo upisovania a umiestňovania finančných nástrojov na základe pevného záväzku (v podmienkach SR ide o investičné služby a činnosti podľa § 6 ods. 1 písm. c) a f) zákona o cenných papieroch), ak spĺňa podmienky podľa §7b zákona o bankách a požiada o udelenie bankového povolenie. Takýto obchodník sa po novom bude považovať za úverovú inštitúciu (v podmienkach SR ide o banku) a budú sa na neho vzťahovať požiadavky podľa zákona o bankách a nebudú sa na neho vzťahovať požiadavky zákona č. 566/2001 Z. z. o cenných papieroch a investičných službách a o zmene a doplnení niektorých zákonov (zákon o cenných papieroch) v znení neskorších predpisov a ktorým sa menia a dopĺňajú niektoré zákony (ďalej len „zákon o cenných papieroch“). Obchodník s cennými papiermi mínus prvej kategórie (osobitný </w:t>
      </w:r>
      <w:r w:rsidRPr="00557563">
        <w:rPr>
          <w:rFonts w:eastAsiaTheme="minorHAnsi"/>
          <w:lang w:eastAsia="en-US"/>
        </w:rPr>
        <w:lastRenderedPageBreak/>
        <w:t xml:space="preserve">obchodník) je spoločnosť, ktorej činnosť spočíva vo výkone obchodovania na vlastný účet alebo upisovania a umiestňovania finančných nástrojov na základe pevného záväzku (v podmienkach SR ide o investičné služby a činnosti podľa § 6 ods. 1 písm. c) alebo f) zákona o cenných papieroch), v prípade ak takýto obchodník nie je obchodníkom s komoditami a emisnými kvótami, podnikom kolektívneho investovania alebo poisťovňou a spĺňa ktorúkoľvek podmienku podľa článku 1 odsek 2 nariadenia IFR alebo ak spĺňa všetky podmienky podľa článku 1 odsek 5 nariadenia IFR alebo ide o obchodníka s cennými papiermi podľa § 54d odsek 1. Na takéhoto obchodníka sú budú naďalej vzťahovať </w:t>
      </w:r>
      <w:proofErr w:type="spellStart"/>
      <w:r w:rsidRPr="00557563">
        <w:rPr>
          <w:rFonts w:eastAsiaTheme="minorHAnsi"/>
          <w:lang w:eastAsia="en-US"/>
        </w:rPr>
        <w:t>prudenciálne</w:t>
      </w:r>
      <w:proofErr w:type="spellEnd"/>
      <w:r w:rsidRPr="00557563">
        <w:rPr>
          <w:rFonts w:eastAsiaTheme="minorHAnsi"/>
          <w:lang w:eastAsia="en-US"/>
        </w:rPr>
        <w:t xml:space="preserve"> požiadavky a požiadavky na zverejnenie podľa zákona o bankách. </w:t>
      </w:r>
    </w:p>
    <w:p w14:paraId="5EF01B97"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Obchodník druhej kategórie je obchodník s cennými papiermi, na ktorého sa vzťahujú ustanovenia zákona o cenných papieroch, ktoré nanovo definujú požiadavky na tohto obchodníka a sú lepšie prispôsobené jeho činnostiam, predovšetkým ide o „miernejšie“ </w:t>
      </w:r>
      <w:proofErr w:type="spellStart"/>
      <w:r w:rsidRPr="00557563">
        <w:rPr>
          <w:rFonts w:eastAsiaTheme="minorHAnsi"/>
          <w:lang w:eastAsia="en-US"/>
        </w:rPr>
        <w:t>prudenciálne</w:t>
      </w:r>
      <w:proofErr w:type="spellEnd"/>
      <w:r w:rsidRPr="00557563">
        <w:rPr>
          <w:rFonts w:eastAsiaTheme="minorHAnsi"/>
          <w:lang w:eastAsia="en-US"/>
        </w:rPr>
        <w:t xml:space="preserve"> požiadavky oproti doterajšej právnej úprave. </w:t>
      </w:r>
    </w:p>
    <w:p w14:paraId="3C5F59E1"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Obchodník tretej kategórie </w:t>
      </w:r>
      <w:proofErr w:type="spellStart"/>
      <w:r w:rsidRPr="00557563">
        <w:rPr>
          <w:rFonts w:eastAsiaTheme="minorHAnsi"/>
          <w:lang w:eastAsia="en-US"/>
        </w:rPr>
        <w:t>tzv</w:t>
      </w:r>
      <w:proofErr w:type="spellEnd"/>
      <w:r w:rsidRPr="00557563">
        <w:rPr>
          <w:rFonts w:eastAsiaTheme="minorHAnsi"/>
          <w:lang w:eastAsia="en-US"/>
        </w:rPr>
        <w:t xml:space="preserve"> malý a neprepojený obchodník, na ktorého sa vzťahujú ustanovenia nariadenia IFR. Národná banka Slovenska ako orgán dohľadu má však právomoc v určitých situáciách vyžadovať od takéhoto obchodníka, aby splnil požiadavky podobne ako obchodník druhej kategórie.</w:t>
      </w:r>
    </w:p>
    <w:p w14:paraId="3107E767"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V § 54 sa vypúšťa odsek 16, ktorý sa v nadväznosti na nové definovanie požiadaviek na počiatočný kapitál stáva obsolentným.</w:t>
      </w:r>
    </w:p>
    <w:p w14:paraId="17452C05" w14:textId="77777777" w:rsidR="00557563" w:rsidRPr="00557563" w:rsidRDefault="00557563" w:rsidP="00557563">
      <w:pPr>
        <w:spacing w:line="259" w:lineRule="auto"/>
        <w:jc w:val="both"/>
        <w:rPr>
          <w:rFonts w:eastAsiaTheme="minorHAnsi"/>
          <w:lang w:eastAsia="en-US"/>
        </w:rPr>
      </w:pPr>
    </w:p>
    <w:p w14:paraId="53B667E0"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18 [§ 54b až 54e]</w:t>
      </w:r>
    </w:p>
    <w:p w14:paraId="17BBCEB9" w14:textId="77777777" w:rsidR="00557563" w:rsidRPr="00557563" w:rsidRDefault="00557563" w:rsidP="00557563">
      <w:pPr>
        <w:spacing w:line="259" w:lineRule="auto"/>
        <w:jc w:val="both"/>
        <w:rPr>
          <w:rFonts w:eastAsiaTheme="minorHAnsi"/>
          <w:u w:val="single"/>
          <w:lang w:eastAsia="en-US"/>
        </w:rPr>
      </w:pPr>
      <w:r w:rsidRPr="00557563">
        <w:rPr>
          <w:rFonts w:eastAsiaTheme="minorHAnsi"/>
          <w:u w:val="single"/>
          <w:lang w:eastAsia="en-US"/>
        </w:rPr>
        <w:t>K § 54b</w:t>
      </w:r>
    </w:p>
    <w:p w14:paraId="1AF65A96"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Vymedzuje sa, kto sa rozumie malým a neprepojeným obchodníkom s cennými papiermi a ktoré ustanovenia zákona sa na neho nevzťahujú a tiež sa ustanovuje lehota, do ktorej musí obchodník s cennými papiermi, ktorý prestane spĺňať podmienky, aby sa mohol považovať za malého a neprepojeného obchodníka, zosúladiť svoju činnosť s požiadavkami zákona o cenných papieroch.</w:t>
      </w:r>
    </w:p>
    <w:p w14:paraId="77FDFBFD" w14:textId="77777777" w:rsidR="00557563" w:rsidRPr="00557563" w:rsidRDefault="00557563" w:rsidP="00557563">
      <w:pPr>
        <w:spacing w:line="259" w:lineRule="auto"/>
        <w:jc w:val="both"/>
        <w:rPr>
          <w:rFonts w:eastAsiaTheme="minorHAnsi"/>
          <w:u w:val="single"/>
          <w:lang w:eastAsia="en-US"/>
        </w:rPr>
      </w:pPr>
      <w:r w:rsidRPr="00557563">
        <w:rPr>
          <w:rFonts w:eastAsiaTheme="minorHAnsi"/>
          <w:u w:val="single"/>
          <w:lang w:eastAsia="en-US"/>
        </w:rPr>
        <w:t>K § 54c</w:t>
      </w:r>
    </w:p>
    <w:p w14:paraId="65B90E65"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 osobitného obchodníka s cennými papiermi resp. obchodníka s cennými papiermi mínus prvej kategórie sa v oblastiach ako napr. zásady odmeňovania, výkon dohľadu na konsolidovanom základe, požiadavky na tlmiace rezervy, riadenie rizika, zverejňovanie správ vzťahujú príslušné ustanovenia zákona o bankách. Prísnejšie </w:t>
      </w:r>
      <w:proofErr w:type="spellStart"/>
      <w:r w:rsidRPr="00557563">
        <w:rPr>
          <w:rFonts w:eastAsiaTheme="minorHAnsi"/>
          <w:lang w:eastAsia="en-US"/>
        </w:rPr>
        <w:t>prudenciálne</w:t>
      </w:r>
      <w:proofErr w:type="spellEnd"/>
      <w:r w:rsidRPr="00557563">
        <w:rPr>
          <w:rFonts w:eastAsiaTheme="minorHAnsi"/>
          <w:lang w:eastAsia="en-US"/>
        </w:rPr>
        <w:t xml:space="preserve"> požiadavky a zverejňovanie správ podľa zákona o bankách sa na osobitného obchodníka s cennými papiermi zavádzajú z dôvodu, že ich obchodné modely a rizikové profily sú podobné obchodným modelom a rizikovým profilom bánk, preto je odôvodnené klásť na nich rovnaké </w:t>
      </w:r>
      <w:proofErr w:type="spellStart"/>
      <w:r w:rsidRPr="00557563">
        <w:rPr>
          <w:rFonts w:eastAsiaTheme="minorHAnsi"/>
          <w:lang w:eastAsia="en-US"/>
        </w:rPr>
        <w:t>prudenciálne</w:t>
      </w:r>
      <w:proofErr w:type="spellEnd"/>
      <w:r w:rsidRPr="00557563">
        <w:rPr>
          <w:rFonts w:eastAsiaTheme="minorHAnsi"/>
          <w:lang w:eastAsia="en-US"/>
        </w:rPr>
        <w:t xml:space="preserve"> požiadavky. </w:t>
      </w:r>
    </w:p>
    <w:p w14:paraId="076A31B4" w14:textId="77777777" w:rsidR="00557563" w:rsidRPr="00557563" w:rsidRDefault="00557563" w:rsidP="00557563">
      <w:pPr>
        <w:spacing w:line="259" w:lineRule="auto"/>
        <w:jc w:val="both"/>
        <w:rPr>
          <w:rFonts w:eastAsiaTheme="minorHAnsi"/>
          <w:u w:val="single"/>
          <w:lang w:eastAsia="en-US"/>
        </w:rPr>
      </w:pPr>
      <w:r w:rsidRPr="00557563">
        <w:rPr>
          <w:rFonts w:eastAsiaTheme="minorHAnsi"/>
          <w:u w:val="single"/>
          <w:lang w:eastAsia="en-US"/>
        </w:rPr>
        <w:t>K § 54d</w:t>
      </w:r>
    </w:p>
    <w:p w14:paraId="10018748"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transpozíciu článku 5 odsekov 1 až 5 smernice IFD, podľa ktorých sa stanovuje právomoc Národnej banke Slovenska rozhodnúť, že na obchodníka s cennými papiermi, ktorý vykonáva investičné služby a investičné činnosti podľa § 6 ods. 1 písm. c) alebo f) a celková hodnota jeho konsolidovaných aktív vypočítaná ako priemer za predchádzajúcich 12 mesiacov sa rovná alebo je vyššia ako 5 000 000 000 a ktorý spĺňa jednu alebo viac zákonných kritérií, sa budú vzťahovať príslušné ustanovenia zákona o bankách a teda prísnejšie </w:t>
      </w:r>
      <w:proofErr w:type="spellStart"/>
      <w:r w:rsidRPr="00557563">
        <w:rPr>
          <w:rFonts w:eastAsiaTheme="minorHAnsi"/>
          <w:lang w:eastAsia="en-US"/>
        </w:rPr>
        <w:t>prudenciálne</w:t>
      </w:r>
      <w:proofErr w:type="spellEnd"/>
      <w:r w:rsidRPr="00557563">
        <w:rPr>
          <w:rFonts w:eastAsiaTheme="minorHAnsi"/>
          <w:lang w:eastAsia="en-US"/>
        </w:rPr>
        <w:t xml:space="preserve"> požiadavky. Národná banka Slovenska môže taktiež rozhodnúť, že na obchodníka s cennými papiermi sa už nebudú vzťahovať príslušné ustanovenia zákona o bankách. Rovnako, ak obchodník s cennými papiermi prestane spĺňať kritéria na „prísnejší“ </w:t>
      </w:r>
      <w:proofErr w:type="spellStart"/>
      <w:r w:rsidRPr="00557563">
        <w:rPr>
          <w:rFonts w:eastAsiaTheme="minorHAnsi"/>
          <w:lang w:eastAsia="en-US"/>
        </w:rPr>
        <w:t>prudenciálny</w:t>
      </w:r>
      <w:proofErr w:type="spellEnd"/>
      <w:r w:rsidRPr="00557563">
        <w:rPr>
          <w:rFonts w:eastAsiaTheme="minorHAnsi"/>
          <w:lang w:eastAsia="en-US"/>
        </w:rPr>
        <w:t xml:space="preserve"> dohľad, bude sa na neho vzťahovať dohľad podľa zákona o cenných papieroch.</w:t>
      </w:r>
    </w:p>
    <w:p w14:paraId="25AF942C" w14:textId="77777777" w:rsidR="00557563" w:rsidRPr="00557563" w:rsidRDefault="00557563" w:rsidP="00557563">
      <w:pPr>
        <w:spacing w:line="259" w:lineRule="auto"/>
        <w:jc w:val="both"/>
        <w:rPr>
          <w:rFonts w:eastAsiaTheme="minorHAnsi"/>
          <w:u w:val="single"/>
          <w:lang w:eastAsia="en-US"/>
        </w:rPr>
      </w:pPr>
      <w:r w:rsidRPr="00557563">
        <w:rPr>
          <w:rFonts w:eastAsiaTheme="minorHAnsi"/>
          <w:u w:val="single"/>
          <w:lang w:eastAsia="en-US"/>
        </w:rPr>
        <w:lastRenderedPageBreak/>
        <w:t>K § 54e</w:t>
      </w:r>
    </w:p>
    <w:p w14:paraId="5BD42C9B"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Spresňuje sa, že povolenie, ktoré bolo udelené obchodníkovi s cennými papiermi a tento obchodník s cennými papiermi spĺňa podmienky podľa osobitného predpisu a teda ide o </w:t>
      </w:r>
      <w:proofErr w:type="spellStart"/>
      <w:r w:rsidRPr="00557563">
        <w:rPr>
          <w:rFonts w:eastAsiaTheme="minorHAnsi"/>
          <w:lang w:eastAsia="en-US"/>
        </w:rPr>
        <w:t>tzv</w:t>
      </w:r>
      <w:proofErr w:type="spellEnd"/>
      <w:r w:rsidRPr="00557563">
        <w:rPr>
          <w:rFonts w:eastAsiaTheme="minorHAnsi"/>
          <w:lang w:eastAsia="en-US"/>
        </w:rPr>
        <w:t xml:space="preserve"> obchodníka s cennými papiermi prvej kategórie, ktorému je udelené bankové povolenie, jeho povolenie obchodníka s cennými papiermi nezaniká, ale sa jeho platnosť pozastavuje. </w:t>
      </w:r>
    </w:p>
    <w:p w14:paraId="75C0213A" w14:textId="77777777" w:rsidR="00557563" w:rsidRPr="00557563" w:rsidRDefault="00557563" w:rsidP="00557563">
      <w:pPr>
        <w:spacing w:line="259" w:lineRule="auto"/>
        <w:jc w:val="both"/>
        <w:rPr>
          <w:rFonts w:eastAsiaTheme="minorHAnsi"/>
          <w:lang w:eastAsia="en-US"/>
        </w:rPr>
      </w:pPr>
    </w:p>
    <w:p w14:paraId="66C7B5FD"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bodom 19 a 20 [§ 55 ods. 2 písm. a), § 55 ods. 2 písm. b)]</w:t>
      </w:r>
    </w:p>
    <w:p w14:paraId="169D97EF" w14:textId="77777777" w:rsidR="00557563" w:rsidRPr="00557563" w:rsidRDefault="00557563" w:rsidP="00557563">
      <w:pPr>
        <w:spacing w:line="259" w:lineRule="auto"/>
        <w:jc w:val="both"/>
        <w:rPr>
          <w:rFonts w:eastAsiaTheme="minorHAnsi"/>
          <w:b/>
          <w:lang w:eastAsia="en-US"/>
        </w:rPr>
      </w:pPr>
      <w:r w:rsidRPr="00557563">
        <w:rPr>
          <w:rFonts w:eastAsiaTheme="minorHAnsi"/>
          <w:lang w:eastAsia="en-US"/>
        </w:rPr>
        <w:t xml:space="preserve">Legislatívno-technická zmena v nadväznosti na bod 16 (§ 54). Na udelenie povolenia na poskytovanie investičných služieb Národnou bankou Slovenska musí byť splnená podmienka výšky počiatočného kapitálu. Počiatočný kapitál je teda výlučne kategóriou v zmysle zákona o cenných papieroch a predstavuje podmienkou pre získanie príslušného povolenia. Inštitút základného imania sa neruší a zostáva naďalej v platnosti. Do obchodného registra sa bude naďalej zapisovať základného imanie, ktoré je podmienkou v rámci registrácie pred obchodným registrom pre posúdenie či došlo k splneniu zákonných podmienok pre založenie spoločnosti. </w:t>
      </w:r>
    </w:p>
    <w:p w14:paraId="36DA6A51" w14:textId="77777777" w:rsidR="00557563" w:rsidRPr="00557563" w:rsidRDefault="00557563" w:rsidP="00557563">
      <w:pPr>
        <w:spacing w:line="259" w:lineRule="auto"/>
        <w:jc w:val="both"/>
        <w:rPr>
          <w:rFonts w:eastAsiaTheme="minorHAnsi"/>
          <w:lang w:eastAsia="en-US"/>
        </w:rPr>
      </w:pPr>
    </w:p>
    <w:p w14:paraId="742D6BA1"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21 [§ 55 ods. 2 písm. i)]</w:t>
      </w:r>
    </w:p>
    <w:p w14:paraId="0D870743"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transpozíciu článku 52 smernice IFD, ktorá kladie kvalifikačné požiadavky na  členov riadiaceho orgánu investičnej holdingovej spoločnosti alebo zmiešanej finančnej holdingovej spoločnosti. Rozširuje sa súčasný rozsah aj na investičnú holdingovú spoločnosť, nakoľko smernica IFD zavádza tento nový typ holdingovej spoločnosti. </w:t>
      </w:r>
    </w:p>
    <w:p w14:paraId="102E4DEA" w14:textId="77777777" w:rsidR="00557563" w:rsidRPr="00557563" w:rsidRDefault="00557563" w:rsidP="00557563">
      <w:pPr>
        <w:spacing w:line="259" w:lineRule="auto"/>
        <w:jc w:val="both"/>
        <w:rPr>
          <w:rFonts w:eastAsiaTheme="minorHAnsi"/>
          <w:lang w:eastAsia="en-US"/>
        </w:rPr>
      </w:pPr>
    </w:p>
    <w:p w14:paraId="5B6FC2CD"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22 [§ 55 ods. 10]</w:t>
      </w:r>
    </w:p>
    <w:p w14:paraId="69912689"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V nadväznosti na bod 21 (§ 55 ods. 2 písm. i) sa rozširuje súčasný rozsah zákona v oblasti kvalifikačných požiadaviek aj na členov</w:t>
      </w:r>
      <w:r w:rsidRPr="00557563">
        <w:rPr>
          <w:rFonts w:asciiTheme="minorHAnsi" w:eastAsiaTheme="minorHAnsi" w:hAnsiTheme="minorHAnsi" w:cstheme="minorBidi"/>
          <w:sz w:val="22"/>
          <w:szCs w:val="22"/>
          <w:lang w:eastAsia="en-US"/>
        </w:rPr>
        <w:t xml:space="preserve"> </w:t>
      </w:r>
      <w:r w:rsidRPr="00557563">
        <w:rPr>
          <w:rFonts w:eastAsiaTheme="minorHAnsi"/>
          <w:lang w:eastAsia="en-US"/>
        </w:rPr>
        <w:t>štatutárneho orgánu  investičnej holdingovej spoločnosti, nakoľko smernica IFD zavádza tento nový typ spoločnosti.</w:t>
      </w:r>
    </w:p>
    <w:p w14:paraId="00803D79" w14:textId="77777777" w:rsidR="00557563" w:rsidRPr="00557563" w:rsidRDefault="00557563" w:rsidP="00557563">
      <w:pPr>
        <w:spacing w:line="259" w:lineRule="auto"/>
        <w:jc w:val="both"/>
        <w:rPr>
          <w:rFonts w:eastAsiaTheme="minorHAnsi"/>
          <w:lang w:eastAsia="en-US"/>
        </w:rPr>
      </w:pPr>
    </w:p>
    <w:p w14:paraId="52C30D6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23 [§ 56 ods. 2 písm. m)]</w:t>
      </w:r>
    </w:p>
    <w:p w14:paraId="1FE6A022"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Určuje sa rozsah predkladaných informácií pobočkou obchodníka s cennými papiermi Národnej banke Slovenska. </w:t>
      </w:r>
    </w:p>
    <w:p w14:paraId="6D9A0A9F" w14:textId="77777777" w:rsidR="00557563" w:rsidRPr="00557563" w:rsidRDefault="00557563" w:rsidP="00557563">
      <w:pPr>
        <w:spacing w:line="259" w:lineRule="auto"/>
        <w:jc w:val="both"/>
        <w:rPr>
          <w:rFonts w:eastAsiaTheme="minorHAnsi"/>
          <w:lang w:eastAsia="en-US"/>
        </w:rPr>
      </w:pPr>
    </w:p>
    <w:p w14:paraId="49966089"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24 [§ 56 ods. 13]</w:t>
      </w:r>
    </w:p>
    <w:p w14:paraId="29023B77"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Nakoľko sa z rozsahu smernice </w:t>
      </w:r>
      <w:proofErr w:type="spellStart"/>
      <w:r w:rsidRPr="00557563">
        <w:rPr>
          <w:rFonts w:eastAsiaTheme="minorHAnsi"/>
          <w:lang w:eastAsia="en-US"/>
        </w:rPr>
        <w:t>MiFID</w:t>
      </w:r>
      <w:proofErr w:type="spellEnd"/>
      <w:r w:rsidRPr="00557563">
        <w:rPr>
          <w:rFonts w:eastAsiaTheme="minorHAnsi"/>
          <w:lang w:eastAsia="en-US"/>
        </w:rPr>
        <w:t xml:space="preserve"> II vypúšťa udeľovanie povolení poskytovateľom služieb vykazovania údajov a výkonu ich činnosti, navrhuje sa ustanovenie týkajúce možnosti zahraničného obchodníka s cennými papiermi požiadať o povolenie na poskytovanie služieb vykazovania údajov alebo o jeho zmenu vypustiť.</w:t>
      </w:r>
    </w:p>
    <w:p w14:paraId="55B019F3" w14:textId="77777777" w:rsidR="00557563" w:rsidRPr="00557563" w:rsidRDefault="00557563" w:rsidP="00557563">
      <w:pPr>
        <w:spacing w:line="259" w:lineRule="auto"/>
        <w:jc w:val="both"/>
        <w:rPr>
          <w:rFonts w:eastAsiaTheme="minorHAnsi"/>
          <w:lang w:eastAsia="en-US"/>
        </w:rPr>
      </w:pPr>
    </w:p>
    <w:p w14:paraId="5FE0515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25 [§ 56 ods. 14]</w:t>
      </w:r>
    </w:p>
    <w:p w14:paraId="3B9CB305"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Spresňuje sa, v akých prípadoch sa poskytnutie investičnej služby zahraničným obchodníkom s cennými papiermi nepovažuje za výlučnú iniciatívu klienta. </w:t>
      </w:r>
    </w:p>
    <w:p w14:paraId="058CA6CE" w14:textId="77777777" w:rsidR="00557563" w:rsidRPr="00557563" w:rsidRDefault="00557563" w:rsidP="00557563">
      <w:pPr>
        <w:spacing w:line="259" w:lineRule="auto"/>
        <w:jc w:val="both"/>
        <w:rPr>
          <w:rFonts w:eastAsiaTheme="minorHAnsi"/>
          <w:lang w:eastAsia="en-US"/>
        </w:rPr>
      </w:pPr>
    </w:p>
    <w:p w14:paraId="7FE7D418"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26 [§ 56 ods. 15]</w:t>
      </w:r>
    </w:p>
    <w:p w14:paraId="7BC0A3D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Určuje sa rozsah predkladaných informácií pobočkou obchodníka s cennými papiermi Národnej banke Slovenska.</w:t>
      </w:r>
    </w:p>
    <w:p w14:paraId="28594F96" w14:textId="77777777" w:rsidR="00557563" w:rsidRPr="00557563" w:rsidRDefault="00557563" w:rsidP="00557563">
      <w:pPr>
        <w:spacing w:line="259" w:lineRule="auto"/>
        <w:jc w:val="both"/>
        <w:rPr>
          <w:rFonts w:eastAsiaTheme="minorHAnsi"/>
          <w:b/>
          <w:lang w:eastAsia="en-US"/>
        </w:rPr>
      </w:pPr>
    </w:p>
    <w:p w14:paraId="054EEC10"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27 [§ 57 ods. 4]</w:t>
      </w:r>
    </w:p>
    <w:p w14:paraId="3FC2C8A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64 odsek 3 smernice IFD, ktorý určuje informácie, ktoré Národná banka Slovenska na požiadanie oznámi Európskemu orgánu dohľadu.</w:t>
      </w:r>
    </w:p>
    <w:p w14:paraId="2E977F6A" w14:textId="77777777" w:rsidR="00557563" w:rsidRPr="00557563" w:rsidRDefault="00557563" w:rsidP="00557563">
      <w:pPr>
        <w:spacing w:line="259" w:lineRule="auto"/>
        <w:jc w:val="both"/>
        <w:rPr>
          <w:rFonts w:eastAsiaTheme="minorHAnsi"/>
          <w:lang w:eastAsia="en-US"/>
        </w:rPr>
      </w:pPr>
    </w:p>
    <w:p w14:paraId="04FFBE75"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28 [§ 67 ods. 3]</w:t>
      </w:r>
    </w:p>
    <w:p w14:paraId="623A43C7"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Legislatívno-technická zmena. </w:t>
      </w:r>
      <w:proofErr w:type="spellStart"/>
      <w:r w:rsidRPr="00557563">
        <w:rPr>
          <w:rFonts w:eastAsiaTheme="minorHAnsi"/>
          <w:lang w:eastAsia="en-US"/>
        </w:rPr>
        <w:t>Vyprecizovanie</w:t>
      </w:r>
      <w:proofErr w:type="spellEnd"/>
      <w:r w:rsidRPr="00557563">
        <w:rPr>
          <w:rFonts w:eastAsiaTheme="minorHAnsi"/>
          <w:lang w:eastAsia="en-US"/>
        </w:rPr>
        <w:t xml:space="preserve"> vnútorných odkazov.</w:t>
      </w:r>
    </w:p>
    <w:p w14:paraId="704708C0" w14:textId="77777777" w:rsidR="00557563" w:rsidRPr="00557563" w:rsidRDefault="00557563" w:rsidP="00557563">
      <w:pPr>
        <w:spacing w:line="259" w:lineRule="auto"/>
        <w:jc w:val="both"/>
        <w:rPr>
          <w:rFonts w:eastAsiaTheme="minorHAnsi"/>
          <w:lang w:eastAsia="en-US"/>
        </w:rPr>
      </w:pPr>
    </w:p>
    <w:p w14:paraId="7027975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29 [§ 69 ods. 5 a 6]</w:t>
      </w:r>
    </w:p>
    <w:p w14:paraId="39E52272"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Stanovuje sa rozsah informácií, ktoré Národná banka Slovenska oznamuje uvedeným subjektom. </w:t>
      </w:r>
    </w:p>
    <w:p w14:paraId="26673A6B" w14:textId="77777777" w:rsidR="00557563" w:rsidRPr="00557563" w:rsidRDefault="00557563" w:rsidP="00557563">
      <w:pPr>
        <w:spacing w:line="259" w:lineRule="auto"/>
        <w:jc w:val="both"/>
        <w:rPr>
          <w:rFonts w:eastAsiaTheme="minorHAnsi"/>
          <w:b/>
          <w:lang w:eastAsia="en-US"/>
        </w:rPr>
      </w:pPr>
    </w:p>
    <w:p w14:paraId="6138EDE4"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30</w:t>
      </w:r>
    </w:p>
    <w:p w14:paraId="600B278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w:t>
      </w:r>
    </w:p>
    <w:p w14:paraId="26F969B9" w14:textId="77777777" w:rsidR="00557563" w:rsidRPr="00557563" w:rsidRDefault="00557563" w:rsidP="00557563">
      <w:pPr>
        <w:spacing w:line="259" w:lineRule="auto"/>
        <w:jc w:val="both"/>
        <w:rPr>
          <w:rFonts w:eastAsiaTheme="minorHAnsi"/>
          <w:lang w:eastAsia="en-US"/>
        </w:rPr>
      </w:pPr>
    </w:p>
    <w:p w14:paraId="4959B0B4"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31 [§ 70 ods. 8]</w:t>
      </w:r>
    </w:p>
    <w:p w14:paraId="10DCC2B5"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Spresnenie vnútorného odkazu. </w:t>
      </w:r>
    </w:p>
    <w:p w14:paraId="00266104" w14:textId="77777777" w:rsidR="00557563" w:rsidRPr="00557563" w:rsidRDefault="00557563" w:rsidP="00557563">
      <w:pPr>
        <w:spacing w:line="259" w:lineRule="auto"/>
        <w:jc w:val="both"/>
        <w:rPr>
          <w:rFonts w:eastAsiaTheme="minorHAnsi"/>
          <w:lang w:eastAsia="en-US"/>
        </w:rPr>
      </w:pPr>
    </w:p>
    <w:p w14:paraId="5B647FF6"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32 [§ 71 ods. 2]</w:t>
      </w:r>
    </w:p>
    <w:p w14:paraId="398DF256"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28 odsekov 3 a 4 smernice IFD, spresňuje sa rozsah zodpovednosti členov predstavenstva aj za stratégie a politiky v oblasti riadenia rizík a všetkých ich zmien.</w:t>
      </w:r>
    </w:p>
    <w:p w14:paraId="159699AC" w14:textId="77777777" w:rsidR="00557563" w:rsidRPr="00557563" w:rsidRDefault="00557563" w:rsidP="00557563">
      <w:pPr>
        <w:spacing w:line="259" w:lineRule="auto"/>
        <w:jc w:val="both"/>
        <w:rPr>
          <w:rFonts w:eastAsiaTheme="minorHAnsi"/>
          <w:lang w:eastAsia="en-US"/>
        </w:rPr>
      </w:pPr>
    </w:p>
    <w:p w14:paraId="4D921973"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33 [§ 71 ods. 3]</w:t>
      </w:r>
    </w:p>
    <w:p w14:paraId="78E732E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Spresňuje sa rozsah informácií, ktoré sú dostupné pre členov predstavenstva na riadny výkon svojej funkcie. </w:t>
      </w:r>
    </w:p>
    <w:p w14:paraId="5899D2B7" w14:textId="77777777" w:rsidR="00557563" w:rsidRPr="00557563" w:rsidRDefault="00557563" w:rsidP="00557563">
      <w:pPr>
        <w:spacing w:line="259" w:lineRule="auto"/>
        <w:jc w:val="both"/>
        <w:rPr>
          <w:rFonts w:eastAsiaTheme="minorHAnsi"/>
          <w:lang w:eastAsia="en-US"/>
        </w:rPr>
      </w:pPr>
    </w:p>
    <w:p w14:paraId="203592DF"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bodu 34 </w:t>
      </w:r>
    </w:p>
    <w:p w14:paraId="4250271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Legislatívno-technická zmena, spresnenie odkazu. </w:t>
      </w:r>
    </w:p>
    <w:p w14:paraId="17F7778B" w14:textId="77777777" w:rsidR="00557563" w:rsidRPr="00557563" w:rsidRDefault="00557563" w:rsidP="00557563">
      <w:pPr>
        <w:spacing w:line="259" w:lineRule="auto"/>
        <w:jc w:val="both"/>
        <w:rPr>
          <w:rFonts w:eastAsiaTheme="minorHAnsi"/>
          <w:lang w:eastAsia="en-US"/>
        </w:rPr>
      </w:pPr>
    </w:p>
    <w:p w14:paraId="0BB1C419"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35 [§ 71 ods. 15]</w:t>
      </w:r>
    </w:p>
    <w:p w14:paraId="3DBCBA3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w:t>
      </w:r>
      <w:proofErr w:type="spellStart"/>
      <w:r w:rsidRPr="00557563">
        <w:rPr>
          <w:rFonts w:eastAsiaTheme="minorHAnsi"/>
          <w:lang w:eastAsia="en-US"/>
        </w:rPr>
        <w:t>vyprecizovanie</w:t>
      </w:r>
      <w:proofErr w:type="spellEnd"/>
      <w:r w:rsidRPr="00557563">
        <w:rPr>
          <w:rFonts w:eastAsiaTheme="minorHAnsi"/>
          <w:lang w:eastAsia="en-US"/>
        </w:rPr>
        <w:t xml:space="preserve"> ustanovenie zákona, na základe ktorého je Národná banka Slovenska oprávnená konať v prípade nesplnenia podmienok na vykonávanie činnosti člena riadiaceho orgánu.</w:t>
      </w:r>
    </w:p>
    <w:p w14:paraId="0C3FABBE" w14:textId="77777777" w:rsidR="00557563" w:rsidRPr="00557563" w:rsidRDefault="00557563" w:rsidP="00557563">
      <w:pPr>
        <w:spacing w:line="259" w:lineRule="auto"/>
        <w:jc w:val="both"/>
        <w:rPr>
          <w:rFonts w:eastAsiaTheme="minorHAnsi"/>
          <w:b/>
          <w:lang w:eastAsia="en-US"/>
        </w:rPr>
      </w:pPr>
    </w:p>
    <w:p w14:paraId="01AC458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36 [§ 71b]</w:t>
      </w:r>
    </w:p>
    <w:p w14:paraId="48F34985"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transpozíciu článku 25 odsek 4 smernice IFD. Spresňujú sa ustanovenia, ktoré je obchodník s cennými papiermi povinný uplatňovať na individuálnom alebo konsolidovanom základe. </w:t>
      </w:r>
    </w:p>
    <w:p w14:paraId="38583D20" w14:textId="77777777" w:rsidR="00557563" w:rsidRPr="00557563" w:rsidRDefault="00557563" w:rsidP="00557563">
      <w:pPr>
        <w:spacing w:line="259" w:lineRule="auto"/>
        <w:jc w:val="both"/>
        <w:rPr>
          <w:rFonts w:eastAsiaTheme="minorHAnsi"/>
          <w:lang w:eastAsia="en-US"/>
        </w:rPr>
      </w:pPr>
    </w:p>
    <w:p w14:paraId="2C2DBBE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37 [§ 71c]</w:t>
      </w:r>
    </w:p>
    <w:p w14:paraId="718D9CF9"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Obchodník s cennými papiermi je povinný mať spoľahlivé stratégie, politiky, postupy a systémy na identifikáciu, meranie, riadenie a monitorovanie rizík, ktoré musia byť prispôsobené jeho činnosti. Ustanovuje sa tiež podmienka, kedy je obchodník s cennými papiermi povinný zriadiť výbor pre riadenie rizík a tiež funkcia tohto výboru ako aj požiadavka, že výbor pre riadenie rizík a dozorná rada musia mať prístup k dostupným informáciám o rizikách. Členom výboru pre riadenie rizík sa rozumie napr. aj odborník z príslušnej oblasti. </w:t>
      </w:r>
    </w:p>
    <w:p w14:paraId="60CBEE6C" w14:textId="77777777" w:rsidR="00557563" w:rsidRPr="00557563" w:rsidRDefault="00557563" w:rsidP="00557563">
      <w:pPr>
        <w:spacing w:line="259" w:lineRule="auto"/>
        <w:jc w:val="both"/>
        <w:rPr>
          <w:rFonts w:eastAsiaTheme="minorHAnsi"/>
          <w:b/>
          <w:lang w:eastAsia="en-US"/>
        </w:rPr>
      </w:pPr>
    </w:p>
    <w:p w14:paraId="0A8689B8"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38 [§ 71d ods. 1]</w:t>
      </w:r>
    </w:p>
    <w:p w14:paraId="665DFB35"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26 odsek 1 smernice IFD, ktorý zavádza povinnosť obchodníkovi s cennými papiermi v stanovách upraviť organizačnú štruktúru s presne vymedzenou a transparentnou pôsobnosťou a zodpovednosťou jednotlivých orgánov.</w:t>
      </w:r>
    </w:p>
    <w:p w14:paraId="3E7B1644" w14:textId="77777777" w:rsidR="00557563" w:rsidRPr="00557563" w:rsidRDefault="00557563" w:rsidP="00557563">
      <w:pPr>
        <w:spacing w:line="259" w:lineRule="auto"/>
        <w:jc w:val="both"/>
        <w:rPr>
          <w:rFonts w:eastAsiaTheme="minorHAnsi"/>
          <w:lang w:eastAsia="en-US"/>
        </w:rPr>
      </w:pPr>
    </w:p>
    <w:p w14:paraId="13120BC4"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39 [§ 71d ods. 4]</w:t>
      </w:r>
    </w:p>
    <w:p w14:paraId="365A289C"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Spresňuje sa požiadavka na vnútorné riadenie, ktoré musí byť vhodné a primerané povahe, rozsahu a zložitosti rizík obchodníka s cennými papiermi. </w:t>
      </w:r>
    </w:p>
    <w:p w14:paraId="3BD4AA4F" w14:textId="77777777" w:rsidR="00557563" w:rsidRPr="00557563" w:rsidRDefault="00557563" w:rsidP="00557563">
      <w:pPr>
        <w:spacing w:line="259" w:lineRule="auto"/>
        <w:jc w:val="both"/>
        <w:rPr>
          <w:rFonts w:eastAsiaTheme="minorHAnsi"/>
          <w:lang w:eastAsia="en-US"/>
        </w:rPr>
      </w:pPr>
    </w:p>
    <w:p w14:paraId="68967708"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40 [§ 71da a § 71db]</w:t>
      </w:r>
    </w:p>
    <w:p w14:paraId="6F61620B"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transpozíciu článkov 30 až 32 smernice IFD, ktoré nanovo upravujú politiku odmeňovania a pohyblivú zložku odmeňovania, ktoré sú oproti doterajšej právnej úprave lepšie prispôsobené činnosti obchodníka s cennými papiermi. </w:t>
      </w:r>
    </w:p>
    <w:p w14:paraId="05FB2EAB"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Stanovujú sa zásady odmeňovania, ktoré je obchodník s cennými papiermi povinný uplatňovať na uvedené skupiny osôb a ktoré sú primerané jeho veľkosti, vnútornej organizácii a povahe, rozsahu a zložitosti jeho činnosti. Upravujú sa pravidlá priznávania a vyplácania pohyblivej zložky celkovej odmeny.</w:t>
      </w:r>
    </w:p>
    <w:p w14:paraId="103A148A" w14:textId="77777777" w:rsidR="00557563" w:rsidRPr="00557563" w:rsidRDefault="00557563" w:rsidP="00557563">
      <w:pPr>
        <w:spacing w:line="259" w:lineRule="auto"/>
        <w:jc w:val="both"/>
        <w:rPr>
          <w:rFonts w:eastAsiaTheme="minorHAnsi"/>
          <w:lang w:eastAsia="en-US"/>
        </w:rPr>
      </w:pPr>
    </w:p>
    <w:p w14:paraId="1F32B160"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bodu 41 [§ 71dc] </w:t>
      </w:r>
    </w:p>
    <w:p w14:paraId="76CB6F09"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Zmenami v ustanoví § 71db ods. 13 sa § 71dc vypúšťa.</w:t>
      </w:r>
    </w:p>
    <w:p w14:paraId="756FB130" w14:textId="77777777" w:rsidR="00557563" w:rsidRPr="00557563" w:rsidRDefault="00557563" w:rsidP="00557563">
      <w:pPr>
        <w:spacing w:line="259" w:lineRule="auto"/>
        <w:jc w:val="both"/>
        <w:rPr>
          <w:rFonts w:eastAsiaTheme="minorHAnsi"/>
          <w:b/>
          <w:lang w:eastAsia="en-US"/>
        </w:rPr>
      </w:pPr>
    </w:p>
    <w:p w14:paraId="58ED87A1"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42 [§ 71dd]</w:t>
      </w:r>
    </w:p>
    <w:p w14:paraId="2B791BCF"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transpozíciu článku 33 smernice IFD, ktorá nanovo upravuje pravidlá pre zriadenie výboru pre odmeňovanie. </w:t>
      </w:r>
    </w:p>
    <w:p w14:paraId="602C9263" w14:textId="77777777" w:rsidR="00557563" w:rsidRPr="00557563" w:rsidRDefault="00557563" w:rsidP="00557563">
      <w:pPr>
        <w:spacing w:line="259" w:lineRule="auto"/>
        <w:jc w:val="both"/>
        <w:rPr>
          <w:rFonts w:eastAsiaTheme="minorHAnsi"/>
          <w:lang w:eastAsia="en-US"/>
        </w:rPr>
      </w:pPr>
    </w:p>
    <w:p w14:paraId="28F8D707"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43 [§ 71de ods. 1]</w:t>
      </w:r>
    </w:p>
    <w:p w14:paraId="6D5DF311"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Spresňuje sa, že obchodník s cennými papiermi informuje Národnú banku Slovenska o osobách a počte osôb, ktorých celková odmena u obchodníka s cennými papiermi je najmenej 1 000 000 eur v príjmovej skupine 1 milión eur, vrátane informácií o ich pracovných povinnostiach, dotknutej obchodnej oblasti a hlavných zložkách mzdy, prémiách, dlhodobých odmenách a príspevkoch na dôchodkové zabezpečenie.</w:t>
      </w:r>
    </w:p>
    <w:p w14:paraId="4842D6F9" w14:textId="77777777" w:rsidR="00557563" w:rsidRPr="00557563" w:rsidRDefault="00557563" w:rsidP="00557563">
      <w:pPr>
        <w:spacing w:line="259" w:lineRule="auto"/>
        <w:jc w:val="both"/>
        <w:rPr>
          <w:rFonts w:eastAsiaTheme="minorHAnsi"/>
          <w:lang w:eastAsia="en-US"/>
        </w:rPr>
      </w:pPr>
    </w:p>
    <w:p w14:paraId="473DFBC7"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44 [§ 71de ods. 2]</w:t>
      </w:r>
    </w:p>
    <w:p w14:paraId="2FF0DBA8"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34 odsek 4. Na požiadanie Národnej banky Slovenska je obchodník s cennými papiermi povinný poskytnúť informácie o celkovej výške odmien každého člena predstavenstva alebo vrcholového manažmentu.</w:t>
      </w:r>
    </w:p>
    <w:p w14:paraId="4627981E" w14:textId="77777777" w:rsidR="00557563" w:rsidRPr="00557563" w:rsidRDefault="00557563" w:rsidP="00557563">
      <w:pPr>
        <w:spacing w:line="259" w:lineRule="auto"/>
        <w:jc w:val="both"/>
        <w:rPr>
          <w:rFonts w:eastAsiaTheme="minorHAnsi"/>
          <w:lang w:eastAsia="en-US"/>
        </w:rPr>
      </w:pPr>
    </w:p>
    <w:p w14:paraId="780399CD"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bodu 45 </w:t>
      </w:r>
    </w:p>
    <w:p w14:paraId="3D3044AF"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 spresnenie odkazu.</w:t>
      </w:r>
    </w:p>
    <w:p w14:paraId="7FC7C71C" w14:textId="77777777" w:rsidR="00557563" w:rsidRPr="00557563" w:rsidRDefault="00557563" w:rsidP="00557563">
      <w:pPr>
        <w:spacing w:line="259" w:lineRule="auto"/>
        <w:jc w:val="both"/>
        <w:rPr>
          <w:rFonts w:eastAsiaTheme="minorHAnsi"/>
          <w:b/>
          <w:lang w:eastAsia="en-US"/>
        </w:rPr>
      </w:pPr>
    </w:p>
    <w:p w14:paraId="2E2E7FB3"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46 [§ 71de ods. 3]</w:t>
      </w:r>
    </w:p>
    <w:p w14:paraId="48E5B9B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transpozíciu čl. 34 odsek 1 smernice IFD. Spresňuje sa, že Národná banka Slovenska ako orgán dohľadu zhromažďuje aj informácie poskytované obchodníkom s cennými papiermi o rozdieloch v odmeňovaní mužov a žien. Doterajšia úprava „zamestnancov a zamestnankýň“ nezahŕňa všetky kategórie, na ktoré sa zásady odmeňovania vzťahujú. </w:t>
      </w:r>
    </w:p>
    <w:p w14:paraId="30116F9A" w14:textId="77777777" w:rsidR="00557563" w:rsidRPr="00557563" w:rsidRDefault="00557563" w:rsidP="00557563">
      <w:pPr>
        <w:spacing w:line="259" w:lineRule="auto"/>
        <w:jc w:val="both"/>
        <w:rPr>
          <w:rFonts w:eastAsiaTheme="minorHAnsi"/>
          <w:b/>
          <w:lang w:eastAsia="en-US"/>
        </w:rPr>
      </w:pPr>
    </w:p>
    <w:p w14:paraId="27F3388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47 [§ 71de ods. 4]</w:t>
      </w:r>
    </w:p>
    <w:p w14:paraId="38CCFEEB"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 spresnenie vnútorného odkazu.</w:t>
      </w:r>
    </w:p>
    <w:p w14:paraId="2B5C4FB8" w14:textId="77777777" w:rsidR="00557563" w:rsidRPr="00557563" w:rsidRDefault="00557563" w:rsidP="00557563">
      <w:pPr>
        <w:spacing w:line="259" w:lineRule="auto"/>
        <w:jc w:val="both"/>
        <w:rPr>
          <w:rFonts w:eastAsiaTheme="minorHAnsi"/>
          <w:b/>
          <w:lang w:eastAsia="en-US"/>
        </w:rPr>
      </w:pPr>
    </w:p>
    <w:p w14:paraId="0F6B113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48 [§ 71dl ods. 1 až 3]</w:t>
      </w:r>
    </w:p>
    <w:p w14:paraId="19808735"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lastRenderedPageBreak/>
        <w:t xml:space="preserve">Legislatívno-technická zmena v nadväznosti na zmenu základného imania na počiatočný kapitál. </w:t>
      </w:r>
    </w:p>
    <w:p w14:paraId="72CFCB60" w14:textId="77777777" w:rsidR="00557563" w:rsidRPr="00557563" w:rsidRDefault="00557563" w:rsidP="00557563">
      <w:pPr>
        <w:spacing w:line="259" w:lineRule="auto"/>
        <w:jc w:val="both"/>
        <w:rPr>
          <w:rFonts w:eastAsiaTheme="minorHAnsi"/>
          <w:lang w:eastAsia="en-US"/>
        </w:rPr>
      </w:pPr>
    </w:p>
    <w:p w14:paraId="28BA1AE3"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49 [§ 71n ods. 10]</w:t>
      </w:r>
    </w:p>
    <w:p w14:paraId="06A6376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spresnenie transpozície čl. 10 ods. 6 delegovanej smernice (EÚ) 2017/593, keďže dané ustanovenie sa má vzťahovať tak na vytváranie finančných nástrojov, ako aj ich distribúciu.</w:t>
      </w:r>
    </w:p>
    <w:p w14:paraId="31A93CF2" w14:textId="77777777" w:rsidR="00557563" w:rsidRPr="00557563" w:rsidRDefault="00557563" w:rsidP="00557563">
      <w:pPr>
        <w:spacing w:line="259" w:lineRule="auto"/>
        <w:jc w:val="both"/>
        <w:rPr>
          <w:rFonts w:eastAsiaTheme="minorHAnsi"/>
          <w:lang w:eastAsia="en-US"/>
        </w:rPr>
      </w:pPr>
    </w:p>
    <w:p w14:paraId="4493DC6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50 [§ 71n ods. 11]</w:t>
      </w:r>
    </w:p>
    <w:p w14:paraId="777BB9CD"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Spresňuje sa, aká správa o dodržiavaní sa predkladá riadiacemu orgánu. </w:t>
      </w:r>
    </w:p>
    <w:p w14:paraId="6093F1DF" w14:textId="77777777" w:rsidR="00557563" w:rsidRPr="00557563" w:rsidRDefault="00557563" w:rsidP="00557563">
      <w:pPr>
        <w:spacing w:line="259" w:lineRule="auto"/>
        <w:jc w:val="both"/>
        <w:rPr>
          <w:rFonts w:eastAsiaTheme="minorHAnsi"/>
          <w:lang w:eastAsia="en-US"/>
        </w:rPr>
      </w:pPr>
    </w:p>
    <w:p w14:paraId="26B2D05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51 [§ 71o]</w:t>
      </w:r>
    </w:p>
    <w:p w14:paraId="34EFEC7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Nakoľko sa v oblasti riadenia produktov ukázalo, že komplexný prístup k finančným nástrojom a cieľovej skupine investorov a potenciálnych investorov je na úkor poskytovania samotných investičných služieb, riadenie produktov sa nebude vzťahovať na najmenej rizikové finančné nástroje, a to dlhopisy, ktoré neobsahujú vnorený derivát alebo dlhopisy s doložkou o úplnom splatení, a tiež sa nebudú pravidlá riadenia produktov aplikovať v prípadoch, kedy sa finančné nástroje distribuujú výlučne oprávneným protistranám. Pokiaľ je nejaký finančný nástroj ponúkaný alebo distribuovaný klientovi, ktorý nie je oprávnenou protistranou, pravidlá riadenia produktov zostávajú v takomto prípade zachované v plnom rozsahu.</w:t>
      </w:r>
    </w:p>
    <w:p w14:paraId="734EFD39" w14:textId="77777777" w:rsidR="00557563" w:rsidRPr="00557563" w:rsidRDefault="00557563" w:rsidP="00557563">
      <w:pPr>
        <w:spacing w:line="259" w:lineRule="auto"/>
        <w:jc w:val="both"/>
        <w:rPr>
          <w:rFonts w:eastAsiaTheme="minorHAnsi"/>
          <w:lang w:eastAsia="en-US"/>
        </w:rPr>
      </w:pPr>
    </w:p>
    <w:p w14:paraId="385560CE"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bodu 52 </w:t>
      </w:r>
    </w:p>
    <w:p w14:paraId="3E6F844B"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Aktualizuje sa poznámka pod čiarou. </w:t>
      </w:r>
    </w:p>
    <w:p w14:paraId="573319B2" w14:textId="77777777" w:rsidR="00557563" w:rsidRPr="00557563" w:rsidRDefault="00557563" w:rsidP="00557563">
      <w:pPr>
        <w:spacing w:line="259" w:lineRule="auto"/>
        <w:jc w:val="both"/>
        <w:rPr>
          <w:rFonts w:eastAsiaTheme="minorHAnsi"/>
          <w:b/>
          <w:lang w:eastAsia="en-US"/>
        </w:rPr>
      </w:pPr>
    </w:p>
    <w:p w14:paraId="5E6DA37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53 [§ 73b ods. 18 až 20]</w:t>
      </w:r>
    </w:p>
    <w:p w14:paraId="2F2427D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Upresňujú sa doterajšie ustanovenia o poskytovaní investičných prieskumov. Umožňuje sa spoločná úhrada za investičný prieskum v prípade, ak sa investičný prieskum vzťahuje na emitentov, ktorých trhová kapitalizácia nepresiahla 1 miliardu Eur počas 36 mesiacov pred uskutočnením investičného prieskumu. Týmto krokom sa predpokladá zvýšenie záujmu poskytovateľov investičných prieskumov o malé a stredné spoločnosti a tým väčšia dostupnosť  informácií o takýchto spoločnostiach.</w:t>
      </w:r>
    </w:p>
    <w:p w14:paraId="1918BA92" w14:textId="77777777" w:rsidR="00557563" w:rsidRPr="00557563" w:rsidRDefault="00557563" w:rsidP="00557563">
      <w:pPr>
        <w:spacing w:line="259" w:lineRule="auto"/>
        <w:jc w:val="both"/>
        <w:rPr>
          <w:rFonts w:eastAsiaTheme="minorHAnsi"/>
          <w:lang w:eastAsia="en-US"/>
        </w:rPr>
      </w:pPr>
    </w:p>
    <w:p w14:paraId="64BA429C"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54 [§ 73d ods. 11 až 15]</w:t>
      </w:r>
    </w:p>
    <w:p w14:paraId="589A572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Upravuje sa postup pri poskytovaní investičných služieb na diaľku (cez webové rozhrania) a telefonicky. Obchodník s cennými papiermi je povinný poskytovať všetky informácie klientom v elektronickej podobe, naďalej však neprofesionálni klienti majú právo požiadať o poskytovanie všetkých informácií v listinnej podobe.</w:t>
      </w:r>
    </w:p>
    <w:p w14:paraId="340D5B84" w14:textId="77777777" w:rsidR="00557563" w:rsidRPr="00557563" w:rsidRDefault="00557563" w:rsidP="00557563">
      <w:pPr>
        <w:spacing w:line="259" w:lineRule="auto"/>
        <w:jc w:val="both"/>
        <w:rPr>
          <w:rFonts w:eastAsiaTheme="minorHAnsi"/>
          <w:lang w:eastAsia="en-US"/>
        </w:rPr>
      </w:pPr>
    </w:p>
    <w:p w14:paraId="7F7C9836"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bodu 55 [§ 73f ods. 1] </w:t>
      </w:r>
    </w:p>
    <w:p w14:paraId="69E857D6"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spresnenie transpozície čl. 25 ods. 2 smernice </w:t>
      </w:r>
      <w:proofErr w:type="spellStart"/>
      <w:r w:rsidRPr="00557563">
        <w:rPr>
          <w:rFonts w:eastAsiaTheme="minorHAnsi"/>
          <w:lang w:eastAsia="en-US"/>
        </w:rPr>
        <w:t>MiFID</w:t>
      </w:r>
      <w:proofErr w:type="spellEnd"/>
      <w:r w:rsidRPr="00557563">
        <w:rPr>
          <w:rFonts w:eastAsiaTheme="minorHAnsi"/>
          <w:lang w:eastAsia="en-US"/>
        </w:rPr>
        <w:t xml:space="preserve"> II, týkajúci sa posúdenia schopnosti klienta znášať straty  a jeho odolnosť pri poskytovaní investičného poradenstva alebo riadenia portfólia.</w:t>
      </w:r>
    </w:p>
    <w:p w14:paraId="117E8F47" w14:textId="77777777" w:rsidR="00557563" w:rsidRPr="00557563" w:rsidRDefault="00557563" w:rsidP="00557563">
      <w:pPr>
        <w:spacing w:line="259" w:lineRule="auto"/>
        <w:jc w:val="both"/>
        <w:rPr>
          <w:rFonts w:eastAsiaTheme="minorHAnsi"/>
          <w:lang w:eastAsia="en-US"/>
        </w:rPr>
      </w:pPr>
    </w:p>
    <w:p w14:paraId="3F4B44CD"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56 [§ 73f ods. 7]</w:t>
      </w:r>
      <w:r w:rsidRPr="00557563">
        <w:rPr>
          <w:rFonts w:eastAsiaTheme="minorHAnsi"/>
          <w:b/>
          <w:highlight w:val="yellow"/>
          <w:lang w:eastAsia="en-US"/>
        </w:rPr>
        <w:t xml:space="preserve"> </w:t>
      </w:r>
    </w:p>
    <w:p w14:paraId="459B342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Ustanovuje sa povinnosť analyzovať náklady a prínosy výmeny finančných nástrojov pri poskytovaní investičného poradenstva  a investičnej služby riadenie portfólia. Výsledkom má byť posúdenie, či prínosy výmeny finančných nástrojov prevyšujú náklady na takúto výmenu, a teda či z hľadiska klienta má takáto výmena opodstatnenie.</w:t>
      </w:r>
    </w:p>
    <w:p w14:paraId="6E2D9C07" w14:textId="77777777" w:rsidR="00557563" w:rsidRPr="00557563" w:rsidRDefault="00557563" w:rsidP="00557563">
      <w:pPr>
        <w:spacing w:line="259" w:lineRule="auto"/>
        <w:jc w:val="both"/>
        <w:rPr>
          <w:rFonts w:eastAsiaTheme="minorHAnsi"/>
          <w:lang w:eastAsia="en-US"/>
        </w:rPr>
      </w:pPr>
    </w:p>
    <w:p w14:paraId="66C7B825"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bodom 57 a 58 [§ 73h ods. 1 písm. a)]</w:t>
      </w:r>
    </w:p>
    <w:p w14:paraId="16F04A2C"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zosúladenie s článkom 25 bod 4 smernice </w:t>
      </w:r>
      <w:proofErr w:type="spellStart"/>
      <w:r w:rsidRPr="00557563">
        <w:rPr>
          <w:rFonts w:eastAsiaTheme="minorHAnsi"/>
          <w:lang w:eastAsia="en-US"/>
        </w:rPr>
        <w:t>MiFID</w:t>
      </w:r>
      <w:proofErr w:type="spellEnd"/>
      <w:r w:rsidRPr="00557563">
        <w:rPr>
          <w:rFonts w:eastAsiaTheme="minorHAnsi"/>
          <w:lang w:eastAsia="en-US"/>
        </w:rPr>
        <w:t xml:space="preserve"> II.</w:t>
      </w:r>
    </w:p>
    <w:p w14:paraId="1B5A2E96" w14:textId="77777777" w:rsidR="00557563" w:rsidRPr="00557563" w:rsidRDefault="00557563" w:rsidP="00557563">
      <w:pPr>
        <w:spacing w:line="259" w:lineRule="auto"/>
        <w:jc w:val="both"/>
        <w:rPr>
          <w:rFonts w:eastAsiaTheme="minorHAnsi"/>
          <w:lang w:eastAsia="en-US"/>
        </w:rPr>
      </w:pPr>
    </w:p>
    <w:p w14:paraId="6DB9F799"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59 [§ 73h ods. 1 písm. c)]</w:t>
      </w:r>
    </w:p>
    <w:p w14:paraId="125C90E3"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zosúladenie s článkom 25 bod 4 smernice </w:t>
      </w:r>
      <w:proofErr w:type="spellStart"/>
      <w:r w:rsidRPr="00557563">
        <w:rPr>
          <w:rFonts w:eastAsiaTheme="minorHAnsi"/>
          <w:lang w:eastAsia="en-US"/>
        </w:rPr>
        <w:t>MiFID</w:t>
      </w:r>
      <w:proofErr w:type="spellEnd"/>
      <w:r w:rsidRPr="00557563">
        <w:rPr>
          <w:rFonts w:eastAsiaTheme="minorHAnsi"/>
          <w:lang w:eastAsia="en-US"/>
        </w:rPr>
        <w:t xml:space="preserve"> II.</w:t>
      </w:r>
    </w:p>
    <w:p w14:paraId="042F01F3" w14:textId="77777777" w:rsidR="00557563" w:rsidRPr="00557563" w:rsidRDefault="00557563" w:rsidP="00557563">
      <w:pPr>
        <w:spacing w:line="259" w:lineRule="auto"/>
        <w:jc w:val="both"/>
        <w:rPr>
          <w:rFonts w:eastAsiaTheme="minorHAnsi"/>
          <w:lang w:eastAsia="en-US"/>
        </w:rPr>
      </w:pPr>
    </w:p>
    <w:p w14:paraId="1A6A849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60 [§ 73u ods. 1]</w:t>
      </w:r>
    </w:p>
    <w:p w14:paraId="036C9ED9"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Upresňuje sa poskytovanie investičných služieb oprávneným protistranám.</w:t>
      </w:r>
    </w:p>
    <w:p w14:paraId="79169B15" w14:textId="77777777" w:rsidR="00557563" w:rsidRPr="00557563" w:rsidRDefault="00557563" w:rsidP="00557563">
      <w:pPr>
        <w:spacing w:line="259" w:lineRule="auto"/>
        <w:jc w:val="both"/>
        <w:rPr>
          <w:rFonts w:eastAsiaTheme="minorHAnsi"/>
          <w:b/>
          <w:lang w:eastAsia="en-US"/>
        </w:rPr>
      </w:pPr>
    </w:p>
    <w:p w14:paraId="734873EE"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61 [§ 73v]</w:t>
      </w:r>
    </w:p>
    <w:p w14:paraId="3D9462A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Vzhľadom na potrebnú podporu pre poskytovanie investičných služieb je potrebné znížiť administratívnu náročnosť spojenú s ich poskytovaním, preto sa upúšťa od niektorých  povinností voči klientom v prípade, že investičné služby sú poskytované profesionálnym klientom, ktorí sú znalí problematiky, vedia posúdiť dané okolnosti, a plne rozumejú charakteristikám konkrétnych finančných nástrojov. Zostáva však povinnosť viesť záznamy o písomných žiadostiach o poskytnutie investičných služieb.</w:t>
      </w:r>
    </w:p>
    <w:p w14:paraId="009A7260" w14:textId="77777777" w:rsidR="00557563" w:rsidRPr="00557563" w:rsidRDefault="00557563" w:rsidP="00557563">
      <w:pPr>
        <w:spacing w:line="259" w:lineRule="auto"/>
        <w:jc w:val="both"/>
        <w:rPr>
          <w:rFonts w:eastAsiaTheme="minorHAnsi"/>
          <w:lang w:eastAsia="en-US"/>
        </w:rPr>
      </w:pPr>
    </w:p>
    <w:p w14:paraId="40227317"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62 [§ 74]</w:t>
      </w:r>
    </w:p>
    <w:p w14:paraId="04A60543"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Obchodník s cennými papiermi je povinný spĺňať požiadavku na vlastné zdroje podľa nariadenia IFR. </w:t>
      </w:r>
    </w:p>
    <w:p w14:paraId="70249A5A" w14:textId="77777777" w:rsidR="00557563" w:rsidRPr="00557563" w:rsidRDefault="00557563" w:rsidP="00557563">
      <w:pPr>
        <w:spacing w:line="259" w:lineRule="auto"/>
        <w:jc w:val="both"/>
        <w:rPr>
          <w:rFonts w:eastAsiaTheme="minorHAnsi"/>
          <w:lang w:eastAsia="en-US"/>
        </w:rPr>
      </w:pPr>
    </w:p>
    <w:p w14:paraId="474265AE"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63 [§ 74b a 74c]</w:t>
      </w:r>
    </w:p>
    <w:p w14:paraId="5943AF22"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Ustanovuje sa rozsah a spôsob zverejňovania informácií pre niektoré kategórie obchodníkov s cennými papiermi. </w:t>
      </w:r>
    </w:p>
    <w:p w14:paraId="14A28CE9"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Ustanovuje sa povinnosť pre obchodníkov s cennými papiermi hodnotiť primeranosť vnútorného kapitálu a likvidných aktív, okrem obchodníkov, ktorí sa považujú za malých a neprepojených. </w:t>
      </w:r>
    </w:p>
    <w:p w14:paraId="3B048D27" w14:textId="77777777" w:rsidR="00557563" w:rsidRPr="00557563" w:rsidRDefault="00557563" w:rsidP="00557563">
      <w:pPr>
        <w:spacing w:line="259" w:lineRule="auto"/>
        <w:jc w:val="both"/>
        <w:rPr>
          <w:rFonts w:eastAsiaTheme="minorHAnsi"/>
          <w:b/>
          <w:lang w:eastAsia="en-US"/>
        </w:rPr>
      </w:pPr>
    </w:p>
    <w:p w14:paraId="38A7E816"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64 [§ 74d]</w:t>
      </w:r>
    </w:p>
    <w:p w14:paraId="1C7F6272"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Ruší sa požiadavka na vytváranie tlmiacej rezervy vzhľadom na charakter činnosti obchodníkov s cennými papiermi. </w:t>
      </w:r>
    </w:p>
    <w:p w14:paraId="5DF069B5" w14:textId="77777777" w:rsidR="00557563" w:rsidRPr="00557563" w:rsidRDefault="00557563" w:rsidP="00557563">
      <w:pPr>
        <w:spacing w:line="259" w:lineRule="auto"/>
        <w:jc w:val="both"/>
        <w:rPr>
          <w:rFonts w:eastAsiaTheme="minorHAnsi"/>
          <w:b/>
          <w:lang w:eastAsia="en-US"/>
        </w:rPr>
      </w:pPr>
    </w:p>
    <w:p w14:paraId="6B142AB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65 [§ 74e]</w:t>
      </w:r>
    </w:p>
    <w:p w14:paraId="7FB829F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transpozíciu článku 40 smernice IFD, ktorá stanovuje, kedy Národná banka Slovenska uloží na základe preskúmania a hodnotenia obchodníkovi s cennými papiermi dodatočnú požiadavku na vlastné zdroje. </w:t>
      </w:r>
    </w:p>
    <w:p w14:paraId="572DCC81" w14:textId="77777777" w:rsidR="00557563" w:rsidRPr="00557563" w:rsidRDefault="00557563" w:rsidP="00557563">
      <w:pPr>
        <w:spacing w:line="259" w:lineRule="auto"/>
        <w:jc w:val="both"/>
        <w:rPr>
          <w:rFonts w:eastAsiaTheme="minorHAnsi"/>
          <w:lang w:eastAsia="en-US"/>
        </w:rPr>
      </w:pPr>
    </w:p>
    <w:p w14:paraId="130B557F"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66 [§ 74f a § 74g]</w:t>
      </w:r>
    </w:p>
    <w:p w14:paraId="34DB9A71"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 základe rozhodnutia môže Národná banka Slovenska vyžadovať, aby výška vlastných zdrojov presahovala hodnotu minimálnych požiadaviek na vlastné zdroje s cieľom zabezpečiť, aby hospodárske cykly neviedli k porušeniu týchto požiadaviek alebo neohrozovali schopnosť tohto obchodníka postupne ukončiť alebo zastaviť výkon povolených činností riadnym spôsobom.  Stanovuje sa tiež, kedy Národná banka Slovenska uloží na základe preskúmania a hodnotenia obchodníkovi s cennými papiermi osobitnú požiadavku na likviditu. Ide o transpozíciu článkov 41 a 42 smernice IFD. </w:t>
      </w:r>
    </w:p>
    <w:p w14:paraId="67C0A875" w14:textId="77777777" w:rsidR="00557563" w:rsidRPr="00557563" w:rsidRDefault="00557563" w:rsidP="00557563">
      <w:pPr>
        <w:spacing w:line="259" w:lineRule="auto"/>
        <w:jc w:val="both"/>
        <w:rPr>
          <w:rFonts w:eastAsiaTheme="minorHAnsi"/>
          <w:lang w:eastAsia="en-US"/>
        </w:rPr>
      </w:pPr>
    </w:p>
    <w:p w14:paraId="650B6E50"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lastRenderedPageBreak/>
        <w:t>K bodu 67 [§ 75 ods. 1]</w:t>
      </w:r>
    </w:p>
    <w:p w14:paraId="0293DCCA"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 účely výkonu dohľadu je obchodník s cennými papiermi povinný zdokumentovať aj systémy a postupy podľa tohto zákona a nariadenia IFR. </w:t>
      </w:r>
    </w:p>
    <w:p w14:paraId="7D89F02B" w14:textId="77777777" w:rsidR="00557563" w:rsidRPr="00557563" w:rsidRDefault="00557563" w:rsidP="00557563">
      <w:pPr>
        <w:spacing w:line="259" w:lineRule="auto"/>
        <w:jc w:val="both"/>
        <w:rPr>
          <w:rFonts w:eastAsiaTheme="minorHAnsi"/>
          <w:lang w:eastAsia="en-US"/>
        </w:rPr>
      </w:pPr>
    </w:p>
    <w:p w14:paraId="2FCFAA1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68 [§ 76 ods. 8]</w:t>
      </w:r>
    </w:p>
    <w:p w14:paraId="4CBC361A"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 v nadväznosti na bod 69 (§ 77 ods. 2)</w:t>
      </w:r>
    </w:p>
    <w:p w14:paraId="6B745ACF" w14:textId="77777777" w:rsidR="00557563" w:rsidRPr="00557563" w:rsidRDefault="00557563" w:rsidP="00557563">
      <w:pPr>
        <w:spacing w:line="259" w:lineRule="auto"/>
        <w:jc w:val="both"/>
        <w:rPr>
          <w:rFonts w:eastAsiaTheme="minorHAnsi"/>
          <w:lang w:eastAsia="en-US"/>
        </w:rPr>
      </w:pPr>
    </w:p>
    <w:p w14:paraId="69CCAF75"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69 [§ 77 ods. 2 písm. e)]</w:t>
      </w:r>
    </w:p>
    <w:p w14:paraId="6C7409DF"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Požiadavka, aby návratnosť aktív, určená ako pomer čistého zisku a bilančnej sumy ako súčasť výročnej správy vyplývala pre obchodníkov s cennými papiermi zo smernice CRD. Smernicou IFD boli pre obchodníkov s cennými papiermi stanovené nové požiadavky na zverejnenie, pričom požiadavka  návratnosť aktív, určená ako pomer čistého zisku a bilančnej sumy nie je súčasťou požiadaviek podľa smernice IFD. </w:t>
      </w:r>
    </w:p>
    <w:p w14:paraId="3AAB9F35" w14:textId="77777777" w:rsidR="00557563" w:rsidRPr="00557563" w:rsidRDefault="00557563" w:rsidP="00557563">
      <w:pPr>
        <w:spacing w:line="259" w:lineRule="auto"/>
        <w:jc w:val="both"/>
        <w:rPr>
          <w:rFonts w:eastAsiaTheme="minorHAnsi"/>
          <w:lang w:eastAsia="en-US"/>
        </w:rPr>
      </w:pPr>
    </w:p>
    <w:p w14:paraId="65077D0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70 [§ 77 ods. 3]</w:t>
      </w:r>
    </w:p>
    <w:p w14:paraId="6B539DE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transpozíciu článku 27 odsek 1 smernice IFD, ktorý ustanovuje spôsob členenia informácií uvádzaných vo výročnej správe. </w:t>
      </w:r>
    </w:p>
    <w:p w14:paraId="01DC86A7" w14:textId="77777777" w:rsidR="00557563" w:rsidRPr="00557563" w:rsidRDefault="00557563" w:rsidP="00557563">
      <w:pPr>
        <w:spacing w:line="259" w:lineRule="auto"/>
        <w:jc w:val="both"/>
        <w:rPr>
          <w:rFonts w:eastAsiaTheme="minorHAnsi"/>
          <w:b/>
          <w:lang w:eastAsia="en-US"/>
        </w:rPr>
      </w:pPr>
    </w:p>
    <w:p w14:paraId="042653E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71 [§ 79b]</w:t>
      </w:r>
    </w:p>
    <w:p w14:paraId="4D6E0808"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V súlade s nariadením o </w:t>
      </w:r>
      <w:proofErr w:type="spellStart"/>
      <w:r w:rsidRPr="00557563">
        <w:rPr>
          <w:rFonts w:eastAsiaTheme="minorHAnsi"/>
          <w:lang w:eastAsia="en-US"/>
        </w:rPr>
        <w:t>ESA´s</w:t>
      </w:r>
      <w:proofErr w:type="spellEnd"/>
      <w:r w:rsidRPr="00557563">
        <w:rPr>
          <w:rFonts w:eastAsiaTheme="minorHAnsi"/>
          <w:lang w:eastAsia="en-US"/>
        </w:rPr>
        <w:t xml:space="preserve"> činnosť a udelenie povolenia poskytovateľa schváleného mechanizmu zverejňovania a poskytovateľa schváleného mechanizmu podávania správ prechádza do pôsobnosti Európskeho orgánu dohľadu (Európsky orgán pre cenné papiere a trhy) s výnimkou podľa čl. 2 ods. 3 nariadenia (EÚ) č. 600/2014 v platnom znení, kedy udeľovanie povolenia poskytovateľa schváleného mechanizmu zverejňovania a poskytovateľa schváleného mechanizmu podávania správ zabezpečí príslušný orgán dohľadu (v podmienkach SR Národná banka Slovenska). </w:t>
      </w:r>
    </w:p>
    <w:p w14:paraId="11370B71" w14:textId="77777777" w:rsidR="00557563" w:rsidRPr="00557563" w:rsidRDefault="00557563" w:rsidP="00557563">
      <w:pPr>
        <w:spacing w:line="259" w:lineRule="auto"/>
        <w:jc w:val="both"/>
        <w:rPr>
          <w:rFonts w:eastAsiaTheme="minorHAnsi"/>
          <w:b/>
          <w:lang w:eastAsia="en-US"/>
        </w:rPr>
      </w:pPr>
    </w:p>
    <w:p w14:paraId="07BEB1DD"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72 [79c až 79k]</w:t>
      </w:r>
    </w:p>
    <w:p w14:paraId="39BA2D86"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Nakoľko sa z rozsahu smernice </w:t>
      </w:r>
      <w:proofErr w:type="spellStart"/>
      <w:r w:rsidRPr="00557563">
        <w:rPr>
          <w:rFonts w:eastAsiaTheme="minorHAnsi"/>
          <w:lang w:eastAsia="en-US"/>
        </w:rPr>
        <w:t>MiFID</w:t>
      </w:r>
      <w:proofErr w:type="spellEnd"/>
      <w:r w:rsidRPr="00557563">
        <w:rPr>
          <w:rFonts w:eastAsiaTheme="minorHAnsi"/>
          <w:lang w:eastAsia="en-US"/>
        </w:rPr>
        <w:t xml:space="preserve"> II vypúšťa udeľovanie povolení poskytovateľom služieb vykazovania údajov a výkonu ich činnosti, navrhuje sa vypustiť príslušné ustanovenia zákona. </w:t>
      </w:r>
    </w:p>
    <w:p w14:paraId="36713709" w14:textId="77777777" w:rsidR="00557563" w:rsidRPr="00557563" w:rsidRDefault="00557563" w:rsidP="00557563">
      <w:pPr>
        <w:spacing w:line="259" w:lineRule="auto"/>
        <w:jc w:val="both"/>
        <w:rPr>
          <w:rFonts w:eastAsiaTheme="minorHAnsi"/>
          <w:lang w:eastAsia="en-US"/>
        </w:rPr>
      </w:pPr>
    </w:p>
    <w:p w14:paraId="30592771"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73 [§ 84 ods. 5 a 6]</w:t>
      </w:r>
    </w:p>
    <w:p w14:paraId="674AE55A"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 v nadväznosti na body 16 a 18 (§ 54 ods. 11 až 15, § 54d ods. 1 až 5)</w:t>
      </w:r>
    </w:p>
    <w:p w14:paraId="3F4D9C97" w14:textId="77777777" w:rsidR="00557563" w:rsidRPr="00557563" w:rsidRDefault="00557563" w:rsidP="00557563">
      <w:pPr>
        <w:spacing w:line="259" w:lineRule="auto"/>
        <w:jc w:val="both"/>
        <w:rPr>
          <w:rFonts w:eastAsiaTheme="minorHAnsi"/>
          <w:lang w:eastAsia="en-US"/>
        </w:rPr>
      </w:pPr>
    </w:p>
    <w:p w14:paraId="1F7D201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74 [§ 85 ods. 7]</w:t>
      </w:r>
    </w:p>
    <w:p w14:paraId="1E4557B8"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 v nadväznosti na bod 98</w:t>
      </w:r>
    </w:p>
    <w:p w14:paraId="6542F24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 (§ 156 ods. 1).</w:t>
      </w:r>
    </w:p>
    <w:p w14:paraId="54547B3B" w14:textId="77777777" w:rsidR="00557563" w:rsidRPr="00557563" w:rsidRDefault="00557563" w:rsidP="00557563">
      <w:pPr>
        <w:spacing w:line="259" w:lineRule="auto"/>
        <w:jc w:val="both"/>
        <w:rPr>
          <w:rFonts w:eastAsiaTheme="minorHAnsi"/>
          <w:lang w:eastAsia="en-US"/>
        </w:rPr>
      </w:pPr>
    </w:p>
    <w:p w14:paraId="48087B8C"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bodu 75 </w:t>
      </w:r>
    </w:p>
    <w:p w14:paraId="08788008"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Upravuje sa poznámka pod čiarou k odkazu 94 z dôvodu, že doteraz uvedený odkaz na § 2 ods. 1 písm. d) a § 4 zákona Národnej rady Slovenskej republiky č. 171/1993 Z. z. o Policajnom zbore v znení neskorších predpisov nesúvisí s činnosťou kriminálnej polície a finančnej polície (operatívnych častí). V tomto prípade ide o odkaz na trestné konanie, čo je však obsiahnuté v § 110 ods. 1 písm. b) zákona č. 566/2001 Z. z. k orgánom činným v trestnom konaní vykonávajúcich vyšetrovanie podľa Trestného poriadku (poznámka pod čiarou k odkazu 92). </w:t>
      </w:r>
    </w:p>
    <w:p w14:paraId="11D4620A" w14:textId="77777777" w:rsidR="00557563" w:rsidRPr="00557563" w:rsidRDefault="00557563" w:rsidP="00557563">
      <w:pPr>
        <w:spacing w:line="259" w:lineRule="auto"/>
        <w:jc w:val="both"/>
        <w:rPr>
          <w:rFonts w:eastAsiaTheme="minorHAnsi"/>
          <w:b/>
          <w:lang w:eastAsia="en-US"/>
        </w:rPr>
      </w:pPr>
    </w:p>
    <w:p w14:paraId="1BC1D6C7"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lastRenderedPageBreak/>
        <w:t>K bodu 76 [§ 135 ods. 1]</w:t>
      </w:r>
    </w:p>
    <w:p w14:paraId="76594C28"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Subjekty, nad ktorými vykonáva dohľad Národná banka Slovenska sa rozširuje aj o investičnú holdingovú spoločnosť.</w:t>
      </w:r>
    </w:p>
    <w:p w14:paraId="5ACB9FC1" w14:textId="77777777" w:rsidR="00557563" w:rsidRPr="00557563" w:rsidRDefault="00557563" w:rsidP="00557563">
      <w:pPr>
        <w:spacing w:line="259" w:lineRule="auto"/>
        <w:jc w:val="both"/>
        <w:rPr>
          <w:rFonts w:eastAsiaTheme="minorHAnsi"/>
          <w:b/>
          <w:lang w:eastAsia="en-US"/>
        </w:rPr>
      </w:pPr>
    </w:p>
    <w:p w14:paraId="50BC8774"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bodom 77 a 78 [§ 135 ods. 7 až 16, § 135 ods. 17 a 18]</w:t>
      </w:r>
    </w:p>
    <w:p w14:paraId="6BA54CE6"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Nanovo sa upravuje preskúmavanie, ktoré vykonáva Národná banka Slovenska v rámci dohľadu. Preskúmavanie podľa smernice IFD je lepšie prispôsobené činnostiam a veľkosti obchodníkov s cennými papiermi než doterajšia právna úprava. Pri vykonávaní preskúmania Národná banka Slovenska zohľadňuje okrem iného aj riziká, obchodný model obchodníka s cennými papiermi alebo aj geografické umiestnenie expozícií obchodníka s cennými papiermi. Frekvenciu a rozsah preskúmavania určí Národná banka Slovenska primerane k veľkosti, povahe, rozsahu a zložitosti vykonávaných činností obchodníka s cennými papiermi, doterajšia právna úprava ustanovovala preskúmanie aspoň raz do roka. V rámci výkonu dohľadu má Národná banka Slovenska prístup aj programom a zápisniciam zo zasadnutí predstavenstva. V rámci preskúmavania Národná banka Slovenska aspoň každé tri roky preskúma, či obchodník s cennými papiermi dodržiava požiadavky týkajúce sa povolenia používať interné modely. </w:t>
      </w:r>
    </w:p>
    <w:p w14:paraId="3F83F2A4" w14:textId="77777777" w:rsidR="00557563" w:rsidRPr="00557563" w:rsidRDefault="00557563" w:rsidP="00557563">
      <w:pPr>
        <w:spacing w:line="259" w:lineRule="auto"/>
        <w:jc w:val="both"/>
        <w:rPr>
          <w:rFonts w:eastAsiaTheme="minorHAnsi"/>
          <w:lang w:eastAsia="en-US"/>
        </w:rPr>
      </w:pPr>
    </w:p>
    <w:p w14:paraId="44004463"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79 [§ 135a ods. 19]</w:t>
      </w:r>
    </w:p>
    <w:p w14:paraId="594C566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Stanovuje sa povinnosť Národnej banke Slovenska informovať Európsky orgán dohľadu.</w:t>
      </w:r>
    </w:p>
    <w:p w14:paraId="609B1EA8" w14:textId="77777777" w:rsidR="00557563" w:rsidRPr="00557563" w:rsidRDefault="00557563" w:rsidP="00557563">
      <w:pPr>
        <w:spacing w:line="259" w:lineRule="auto"/>
        <w:jc w:val="both"/>
        <w:rPr>
          <w:rFonts w:eastAsiaTheme="minorHAnsi"/>
          <w:b/>
          <w:lang w:eastAsia="en-US"/>
        </w:rPr>
      </w:pPr>
    </w:p>
    <w:p w14:paraId="39F3F530"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80 [§ 135d]</w:t>
      </w:r>
    </w:p>
    <w:p w14:paraId="5F120A5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 účely dohľadu týkajúceho sa prudenciálnych požiadaviek na obchodníka s cennými papiermi sa definuje spolupráca medzi Národnou bankou Slovenska a príslušnými orgánmi rôznych členských štátov. Vymedzujú sa informácie, ktoré si orgány dohľadu navzájom poskytujú. Dôverné informácie možno použiť len pri výkone dohľadu a len na presne stanovené účely. </w:t>
      </w:r>
    </w:p>
    <w:p w14:paraId="522314D4" w14:textId="77777777" w:rsidR="00557563" w:rsidRPr="00557563" w:rsidRDefault="00557563" w:rsidP="00557563">
      <w:pPr>
        <w:spacing w:line="259" w:lineRule="auto"/>
        <w:jc w:val="both"/>
        <w:rPr>
          <w:rFonts w:eastAsiaTheme="minorHAnsi"/>
          <w:lang w:eastAsia="en-US"/>
        </w:rPr>
      </w:pPr>
    </w:p>
    <w:p w14:paraId="26E2DA77"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81 [§ 138 až 142]</w:t>
      </w:r>
    </w:p>
    <w:p w14:paraId="67E3CBB6"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Nanovo sa definuje dohľad na konsolidovanom základe. </w:t>
      </w:r>
    </w:p>
    <w:p w14:paraId="290B0612" w14:textId="77777777" w:rsidR="00557563" w:rsidRPr="00557563" w:rsidRDefault="00557563" w:rsidP="00557563">
      <w:pPr>
        <w:spacing w:line="259" w:lineRule="auto"/>
        <w:jc w:val="both"/>
        <w:rPr>
          <w:rFonts w:eastAsiaTheme="minorHAnsi"/>
          <w:u w:val="single"/>
          <w:lang w:eastAsia="en-US"/>
        </w:rPr>
      </w:pPr>
      <w:r w:rsidRPr="00557563">
        <w:rPr>
          <w:rFonts w:eastAsiaTheme="minorHAnsi"/>
          <w:u w:val="single"/>
          <w:lang w:eastAsia="en-US"/>
        </w:rPr>
        <w:t>K § 138</w:t>
      </w:r>
    </w:p>
    <w:p w14:paraId="26F4AB2B"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Národná banka Slovenska je orgánom dohľadu na konsolidovanom základe alebo nad dodržiavaním súladu s kapitálovým testom skupiny, ak skupinu obchodníkov s cennými papiermi1 riadi materský obchodník s cennými papiermi v Európskej únii so sídlom v Slovenskej republike alebo ak materskou spoločnosťou obchodníka s cennými papiermi je materská investičná holdingová spoločnosť v Európskej únii alebo materská zmiešaná finančná holdingová spoločnosť v Európskej únii alebo ak materskou spoločnosťou dvoch alebo viacerých obchodníkov s cennými papiermi alebo zahraničných obchodníkov s cennými papiermi, je rovnaká materská investičná holdingová spoločnosť v Európskej únii alebo rovnaká materská zmiešaná finančná holdingová spoločnosť v Európskej únii, ak je investičná holdingová spoločnosť alebo zmiešaná finančná holdingová spoločnosť založená v Slovenskej republike. Dohľad na konsolidovanom základe sa vykonáva podľa čl. 7 nariadenia IFR alebo formou súladu s kapitálovým testom skupiny podľa čl. 8 nariadenia IFR. Kapitálový test skupiny možno použiť v prípade skupinových štruktúr, ktoré sa považujú za dostatočne jednoduché. Národná banka Slovenska vykonáva dohľad na konsolidovanom základe aj v prípade, ak materskou spoločnosťou dvoch alebo viacerých obchodníkov s cennými papiermi alebo zahraničných obchodníkov s cennými papiermi je rovnaká investičná holdingová </w:t>
      </w:r>
      <w:r w:rsidRPr="00557563">
        <w:rPr>
          <w:rFonts w:eastAsiaTheme="minorHAnsi"/>
          <w:lang w:eastAsia="en-US"/>
        </w:rPr>
        <w:lastRenderedPageBreak/>
        <w:t>spoločnosť v Európskej únii alebo zmiešaná finančná holdingová spoločnosť v Európskej únii, a žiadnemu obchodníkovi s cennými papiermi alebo zahraničnému obchodníkovi s cennými papiermi nebolo vydané povolenie v členskom štáte, v ktorom bola zriadená investičná holdingová spoločnosť alebo zmiešaná finančná holdingová spoločnosť a ak</w:t>
      </w:r>
      <w:r w:rsidRPr="00557563">
        <w:rPr>
          <w:rFonts w:asciiTheme="minorHAnsi" w:eastAsiaTheme="minorHAnsi" w:hAnsiTheme="minorHAnsi" w:cstheme="minorBidi"/>
          <w:sz w:val="22"/>
          <w:szCs w:val="22"/>
          <w:lang w:eastAsia="en-US"/>
        </w:rPr>
        <w:t xml:space="preserve"> </w:t>
      </w:r>
      <w:r w:rsidRPr="00557563">
        <w:rPr>
          <w:rFonts w:eastAsiaTheme="minorHAnsi"/>
          <w:lang w:eastAsia="en-US"/>
        </w:rPr>
        <w:t xml:space="preserve">najvyššiu celkovú hodnotu aktív má obchodník s cennými papiermi. </w:t>
      </w:r>
    </w:p>
    <w:p w14:paraId="1357672B" w14:textId="77777777" w:rsidR="00557563" w:rsidRPr="00557563" w:rsidRDefault="00557563" w:rsidP="00557563">
      <w:pPr>
        <w:spacing w:line="259" w:lineRule="auto"/>
        <w:jc w:val="both"/>
        <w:rPr>
          <w:rFonts w:eastAsiaTheme="minorHAnsi"/>
          <w:u w:val="single"/>
          <w:lang w:eastAsia="en-US"/>
        </w:rPr>
      </w:pPr>
      <w:r w:rsidRPr="00557563">
        <w:rPr>
          <w:rFonts w:eastAsiaTheme="minorHAnsi"/>
          <w:u w:val="single"/>
          <w:lang w:eastAsia="en-US"/>
        </w:rPr>
        <w:t>K § 139</w:t>
      </w:r>
    </w:p>
    <w:p w14:paraId="1B1D883B"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Ak dvaja  alebo viacerí obchodníci s cennými papiermi alebo zahraniční obchodníci s cennými papiermi, ktorí sú dcérskymi spoločnosťami rovnakej materskej spoločnosti, ktorá má ústredie v štáte, ktorý nie je členským štátom a nepodliehajú účinnému dohľadu na úrovni skupiny, Národná banka Slovenska preverí, či obchodník s cennými papiermi podlieha dohľadu, ktorý je rovnocenný dohľadu na konsolidovanom základe. Pokiaľ uvedený dohľad nie je rovnako účinný, Národná banka Slovenska zahrnie takéhoto obchodníka do výkonu dohľadu na konsolidovanom základe.</w:t>
      </w:r>
    </w:p>
    <w:p w14:paraId="57000E55" w14:textId="77777777" w:rsidR="00557563" w:rsidRPr="00557563" w:rsidRDefault="00557563" w:rsidP="00557563">
      <w:pPr>
        <w:spacing w:line="259" w:lineRule="auto"/>
        <w:jc w:val="both"/>
        <w:rPr>
          <w:rFonts w:eastAsiaTheme="minorHAnsi"/>
          <w:u w:val="single"/>
          <w:lang w:eastAsia="en-US"/>
        </w:rPr>
      </w:pPr>
      <w:r w:rsidRPr="00557563">
        <w:rPr>
          <w:rFonts w:eastAsiaTheme="minorHAnsi"/>
          <w:u w:val="single"/>
          <w:lang w:eastAsia="en-US"/>
        </w:rPr>
        <w:t>K § 140</w:t>
      </w:r>
    </w:p>
    <w:p w14:paraId="3832B6FC"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Stanovuje sa povinnosť Národnej banke Slovenska ako orgánu dohľadu na konsolidovanom základe v prípade vzniku kritickej situácie informovať Európsky orgán dohľadu, Európsky výbor pre systémové riziká a príslušné orgány o vzniknutej situácii. </w:t>
      </w:r>
    </w:p>
    <w:p w14:paraId="0CA2AECD" w14:textId="77777777" w:rsidR="00557563" w:rsidRPr="00557563" w:rsidRDefault="00557563" w:rsidP="00557563">
      <w:pPr>
        <w:spacing w:line="259" w:lineRule="auto"/>
        <w:jc w:val="both"/>
        <w:rPr>
          <w:rFonts w:eastAsiaTheme="minorHAnsi"/>
          <w:u w:val="single"/>
          <w:lang w:eastAsia="en-US"/>
        </w:rPr>
      </w:pPr>
      <w:r w:rsidRPr="00557563">
        <w:rPr>
          <w:rFonts w:eastAsiaTheme="minorHAnsi"/>
          <w:u w:val="single"/>
          <w:lang w:eastAsia="en-US"/>
        </w:rPr>
        <w:t>K § 141</w:t>
      </w:r>
    </w:p>
    <w:p w14:paraId="5818AC5D"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Stanovuje sa povinnosť Národnej banke Slovenska ako orgánu dohľadu na konsolidovanom základe zriadiť kolégium orgánov dohľadu na účely zákonom stanovených úloh.</w:t>
      </w:r>
    </w:p>
    <w:p w14:paraId="459946F9" w14:textId="77777777" w:rsidR="00557563" w:rsidRPr="00557563" w:rsidRDefault="00557563" w:rsidP="00557563">
      <w:pPr>
        <w:spacing w:line="259" w:lineRule="auto"/>
        <w:jc w:val="both"/>
        <w:rPr>
          <w:rFonts w:eastAsiaTheme="minorHAnsi"/>
          <w:u w:val="single"/>
          <w:lang w:eastAsia="en-US"/>
        </w:rPr>
      </w:pPr>
      <w:r w:rsidRPr="00557563">
        <w:rPr>
          <w:rFonts w:eastAsiaTheme="minorHAnsi"/>
          <w:u w:val="single"/>
          <w:lang w:eastAsia="en-US"/>
        </w:rPr>
        <w:t>K § 142</w:t>
      </w:r>
    </w:p>
    <w:p w14:paraId="24449A79"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Definuje sa spolupráca Národnej banky Slovenska v rámci výkonu dohľadu na konsolidovanom základe s príslušnými orgánmi dohľadu, ktoré sú zapojené do kolégia a výmena informácií medzi nimi. Ustanovuje sa, v ktorých prípadoch je Národná banka Slovenska povinná rokovať s príslušnými orgánmi dohľadu iných členských štátov, napr. v prípadoch udeľovania závažnej sankcie, ide o sankcie, ktoré nemajú charakter formálnych porušení. </w:t>
      </w:r>
    </w:p>
    <w:p w14:paraId="76E6C987" w14:textId="77777777" w:rsidR="00557563" w:rsidRPr="00557563" w:rsidRDefault="00557563" w:rsidP="00557563">
      <w:pPr>
        <w:spacing w:line="259" w:lineRule="auto"/>
        <w:jc w:val="both"/>
        <w:rPr>
          <w:rFonts w:eastAsiaTheme="minorHAnsi"/>
          <w:b/>
          <w:lang w:eastAsia="en-US"/>
        </w:rPr>
      </w:pPr>
    </w:p>
    <w:p w14:paraId="0ECE3B61"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bodu 82 [§ 143b písm. b)] </w:t>
      </w:r>
    </w:p>
    <w:p w14:paraId="18C8AB1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w:t>
      </w:r>
    </w:p>
    <w:p w14:paraId="65595E2F" w14:textId="77777777" w:rsidR="00557563" w:rsidRPr="00557563" w:rsidRDefault="00557563" w:rsidP="00557563">
      <w:pPr>
        <w:spacing w:line="259" w:lineRule="auto"/>
        <w:jc w:val="both"/>
        <w:rPr>
          <w:rFonts w:eastAsiaTheme="minorHAnsi"/>
          <w:lang w:eastAsia="en-US"/>
        </w:rPr>
      </w:pPr>
    </w:p>
    <w:p w14:paraId="307F2B6F"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83 [§ 143e ods. 13]</w:t>
      </w:r>
    </w:p>
    <w:p w14:paraId="19B20C8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 v nadväznosti na zmeny v požiadavke na vlastné zdroje  (bod 62 - § 74)</w:t>
      </w:r>
    </w:p>
    <w:p w14:paraId="5E986526" w14:textId="77777777" w:rsidR="00557563" w:rsidRPr="00557563" w:rsidRDefault="00557563" w:rsidP="00557563">
      <w:pPr>
        <w:spacing w:line="259" w:lineRule="auto"/>
        <w:jc w:val="both"/>
        <w:rPr>
          <w:rFonts w:eastAsiaTheme="minorHAnsi"/>
          <w:lang w:eastAsia="en-US"/>
        </w:rPr>
      </w:pPr>
    </w:p>
    <w:p w14:paraId="176D3A2D"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84 [§ 143i ods. 5]</w:t>
      </w:r>
    </w:p>
    <w:p w14:paraId="545D7BE1"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w:t>
      </w:r>
    </w:p>
    <w:p w14:paraId="21665509" w14:textId="77777777" w:rsidR="00557563" w:rsidRPr="00557563" w:rsidRDefault="00557563" w:rsidP="00557563">
      <w:pPr>
        <w:spacing w:line="259" w:lineRule="auto"/>
        <w:jc w:val="both"/>
        <w:rPr>
          <w:rFonts w:eastAsiaTheme="minorHAnsi"/>
          <w:lang w:eastAsia="en-US"/>
        </w:rPr>
      </w:pPr>
    </w:p>
    <w:p w14:paraId="6DD8FC21"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85 [§ 144 ods. 1]</w:t>
      </w:r>
    </w:p>
    <w:p w14:paraId="384D713B"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38 smernice IFD. Národnej banke Slovenska sa ukladá právomoc v rámci výkonu dohľadu uložiť obchodníkovi opatrenia na nápravu alebo sankcie aj v prípade, ak je preukázané, že obchodník s cennými papiermi počas 12 po sebe nasledujúcich kalendárnych mesiacov pravdepodobne nedodrží ustanovenia zákona o cenných papieroch alebo nariadenia IFR.</w:t>
      </w:r>
    </w:p>
    <w:p w14:paraId="0DFDA600" w14:textId="77777777" w:rsidR="00557563" w:rsidRPr="00557563" w:rsidRDefault="00557563" w:rsidP="00557563">
      <w:pPr>
        <w:spacing w:line="259" w:lineRule="auto"/>
        <w:jc w:val="both"/>
        <w:rPr>
          <w:rFonts w:eastAsiaTheme="minorHAnsi"/>
          <w:lang w:eastAsia="en-US"/>
        </w:rPr>
      </w:pPr>
    </w:p>
    <w:p w14:paraId="56D5FF01"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86 [§ 144 ods. 1 písm. b)]</w:t>
      </w:r>
    </w:p>
    <w:p w14:paraId="6AA49B42"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lastRenderedPageBreak/>
        <w:t>Spresňuje sa, že v rámci opatrení, ktoré môže Národná banka Slovenska uložiť obchodníkovi s cennými papiermi pri porušení tohto zákona, môže od obchodníka žiadať predloženie plánu na jeho ozdravenie do jedného roka a stanoviť lehotu na jeho realizáciu.</w:t>
      </w:r>
    </w:p>
    <w:p w14:paraId="47E52145" w14:textId="77777777" w:rsidR="00557563" w:rsidRPr="00557563" w:rsidRDefault="00557563" w:rsidP="00557563">
      <w:pPr>
        <w:spacing w:line="259" w:lineRule="auto"/>
        <w:jc w:val="both"/>
        <w:rPr>
          <w:rFonts w:eastAsiaTheme="minorHAnsi"/>
          <w:lang w:eastAsia="en-US"/>
        </w:rPr>
      </w:pPr>
    </w:p>
    <w:p w14:paraId="3C3A3C4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87 [§ 144 ods. 1 písm. m)]</w:t>
      </w:r>
    </w:p>
    <w:p w14:paraId="2127D62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 39 ods. 2 písm. a) smernice IFD, v zmysle ktorej môže Národná banka Slovenska uložiť obchodníkovi s cennými papiermi, aby upravil výšku vlastných zdrojov a likvidné aktíva v prípade významných zmien v jeho obchodnej činnosti.</w:t>
      </w:r>
    </w:p>
    <w:p w14:paraId="104E4B0A" w14:textId="77777777" w:rsidR="00557563" w:rsidRPr="00557563" w:rsidRDefault="00557563" w:rsidP="00557563">
      <w:pPr>
        <w:spacing w:line="259" w:lineRule="auto"/>
        <w:jc w:val="both"/>
        <w:rPr>
          <w:rFonts w:eastAsiaTheme="minorHAnsi"/>
          <w:b/>
          <w:lang w:eastAsia="en-US"/>
        </w:rPr>
      </w:pPr>
    </w:p>
    <w:p w14:paraId="26A18810"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bodom 88 a 90 [§ 144 ods. 1 písm. o) a § 144 ods. 1 písm. </w:t>
      </w:r>
      <w:proofErr w:type="spellStart"/>
      <w:r w:rsidRPr="00557563">
        <w:rPr>
          <w:rFonts w:eastAsiaTheme="minorHAnsi"/>
          <w:b/>
          <w:lang w:eastAsia="en-US"/>
        </w:rPr>
        <w:t>ac</w:t>
      </w:r>
      <w:proofErr w:type="spellEnd"/>
      <w:r w:rsidRPr="00557563">
        <w:rPr>
          <w:rFonts w:eastAsiaTheme="minorHAnsi"/>
          <w:b/>
          <w:lang w:eastAsia="en-US"/>
        </w:rPr>
        <w:t>)]</w:t>
      </w:r>
    </w:p>
    <w:p w14:paraId="1DEDA7F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39 odsek 2 písmená f) a d) smernice IFD, ide o rozšírenie sankčných ustanovení.</w:t>
      </w:r>
    </w:p>
    <w:p w14:paraId="415102D3" w14:textId="77777777" w:rsidR="00557563" w:rsidRPr="00557563" w:rsidRDefault="00557563" w:rsidP="00557563">
      <w:pPr>
        <w:spacing w:line="259" w:lineRule="auto"/>
        <w:jc w:val="both"/>
        <w:rPr>
          <w:rFonts w:eastAsiaTheme="minorHAnsi"/>
          <w:b/>
          <w:lang w:eastAsia="en-US"/>
        </w:rPr>
      </w:pPr>
    </w:p>
    <w:p w14:paraId="5BE6218E"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89 [§ 144 ods. 1 písm. p) a q)]</w:t>
      </w:r>
    </w:p>
    <w:p w14:paraId="26A23AAD"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 v nadväznosti na bod 62 (§ 74).</w:t>
      </w:r>
    </w:p>
    <w:p w14:paraId="38B1BC84" w14:textId="77777777" w:rsidR="00557563" w:rsidRPr="00557563" w:rsidRDefault="00557563" w:rsidP="00557563">
      <w:pPr>
        <w:spacing w:line="259" w:lineRule="auto"/>
        <w:jc w:val="both"/>
        <w:rPr>
          <w:rFonts w:eastAsiaTheme="minorHAnsi"/>
          <w:lang w:eastAsia="en-US"/>
        </w:rPr>
      </w:pPr>
    </w:p>
    <w:p w14:paraId="1599DA3D"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bodu 91 [§ 144 ods. 1 písm. </w:t>
      </w:r>
      <w:proofErr w:type="spellStart"/>
      <w:r w:rsidRPr="00557563">
        <w:rPr>
          <w:rFonts w:eastAsiaTheme="minorHAnsi"/>
          <w:b/>
          <w:lang w:eastAsia="en-US"/>
        </w:rPr>
        <w:t>ae</w:t>
      </w:r>
      <w:proofErr w:type="spellEnd"/>
      <w:r w:rsidRPr="00557563">
        <w:rPr>
          <w:rFonts w:eastAsiaTheme="minorHAnsi"/>
          <w:b/>
          <w:lang w:eastAsia="en-US"/>
        </w:rPr>
        <w:t xml:space="preserve">) až </w:t>
      </w:r>
      <w:proofErr w:type="spellStart"/>
      <w:r w:rsidRPr="00557563">
        <w:rPr>
          <w:rFonts w:eastAsiaTheme="minorHAnsi"/>
          <w:b/>
          <w:lang w:eastAsia="en-US"/>
        </w:rPr>
        <w:t>ag</w:t>
      </w:r>
      <w:proofErr w:type="spellEnd"/>
      <w:r w:rsidRPr="00557563">
        <w:rPr>
          <w:rFonts w:eastAsiaTheme="minorHAnsi"/>
          <w:b/>
          <w:lang w:eastAsia="en-US"/>
        </w:rPr>
        <w:t>)]</w:t>
      </w:r>
    </w:p>
    <w:p w14:paraId="4A56182C"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Sankčné ustanovenia sa rozširujú o ďalšie opatrenia v rámci dohľadu, a to obmedziť alebo zakázať rozdeľovanie výnosov alebo vyplácanie úrokov akcionárom obchodníka s cennými papiermi alebo držiteľom nástrojov dodatočného kapitálu </w:t>
      </w:r>
      <w:proofErr w:type="spellStart"/>
      <w:r w:rsidRPr="00557563">
        <w:rPr>
          <w:rFonts w:eastAsiaTheme="minorHAnsi"/>
          <w:lang w:eastAsia="en-US"/>
        </w:rPr>
        <w:t>Tier</w:t>
      </w:r>
      <w:proofErr w:type="spellEnd"/>
      <w:r w:rsidRPr="00557563">
        <w:rPr>
          <w:rFonts w:eastAsiaTheme="minorHAnsi"/>
          <w:lang w:eastAsia="en-US"/>
        </w:rPr>
        <w:t xml:space="preserve"> 1, ak sa na toto obmedzenie alebo zákaz nevzťahuje zákon č. 371/2014 Z. z., uložiť obchodníkovi s cennými papiermi osobitné požiadavky na likviditu alebo uložiť obchodníkovi s cennými papiermi zníženie rizík bezpečnosti sietí a informačných systémov s cieľom zabezpečiť dôveryhodnosť, integritu a dostupnosť ich procesov, údajov a aktív.</w:t>
      </w:r>
    </w:p>
    <w:p w14:paraId="63EA2ACC" w14:textId="77777777" w:rsidR="00557563" w:rsidRPr="00557563" w:rsidRDefault="00557563" w:rsidP="00557563">
      <w:pPr>
        <w:spacing w:line="259" w:lineRule="auto"/>
        <w:jc w:val="both"/>
        <w:rPr>
          <w:rFonts w:eastAsiaTheme="minorHAnsi"/>
          <w:b/>
          <w:lang w:eastAsia="en-US"/>
        </w:rPr>
      </w:pPr>
    </w:p>
    <w:p w14:paraId="2978B3A5"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92 [§ 144 ods. 3]</w:t>
      </w:r>
    </w:p>
    <w:p w14:paraId="16908B2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Spresňuje sa právomoc Národnej banky Slovenska ukladať opatrenia poskytovateľom služieb vykazovania údajov len v tých prípadoch, pokiaľ je Národná banka Slovenska orgánom dohľadu nad poskytovateľom služieb vykazovania údajov. Pozri tiež bod 71 (§ 79b).</w:t>
      </w:r>
    </w:p>
    <w:p w14:paraId="4235F75B" w14:textId="77777777" w:rsidR="00557563" w:rsidRPr="00557563" w:rsidRDefault="00557563" w:rsidP="00557563">
      <w:pPr>
        <w:spacing w:line="259" w:lineRule="auto"/>
        <w:jc w:val="both"/>
        <w:rPr>
          <w:rFonts w:eastAsiaTheme="minorHAnsi"/>
          <w:lang w:eastAsia="en-US"/>
        </w:rPr>
      </w:pPr>
    </w:p>
    <w:p w14:paraId="2B5F48C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93 [§ 144 ods. 7]</w:t>
      </w:r>
    </w:p>
    <w:p w14:paraId="01770722"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Ustanovuje sa Národnej banke Slovenska ukladať sankcie za porušenie zákona členovi dozorného orgánu alebo vedúcemu zamestnancovi investičnej holdingovej spoločnosti alebo odvolať z funkcie člena riadiaceho orgánu investičnej holdingovej spoločnosti, nakoľko prestala byť dôveryhodnou. </w:t>
      </w:r>
    </w:p>
    <w:p w14:paraId="4E594FDC" w14:textId="77777777" w:rsidR="00557563" w:rsidRPr="00557563" w:rsidRDefault="00557563" w:rsidP="00557563">
      <w:pPr>
        <w:spacing w:line="259" w:lineRule="auto"/>
        <w:jc w:val="both"/>
        <w:rPr>
          <w:rFonts w:eastAsiaTheme="minorHAnsi"/>
          <w:lang w:eastAsia="en-US"/>
        </w:rPr>
      </w:pPr>
    </w:p>
    <w:p w14:paraId="535980B7"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94 [§ 144 ods. 14]</w:t>
      </w:r>
    </w:p>
    <w:p w14:paraId="2BABD0F6"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 spresnenie vnútorných odkazov v nadväznosti na bod 95 (§ 144 ods. 29)</w:t>
      </w:r>
    </w:p>
    <w:p w14:paraId="797C3718" w14:textId="77777777" w:rsidR="00557563" w:rsidRPr="00557563" w:rsidRDefault="00557563" w:rsidP="00557563">
      <w:pPr>
        <w:spacing w:line="259" w:lineRule="auto"/>
        <w:jc w:val="both"/>
        <w:rPr>
          <w:rFonts w:eastAsiaTheme="minorHAnsi"/>
          <w:lang w:eastAsia="en-US"/>
        </w:rPr>
      </w:pPr>
    </w:p>
    <w:p w14:paraId="2D5A89B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95 [§ 144 ods. 29]</w:t>
      </w:r>
    </w:p>
    <w:p w14:paraId="0562A813"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20 odsek 3 smernice IFD, ktorý ustanovuje, v ktorých prípadoch sa zverejňujú informácie o uložených opatreniach na nápravu a pokutách anonymne.</w:t>
      </w:r>
    </w:p>
    <w:p w14:paraId="34D68BEA" w14:textId="77777777" w:rsidR="00557563" w:rsidRPr="00557563" w:rsidRDefault="00557563" w:rsidP="00557563">
      <w:pPr>
        <w:spacing w:line="259" w:lineRule="auto"/>
        <w:jc w:val="both"/>
        <w:rPr>
          <w:rFonts w:eastAsiaTheme="minorHAnsi"/>
          <w:lang w:eastAsia="en-US"/>
        </w:rPr>
      </w:pPr>
    </w:p>
    <w:p w14:paraId="25C24D87"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96 [§ 144 ods. 37 a 38]</w:t>
      </w:r>
    </w:p>
    <w:p w14:paraId="2A24EC6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Ukladá sa povinnosť Národnej banke Slovenska oznámiť Európskemu orgánu dohľadu  (Európsky orgán pre bankovníctvo) informáciu o uložení každej sankcie,  o každom opravnom </w:t>
      </w:r>
      <w:r w:rsidRPr="00557563">
        <w:rPr>
          <w:rFonts w:eastAsiaTheme="minorHAnsi"/>
          <w:lang w:eastAsia="en-US"/>
        </w:rPr>
        <w:lastRenderedPageBreak/>
        <w:t xml:space="preserve">prostriedku uplatnenom proti rozhodnutiu o uložení týchto sankcií a o rozhodnutí o opravnom prostriedku za porušenie požiadaviek v oblasti </w:t>
      </w:r>
      <w:proofErr w:type="spellStart"/>
      <w:r w:rsidRPr="00557563">
        <w:rPr>
          <w:rFonts w:eastAsiaTheme="minorHAnsi"/>
          <w:lang w:eastAsia="en-US"/>
        </w:rPr>
        <w:t>prudenciálneho</w:t>
      </w:r>
      <w:proofErr w:type="spellEnd"/>
      <w:r w:rsidRPr="00557563">
        <w:rPr>
          <w:rFonts w:eastAsiaTheme="minorHAnsi"/>
          <w:lang w:eastAsia="en-US"/>
        </w:rPr>
        <w:t xml:space="preserve"> dohľadu nad obchodníkom s cennými papiermi.</w:t>
      </w:r>
    </w:p>
    <w:p w14:paraId="658D8295" w14:textId="77777777" w:rsidR="00557563" w:rsidRPr="00557563" w:rsidRDefault="00557563" w:rsidP="00557563">
      <w:pPr>
        <w:spacing w:line="259" w:lineRule="auto"/>
        <w:jc w:val="both"/>
        <w:rPr>
          <w:rFonts w:eastAsiaTheme="minorHAnsi"/>
          <w:lang w:eastAsia="en-US"/>
        </w:rPr>
      </w:pPr>
    </w:p>
    <w:p w14:paraId="00D7683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97 [§ 146a ods. 2]</w:t>
      </w:r>
    </w:p>
    <w:p w14:paraId="62C50660"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Legislatívno-technická zmena, zosúladenie s nariadením </w:t>
      </w:r>
      <w:proofErr w:type="spellStart"/>
      <w:r w:rsidRPr="00557563">
        <w:rPr>
          <w:rFonts w:eastAsiaTheme="minorHAnsi"/>
          <w:lang w:eastAsia="en-US"/>
        </w:rPr>
        <w:t>ESA´s</w:t>
      </w:r>
      <w:proofErr w:type="spellEnd"/>
      <w:r w:rsidRPr="00557563">
        <w:rPr>
          <w:rFonts w:eastAsiaTheme="minorHAnsi"/>
          <w:lang w:eastAsia="en-US"/>
        </w:rPr>
        <w:t xml:space="preserve"> v nadväznosti na bod 71 (§ 79b).</w:t>
      </w:r>
    </w:p>
    <w:p w14:paraId="3B928444" w14:textId="77777777" w:rsidR="00557563" w:rsidRPr="00557563" w:rsidRDefault="00557563" w:rsidP="00557563">
      <w:pPr>
        <w:spacing w:line="259" w:lineRule="auto"/>
        <w:jc w:val="both"/>
        <w:rPr>
          <w:rFonts w:eastAsiaTheme="minorHAnsi"/>
          <w:lang w:eastAsia="en-US"/>
        </w:rPr>
      </w:pPr>
    </w:p>
    <w:p w14:paraId="7EE8FF83"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98 [§ 147 ods. 3]</w:t>
      </w:r>
    </w:p>
    <w:p w14:paraId="4B9F4A7C"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V súlade s novými </w:t>
      </w:r>
      <w:proofErr w:type="spellStart"/>
      <w:r w:rsidRPr="00557563">
        <w:rPr>
          <w:rFonts w:eastAsiaTheme="minorHAnsi"/>
          <w:lang w:eastAsia="en-US"/>
        </w:rPr>
        <w:t>prudenciálnymi</w:t>
      </w:r>
      <w:proofErr w:type="spellEnd"/>
      <w:r w:rsidRPr="00557563">
        <w:rPr>
          <w:rFonts w:eastAsiaTheme="minorHAnsi"/>
          <w:lang w:eastAsia="en-US"/>
        </w:rPr>
        <w:t xml:space="preserve"> požiadavkami kladenými na obchodníka s cennými papiermi sa vypúšťajú obsolentné ustanovenia týkajúce sa dôvodov na zavedenie nútenej správy.</w:t>
      </w:r>
    </w:p>
    <w:p w14:paraId="38F967AA" w14:textId="77777777" w:rsidR="00557563" w:rsidRPr="00557563" w:rsidRDefault="00557563" w:rsidP="00557563">
      <w:pPr>
        <w:spacing w:line="259" w:lineRule="auto"/>
        <w:jc w:val="both"/>
        <w:rPr>
          <w:rFonts w:eastAsiaTheme="minorHAnsi"/>
          <w:b/>
          <w:lang w:eastAsia="en-US"/>
        </w:rPr>
      </w:pPr>
    </w:p>
    <w:p w14:paraId="530ABED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99 [§ 156 ods. 1 písm. a) a b)]</w:t>
      </w:r>
    </w:p>
    <w:p w14:paraId="5E4764DD"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Navrhuje sa vypustiť z dôvodov na odobratie povolenia na poskytovanie investičných služieb dôvody ako pokles vlastných zdrojov obchodníka s cennými papiermi pod úroveň základného imania ako aj dôvod, keď vlastné zdroje obchodníka s cennými papiermi klesnú pod úroveň 25% jeho vlastných zdrojov a to z dôvodu prudenciálnych a </w:t>
      </w:r>
      <w:proofErr w:type="spellStart"/>
      <w:r w:rsidRPr="00557563">
        <w:rPr>
          <w:rFonts w:eastAsiaTheme="minorHAnsi"/>
          <w:lang w:eastAsia="en-US"/>
        </w:rPr>
        <w:t>dohľadových</w:t>
      </w:r>
      <w:proofErr w:type="spellEnd"/>
      <w:r w:rsidRPr="00557563">
        <w:rPr>
          <w:rFonts w:eastAsiaTheme="minorHAnsi"/>
          <w:lang w:eastAsia="en-US"/>
        </w:rPr>
        <w:t xml:space="preserve"> požiadaviek zadefinovaných smernicou IFD, ktoré majú preventívny charakter. V rámci dohľadu Národná banka Slovenska prijíma včasné opatrenia na riešenie nedostatkov v činnosti obchodníka.</w:t>
      </w:r>
    </w:p>
    <w:p w14:paraId="73F565AC" w14:textId="77777777" w:rsidR="00557563" w:rsidRPr="00557563" w:rsidRDefault="00557563" w:rsidP="00557563">
      <w:pPr>
        <w:spacing w:line="259" w:lineRule="auto"/>
        <w:jc w:val="both"/>
        <w:rPr>
          <w:rFonts w:eastAsiaTheme="minorHAnsi"/>
          <w:lang w:eastAsia="en-US"/>
        </w:rPr>
      </w:pPr>
    </w:p>
    <w:p w14:paraId="284A6D33"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100 [§ 156 ods. 2 písm. e)]</w:t>
      </w:r>
    </w:p>
    <w:p w14:paraId="4A4BFECA"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Navrhuje sa vypustiť z dôvodov na odobratie povolenia na poskytovanie investičných služieb dôvod dosiahnutia straty vo výške presahujúcej 50% základného imania v jednom roku alebo 10% v troch po sebe nasledujúcich rokoch, a to z dôvodu prudenciálnych a </w:t>
      </w:r>
      <w:proofErr w:type="spellStart"/>
      <w:r w:rsidRPr="00557563">
        <w:rPr>
          <w:rFonts w:eastAsiaTheme="minorHAnsi"/>
          <w:lang w:eastAsia="en-US"/>
        </w:rPr>
        <w:t>dohľadových</w:t>
      </w:r>
      <w:proofErr w:type="spellEnd"/>
      <w:r w:rsidRPr="00557563">
        <w:rPr>
          <w:rFonts w:eastAsiaTheme="minorHAnsi"/>
          <w:lang w:eastAsia="en-US"/>
        </w:rPr>
        <w:t xml:space="preserve"> požiadaviek zadefinovaných smernicou IFD, ktoré majú preventívny charakter. V rámci dohľadu Národná banka Slovenska prijíma včasné opatrenia na riešenie nedostatkov v činnosti obchodníka. Naviac tento dôvod limituje obchodníkov s cennými papiermi napr. pri možnej expanzii a rozvoji podnikania. </w:t>
      </w:r>
    </w:p>
    <w:p w14:paraId="607A6D3D" w14:textId="77777777" w:rsidR="00557563" w:rsidRPr="00557563" w:rsidRDefault="00557563" w:rsidP="00557563">
      <w:pPr>
        <w:spacing w:line="259" w:lineRule="auto"/>
        <w:jc w:val="both"/>
        <w:rPr>
          <w:rFonts w:eastAsiaTheme="minorHAnsi"/>
          <w:lang w:eastAsia="en-US"/>
        </w:rPr>
      </w:pPr>
    </w:p>
    <w:p w14:paraId="53BD9F8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101 [§ 156 ods. 2 písm. f)]</w:t>
      </w:r>
    </w:p>
    <w:p w14:paraId="2C9E5DE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Spresňuje sa poznámka pod čiarou k odkazu.</w:t>
      </w:r>
    </w:p>
    <w:p w14:paraId="52864369" w14:textId="77777777" w:rsidR="00557563" w:rsidRPr="00557563" w:rsidRDefault="00557563" w:rsidP="00557563">
      <w:pPr>
        <w:spacing w:line="259" w:lineRule="auto"/>
        <w:jc w:val="both"/>
        <w:rPr>
          <w:rFonts w:eastAsiaTheme="minorHAnsi"/>
          <w:lang w:eastAsia="en-US"/>
        </w:rPr>
      </w:pPr>
    </w:p>
    <w:p w14:paraId="03D4E5B8"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102 [§ 156 ods. 2 písm. h)]</w:t>
      </w:r>
    </w:p>
    <w:p w14:paraId="197D7DC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Ide o spresnenie transpozície článku 8 písm. d) smernice </w:t>
      </w:r>
      <w:proofErr w:type="spellStart"/>
      <w:r w:rsidRPr="00557563">
        <w:rPr>
          <w:rFonts w:eastAsiaTheme="minorHAnsi"/>
          <w:lang w:eastAsia="en-US"/>
        </w:rPr>
        <w:t>MiFID</w:t>
      </w:r>
      <w:proofErr w:type="spellEnd"/>
      <w:r w:rsidRPr="00557563">
        <w:rPr>
          <w:rFonts w:eastAsiaTheme="minorHAnsi"/>
          <w:lang w:eastAsia="en-US"/>
        </w:rPr>
        <w:t xml:space="preserve"> II, podľa ktorého príslušný orgán môže odňať povolenie vydané investičnej spoločnosti (v podmienkach SR obchodník s cennými papiermi), ak takáto investičná spoločnosť závažne a systematicky porušovala ustanovenia prijaté podľa tejto smernice alebo nariadenia </w:t>
      </w:r>
      <w:proofErr w:type="spellStart"/>
      <w:r w:rsidRPr="00557563">
        <w:rPr>
          <w:rFonts w:eastAsiaTheme="minorHAnsi"/>
          <w:lang w:eastAsia="en-US"/>
        </w:rPr>
        <w:t>MiFIR</w:t>
      </w:r>
      <w:proofErr w:type="spellEnd"/>
      <w:r w:rsidRPr="00557563">
        <w:rPr>
          <w:rFonts w:eastAsiaTheme="minorHAnsi"/>
          <w:lang w:eastAsia="en-US"/>
        </w:rPr>
        <w:t xml:space="preserve"> upravujúce podmienky činnosti investičných spoločností.</w:t>
      </w:r>
    </w:p>
    <w:p w14:paraId="7E4E8B56" w14:textId="77777777" w:rsidR="00557563" w:rsidRPr="00557563" w:rsidRDefault="00557563" w:rsidP="00557563">
      <w:pPr>
        <w:spacing w:line="259" w:lineRule="auto"/>
        <w:jc w:val="both"/>
        <w:rPr>
          <w:rFonts w:eastAsiaTheme="minorHAnsi"/>
          <w:lang w:eastAsia="en-US"/>
        </w:rPr>
      </w:pPr>
    </w:p>
    <w:p w14:paraId="264458D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103 [§ 156 ods. 3]</w:t>
      </w:r>
    </w:p>
    <w:p w14:paraId="271191B7"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Nakoľko sa z rozsahu smernice </w:t>
      </w:r>
      <w:proofErr w:type="spellStart"/>
      <w:r w:rsidRPr="00557563">
        <w:rPr>
          <w:rFonts w:eastAsiaTheme="minorHAnsi"/>
          <w:lang w:eastAsia="en-US"/>
        </w:rPr>
        <w:t>MiFID</w:t>
      </w:r>
      <w:proofErr w:type="spellEnd"/>
      <w:r w:rsidRPr="00557563">
        <w:rPr>
          <w:rFonts w:eastAsiaTheme="minorHAnsi"/>
          <w:lang w:eastAsia="en-US"/>
        </w:rPr>
        <w:t xml:space="preserve"> II vypúšťa udeľovanie povolení poskytovateľom služieb vykazovania údajov a výkonu ich činnosti, ako aj ustanovenia týkajúce sa</w:t>
      </w:r>
      <w:r w:rsidRPr="00557563">
        <w:rPr>
          <w:rFonts w:asciiTheme="minorHAnsi" w:eastAsiaTheme="minorHAnsi" w:hAnsiTheme="minorHAnsi" w:cstheme="minorBidi"/>
          <w:sz w:val="22"/>
          <w:szCs w:val="22"/>
          <w:lang w:eastAsia="en-US"/>
        </w:rPr>
        <w:t xml:space="preserve"> </w:t>
      </w:r>
      <w:r w:rsidRPr="00557563">
        <w:rPr>
          <w:rFonts w:eastAsiaTheme="minorHAnsi"/>
          <w:lang w:eastAsia="en-US"/>
        </w:rPr>
        <w:t>odobratia povolenia na poskytovanie služieb vykazovania údajov navrhuje sa vypustiť príslušné ustanovenie zákona.</w:t>
      </w:r>
    </w:p>
    <w:p w14:paraId="680FF03F" w14:textId="77777777" w:rsidR="00557563" w:rsidRPr="00557563" w:rsidRDefault="00557563" w:rsidP="00557563">
      <w:pPr>
        <w:spacing w:line="259" w:lineRule="auto"/>
        <w:jc w:val="both"/>
        <w:rPr>
          <w:rFonts w:eastAsiaTheme="minorHAnsi"/>
          <w:lang w:eastAsia="en-US"/>
        </w:rPr>
      </w:pPr>
    </w:p>
    <w:p w14:paraId="468087C3"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104 [§ 157 ods. 1]</w:t>
      </w:r>
    </w:p>
    <w:p w14:paraId="4BE52CBD"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lastRenderedPageBreak/>
        <w:t>Ide o transpozíciu článku 29 odsek 2 smernice IFD. Obchodník s cennými papiermi v prípade ukončenia alebo zastavenia svojej činnosti venovali pozornosť požiadavkám a potrebným zdrojom, ktoré sú realistické.</w:t>
      </w:r>
    </w:p>
    <w:p w14:paraId="31F233E4" w14:textId="77777777" w:rsidR="00557563" w:rsidRPr="00557563" w:rsidRDefault="00557563" w:rsidP="00557563">
      <w:pPr>
        <w:spacing w:line="259" w:lineRule="auto"/>
        <w:jc w:val="both"/>
        <w:rPr>
          <w:rFonts w:eastAsiaTheme="minorHAnsi"/>
          <w:b/>
          <w:lang w:eastAsia="en-US"/>
        </w:rPr>
      </w:pPr>
    </w:p>
    <w:p w14:paraId="33BD7484"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105 [§ 158 ods. 7]</w:t>
      </w:r>
    </w:p>
    <w:p w14:paraId="062BB8C2"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V nadväznosti na zmenu definície „úverovej inštitúcie“ (v podmienkach SR ide o banku) je uvedené ustanovenie </w:t>
      </w:r>
      <w:proofErr w:type="spellStart"/>
      <w:r w:rsidRPr="00557563">
        <w:rPr>
          <w:rFonts w:eastAsiaTheme="minorHAnsi"/>
          <w:lang w:eastAsia="en-US"/>
        </w:rPr>
        <w:t>obsoletné</w:t>
      </w:r>
      <w:proofErr w:type="spellEnd"/>
      <w:r w:rsidRPr="00557563">
        <w:rPr>
          <w:rFonts w:eastAsiaTheme="minorHAnsi"/>
          <w:lang w:eastAsia="en-US"/>
        </w:rPr>
        <w:t>.</w:t>
      </w:r>
    </w:p>
    <w:p w14:paraId="565BA4EB" w14:textId="77777777" w:rsidR="00557563" w:rsidRPr="00557563" w:rsidRDefault="00557563" w:rsidP="00557563">
      <w:pPr>
        <w:spacing w:line="259" w:lineRule="auto"/>
        <w:jc w:val="both"/>
        <w:rPr>
          <w:rFonts w:eastAsiaTheme="minorHAnsi"/>
          <w:lang w:eastAsia="en-US"/>
        </w:rPr>
      </w:pPr>
    </w:p>
    <w:p w14:paraId="14D2BF4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bodu 106 [§ 173 </w:t>
      </w:r>
      <w:proofErr w:type="spellStart"/>
      <w:r w:rsidRPr="00557563">
        <w:rPr>
          <w:rFonts w:eastAsiaTheme="minorHAnsi"/>
          <w:b/>
          <w:lang w:eastAsia="en-US"/>
        </w:rPr>
        <w:t>zf</w:t>
      </w:r>
      <w:proofErr w:type="spellEnd"/>
      <w:r w:rsidRPr="00557563">
        <w:rPr>
          <w:rFonts w:eastAsiaTheme="minorHAnsi"/>
          <w:b/>
          <w:lang w:eastAsia="en-US"/>
        </w:rPr>
        <w:t>]</w:t>
      </w:r>
    </w:p>
    <w:p w14:paraId="74012D48"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Spresňuje sa, že výnimka udelená obchodníkovi s cennými papiermi Národnou bankou Slovenska podľa doterajšieho § 54 ods. 12  druhej vety zaniká ku dňu účinnosti tohto zákona. Obchodníkovi s cennými papiermi so základným imaním 125 000 eur, ktorý mal povolenie na poskytovanie investičných služieb podľa doterajšieho znenia § 54 ods. 12 zostane povolenie na poskytovanie investičných služieb a bude mať voľbu buď navýšiť počiatočný kapitál na 730 000 eur (ak bude chcieť vykonávať aj pôvodné činnosti podľa § 54 ods. 12  druhá veta) alebo navýšiť počiatočný kapitál na 150 000 eur a vykonávať investičné služby v pôvodnom rozsahu (ale bez oprávnení podľa pôvodného § 54 ods. 12 druhá veta) alebo nenavýšiť počiatočný kapitál a poskytovať investičné služby podľa § 54 ods. 13 (obchodník s cennými papiermi s počiatočným kapitálom 75 000 eur). Ustanovenie sa netýka povolenia na poskytovanie investičných služieb, ktoré ostáva obchodníkovi s cennými papiermi zachované.</w:t>
      </w:r>
    </w:p>
    <w:p w14:paraId="6C331438" w14:textId="77777777" w:rsidR="00557563" w:rsidRPr="00557563" w:rsidRDefault="00557563" w:rsidP="00557563">
      <w:pPr>
        <w:spacing w:line="259" w:lineRule="auto"/>
        <w:jc w:val="both"/>
        <w:rPr>
          <w:rFonts w:eastAsiaTheme="minorHAnsi"/>
          <w:b/>
          <w:lang w:eastAsia="en-US"/>
        </w:rPr>
      </w:pPr>
    </w:p>
    <w:p w14:paraId="7E9BAC4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bodom 107 a 108 [Príloha]</w:t>
      </w:r>
    </w:p>
    <w:p w14:paraId="352D8E2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úprava názvu smernice v nadväznosti na zmeny článku 62 smernice IFD a dopĺňa sa transpozičná príloha o smernice, ktoré sa týmto návrhom zákona transponujú do slovenského právneho poriadku.</w:t>
      </w:r>
    </w:p>
    <w:p w14:paraId="2FB2CD47" w14:textId="77777777" w:rsidR="00557563" w:rsidRPr="00557563" w:rsidRDefault="00557563" w:rsidP="00557563">
      <w:pPr>
        <w:spacing w:line="259" w:lineRule="auto"/>
        <w:jc w:val="both"/>
        <w:rPr>
          <w:rFonts w:eastAsiaTheme="minorHAnsi"/>
          <w:lang w:eastAsia="en-US"/>
        </w:rPr>
      </w:pPr>
    </w:p>
    <w:p w14:paraId="7979DA3B" w14:textId="77777777" w:rsidR="00557563" w:rsidRPr="00557563" w:rsidRDefault="00557563" w:rsidP="00557563">
      <w:pPr>
        <w:spacing w:line="259" w:lineRule="auto"/>
        <w:jc w:val="both"/>
        <w:rPr>
          <w:rFonts w:eastAsiaTheme="minorHAnsi"/>
          <w:lang w:eastAsia="en-US"/>
        </w:rPr>
      </w:pPr>
    </w:p>
    <w:p w14:paraId="52B60789" w14:textId="77777777" w:rsidR="00557563" w:rsidRPr="00557563" w:rsidRDefault="00557563" w:rsidP="00557563">
      <w:pPr>
        <w:spacing w:line="259" w:lineRule="auto"/>
        <w:jc w:val="both"/>
        <w:rPr>
          <w:rFonts w:eastAsiaTheme="minorHAnsi"/>
          <w:lang w:eastAsia="en-US"/>
        </w:rPr>
      </w:pPr>
    </w:p>
    <w:p w14:paraId="2C4C0796" w14:textId="77777777" w:rsidR="00557563" w:rsidRPr="00557563" w:rsidRDefault="00557563" w:rsidP="00557563">
      <w:pPr>
        <w:spacing w:line="259" w:lineRule="auto"/>
        <w:jc w:val="both"/>
        <w:rPr>
          <w:rFonts w:eastAsiaTheme="minorHAnsi"/>
          <w:lang w:eastAsia="en-US"/>
        </w:rPr>
      </w:pPr>
    </w:p>
    <w:p w14:paraId="7BCBBFC8" w14:textId="77777777" w:rsidR="00557563" w:rsidRPr="00557563" w:rsidRDefault="00557563" w:rsidP="00557563">
      <w:pPr>
        <w:spacing w:line="259" w:lineRule="auto"/>
        <w:jc w:val="both"/>
        <w:rPr>
          <w:rFonts w:eastAsiaTheme="minorHAnsi"/>
          <w:lang w:eastAsia="en-US"/>
        </w:rPr>
      </w:pPr>
    </w:p>
    <w:p w14:paraId="528967FF" w14:textId="77777777" w:rsidR="00557563" w:rsidRPr="00557563" w:rsidRDefault="00557563" w:rsidP="00557563">
      <w:pPr>
        <w:spacing w:line="259" w:lineRule="auto"/>
        <w:jc w:val="both"/>
        <w:rPr>
          <w:rFonts w:eastAsiaTheme="minorHAnsi"/>
          <w:lang w:eastAsia="en-US"/>
        </w:rPr>
      </w:pPr>
    </w:p>
    <w:p w14:paraId="7C6783B7" w14:textId="77777777" w:rsidR="00557563" w:rsidRPr="00557563" w:rsidRDefault="00557563" w:rsidP="00557563">
      <w:pPr>
        <w:spacing w:line="259" w:lineRule="auto"/>
        <w:jc w:val="both"/>
        <w:rPr>
          <w:rFonts w:eastAsiaTheme="minorHAnsi"/>
          <w:lang w:eastAsia="en-US"/>
        </w:rPr>
      </w:pPr>
    </w:p>
    <w:p w14:paraId="2A34FAC5" w14:textId="77777777" w:rsidR="00557563" w:rsidRPr="00557563" w:rsidRDefault="00557563" w:rsidP="00557563">
      <w:pPr>
        <w:spacing w:line="259" w:lineRule="auto"/>
        <w:jc w:val="both"/>
        <w:rPr>
          <w:rFonts w:eastAsiaTheme="minorHAnsi"/>
          <w:lang w:eastAsia="en-US"/>
        </w:rPr>
      </w:pPr>
    </w:p>
    <w:p w14:paraId="4D8511A3" w14:textId="77777777" w:rsidR="00557563" w:rsidRPr="00557563" w:rsidRDefault="00557563" w:rsidP="00557563">
      <w:pPr>
        <w:spacing w:line="259" w:lineRule="auto"/>
        <w:jc w:val="both"/>
        <w:rPr>
          <w:rFonts w:eastAsiaTheme="minorHAnsi"/>
          <w:lang w:eastAsia="en-US"/>
        </w:rPr>
      </w:pPr>
    </w:p>
    <w:p w14:paraId="05026B4B" w14:textId="77777777" w:rsidR="00557563" w:rsidRPr="00557563" w:rsidRDefault="00557563" w:rsidP="00557563">
      <w:pPr>
        <w:spacing w:line="259" w:lineRule="auto"/>
        <w:jc w:val="both"/>
        <w:rPr>
          <w:rFonts w:eastAsiaTheme="minorHAnsi"/>
          <w:lang w:eastAsia="en-US"/>
        </w:rPr>
      </w:pPr>
    </w:p>
    <w:p w14:paraId="48DABDE4" w14:textId="77777777" w:rsidR="00557563" w:rsidRPr="00557563" w:rsidRDefault="00557563" w:rsidP="00557563">
      <w:pPr>
        <w:spacing w:line="259" w:lineRule="auto"/>
        <w:jc w:val="both"/>
        <w:rPr>
          <w:rFonts w:eastAsiaTheme="minorHAnsi"/>
          <w:lang w:eastAsia="en-US"/>
        </w:rPr>
      </w:pPr>
    </w:p>
    <w:p w14:paraId="0AB39CA9" w14:textId="77777777" w:rsidR="00557563" w:rsidRPr="00557563" w:rsidRDefault="00557563" w:rsidP="00557563">
      <w:pPr>
        <w:spacing w:line="259" w:lineRule="auto"/>
        <w:jc w:val="both"/>
        <w:rPr>
          <w:rFonts w:eastAsiaTheme="minorHAnsi"/>
          <w:lang w:eastAsia="en-US"/>
        </w:rPr>
      </w:pPr>
    </w:p>
    <w:p w14:paraId="278DC827" w14:textId="77777777" w:rsidR="00557563" w:rsidRPr="00557563" w:rsidRDefault="00557563" w:rsidP="00557563">
      <w:pPr>
        <w:spacing w:line="259" w:lineRule="auto"/>
        <w:jc w:val="both"/>
        <w:rPr>
          <w:rFonts w:eastAsiaTheme="minorHAnsi"/>
          <w:lang w:eastAsia="en-US"/>
        </w:rPr>
      </w:pPr>
    </w:p>
    <w:p w14:paraId="054441F5" w14:textId="77777777" w:rsidR="00557563" w:rsidRPr="00557563" w:rsidRDefault="00557563" w:rsidP="00557563">
      <w:pPr>
        <w:spacing w:line="259" w:lineRule="auto"/>
        <w:jc w:val="both"/>
        <w:rPr>
          <w:rFonts w:eastAsiaTheme="minorHAnsi"/>
          <w:lang w:eastAsia="en-US"/>
        </w:rPr>
      </w:pPr>
    </w:p>
    <w:p w14:paraId="26A319EA" w14:textId="77777777" w:rsidR="00557563" w:rsidRPr="00557563" w:rsidRDefault="00557563" w:rsidP="00557563">
      <w:pPr>
        <w:spacing w:line="259" w:lineRule="auto"/>
        <w:jc w:val="both"/>
        <w:rPr>
          <w:rFonts w:eastAsiaTheme="minorHAnsi"/>
          <w:lang w:eastAsia="en-US"/>
        </w:rPr>
      </w:pPr>
    </w:p>
    <w:p w14:paraId="5A25EB8A" w14:textId="77777777" w:rsidR="00557563" w:rsidRPr="00557563" w:rsidRDefault="00557563" w:rsidP="00557563">
      <w:pPr>
        <w:spacing w:line="259" w:lineRule="auto"/>
        <w:jc w:val="both"/>
        <w:rPr>
          <w:rFonts w:eastAsiaTheme="minorHAnsi"/>
          <w:lang w:eastAsia="en-US"/>
        </w:rPr>
      </w:pPr>
    </w:p>
    <w:p w14:paraId="7BC9FC8C" w14:textId="77777777" w:rsidR="00557563" w:rsidRPr="00557563" w:rsidRDefault="00557563" w:rsidP="00557563">
      <w:pPr>
        <w:spacing w:line="259" w:lineRule="auto"/>
        <w:jc w:val="both"/>
        <w:rPr>
          <w:rFonts w:eastAsiaTheme="minorHAnsi"/>
          <w:lang w:eastAsia="en-US"/>
        </w:rPr>
      </w:pPr>
    </w:p>
    <w:p w14:paraId="0EEA8AE3" w14:textId="77777777" w:rsidR="00557563" w:rsidRPr="00557563" w:rsidRDefault="00557563" w:rsidP="00557563">
      <w:pPr>
        <w:spacing w:line="259" w:lineRule="auto"/>
        <w:jc w:val="both"/>
        <w:rPr>
          <w:rFonts w:eastAsiaTheme="minorHAnsi"/>
          <w:lang w:eastAsia="en-US"/>
        </w:rPr>
      </w:pPr>
    </w:p>
    <w:p w14:paraId="56DEDC0A" w14:textId="77777777" w:rsidR="00557563" w:rsidRPr="00557563" w:rsidRDefault="00557563" w:rsidP="00557563">
      <w:pPr>
        <w:spacing w:line="259" w:lineRule="auto"/>
        <w:jc w:val="both"/>
        <w:rPr>
          <w:rFonts w:eastAsiaTheme="minorHAnsi"/>
          <w:lang w:eastAsia="en-US"/>
        </w:rPr>
      </w:pPr>
    </w:p>
    <w:p w14:paraId="3EAC409A" w14:textId="77777777" w:rsidR="00557563" w:rsidRPr="00557563" w:rsidRDefault="00557563" w:rsidP="00557563">
      <w:pPr>
        <w:spacing w:line="259" w:lineRule="auto"/>
        <w:jc w:val="both"/>
        <w:rPr>
          <w:rFonts w:eastAsiaTheme="minorHAnsi"/>
          <w:lang w:eastAsia="en-US"/>
        </w:rPr>
      </w:pPr>
    </w:p>
    <w:p w14:paraId="71372D08" w14:textId="77777777" w:rsidR="00557563" w:rsidRPr="00557563" w:rsidRDefault="00557563" w:rsidP="00557563">
      <w:pPr>
        <w:spacing w:line="259" w:lineRule="auto"/>
        <w:jc w:val="both"/>
        <w:rPr>
          <w:rFonts w:eastAsiaTheme="minorHAnsi"/>
          <w:lang w:eastAsia="en-US"/>
        </w:rPr>
      </w:pPr>
    </w:p>
    <w:p w14:paraId="6CC78AFB" w14:textId="77777777" w:rsidR="00557563" w:rsidRPr="00557563" w:rsidRDefault="00557563" w:rsidP="00557563">
      <w:pPr>
        <w:spacing w:line="259" w:lineRule="auto"/>
        <w:jc w:val="both"/>
        <w:rPr>
          <w:rFonts w:eastAsiaTheme="minorHAnsi"/>
          <w:lang w:eastAsia="en-US"/>
        </w:rPr>
      </w:pPr>
    </w:p>
    <w:p w14:paraId="39539F9C" w14:textId="35935013" w:rsidR="00557563" w:rsidRPr="00557563" w:rsidRDefault="00557563" w:rsidP="00557563">
      <w:pPr>
        <w:spacing w:line="259" w:lineRule="auto"/>
        <w:jc w:val="both"/>
        <w:rPr>
          <w:rFonts w:eastAsiaTheme="minorHAnsi"/>
          <w:b/>
          <w:lang w:eastAsia="en-US"/>
        </w:rPr>
      </w:pPr>
      <w:r>
        <w:rPr>
          <w:rFonts w:eastAsiaTheme="minorHAnsi"/>
          <w:b/>
          <w:lang w:eastAsia="en-US"/>
        </w:rPr>
        <w:lastRenderedPageBreak/>
        <w:t xml:space="preserve">K </w:t>
      </w:r>
      <w:r w:rsidRPr="00557563">
        <w:rPr>
          <w:rFonts w:eastAsiaTheme="minorHAnsi"/>
          <w:b/>
          <w:lang w:eastAsia="en-US"/>
        </w:rPr>
        <w:t>Čl. II – zákon č. 483/2001 Z. z. o bankách</w:t>
      </w:r>
    </w:p>
    <w:p w14:paraId="581EEBFA" w14:textId="77777777" w:rsidR="00557563" w:rsidRPr="00557563" w:rsidRDefault="00557563" w:rsidP="00557563">
      <w:pPr>
        <w:spacing w:line="259" w:lineRule="auto"/>
        <w:jc w:val="both"/>
        <w:rPr>
          <w:rFonts w:eastAsiaTheme="minorHAnsi"/>
          <w:lang w:eastAsia="en-US"/>
        </w:rPr>
      </w:pPr>
    </w:p>
    <w:p w14:paraId="354FBA86" w14:textId="77777777" w:rsidR="00557563" w:rsidRPr="00557563" w:rsidRDefault="00557563" w:rsidP="00557563">
      <w:pPr>
        <w:jc w:val="both"/>
        <w:rPr>
          <w:rFonts w:eastAsiaTheme="minorHAnsi"/>
          <w:b/>
          <w:lang w:eastAsia="en-US"/>
        </w:rPr>
      </w:pPr>
      <w:r w:rsidRPr="00557563">
        <w:rPr>
          <w:rFonts w:eastAsiaTheme="minorHAnsi"/>
          <w:b/>
          <w:lang w:eastAsia="en-US"/>
        </w:rPr>
        <w:t>K bodom 1, 14 a 15 [poznámka pod čiarou k odkazu 1ab, § 114b ods. 3 a siedmy bod prílohy]</w:t>
      </w:r>
    </w:p>
    <w:p w14:paraId="4EB38550" w14:textId="77777777" w:rsidR="00557563" w:rsidRPr="00557563" w:rsidRDefault="00557563" w:rsidP="00557563">
      <w:pPr>
        <w:jc w:val="both"/>
        <w:rPr>
          <w:rFonts w:eastAsiaTheme="minorHAnsi"/>
          <w:lang w:eastAsia="en-US"/>
        </w:rPr>
      </w:pPr>
      <w:r w:rsidRPr="00557563">
        <w:rPr>
          <w:rFonts w:eastAsiaTheme="minorHAnsi"/>
          <w:lang w:eastAsia="en-US"/>
        </w:rPr>
        <w:t>Smernica Európskeho parlamentu a Rady (EÚ) 2019/2034 o </w:t>
      </w:r>
      <w:proofErr w:type="spellStart"/>
      <w:r w:rsidRPr="00557563">
        <w:rPr>
          <w:rFonts w:eastAsiaTheme="minorHAnsi"/>
          <w:lang w:eastAsia="en-US"/>
        </w:rPr>
        <w:t>prudenciálnom</w:t>
      </w:r>
      <w:proofErr w:type="spellEnd"/>
      <w:r w:rsidRPr="00557563">
        <w:rPr>
          <w:rFonts w:eastAsiaTheme="minorHAnsi"/>
          <w:lang w:eastAsia="en-US"/>
        </w:rPr>
        <w:t xml:space="preserve"> dohľade nad investičnými spoločnosťami (IFD) okrem ďalších zmien zužuje pôsobnosť smernice Európskeho parlamentu a Rady 2013/36/EÚ o prístupe k činnosti úverových inštitúcií a </w:t>
      </w:r>
      <w:proofErr w:type="spellStart"/>
      <w:r w:rsidRPr="00557563">
        <w:rPr>
          <w:rFonts w:eastAsiaTheme="minorHAnsi"/>
          <w:lang w:eastAsia="en-US"/>
        </w:rPr>
        <w:t>prudenciálnom</w:t>
      </w:r>
      <w:proofErr w:type="spellEnd"/>
      <w:r w:rsidRPr="00557563">
        <w:rPr>
          <w:rFonts w:eastAsiaTheme="minorHAnsi"/>
          <w:lang w:eastAsia="en-US"/>
        </w:rPr>
        <w:t xml:space="preserve"> dohľade nad úverovými inštitúciami a investičnými spoločnosťami a o zmene smernice 2002/87/ES a o zrušení smerníc 2006/48/ES a 2006/49/ES. Z názvu tejto smernice sa tak po novom vypúšťa charakteristický rys, že sa vzťahuje na investičné spoločnosti. Po novom tak ide už len o smernicu o prístupe k činnostiam úverových inštitúcií a o </w:t>
      </w:r>
      <w:proofErr w:type="spellStart"/>
      <w:r w:rsidRPr="00557563">
        <w:rPr>
          <w:rFonts w:eastAsiaTheme="minorHAnsi"/>
          <w:lang w:eastAsia="en-US"/>
        </w:rPr>
        <w:t>prudenicálnom</w:t>
      </w:r>
      <w:proofErr w:type="spellEnd"/>
      <w:r w:rsidRPr="00557563">
        <w:rPr>
          <w:rFonts w:eastAsiaTheme="minorHAnsi"/>
          <w:lang w:eastAsia="en-US"/>
        </w:rPr>
        <w:t xml:space="preserve"> dohľade nad úverovými inštitúciami. Súvisiace nariadenie Európskeho parlamentu a Rady (EÚ) 2019/2033 o prudenciálnych požiadavkách na investičné spoločnosti (IFR) v rovnakom duchu mení rozsah pôsobnosti a názov pôvodného nariadenia Európskeho Parlamentu a Rady (EÚ) č. 575/2013 o prudenciálnych požiadavkách na úverové inštitúcie a investičné spoločnosti, v ktorom sa opäť zužuje pôsobnosť nariadenia (EÚ) č. 575/2013 len na úverové inštitúcie. Tieto zmeny pôsobnosti a názvu smernice 2013/36/EÚ a nariadenia (EÚ) č. 575/2013 sú zapracované do príslušných ustanovení zákona o bankách – úprava poznámky pod čiarou, § 114b ods. 3 a do transpozičnej prílohy k zákonu o bankách. </w:t>
      </w:r>
    </w:p>
    <w:p w14:paraId="580E37B6" w14:textId="77777777" w:rsidR="00557563" w:rsidRPr="00557563" w:rsidRDefault="00557563" w:rsidP="00557563">
      <w:pPr>
        <w:jc w:val="both"/>
        <w:rPr>
          <w:rFonts w:eastAsiaTheme="minorHAnsi"/>
          <w:lang w:eastAsia="en-US"/>
        </w:rPr>
      </w:pPr>
    </w:p>
    <w:p w14:paraId="347C1F4E" w14:textId="77777777" w:rsidR="00557563" w:rsidRPr="00557563" w:rsidRDefault="00557563" w:rsidP="00557563">
      <w:pPr>
        <w:jc w:val="both"/>
        <w:rPr>
          <w:rFonts w:eastAsiaTheme="minorHAnsi"/>
          <w:b/>
          <w:lang w:eastAsia="en-US"/>
        </w:rPr>
      </w:pPr>
      <w:r w:rsidRPr="00557563">
        <w:rPr>
          <w:rFonts w:eastAsiaTheme="minorHAnsi"/>
          <w:b/>
          <w:lang w:eastAsia="en-US"/>
        </w:rPr>
        <w:t>K bodu 2, 3, 4 a 9 [§ 2 ods. 2, 16 a 17, § 3 ods. 4 a § 50 ods. 7]</w:t>
      </w:r>
    </w:p>
    <w:p w14:paraId="18C9B32D" w14:textId="77777777" w:rsidR="00557563" w:rsidRPr="00557563" w:rsidRDefault="00557563" w:rsidP="00557563">
      <w:pPr>
        <w:jc w:val="both"/>
        <w:rPr>
          <w:rFonts w:eastAsiaTheme="minorHAnsi"/>
          <w:lang w:eastAsia="en-US"/>
        </w:rPr>
      </w:pPr>
      <w:r w:rsidRPr="00557563">
        <w:rPr>
          <w:rFonts w:eastAsiaTheme="minorHAnsi"/>
          <w:lang w:eastAsia="en-US"/>
        </w:rPr>
        <w:t xml:space="preserve">Na základe zmeny definície úverovej inštitúcie v nariadení (EÚ) č. 575/2013 je nutné upraviť aj definíciu banky v zákone o bankách. </w:t>
      </w:r>
      <w:r w:rsidRPr="00557563">
        <w:rPr>
          <w:lang w:eastAsia="sk-SK"/>
        </w:rPr>
        <w:t xml:space="preserve">Najväčšie investičné spoločnosti, ktoré poskytujú kľúčové služby pre veľkých klientov a služby investičného bankovníctva (obchodovanie na vlastný účet s finančnými nástrojmi alebo upisovanie finančných nástrojov alebo umiestňovanie finančných nástrojov na základe pevného záväzku), majú obchodné modely a rizikové profily, ktoré sú podobné významným úverovým inštitúciám. Ich činnosti ich vystavujú kreditnému riziku, najmä vo forme kreditného rizika protistrany, ako aj trhovému riziku pre pozície, do ktorých vstupujú na vlastný účet, a to bez ohľadu na to, či súvisia s klientom, alebo nie. Ako také predstavujú vzhľadom na svoju veľkosť a systémový význam riziko pre finančnú stabilitu. Na tieto investičné spoločnosti by sa preto malo vzhľadom na skutočnosť, že sa stanú úverovými inštitúciami, naďalej vzťahovať nariadenie (EÚ) č. 575/2013 a smernica 2013/36/EÚ a dohľad zo strany príslušných orgánov vrátane dohľadu Európskej centrálnej banky, ktorá je v rámci jednotného mechanizmu dohľadu zodpovedná za úverové inštitúcie. Tým sa zabezpečí, že </w:t>
      </w:r>
      <w:proofErr w:type="spellStart"/>
      <w:r w:rsidRPr="00557563">
        <w:rPr>
          <w:lang w:eastAsia="sk-SK"/>
        </w:rPr>
        <w:t>prudenciálny</w:t>
      </w:r>
      <w:proofErr w:type="spellEnd"/>
      <w:r w:rsidRPr="00557563">
        <w:rPr>
          <w:lang w:eastAsia="sk-SK"/>
        </w:rPr>
        <w:t xml:space="preserve"> dohľad nad úverovými inštitúciami sa vykonáva jednotným a účinným spôsobom a že jednotný súbor pravidiel pre finančné služby sa uplatňuje rovnakým spôsobom pre všetky úverové inštitúcie vzhľadom na ich systémový význam. S cieľom zabrániť regulačnej arbitráži a znížiť riziká obchádzania by sa príslušné orgány mali usilovať zabrániť situáciám, v ktorých by potenciálne systémové skupiny </w:t>
      </w:r>
      <w:proofErr w:type="spellStart"/>
      <w:r w:rsidRPr="00557563">
        <w:rPr>
          <w:lang w:eastAsia="sk-SK"/>
        </w:rPr>
        <w:t>štruktúrovali</w:t>
      </w:r>
      <w:proofErr w:type="spellEnd"/>
      <w:r w:rsidRPr="00557563">
        <w:rPr>
          <w:lang w:eastAsia="sk-SK"/>
        </w:rPr>
        <w:t xml:space="preserve"> svoje činnosti tak, aby neprekročili prahové hodnoty stanovené v článku 4 ods. 1 bode 1 písm. b) nariadenia (EÚ) č. 575/2013, a obišli tak povinnosť žiadať o povolenie ako úverová inštitúcia podľa článku 8a smernice 2013/36/EÚ.</w:t>
      </w:r>
    </w:p>
    <w:p w14:paraId="0CEB95E6" w14:textId="77777777" w:rsidR="00557563" w:rsidRPr="00557563" w:rsidRDefault="00557563" w:rsidP="00557563">
      <w:pPr>
        <w:jc w:val="both"/>
        <w:rPr>
          <w:rFonts w:eastAsiaTheme="minorHAnsi"/>
          <w:lang w:eastAsia="en-US"/>
        </w:rPr>
      </w:pPr>
      <w:r w:rsidRPr="00557563">
        <w:rPr>
          <w:rFonts w:eastAsiaTheme="minorHAnsi"/>
          <w:lang w:eastAsia="en-US"/>
        </w:rPr>
        <w:t xml:space="preserve">Na základe vyššie uvedených dôvodov o bankové povolenie bude musieť požiadať aj obchodník s cennými papiermi, ktorý spĺňa kritériá podľa čl. 4 ods. 1 bod 1 písm. b) nariadenia (EÚ) č. 575/2013 a ktorý sa tak po udelení bankového povolenia Národnou bankou Slovenska stane bankou, na ktorú sa bude vzťahovať celá smernica 2013/36/EÚ (tzn. podľa § 2 ods. 17 tie ustanovenia zákona o bankách, ktoré transponujú smernicu 2013/36/EÚ), ako aj nariadenie (EÚ) č. 575/2013. Budú tak existovať dva typy bánk. Prvým typom bude banka, ktorá bude mať v bankovej licencii povolenie na prijímanie vkladov od verejnosti a poskytovanie úverov z týchto návratných zdrojov. Druhým novým typom banky bude banka, ktorá bude spĺňať </w:t>
      </w:r>
      <w:r w:rsidRPr="00557563">
        <w:rPr>
          <w:rFonts w:eastAsiaTheme="minorHAnsi"/>
          <w:lang w:eastAsia="en-US"/>
        </w:rPr>
        <w:lastRenderedPageBreak/>
        <w:t>požiadavky, ktoré sú uvedené v čl. 4 ods. 1 bod 1 písm. b) nariadenia (EÚ) č. 575/2013, pričom táto banka môže, ale nemusí mať v bankovom povolení prijímanie vkladov od verejnosti a poskytovanie úverov. V súlade so zámerom nariadenia (EÚ) č. 575/2013 tak prijímanie vkladov od verejnosti a poskytovanie úverov už nebude nevyhnutnou požiadavkou, aby sa spoločnosť považovala za banku. Naďalej zostáva definičným znakom banky držba bankovej licencie, právna forma akciovej spoločnosti a sídlo v Slovenskej republike.</w:t>
      </w:r>
    </w:p>
    <w:p w14:paraId="44E25625" w14:textId="77777777" w:rsidR="00557563" w:rsidRPr="00557563" w:rsidRDefault="00557563" w:rsidP="00557563">
      <w:pPr>
        <w:jc w:val="both"/>
        <w:rPr>
          <w:rFonts w:eastAsiaTheme="minorHAnsi"/>
          <w:lang w:eastAsia="en-US"/>
        </w:rPr>
      </w:pPr>
      <w:r w:rsidRPr="00557563">
        <w:rPr>
          <w:rFonts w:eastAsiaTheme="minorHAnsi"/>
          <w:lang w:eastAsia="en-US"/>
        </w:rPr>
        <w:t>V tejto súvislosti sa dopĺňa nový odsek 16, ktorým sa upravuje nové označenie „investičná banka“ pre banku, ktorá spĺňa podmienky podľa čl. 4 ods. 1 bod 1 písm. b) nariadenia (EÚ) č. 575/2013 a má bankové povolenie len na poskytovanie investičných služieb, investičných činností a vedľajších služieb podľa § 6 zákona č. 566/2001 Z. z. o cenných papieroch. Zároveň sa upravuje ochrana názvu „investičná banka“. Čo sa týka zapisovania označenia „investičná banka“ alebo jeho prekladu ako súčasti obchodného mena do obchodného registra, príslušný registrový súd pri vybavovaní takéhoto návrhu na zápis v rozsahu údajov o obchodnom mene nevykonáva preventívnu materiálnu kontrolu. V prípade, ak dôjde k neoprávnenému používaniu označenia „investičná banka“ v obchodnom mene, Národná banka Slovenska môže takejto osobe uložiť opatrenie na odstránenie a nápravu protiprávneho stavu a pokutu podľa novelizovaného ustanovenia § 50 ods. 7.</w:t>
      </w:r>
    </w:p>
    <w:p w14:paraId="3A0FAF1F" w14:textId="77777777" w:rsidR="00557563" w:rsidRPr="00557563" w:rsidRDefault="00557563" w:rsidP="00557563">
      <w:pPr>
        <w:jc w:val="both"/>
        <w:rPr>
          <w:rFonts w:eastAsiaTheme="minorHAnsi"/>
          <w:lang w:eastAsia="en-US"/>
        </w:rPr>
      </w:pPr>
      <w:r w:rsidRPr="00557563">
        <w:rPr>
          <w:rFonts w:eastAsiaTheme="minorHAnsi"/>
          <w:lang w:eastAsia="en-US"/>
        </w:rPr>
        <w:t xml:space="preserve">Doplnením nového odseku do § 3 sa ustanovuje, že bez </w:t>
      </w:r>
      <w:r w:rsidRPr="00557563">
        <w:rPr>
          <w:rFonts w:eastAsiaTheme="minorEastAsia"/>
          <w:lang w:eastAsia="en-US"/>
        </w:rPr>
        <w:t xml:space="preserve">bankového povolenia nemôže nikto poskytovať investičné služby, investičné činnosti a vedľajšie služby podľa § 6 zákona o cenných papieroch, ak zároveň spĺňa podmienky podľa čl. 4 ods. 1 bod 1 písm. b) nariadenia 2013/575/EÚ. </w:t>
      </w:r>
    </w:p>
    <w:p w14:paraId="06BDFE66" w14:textId="77777777" w:rsidR="00557563" w:rsidRPr="00557563" w:rsidRDefault="00557563" w:rsidP="00557563">
      <w:pPr>
        <w:jc w:val="both"/>
        <w:rPr>
          <w:rFonts w:eastAsiaTheme="minorHAnsi"/>
          <w:lang w:eastAsia="en-US"/>
        </w:rPr>
      </w:pPr>
    </w:p>
    <w:p w14:paraId="41D54321" w14:textId="77777777" w:rsidR="00557563" w:rsidRPr="00557563" w:rsidRDefault="00557563" w:rsidP="00557563">
      <w:pPr>
        <w:jc w:val="both"/>
        <w:rPr>
          <w:rFonts w:eastAsiaTheme="minorHAnsi"/>
          <w:b/>
          <w:lang w:eastAsia="en-US"/>
        </w:rPr>
      </w:pPr>
      <w:r w:rsidRPr="00557563">
        <w:rPr>
          <w:rFonts w:eastAsiaTheme="minorHAnsi"/>
          <w:b/>
          <w:lang w:eastAsia="en-US"/>
        </w:rPr>
        <w:t>K bodu 5 [§ 7b]</w:t>
      </w:r>
    </w:p>
    <w:p w14:paraId="2D7D2C0C" w14:textId="77777777" w:rsidR="00557563" w:rsidRPr="00557563" w:rsidRDefault="00557563" w:rsidP="00557563">
      <w:pPr>
        <w:jc w:val="both"/>
        <w:rPr>
          <w:rFonts w:eastAsiaTheme="minorHAnsi"/>
          <w:lang w:eastAsia="en-US"/>
        </w:rPr>
      </w:pPr>
      <w:r w:rsidRPr="00557563">
        <w:rPr>
          <w:rFonts w:eastAsiaTheme="minorHAnsi"/>
          <w:lang w:eastAsia="en-US"/>
        </w:rPr>
        <w:t>Ide o transpozíciu čl. 8a smernice 2013/36/EÚ. Upravuje sa situácia, ak obchodník s cennými papiermi prekročí hranicu 30 mld. eur a musí požiadať o udelenie bankového povolenia podľa § 7. Počas doby rozhodovania o žiadosti o bankové povolenie podľa § 7 môže tento obchodník s cennými papiermi oprávnene podnikať podľa svojej platnej licencie na vykonávanie investičných činností. Odsek 3 upravuje situáciu, kedy obchodníkovi s cennými papiermi z dôvodu dlhodobého zníženia jeho celkových aktív pod 30 mld. eur bolo Národnou bankou Slovenska odobraté bankové povolenie podľa § 63 ods. 1 písm. h), avšak tento obchodník s cennými papiermi opätovne prekročil svojimi celkovými aktívami hranicu 30 mld. eur a je povinný opätovne žiadať o bankovú licenciu. V takomto prípade Národná banka Slovenska zabezpečí, aby konanie o udelení takéhoto opätovného bankového povolenia bolo čo najjednoduchšie a aby sa zohľadnili všetky informácie a doklady prikladané k žiadosti o udelenie predchádzajúceho bankového povolenia, ak sú použiteľné na udelenie takéhoto povolenia.</w:t>
      </w:r>
    </w:p>
    <w:p w14:paraId="360F80C8" w14:textId="77777777" w:rsidR="00557563" w:rsidRPr="00557563" w:rsidRDefault="00557563" w:rsidP="00557563">
      <w:pPr>
        <w:jc w:val="both"/>
        <w:rPr>
          <w:rFonts w:eastAsiaTheme="minorHAnsi"/>
          <w:lang w:eastAsia="en-US"/>
        </w:rPr>
      </w:pPr>
    </w:p>
    <w:p w14:paraId="0BCC49E2" w14:textId="77777777" w:rsidR="00557563" w:rsidRPr="00557563" w:rsidRDefault="00557563" w:rsidP="00557563">
      <w:pPr>
        <w:jc w:val="both"/>
        <w:rPr>
          <w:rFonts w:eastAsiaTheme="minorHAnsi"/>
          <w:b/>
          <w:lang w:eastAsia="en-US"/>
        </w:rPr>
      </w:pPr>
      <w:r w:rsidRPr="00557563">
        <w:rPr>
          <w:rFonts w:eastAsiaTheme="minorHAnsi"/>
          <w:b/>
          <w:lang w:eastAsia="en-US"/>
        </w:rPr>
        <w:t>K bodu 6 [§ 20c ods. 8]</w:t>
      </w:r>
    </w:p>
    <w:p w14:paraId="373B12AF" w14:textId="77777777" w:rsidR="00557563" w:rsidRPr="00557563" w:rsidRDefault="00557563" w:rsidP="00557563">
      <w:pPr>
        <w:jc w:val="both"/>
        <w:rPr>
          <w:rFonts w:eastAsiaTheme="minorHAnsi"/>
          <w:lang w:eastAsia="en-US"/>
        </w:rPr>
      </w:pPr>
      <w:r w:rsidRPr="00557563">
        <w:rPr>
          <w:rFonts w:eastAsiaTheme="minorHAnsi"/>
          <w:lang w:eastAsia="en-US"/>
        </w:rPr>
        <w:t>Ide o transpozíciu čl. 62 bod 9 IFD (novelizovaný čl. 21a ods. 5 písm. b) smernice 2013/36/EÚ) v súčinnosti so zmenami v čl. 4 ods. 1 bod 3 nariadenia (EÚ) č. 575/2013.</w:t>
      </w:r>
    </w:p>
    <w:p w14:paraId="70488429" w14:textId="77777777" w:rsidR="00557563" w:rsidRPr="00557563" w:rsidRDefault="00557563" w:rsidP="00557563">
      <w:pPr>
        <w:jc w:val="both"/>
        <w:rPr>
          <w:rFonts w:eastAsiaTheme="minorHAnsi"/>
          <w:lang w:eastAsia="en-US"/>
        </w:rPr>
      </w:pPr>
    </w:p>
    <w:p w14:paraId="290308C4" w14:textId="77777777" w:rsidR="00557563" w:rsidRPr="00557563" w:rsidRDefault="00557563" w:rsidP="00557563">
      <w:pPr>
        <w:jc w:val="both"/>
        <w:rPr>
          <w:rFonts w:eastAsiaTheme="minorHAnsi"/>
          <w:b/>
          <w:lang w:eastAsia="en-US"/>
        </w:rPr>
      </w:pPr>
      <w:r w:rsidRPr="00557563">
        <w:rPr>
          <w:rFonts w:eastAsiaTheme="minorHAnsi"/>
          <w:b/>
          <w:lang w:eastAsia="en-US"/>
        </w:rPr>
        <w:t>K bodu 7 [§ 33e ods. 3]</w:t>
      </w:r>
    </w:p>
    <w:p w14:paraId="74740205" w14:textId="77777777" w:rsidR="00557563" w:rsidRPr="00557563" w:rsidRDefault="00557563" w:rsidP="00557563">
      <w:pPr>
        <w:jc w:val="both"/>
        <w:rPr>
          <w:rFonts w:eastAsiaTheme="minorHAnsi"/>
          <w:lang w:eastAsia="en-US"/>
        </w:rPr>
      </w:pPr>
      <w:r w:rsidRPr="00557563">
        <w:rPr>
          <w:rFonts w:eastAsiaTheme="minorHAnsi"/>
          <w:lang w:eastAsia="en-US"/>
        </w:rPr>
        <w:t>Z dôvodu predchádzania aplikačných problémov sa v súlade s čl. 133 ods. 7 smernice 2013/36/EÚ precizuje ustanovenie týkajúce sa určovania vankúša na krytie systémového rizika.</w:t>
      </w:r>
    </w:p>
    <w:p w14:paraId="217E6A36" w14:textId="77777777" w:rsidR="00557563" w:rsidRPr="00557563" w:rsidRDefault="00557563" w:rsidP="00557563">
      <w:pPr>
        <w:jc w:val="both"/>
        <w:rPr>
          <w:rFonts w:eastAsiaTheme="minorHAnsi"/>
          <w:lang w:eastAsia="en-US"/>
        </w:rPr>
      </w:pPr>
    </w:p>
    <w:p w14:paraId="09BD5EC8" w14:textId="77777777" w:rsidR="00557563" w:rsidRPr="00557563" w:rsidRDefault="00557563" w:rsidP="00557563">
      <w:pPr>
        <w:keepNext/>
        <w:jc w:val="both"/>
        <w:rPr>
          <w:rFonts w:eastAsiaTheme="minorHAnsi"/>
          <w:b/>
          <w:lang w:eastAsia="en-US"/>
        </w:rPr>
      </w:pPr>
      <w:r w:rsidRPr="00557563">
        <w:rPr>
          <w:rFonts w:eastAsiaTheme="minorHAnsi"/>
          <w:b/>
          <w:lang w:eastAsia="en-US"/>
        </w:rPr>
        <w:t>K bodu 8 [§ 33g ods. 1]</w:t>
      </w:r>
    </w:p>
    <w:p w14:paraId="40E9C4DF" w14:textId="77777777" w:rsidR="00557563" w:rsidRPr="00557563" w:rsidRDefault="00557563" w:rsidP="00557563">
      <w:pPr>
        <w:keepNext/>
        <w:jc w:val="both"/>
        <w:rPr>
          <w:rFonts w:eastAsiaTheme="minorHAnsi"/>
          <w:lang w:eastAsia="en-US"/>
        </w:rPr>
      </w:pPr>
      <w:r w:rsidRPr="00557563">
        <w:rPr>
          <w:rFonts w:eastAsiaTheme="minorHAnsi"/>
          <w:lang w:eastAsia="en-US"/>
        </w:rPr>
        <w:t xml:space="preserve">Z dôvodu predchádzania aplikačných problémov sa v súlade s čl. 136 ods. 3 smernice 2013/36/EÚ precizuje ustanovenie týkajúce sa štvrťročného posudzovania miery cyklického systémového rizika a primeranosti miery </w:t>
      </w:r>
      <w:proofErr w:type="spellStart"/>
      <w:r w:rsidRPr="00557563">
        <w:rPr>
          <w:rFonts w:eastAsiaTheme="minorHAnsi"/>
          <w:lang w:eastAsia="en-US"/>
        </w:rPr>
        <w:t>proticyklického</w:t>
      </w:r>
      <w:proofErr w:type="spellEnd"/>
      <w:r w:rsidRPr="00557563">
        <w:rPr>
          <w:rFonts w:eastAsiaTheme="minorHAnsi"/>
          <w:lang w:eastAsia="en-US"/>
        </w:rPr>
        <w:t xml:space="preserve"> kapitálového vankúša. Na základe </w:t>
      </w:r>
      <w:r w:rsidRPr="00557563">
        <w:rPr>
          <w:rFonts w:eastAsiaTheme="minorHAnsi"/>
          <w:lang w:eastAsia="en-US"/>
        </w:rPr>
        <w:lastRenderedPageBreak/>
        <w:t xml:space="preserve">tohto posúdenia a podľa potreby Národná banka Slovenska stanoví mieru </w:t>
      </w:r>
      <w:proofErr w:type="spellStart"/>
      <w:r w:rsidRPr="00557563">
        <w:rPr>
          <w:rFonts w:eastAsiaTheme="minorHAnsi"/>
          <w:lang w:eastAsia="en-US"/>
        </w:rPr>
        <w:t>proticyklického</w:t>
      </w:r>
      <w:proofErr w:type="spellEnd"/>
      <w:r w:rsidRPr="00557563">
        <w:rPr>
          <w:rFonts w:eastAsiaTheme="minorHAnsi"/>
          <w:lang w:eastAsia="en-US"/>
        </w:rPr>
        <w:t xml:space="preserve"> kapitálového vankúša.</w:t>
      </w:r>
    </w:p>
    <w:p w14:paraId="63326AEA" w14:textId="77777777" w:rsidR="00557563" w:rsidRPr="00557563" w:rsidRDefault="00557563" w:rsidP="00557563">
      <w:pPr>
        <w:jc w:val="both"/>
        <w:rPr>
          <w:rFonts w:eastAsiaTheme="minorHAnsi"/>
          <w:lang w:eastAsia="en-US"/>
        </w:rPr>
      </w:pPr>
    </w:p>
    <w:p w14:paraId="203C6CED" w14:textId="77777777" w:rsidR="00557563" w:rsidRPr="00557563" w:rsidRDefault="00557563" w:rsidP="00557563">
      <w:pPr>
        <w:jc w:val="both"/>
        <w:rPr>
          <w:rFonts w:eastAsiaTheme="minorHAnsi"/>
          <w:lang w:eastAsia="en-US"/>
        </w:rPr>
      </w:pPr>
    </w:p>
    <w:p w14:paraId="492B7260" w14:textId="77777777" w:rsidR="00557563" w:rsidRPr="00557563" w:rsidRDefault="00557563" w:rsidP="00557563">
      <w:pPr>
        <w:keepNext/>
        <w:jc w:val="both"/>
        <w:rPr>
          <w:rFonts w:eastAsiaTheme="minorHAnsi"/>
          <w:b/>
          <w:lang w:eastAsia="en-US"/>
        </w:rPr>
      </w:pPr>
      <w:r w:rsidRPr="00557563">
        <w:rPr>
          <w:rFonts w:eastAsiaTheme="minorHAnsi"/>
          <w:b/>
          <w:lang w:eastAsia="en-US"/>
        </w:rPr>
        <w:t>K bodom 10 a 11 [§ 50 ods. 8 a 23)]</w:t>
      </w:r>
    </w:p>
    <w:p w14:paraId="22CFA225" w14:textId="77777777" w:rsidR="00557563" w:rsidRPr="00557563" w:rsidRDefault="00557563" w:rsidP="00557563">
      <w:pPr>
        <w:keepNext/>
        <w:jc w:val="both"/>
        <w:rPr>
          <w:rFonts w:eastAsiaTheme="minorHAnsi"/>
          <w:lang w:eastAsia="en-US"/>
        </w:rPr>
      </w:pPr>
      <w:r w:rsidRPr="00557563">
        <w:rPr>
          <w:rFonts w:eastAsiaTheme="minorHAnsi"/>
          <w:lang w:eastAsia="en-US"/>
        </w:rPr>
        <w:t xml:space="preserve">Legislatívno-technické zmeny v odseku 8 súvisia s doplnením odseku 23, ktorý je transpozíciou čl. 62 bod 13 IFD (nový čl. 66 ods. 1 písm. </w:t>
      </w:r>
      <w:proofErr w:type="spellStart"/>
      <w:r w:rsidRPr="00557563">
        <w:rPr>
          <w:rFonts w:eastAsiaTheme="minorHAnsi"/>
          <w:lang w:eastAsia="en-US"/>
        </w:rPr>
        <w:t>aa</w:t>
      </w:r>
      <w:proofErr w:type="spellEnd"/>
      <w:r w:rsidRPr="00557563">
        <w:rPr>
          <w:rFonts w:eastAsiaTheme="minorHAnsi"/>
          <w:lang w:eastAsia="en-US"/>
        </w:rPr>
        <w:t xml:space="preserve">) smernice 2013/26/EÚ) a umožňuje sa ním Národnej banke Slovenska uložiť nápravné opatrenia a sankcie pre obchodníka s cennými papiermi, ktorý spĺňa kritériá podľa čl. 4 ods. 1 bod 1 písm. b) nariadenia (EÚ) č. 575/2013, dosiahol prahovú hodnotu 30 mld. eur a nepodal žiadosť o bankové povolenie. </w:t>
      </w:r>
    </w:p>
    <w:p w14:paraId="128C340B" w14:textId="77777777" w:rsidR="00557563" w:rsidRPr="00557563" w:rsidRDefault="00557563" w:rsidP="00557563">
      <w:pPr>
        <w:jc w:val="both"/>
        <w:rPr>
          <w:rFonts w:eastAsiaTheme="minorHAnsi"/>
          <w:lang w:eastAsia="en-US"/>
        </w:rPr>
      </w:pPr>
    </w:p>
    <w:p w14:paraId="27B5523B" w14:textId="77777777" w:rsidR="00557563" w:rsidRPr="00557563" w:rsidRDefault="00557563" w:rsidP="00557563">
      <w:pPr>
        <w:jc w:val="both"/>
        <w:rPr>
          <w:rFonts w:eastAsiaTheme="minorHAnsi"/>
          <w:b/>
          <w:lang w:eastAsia="en-US"/>
        </w:rPr>
      </w:pPr>
      <w:r w:rsidRPr="00557563">
        <w:rPr>
          <w:rFonts w:eastAsiaTheme="minorHAnsi"/>
          <w:b/>
          <w:lang w:eastAsia="en-US"/>
        </w:rPr>
        <w:t>K bodu 12 [§ 63 ods. 1 písm. c)]</w:t>
      </w:r>
    </w:p>
    <w:p w14:paraId="722058CE" w14:textId="77777777" w:rsidR="00557563" w:rsidRPr="00557563" w:rsidRDefault="00557563" w:rsidP="00557563">
      <w:pPr>
        <w:jc w:val="both"/>
        <w:rPr>
          <w:rFonts w:eastAsiaTheme="minorHAnsi"/>
          <w:lang w:eastAsia="en-US"/>
        </w:rPr>
      </w:pPr>
      <w:r w:rsidRPr="00557563">
        <w:rPr>
          <w:rFonts w:eastAsiaTheme="minorHAnsi"/>
          <w:lang w:eastAsia="en-US"/>
        </w:rPr>
        <w:t>Legislatívno-technická úprava súvisiaca so zmenami úvodnej vety v § 2 ods. 2 zákona o bankách.</w:t>
      </w:r>
    </w:p>
    <w:p w14:paraId="5DFBB997" w14:textId="77777777" w:rsidR="00557563" w:rsidRPr="00557563" w:rsidRDefault="00557563" w:rsidP="00557563">
      <w:pPr>
        <w:jc w:val="both"/>
        <w:rPr>
          <w:rFonts w:eastAsiaTheme="minorHAnsi"/>
          <w:lang w:eastAsia="en-US"/>
        </w:rPr>
      </w:pPr>
    </w:p>
    <w:p w14:paraId="1D0BBF48" w14:textId="77777777" w:rsidR="00557563" w:rsidRPr="00557563" w:rsidRDefault="00557563" w:rsidP="00557563">
      <w:pPr>
        <w:jc w:val="both"/>
        <w:rPr>
          <w:rFonts w:eastAsiaTheme="minorHAnsi"/>
          <w:b/>
          <w:lang w:eastAsia="en-US"/>
        </w:rPr>
      </w:pPr>
      <w:r w:rsidRPr="00557563">
        <w:rPr>
          <w:rFonts w:eastAsiaTheme="minorHAnsi"/>
          <w:b/>
          <w:lang w:eastAsia="en-US"/>
        </w:rPr>
        <w:t>K bodu 13 [§ 63 ods. 1 písm. h)]</w:t>
      </w:r>
    </w:p>
    <w:p w14:paraId="66B5F66F" w14:textId="77777777" w:rsidR="00557563" w:rsidRPr="00557563" w:rsidRDefault="00557563" w:rsidP="00557563">
      <w:pPr>
        <w:jc w:val="both"/>
        <w:rPr>
          <w:rFonts w:eastAsiaTheme="minorHAnsi"/>
          <w:lang w:eastAsia="en-US"/>
        </w:rPr>
      </w:pPr>
      <w:r w:rsidRPr="00557563">
        <w:rPr>
          <w:rFonts w:eastAsiaTheme="minorHAnsi"/>
          <w:lang w:eastAsia="en-US"/>
        </w:rPr>
        <w:t xml:space="preserve">Ide o transpozíciu čl. 62 bod 7 IFD (čl. 18 nové písmeno </w:t>
      </w:r>
      <w:proofErr w:type="spellStart"/>
      <w:r w:rsidRPr="00557563">
        <w:rPr>
          <w:rFonts w:eastAsiaTheme="minorHAnsi"/>
          <w:lang w:eastAsia="en-US"/>
        </w:rPr>
        <w:t>aa</w:t>
      </w:r>
      <w:proofErr w:type="spellEnd"/>
      <w:r w:rsidRPr="00557563">
        <w:rPr>
          <w:rFonts w:eastAsiaTheme="minorHAnsi"/>
          <w:lang w:eastAsia="en-US"/>
        </w:rPr>
        <w:t xml:space="preserve">) smernice 2013/36/EÚ). Dopĺňa sa nový dôvod na odobratie bankového povolenia, ktorým je neplnenie definičného znaku, t. j. pokles výšky aktív pod prahovú hodnotu uvedenú v nariadení (EÚ) č. 575/2013 za obdobie piatich po sebe nasledujúcich rokov. </w:t>
      </w:r>
    </w:p>
    <w:p w14:paraId="6DBBF2E3" w14:textId="77777777" w:rsidR="00557563" w:rsidRPr="00557563" w:rsidRDefault="00557563" w:rsidP="00557563">
      <w:pPr>
        <w:jc w:val="both"/>
        <w:rPr>
          <w:rFonts w:eastAsiaTheme="minorHAnsi"/>
          <w:lang w:eastAsia="en-US"/>
        </w:rPr>
      </w:pPr>
    </w:p>
    <w:p w14:paraId="5E61E440" w14:textId="77777777" w:rsidR="00557563" w:rsidRPr="00557563" w:rsidRDefault="00557563" w:rsidP="00557563">
      <w:pPr>
        <w:jc w:val="both"/>
        <w:rPr>
          <w:rFonts w:eastAsiaTheme="minorHAnsi"/>
          <w:b/>
          <w:lang w:eastAsia="en-US"/>
        </w:rPr>
      </w:pPr>
      <w:r w:rsidRPr="00557563">
        <w:rPr>
          <w:rFonts w:eastAsiaTheme="minorHAnsi"/>
          <w:b/>
          <w:lang w:eastAsia="en-US"/>
        </w:rPr>
        <w:t>K bodu 16 [deviaty bod prílohy]</w:t>
      </w:r>
    </w:p>
    <w:p w14:paraId="6C7E59C4" w14:textId="77777777" w:rsidR="00557563" w:rsidRPr="00557563" w:rsidRDefault="00557563" w:rsidP="00557563">
      <w:pPr>
        <w:jc w:val="both"/>
        <w:rPr>
          <w:rFonts w:eastAsiaTheme="minorHAnsi"/>
          <w:lang w:eastAsia="en-US"/>
        </w:rPr>
      </w:pPr>
      <w:r w:rsidRPr="00557563">
        <w:rPr>
          <w:rFonts w:eastAsiaTheme="minorHAnsi"/>
          <w:lang w:eastAsia="en-US"/>
        </w:rPr>
        <w:t xml:space="preserve">Dopĺňa sa transpozičná príloha o smernicu, ktorá bola transponovaná do zákona o bankách. </w:t>
      </w:r>
    </w:p>
    <w:p w14:paraId="4646B155" w14:textId="77777777" w:rsidR="00557563" w:rsidRPr="00557563" w:rsidRDefault="00557563" w:rsidP="00557563">
      <w:pPr>
        <w:jc w:val="both"/>
        <w:rPr>
          <w:rFonts w:eastAsiaTheme="minorHAnsi"/>
          <w:lang w:eastAsia="en-US"/>
        </w:rPr>
      </w:pPr>
    </w:p>
    <w:p w14:paraId="210DF0E8" w14:textId="77777777" w:rsidR="00557563" w:rsidRPr="00557563" w:rsidRDefault="00557563" w:rsidP="00557563">
      <w:pPr>
        <w:spacing w:line="259" w:lineRule="auto"/>
        <w:jc w:val="both"/>
        <w:rPr>
          <w:rFonts w:eastAsiaTheme="minorHAnsi"/>
          <w:lang w:eastAsia="en-US"/>
        </w:rPr>
      </w:pPr>
    </w:p>
    <w:p w14:paraId="2EDFC4C1" w14:textId="77777777" w:rsidR="00557563" w:rsidRPr="00557563" w:rsidRDefault="00557563" w:rsidP="00557563">
      <w:pPr>
        <w:spacing w:line="259" w:lineRule="auto"/>
        <w:jc w:val="both"/>
        <w:rPr>
          <w:rFonts w:eastAsiaTheme="minorHAnsi"/>
          <w:lang w:eastAsia="en-US"/>
        </w:rPr>
      </w:pPr>
    </w:p>
    <w:p w14:paraId="598BFD19" w14:textId="77777777" w:rsidR="00557563" w:rsidRPr="00557563" w:rsidRDefault="00557563" w:rsidP="00557563">
      <w:pPr>
        <w:spacing w:line="259" w:lineRule="auto"/>
        <w:jc w:val="both"/>
        <w:rPr>
          <w:rFonts w:eastAsiaTheme="minorHAnsi"/>
          <w:lang w:eastAsia="en-US"/>
        </w:rPr>
      </w:pPr>
    </w:p>
    <w:p w14:paraId="6A7991E1" w14:textId="77777777" w:rsidR="00557563" w:rsidRPr="00557563" w:rsidRDefault="00557563" w:rsidP="00557563">
      <w:pPr>
        <w:spacing w:line="259" w:lineRule="auto"/>
        <w:jc w:val="both"/>
        <w:rPr>
          <w:rFonts w:eastAsiaTheme="minorHAnsi"/>
          <w:lang w:eastAsia="en-US"/>
        </w:rPr>
      </w:pPr>
    </w:p>
    <w:p w14:paraId="54DE50DC" w14:textId="77777777" w:rsidR="00557563" w:rsidRPr="00557563" w:rsidRDefault="00557563" w:rsidP="00557563">
      <w:pPr>
        <w:spacing w:line="259" w:lineRule="auto"/>
        <w:jc w:val="both"/>
        <w:rPr>
          <w:rFonts w:eastAsiaTheme="minorHAnsi"/>
          <w:lang w:eastAsia="en-US"/>
        </w:rPr>
      </w:pPr>
    </w:p>
    <w:p w14:paraId="6FD0E5E1" w14:textId="77777777" w:rsidR="00557563" w:rsidRPr="00557563" w:rsidRDefault="00557563" w:rsidP="00557563">
      <w:pPr>
        <w:spacing w:line="259" w:lineRule="auto"/>
        <w:jc w:val="both"/>
        <w:rPr>
          <w:rFonts w:eastAsiaTheme="minorHAnsi"/>
          <w:lang w:eastAsia="en-US"/>
        </w:rPr>
      </w:pPr>
    </w:p>
    <w:p w14:paraId="3C0FE066" w14:textId="77777777" w:rsidR="00557563" w:rsidRPr="00557563" w:rsidRDefault="00557563" w:rsidP="00557563">
      <w:pPr>
        <w:spacing w:line="259" w:lineRule="auto"/>
        <w:jc w:val="both"/>
        <w:rPr>
          <w:rFonts w:eastAsiaTheme="minorHAnsi"/>
          <w:lang w:eastAsia="en-US"/>
        </w:rPr>
      </w:pPr>
    </w:p>
    <w:p w14:paraId="4820860A" w14:textId="77777777" w:rsidR="00557563" w:rsidRPr="00557563" w:rsidRDefault="00557563" w:rsidP="00557563">
      <w:pPr>
        <w:spacing w:line="259" w:lineRule="auto"/>
        <w:jc w:val="both"/>
        <w:rPr>
          <w:rFonts w:eastAsiaTheme="minorHAnsi"/>
          <w:lang w:eastAsia="en-US"/>
        </w:rPr>
      </w:pPr>
    </w:p>
    <w:p w14:paraId="22C3176F" w14:textId="77777777" w:rsidR="00557563" w:rsidRPr="00557563" w:rsidRDefault="00557563" w:rsidP="00557563">
      <w:pPr>
        <w:spacing w:line="259" w:lineRule="auto"/>
        <w:jc w:val="both"/>
        <w:rPr>
          <w:rFonts w:eastAsiaTheme="minorHAnsi"/>
          <w:lang w:eastAsia="en-US"/>
        </w:rPr>
      </w:pPr>
    </w:p>
    <w:p w14:paraId="3166C315" w14:textId="77777777" w:rsidR="00557563" w:rsidRPr="00557563" w:rsidRDefault="00557563" w:rsidP="00557563">
      <w:pPr>
        <w:spacing w:line="259" w:lineRule="auto"/>
        <w:jc w:val="both"/>
        <w:rPr>
          <w:rFonts w:eastAsiaTheme="minorHAnsi"/>
          <w:lang w:eastAsia="en-US"/>
        </w:rPr>
      </w:pPr>
    </w:p>
    <w:p w14:paraId="4E56DA97" w14:textId="77777777" w:rsidR="00557563" w:rsidRPr="00557563" w:rsidRDefault="00557563" w:rsidP="00557563">
      <w:pPr>
        <w:spacing w:line="259" w:lineRule="auto"/>
        <w:jc w:val="both"/>
        <w:rPr>
          <w:rFonts w:eastAsiaTheme="minorHAnsi"/>
          <w:lang w:eastAsia="en-US"/>
        </w:rPr>
      </w:pPr>
    </w:p>
    <w:p w14:paraId="750CA426" w14:textId="77777777" w:rsidR="00557563" w:rsidRPr="00557563" w:rsidRDefault="00557563" w:rsidP="00557563">
      <w:pPr>
        <w:spacing w:line="259" w:lineRule="auto"/>
        <w:jc w:val="both"/>
        <w:rPr>
          <w:rFonts w:eastAsiaTheme="minorHAnsi"/>
          <w:lang w:eastAsia="en-US"/>
        </w:rPr>
      </w:pPr>
    </w:p>
    <w:p w14:paraId="01024915" w14:textId="77777777" w:rsidR="00557563" w:rsidRPr="00557563" w:rsidRDefault="00557563" w:rsidP="00557563">
      <w:pPr>
        <w:spacing w:line="259" w:lineRule="auto"/>
        <w:jc w:val="both"/>
        <w:rPr>
          <w:rFonts w:eastAsiaTheme="minorHAnsi"/>
          <w:lang w:eastAsia="en-US"/>
        </w:rPr>
      </w:pPr>
    </w:p>
    <w:p w14:paraId="4FBA6718" w14:textId="77777777" w:rsidR="00557563" w:rsidRPr="00557563" w:rsidRDefault="00557563" w:rsidP="00557563">
      <w:pPr>
        <w:spacing w:line="259" w:lineRule="auto"/>
        <w:jc w:val="both"/>
        <w:rPr>
          <w:rFonts w:eastAsiaTheme="minorHAnsi"/>
          <w:lang w:eastAsia="en-US"/>
        </w:rPr>
      </w:pPr>
    </w:p>
    <w:p w14:paraId="3D11F3F7" w14:textId="77777777" w:rsidR="00557563" w:rsidRPr="00557563" w:rsidRDefault="00557563" w:rsidP="00557563">
      <w:pPr>
        <w:spacing w:line="259" w:lineRule="auto"/>
        <w:jc w:val="both"/>
        <w:rPr>
          <w:rFonts w:eastAsiaTheme="minorHAnsi"/>
          <w:lang w:eastAsia="en-US"/>
        </w:rPr>
      </w:pPr>
    </w:p>
    <w:p w14:paraId="74C90D6A" w14:textId="77777777" w:rsidR="00557563" w:rsidRPr="00557563" w:rsidRDefault="00557563" w:rsidP="00557563">
      <w:pPr>
        <w:spacing w:line="259" w:lineRule="auto"/>
        <w:jc w:val="both"/>
        <w:rPr>
          <w:rFonts w:eastAsiaTheme="minorHAnsi"/>
          <w:lang w:eastAsia="en-US"/>
        </w:rPr>
      </w:pPr>
    </w:p>
    <w:p w14:paraId="60148EAC" w14:textId="77777777" w:rsidR="00557563" w:rsidRPr="00557563" w:rsidRDefault="00557563" w:rsidP="00557563">
      <w:pPr>
        <w:spacing w:line="259" w:lineRule="auto"/>
        <w:jc w:val="both"/>
        <w:rPr>
          <w:rFonts w:eastAsiaTheme="minorHAnsi"/>
          <w:lang w:eastAsia="en-US"/>
        </w:rPr>
      </w:pPr>
    </w:p>
    <w:p w14:paraId="0FB23D5F" w14:textId="77777777" w:rsidR="00557563" w:rsidRPr="00557563" w:rsidRDefault="00557563" w:rsidP="00557563">
      <w:pPr>
        <w:spacing w:line="259" w:lineRule="auto"/>
        <w:jc w:val="both"/>
        <w:rPr>
          <w:rFonts w:eastAsiaTheme="minorHAnsi"/>
          <w:lang w:eastAsia="en-US"/>
        </w:rPr>
      </w:pPr>
    </w:p>
    <w:p w14:paraId="43E913AB" w14:textId="77777777" w:rsidR="00557563" w:rsidRPr="00557563" w:rsidRDefault="00557563" w:rsidP="00557563">
      <w:pPr>
        <w:spacing w:line="259" w:lineRule="auto"/>
        <w:jc w:val="both"/>
        <w:rPr>
          <w:rFonts w:eastAsiaTheme="minorHAnsi"/>
          <w:lang w:eastAsia="en-US"/>
        </w:rPr>
      </w:pPr>
    </w:p>
    <w:p w14:paraId="5FA45CC3" w14:textId="77777777" w:rsidR="00557563" w:rsidRPr="00557563" w:rsidRDefault="00557563" w:rsidP="00557563">
      <w:pPr>
        <w:spacing w:line="259" w:lineRule="auto"/>
        <w:jc w:val="both"/>
        <w:rPr>
          <w:rFonts w:eastAsiaTheme="minorHAnsi"/>
          <w:lang w:eastAsia="en-US"/>
        </w:rPr>
      </w:pPr>
    </w:p>
    <w:p w14:paraId="3F879648" w14:textId="77777777" w:rsidR="00557563" w:rsidRPr="00557563" w:rsidRDefault="00557563" w:rsidP="00557563">
      <w:pPr>
        <w:spacing w:line="259" w:lineRule="auto"/>
        <w:jc w:val="both"/>
        <w:rPr>
          <w:rFonts w:eastAsiaTheme="minorHAnsi"/>
          <w:lang w:eastAsia="en-US"/>
        </w:rPr>
      </w:pPr>
    </w:p>
    <w:p w14:paraId="4F9D2225" w14:textId="77777777" w:rsidR="00557563" w:rsidRPr="00557563" w:rsidRDefault="00557563" w:rsidP="00557563">
      <w:pPr>
        <w:spacing w:line="259" w:lineRule="auto"/>
        <w:jc w:val="both"/>
        <w:rPr>
          <w:rFonts w:eastAsiaTheme="minorHAnsi"/>
          <w:lang w:eastAsia="en-US"/>
        </w:rPr>
      </w:pPr>
    </w:p>
    <w:p w14:paraId="5A33C50C" w14:textId="77777777" w:rsidR="00557563" w:rsidRPr="00557563" w:rsidRDefault="00557563" w:rsidP="00557563">
      <w:pPr>
        <w:spacing w:line="259" w:lineRule="auto"/>
        <w:jc w:val="both"/>
        <w:rPr>
          <w:rFonts w:eastAsiaTheme="minorHAnsi"/>
          <w:lang w:eastAsia="en-US"/>
        </w:rPr>
      </w:pPr>
    </w:p>
    <w:p w14:paraId="0F1B54E0" w14:textId="77777777" w:rsidR="00557563" w:rsidRPr="00557563" w:rsidRDefault="00557563" w:rsidP="00557563">
      <w:pPr>
        <w:spacing w:line="259" w:lineRule="auto"/>
        <w:jc w:val="both"/>
        <w:rPr>
          <w:rFonts w:eastAsiaTheme="minorHAnsi"/>
          <w:lang w:eastAsia="en-US"/>
        </w:rPr>
      </w:pPr>
    </w:p>
    <w:p w14:paraId="2693BDFD"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lastRenderedPageBreak/>
        <w:t>K Čl. III – zákon č. 429/2002 Z. z. o burze cenných papierov</w:t>
      </w:r>
    </w:p>
    <w:p w14:paraId="0CEC579F" w14:textId="77777777" w:rsidR="00557563" w:rsidRPr="00557563" w:rsidRDefault="00557563" w:rsidP="00557563">
      <w:pPr>
        <w:spacing w:line="259" w:lineRule="auto"/>
        <w:jc w:val="both"/>
        <w:rPr>
          <w:rFonts w:eastAsiaTheme="minorHAnsi"/>
          <w:b/>
          <w:lang w:eastAsia="en-US"/>
        </w:rPr>
      </w:pPr>
    </w:p>
    <w:p w14:paraId="61EA37E4"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bodom 1 a 8 [§ 4 ods. 15, § 58 ods. 1]</w:t>
      </w:r>
    </w:p>
    <w:p w14:paraId="716F0A7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V nadväznosti na zmeny smernice 2019/2177, z ktorej rozsahu sa vypúšťa udeľovanie povolení poskytovateľom služieb vykazovania údajov a výkonu ich činnosti a táto právomoc prechádza na Európsky orgán dohľadu, je potrebné vykonať primerané úpravy v zákone o burze cenných papierov.  </w:t>
      </w:r>
    </w:p>
    <w:p w14:paraId="4BF1022B" w14:textId="77777777" w:rsidR="00557563" w:rsidRPr="00557563" w:rsidRDefault="00557563" w:rsidP="00557563">
      <w:pPr>
        <w:spacing w:line="259" w:lineRule="auto"/>
        <w:jc w:val="both"/>
        <w:rPr>
          <w:rFonts w:eastAsiaTheme="minorHAnsi"/>
          <w:b/>
          <w:lang w:eastAsia="en-US"/>
        </w:rPr>
      </w:pPr>
    </w:p>
    <w:p w14:paraId="77ED198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 [§ 57a ods. 1]</w:t>
      </w:r>
    </w:p>
    <w:p w14:paraId="5DF9AEE1"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Obmedzenia na veľkosť čistej pozície sa vzťahujú na poľnohospodárske komoditné deriváty a kritické a významné komoditné deriváty. Za kritické alebo významné komoditné deriváty sa považujú tieto deriváty v prípade prekročenia otvoreného záujmu 300 000  </w:t>
      </w:r>
      <w:proofErr w:type="spellStart"/>
      <w:r w:rsidRPr="00557563">
        <w:rPr>
          <w:rFonts w:eastAsiaTheme="minorHAnsi"/>
          <w:lang w:eastAsia="en-US"/>
        </w:rPr>
        <w:t>lotov</w:t>
      </w:r>
      <w:proofErr w:type="spellEnd"/>
      <w:r w:rsidRPr="00557563">
        <w:rPr>
          <w:rFonts w:eastAsiaTheme="minorHAnsi"/>
          <w:lang w:eastAsia="en-US"/>
        </w:rPr>
        <w:t xml:space="preserve"> v priemere za rok.</w:t>
      </w:r>
    </w:p>
    <w:p w14:paraId="4EB6CF5F" w14:textId="77777777" w:rsidR="00557563" w:rsidRPr="00557563" w:rsidRDefault="00557563" w:rsidP="00557563">
      <w:pPr>
        <w:spacing w:line="259" w:lineRule="auto"/>
        <w:jc w:val="both"/>
        <w:rPr>
          <w:rFonts w:eastAsiaTheme="minorHAnsi"/>
          <w:b/>
          <w:lang w:eastAsia="en-US"/>
        </w:rPr>
      </w:pPr>
    </w:p>
    <w:p w14:paraId="563E3CFD"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3 [§ 57a ods. 2]</w:t>
      </w:r>
    </w:p>
    <w:p w14:paraId="2CB688B5"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Ustanovujú sa výnimky z obmedzenia pozícií.  </w:t>
      </w:r>
    </w:p>
    <w:p w14:paraId="71A75693" w14:textId="77777777" w:rsidR="00557563" w:rsidRPr="00557563" w:rsidRDefault="00557563" w:rsidP="00557563">
      <w:pPr>
        <w:spacing w:line="259" w:lineRule="auto"/>
        <w:jc w:val="both"/>
        <w:rPr>
          <w:rFonts w:eastAsiaTheme="minorHAnsi"/>
          <w:b/>
          <w:lang w:eastAsia="en-US"/>
        </w:rPr>
      </w:pPr>
    </w:p>
    <w:p w14:paraId="3BB148E7"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4 [§ 57a ods. 4 a 5]</w:t>
      </w:r>
    </w:p>
    <w:p w14:paraId="1B46975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Obmedzenia pozícií sa určia pre kritické alebo významné komoditné deriváty, a to vždy, keď dôjde k významnej zmene na trhu vrátane významnej zmeny doručiteľnej ponuky alebo čistých otvorených pozícií.</w:t>
      </w:r>
    </w:p>
    <w:p w14:paraId="7E29B5A1" w14:textId="77777777" w:rsidR="00557563" w:rsidRPr="00557563" w:rsidRDefault="00557563" w:rsidP="00557563">
      <w:pPr>
        <w:spacing w:line="259" w:lineRule="auto"/>
        <w:jc w:val="both"/>
        <w:rPr>
          <w:rFonts w:eastAsiaTheme="minorHAnsi"/>
          <w:b/>
          <w:lang w:eastAsia="en-US"/>
        </w:rPr>
      </w:pPr>
    </w:p>
    <w:p w14:paraId="2129E271"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5 [§ 57a ods. 8 až 10]</w:t>
      </w:r>
    </w:p>
    <w:p w14:paraId="5EE0D3C1"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Obmedzenia pozícií bude určovať ten orgán dohľadu, ktorý dohliada na obchodné miesto s najväčším objemom obchodov s daným derivátovým nástrojom. Takýto orgán dohľadu je centrálnym orgánom dohľadu, obmedzenie pozícií ktorým sa bude aplikovať na všetky ostatné obchodné miesta s daným derivátovým nástrojom. Organizátori obchodného miesta majú získavať informácie o pozíciách držaných v komoditných derivátoch.</w:t>
      </w:r>
    </w:p>
    <w:p w14:paraId="7228709F" w14:textId="77777777" w:rsidR="00557563" w:rsidRPr="00557563" w:rsidRDefault="00557563" w:rsidP="00557563">
      <w:pPr>
        <w:spacing w:line="259" w:lineRule="auto"/>
        <w:jc w:val="both"/>
        <w:rPr>
          <w:rFonts w:eastAsiaTheme="minorHAnsi"/>
          <w:b/>
          <w:lang w:eastAsia="en-US"/>
        </w:rPr>
      </w:pPr>
    </w:p>
    <w:p w14:paraId="147577F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6 [§ 57b ods. 1 písm. b)]</w:t>
      </w:r>
    </w:p>
    <w:p w14:paraId="7988812B"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Spresňujú sa výnimky z hlásenia pozícií, ktoré sa nevzťahuje na vybrané cenné papiere, ktoré sa týkajú komodít alebo podkladovým aktívom sú vybrané komodity.</w:t>
      </w:r>
    </w:p>
    <w:p w14:paraId="04D0362D" w14:textId="77777777" w:rsidR="00557563" w:rsidRPr="00557563" w:rsidRDefault="00557563" w:rsidP="00557563">
      <w:pPr>
        <w:spacing w:line="259" w:lineRule="auto"/>
        <w:jc w:val="both"/>
        <w:rPr>
          <w:rFonts w:eastAsiaTheme="minorHAnsi"/>
          <w:b/>
          <w:lang w:eastAsia="en-US"/>
        </w:rPr>
      </w:pPr>
    </w:p>
    <w:p w14:paraId="42BB1106"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7 [§ 57b ods. 3]</w:t>
      </w:r>
    </w:p>
    <w:p w14:paraId="1D88E142"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Ustanovuje sa, že úplný zoznam pozícií držaných v komoditných derivátoch alebo v emisných kvótach alebo v ich derivátoch je obchodník s cennými papiermi povinný poskytnúť centrálnemu orgánu dohľadu, t. j. tomu orgánu, ktorý dohliada nad obchodným miestom s najväčším objemom obchodov v danom deriváte.</w:t>
      </w:r>
    </w:p>
    <w:p w14:paraId="27365ECB" w14:textId="77777777" w:rsidR="00557563" w:rsidRPr="00557563" w:rsidRDefault="00557563" w:rsidP="00557563">
      <w:pPr>
        <w:spacing w:line="259" w:lineRule="auto"/>
        <w:jc w:val="both"/>
        <w:rPr>
          <w:rFonts w:eastAsiaTheme="minorHAnsi"/>
          <w:b/>
          <w:lang w:eastAsia="en-US"/>
        </w:rPr>
      </w:pPr>
    </w:p>
    <w:p w14:paraId="6BDF65F7" w14:textId="77777777" w:rsidR="00557563" w:rsidRPr="00557563" w:rsidRDefault="00557563" w:rsidP="00557563">
      <w:pPr>
        <w:spacing w:line="259" w:lineRule="auto"/>
        <w:jc w:val="both"/>
        <w:rPr>
          <w:rFonts w:eastAsiaTheme="minorHAnsi"/>
          <w:b/>
          <w:lang w:eastAsia="en-US"/>
        </w:rPr>
      </w:pPr>
    </w:p>
    <w:p w14:paraId="745794DC" w14:textId="77777777" w:rsidR="00557563" w:rsidRPr="00557563" w:rsidRDefault="00557563" w:rsidP="00557563">
      <w:pPr>
        <w:spacing w:line="259" w:lineRule="auto"/>
        <w:jc w:val="both"/>
        <w:rPr>
          <w:rFonts w:eastAsiaTheme="minorHAnsi"/>
          <w:b/>
          <w:lang w:eastAsia="en-US"/>
        </w:rPr>
      </w:pPr>
    </w:p>
    <w:p w14:paraId="5EF6BDEC" w14:textId="77777777" w:rsidR="00557563" w:rsidRPr="00557563" w:rsidRDefault="00557563" w:rsidP="00557563">
      <w:pPr>
        <w:spacing w:line="259" w:lineRule="auto"/>
        <w:jc w:val="both"/>
        <w:rPr>
          <w:rFonts w:eastAsiaTheme="minorHAnsi"/>
          <w:b/>
          <w:lang w:eastAsia="en-US"/>
        </w:rPr>
      </w:pPr>
    </w:p>
    <w:p w14:paraId="3AE0E645" w14:textId="77777777" w:rsidR="00557563" w:rsidRPr="00557563" w:rsidRDefault="00557563" w:rsidP="00557563">
      <w:pPr>
        <w:spacing w:line="259" w:lineRule="auto"/>
        <w:jc w:val="both"/>
        <w:rPr>
          <w:rFonts w:eastAsiaTheme="minorHAnsi"/>
          <w:b/>
          <w:lang w:eastAsia="en-US"/>
        </w:rPr>
      </w:pPr>
    </w:p>
    <w:p w14:paraId="60EEAF3E" w14:textId="77777777" w:rsidR="00557563" w:rsidRPr="00557563" w:rsidRDefault="00557563" w:rsidP="00557563">
      <w:pPr>
        <w:spacing w:line="259" w:lineRule="auto"/>
        <w:jc w:val="both"/>
        <w:rPr>
          <w:rFonts w:eastAsiaTheme="minorHAnsi"/>
          <w:b/>
          <w:lang w:eastAsia="en-US"/>
        </w:rPr>
      </w:pPr>
    </w:p>
    <w:p w14:paraId="3FC5D6FC" w14:textId="77777777" w:rsidR="00557563" w:rsidRPr="00557563" w:rsidRDefault="00557563" w:rsidP="00557563">
      <w:pPr>
        <w:spacing w:line="259" w:lineRule="auto"/>
        <w:jc w:val="both"/>
        <w:rPr>
          <w:rFonts w:eastAsiaTheme="minorHAnsi"/>
          <w:b/>
          <w:lang w:eastAsia="en-US"/>
        </w:rPr>
      </w:pPr>
    </w:p>
    <w:p w14:paraId="23D545E2" w14:textId="77777777" w:rsidR="00557563" w:rsidRPr="00557563" w:rsidRDefault="00557563" w:rsidP="00557563">
      <w:pPr>
        <w:spacing w:line="259" w:lineRule="auto"/>
        <w:jc w:val="both"/>
        <w:rPr>
          <w:rFonts w:eastAsiaTheme="minorHAnsi"/>
          <w:b/>
          <w:lang w:eastAsia="en-US"/>
        </w:rPr>
      </w:pPr>
    </w:p>
    <w:p w14:paraId="47E6BBC1" w14:textId="77777777" w:rsidR="00557563" w:rsidRPr="00557563" w:rsidRDefault="00557563" w:rsidP="00557563">
      <w:pPr>
        <w:spacing w:line="259" w:lineRule="auto"/>
        <w:jc w:val="both"/>
        <w:rPr>
          <w:rFonts w:eastAsiaTheme="minorHAnsi"/>
          <w:b/>
          <w:lang w:eastAsia="en-US"/>
        </w:rPr>
      </w:pPr>
    </w:p>
    <w:p w14:paraId="79BDADF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lastRenderedPageBreak/>
        <w:t>K Čl. IV – zákon č. 747/2004 Z. z. o dohľade nad finančným trhom</w:t>
      </w:r>
    </w:p>
    <w:p w14:paraId="7CC87256" w14:textId="77777777" w:rsidR="00557563" w:rsidRPr="00557563" w:rsidRDefault="00557563" w:rsidP="00557563">
      <w:pPr>
        <w:spacing w:line="259" w:lineRule="auto"/>
        <w:jc w:val="both"/>
        <w:rPr>
          <w:rFonts w:eastAsiaTheme="minorHAnsi"/>
          <w:b/>
          <w:lang w:eastAsia="en-US"/>
        </w:rPr>
      </w:pPr>
    </w:p>
    <w:p w14:paraId="30D74CB2"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 xml:space="preserve">K bodu 1 </w:t>
      </w:r>
    </w:p>
    <w:p w14:paraId="4EA62174"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Legislatívno-technická zmena, doplnenie nariadenia IFR do poznámky pod čiarou.</w:t>
      </w:r>
    </w:p>
    <w:p w14:paraId="565E4258" w14:textId="77777777" w:rsidR="00557563" w:rsidRPr="00557563" w:rsidRDefault="00557563" w:rsidP="00557563">
      <w:pPr>
        <w:spacing w:line="259" w:lineRule="auto"/>
        <w:jc w:val="both"/>
        <w:rPr>
          <w:rFonts w:eastAsiaTheme="minorHAnsi"/>
          <w:b/>
          <w:lang w:eastAsia="en-US"/>
        </w:rPr>
      </w:pPr>
    </w:p>
    <w:p w14:paraId="792416B0"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 [§ 1 ods. 3 písm. h)]</w:t>
      </w:r>
    </w:p>
    <w:p w14:paraId="78874D47"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Navrhuje sa subjekty, s ktorými Národná banka Slovenska spolupracuje, rozšíriť aj o Európsku komisiu. Uvedená spolupráca je taktiež zakotvená v práve EÚ.</w:t>
      </w:r>
    </w:p>
    <w:p w14:paraId="79AC99FF" w14:textId="77777777" w:rsidR="00557563" w:rsidRPr="00557563" w:rsidRDefault="00557563" w:rsidP="00557563">
      <w:pPr>
        <w:spacing w:line="259" w:lineRule="auto"/>
        <w:jc w:val="both"/>
        <w:rPr>
          <w:rFonts w:eastAsiaTheme="minorHAnsi"/>
          <w:b/>
          <w:lang w:eastAsia="en-US"/>
        </w:rPr>
      </w:pPr>
    </w:p>
    <w:p w14:paraId="6D9CB98E"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bodom 3 a 4 [§ 1 ods. 3 písm. i) a § 37 ods. 1 písm. a)]</w:t>
      </w:r>
    </w:p>
    <w:p w14:paraId="30876869"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Nahradenie predkladania Správy o stave a vývoji finančného trhu predkladaním Správou o finančnej stabilite v rovnakej frekvencii vychádza z aplikačnej praxe. Správa o finančnej stabilite predstavuje hlavnú publikáciu Národnej banky Slovenska v oblasti vyhodnocovania aktuálnych trendov a rizík na slovenskom finančnom trhu. Jej vydávanie je v súlade s medzinárodnou  praxou v krajinách EÚ. Naopak, Správa o stave a vývoji finančného trhu má všeobecný štatistický charakter a informácie v nej obsiahnuté sa do veľkej miery prekrývajú s informáciami zverejnenými vo verejne dostupných databázach. Vydávania štatistických správ centrálnymi bankami v EÚ je ojedinelé.</w:t>
      </w:r>
    </w:p>
    <w:p w14:paraId="55BD464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Dôležitosť Správy o finančnej stabilite potvrdzuje aj aktívny záujem poslancov NR SR o analýzy, ktoré sú v nej publikované a to napriek tomu, že nie je oficiálne predkladaná na rokovania. Tak na rokovaniach Výboru pre financie a rozpočet, ako aj na rokovaniach pléna NR SR, sa diskusie výrazne viac sústredili na aktuálne riziká analyzované v Správe o finančnej stabilite, než na štatistické prehľady publikované v Správe o stave a vývoji finančného trhu.</w:t>
      </w:r>
    </w:p>
    <w:p w14:paraId="593F0716" w14:textId="77777777" w:rsidR="00557563" w:rsidRPr="00557563" w:rsidRDefault="00557563" w:rsidP="00557563">
      <w:pPr>
        <w:spacing w:line="259" w:lineRule="auto"/>
        <w:jc w:val="both"/>
        <w:rPr>
          <w:rFonts w:eastAsiaTheme="minorHAnsi"/>
          <w:b/>
          <w:lang w:eastAsia="en-US"/>
        </w:rPr>
      </w:pPr>
    </w:p>
    <w:p w14:paraId="61FFAE48"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bodom 5 a 6 [Príloha]</w:t>
      </w:r>
    </w:p>
    <w:p w14:paraId="28CDF173"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Z Prílohy sa vypúšťajú smernice, ktoré už nie sú účinné a Zoznam preberaných právne záväzných aktov Európskej únie sa dopĺňa smernicou IFD.</w:t>
      </w:r>
    </w:p>
    <w:p w14:paraId="7FB494D3" w14:textId="77777777" w:rsidR="00557563" w:rsidRPr="00557563" w:rsidRDefault="00557563" w:rsidP="00557563">
      <w:pPr>
        <w:spacing w:line="259" w:lineRule="auto"/>
        <w:jc w:val="both"/>
        <w:rPr>
          <w:rFonts w:eastAsiaTheme="minorHAnsi"/>
          <w:b/>
          <w:lang w:eastAsia="en-US"/>
        </w:rPr>
      </w:pPr>
    </w:p>
    <w:p w14:paraId="4DBE70DE" w14:textId="77777777" w:rsidR="00557563" w:rsidRPr="00557563" w:rsidRDefault="00557563" w:rsidP="00557563">
      <w:pPr>
        <w:spacing w:line="259" w:lineRule="auto"/>
        <w:jc w:val="both"/>
        <w:rPr>
          <w:rFonts w:eastAsiaTheme="minorHAnsi"/>
          <w:b/>
          <w:lang w:eastAsia="en-US"/>
        </w:rPr>
      </w:pPr>
    </w:p>
    <w:p w14:paraId="1DFCC533" w14:textId="77777777" w:rsidR="00557563" w:rsidRPr="00557563" w:rsidRDefault="00557563" w:rsidP="00557563">
      <w:pPr>
        <w:spacing w:line="259" w:lineRule="auto"/>
        <w:jc w:val="both"/>
        <w:rPr>
          <w:rFonts w:eastAsiaTheme="minorHAnsi"/>
          <w:b/>
          <w:lang w:eastAsia="en-US"/>
        </w:rPr>
      </w:pPr>
    </w:p>
    <w:p w14:paraId="0525F31F" w14:textId="77777777" w:rsidR="00557563" w:rsidRPr="00557563" w:rsidRDefault="00557563" w:rsidP="00557563">
      <w:pPr>
        <w:spacing w:line="259" w:lineRule="auto"/>
        <w:jc w:val="both"/>
        <w:rPr>
          <w:rFonts w:eastAsiaTheme="minorHAnsi"/>
          <w:b/>
          <w:lang w:eastAsia="en-US"/>
        </w:rPr>
      </w:pPr>
    </w:p>
    <w:p w14:paraId="1BECAB94" w14:textId="77777777" w:rsidR="00557563" w:rsidRPr="00557563" w:rsidRDefault="00557563" w:rsidP="00557563">
      <w:pPr>
        <w:spacing w:line="259" w:lineRule="auto"/>
        <w:jc w:val="both"/>
        <w:rPr>
          <w:rFonts w:eastAsiaTheme="minorHAnsi"/>
          <w:b/>
          <w:lang w:eastAsia="en-US"/>
        </w:rPr>
      </w:pPr>
    </w:p>
    <w:p w14:paraId="617F12E6" w14:textId="77777777" w:rsidR="00557563" w:rsidRPr="00557563" w:rsidRDefault="00557563" w:rsidP="00557563">
      <w:pPr>
        <w:spacing w:line="259" w:lineRule="auto"/>
        <w:jc w:val="both"/>
        <w:rPr>
          <w:rFonts w:eastAsiaTheme="minorHAnsi"/>
          <w:b/>
          <w:lang w:eastAsia="en-US"/>
        </w:rPr>
      </w:pPr>
    </w:p>
    <w:p w14:paraId="6304DBFE" w14:textId="77777777" w:rsidR="00557563" w:rsidRPr="00557563" w:rsidRDefault="00557563" w:rsidP="00557563">
      <w:pPr>
        <w:spacing w:line="259" w:lineRule="auto"/>
        <w:jc w:val="both"/>
        <w:rPr>
          <w:rFonts w:eastAsiaTheme="minorHAnsi"/>
          <w:b/>
          <w:lang w:eastAsia="en-US"/>
        </w:rPr>
      </w:pPr>
    </w:p>
    <w:p w14:paraId="4C788254" w14:textId="77777777" w:rsidR="00557563" w:rsidRPr="00557563" w:rsidRDefault="00557563" w:rsidP="00557563">
      <w:pPr>
        <w:spacing w:line="259" w:lineRule="auto"/>
        <w:jc w:val="both"/>
        <w:rPr>
          <w:rFonts w:eastAsiaTheme="minorHAnsi"/>
          <w:b/>
          <w:lang w:eastAsia="en-US"/>
        </w:rPr>
      </w:pPr>
    </w:p>
    <w:p w14:paraId="462CAF4D" w14:textId="77777777" w:rsidR="00557563" w:rsidRPr="00557563" w:rsidRDefault="00557563" w:rsidP="00557563">
      <w:pPr>
        <w:spacing w:line="259" w:lineRule="auto"/>
        <w:jc w:val="both"/>
        <w:rPr>
          <w:rFonts w:eastAsiaTheme="minorHAnsi"/>
          <w:b/>
          <w:lang w:eastAsia="en-US"/>
        </w:rPr>
      </w:pPr>
    </w:p>
    <w:p w14:paraId="3B4DEE32" w14:textId="77777777" w:rsidR="00557563" w:rsidRPr="00557563" w:rsidRDefault="00557563" w:rsidP="00557563">
      <w:pPr>
        <w:spacing w:line="259" w:lineRule="auto"/>
        <w:jc w:val="both"/>
        <w:rPr>
          <w:rFonts w:eastAsiaTheme="minorHAnsi"/>
          <w:b/>
          <w:lang w:eastAsia="en-US"/>
        </w:rPr>
      </w:pPr>
    </w:p>
    <w:p w14:paraId="37B7CA1C" w14:textId="77777777" w:rsidR="00557563" w:rsidRPr="00557563" w:rsidRDefault="00557563" w:rsidP="00557563">
      <w:pPr>
        <w:spacing w:line="259" w:lineRule="auto"/>
        <w:jc w:val="both"/>
        <w:rPr>
          <w:rFonts w:eastAsiaTheme="minorHAnsi"/>
          <w:b/>
          <w:lang w:eastAsia="en-US"/>
        </w:rPr>
      </w:pPr>
    </w:p>
    <w:p w14:paraId="20D154C3" w14:textId="77777777" w:rsidR="00557563" w:rsidRPr="00557563" w:rsidRDefault="00557563" w:rsidP="00557563">
      <w:pPr>
        <w:spacing w:line="259" w:lineRule="auto"/>
        <w:jc w:val="both"/>
        <w:rPr>
          <w:rFonts w:eastAsiaTheme="minorHAnsi"/>
          <w:b/>
          <w:lang w:eastAsia="en-US"/>
        </w:rPr>
      </w:pPr>
    </w:p>
    <w:p w14:paraId="19AD8659" w14:textId="77777777" w:rsidR="00557563" w:rsidRPr="00557563" w:rsidRDefault="00557563" w:rsidP="00557563">
      <w:pPr>
        <w:spacing w:line="259" w:lineRule="auto"/>
        <w:jc w:val="both"/>
        <w:rPr>
          <w:rFonts w:eastAsiaTheme="minorHAnsi"/>
          <w:b/>
          <w:lang w:eastAsia="en-US"/>
        </w:rPr>
      </w:pPr>
    </w:p>
    <w:p w14:paraId="3107BF14" w14:textId="77777777" w:rsidR="00557563" w:rsidRPr="00557563" w:rsidRDefault="00557563" w:rsidP="00557563">
      <w:pPr>
        <w:spacing w:line="259" w:lineRule="auto"/>
        <w:jc w:val="both"/>
        <w:rPr>
          <w:rFonts w:eastAsiaTheme="minorHAnsi"/>
          <w:b/>
          <w:lang w:eastAsia="en-US"/>
        </w:rPr>
      </w:pPr>
    </w:p>
    <w:p w14:paraId="113A2554" w14:textId="77777777" w:rsidR="00557563" w:rsidRPr="00557563" w:rsidRDefault="00557563" w:rsidP="00557563">
      <w:pPr>
        <w:spacing w:line="259" w:lineRule="auto"/>
        <w:jc w:val="both"/>
        <w:rPr>
          <w:rFonts w:eastAsiaTheme="minorHAnsi"/>
          <w:b/>
          <w:lang w:eastAsia="en-US"/>
        </w:rPr>
      </w:pPr>
    </w:p>
    <w:p w14:paraId="7EB6D0CB" w14:textId="77777777" w:rsidR="00557563" w:rsidRPr="00557563" w:rsidRDefault="00557563" w:rsidP="00557563">
      <w:pPr>
        <w:spacing w:line="259" w:lineRule="auto"/>
        <w:jc w:val="both"/>
        <w:rPr>
          <w:rFonts w:eastAsiaTheme="minorHAnsi"/>
          <w:b/>
          <w:lang w:eastAsia="en-US"/>
        </w:rPr>
      </w:pPr>
    </w:p>
    <w:p w14:paraId="4674EE50" w14:textId="77777777" w:rsidR="00557563" w:rsidRPr="00557563" w:rsidRDefault="00557563" w:rsidP="00557563">
      <w:pPr>
        <w:spacing w:line="259" w:lineRule="auto"/>
        <w:jc w:val="both"/>
        <w:rPr>
          <w:rFonts w:eastAsiaTheme="minorHAnsi"/>
          <w:b/>
          <w:lang w:eastAsia="en-US"/>
        </w:rPr>
      </w:pPr>
    </w:p>
    <w:p w14:paraId="0EE74291" w14:textId="77777777" w:rsidR="00557563" w:rsidRPr="00557563" w:rsidRDefault="00557563" w:rsidP="00557563">
      <w:pPr>
        <w:spacing w:line="259" w:lineRule="auto"/>
        <w:jc w:val="both"/>
        <w:rPr>
          <w:rFonts w:eastAsiaTheme="minorHAnsi"/>
          <w:b/>
          <w:lang w:eastAsia="en-US"/>
        </w:rPr>
      </w:pPr>
    </w:p>
    <w:p w14:paraId="58F15D70" w14:textId="77777777" w:rsidR="00557563" w:rsidRPr="00557563" w:rsidRDefault="00557563" w:rsidP="00557563">
      <w:pPr>
        <w:spacing w:line="259" w:lineRule="auto"/>
        <w:jc w:val="both"/>
        <w:rPr>
          <w:rFonts w:eastAsiaTheme="minorHAnsi"/>
          <w:b/>
          <w:lang w:eastAsia="en-US"/>
        </w:rPr>
      </w:pPr>
    </w:p>
    <w:p w14:paraId="3E9A6455" w14:textId="77777777" w:rsidR="00557563" w:rsidRPr="00557563" w:rsidRDefault="00557563" w:rsidP="00557563">
      <w:pPr>
        <w:spacing w:line="259" w:lineRule="auto"/>
        <w:jc w:val="both"/>
        <w:rPr>
          <w:rFonts w:eastAsiaTheme="minorHAnsi"/>
          <w:b/>
          <w:lang w:eastAsia="en-US"/>
        </w:rPr>
      </w:pPr>
    </w:p>
    <w:p w14:paraId="4407F821"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lastRenderedPageBreak/>
        <w:t>K Čl. V – zákon č. 371/2014 Z. z. o riešení krízových situácií na finančnom trhu</w:t>
      </w:r>
    </w:p>
    <w:p w14:paraId="00C6EF5F" w14:textId="77777777" w:rsidR="00557563" w:rsidRPr="00557563" w:rsidRDefault="00557563" w:rsidP="00557563">
      <w:pPr>
        <w:spacing w:line="259" w:lineRule="auto"/>
        <w:jc w:val="both"/>
        <w:rPr>
          <w:rFonts w:eastAsiaTheme="minorHAnsi"/>
          <w:b/>
          <w:lang w:eastAsia="en-US"/>
        </w:rPr>
      </w:pPr>
    </w:p>
    <w:p w14:paraId="6AD9B9C5"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1 [§ 1 ods. 3 písm. a)]</w:t>
      </w:r>
    </w:p>
    <w:p w14:paraId="3DB8A57E"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Ide o transpozíciu článku 63 smernice IFD, ktorá mení Smernicu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ktorá je transponovaná do zákona č. 371/2014 Z. z. o riešení krízových situácií na finančnom trhu a o zmene a doplnení niektorých zákonov (ďalej len „zákon o riešení krízových situácií“). V nadväznosti na zmeny vyvolané smernicou IFD, hlavne požiadavky zmeny základného imania na počiatočný kapitál je potrebné reflektovať na uvedenú zmenu aj zmenou ustanovenia zákona o riešení krízových situácií a tiež je potrebná  v tejto nadväznosti aj úprava poznámky pod čiarou k odkazu 5.</w:t>
      </w:r>
    </w:p>
    <w:p w14:paraId="6FB19994" w14:textId="77777777" w:rsidR="00557563" w:rsidRPr="00557563" w:rsidRDefault="00557563" w:rsidP="00557563">
      <w:pPr>
        <w:spacing w:line="259" w:lineRule="auto"/>
        <w:jc w:val="both"/>
        <w:rPr>
          <w:rFonts w:eastAsiaTheme="minorHAnsi"/>
          <w:lang w:eastAsia="en-US"/>
        </w:rPr>
      </w:pPr>
    </w:p>
    <w:p w14:paraId="0B5DB58F"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t>K bodu 2 [Príloha]</w:t>
      </w:r>
    </w:p>
    <w:p w14:paraId="250AECEB" w14:textId="77777777" w:rsidR="00557563" w:rsidRPr="00557563" w:rsidRDefault="00557563" w:rsidP="00557563">
      <w:pPr>
        <w:spacing w:line="259" w:lineRule="auto"/>
        <w:jc w:val="both"/>
        <w:rPr>
          <w:rFonts w:eastAsiaTheme="minorHAnsi"/>
          <w:lang w:eastAsia="en-US"/>
        </w:rPr>
      </w:pPr>
      <w:r w:rsidRPr="00557563">
        <w:rPr>
          <w:rFonts w:eastAsiaTheme="minorHAnsi"/>
          <w:lang w:eastAsia="en-US"/>
        </w:rPr>
        <w:t xml:space="preserve">Dopĺňa sa transpozičná príloha o smernicu IFD. </w:t>
      </w:r>
    </w:p>
    <w:p w14:paraId="2F2FAF2A" w14:textId="77777777" w:rsidR="00557563" w:rsidRPr="00557563" w:rsidRDefault="00557563" w:rsidP="00557563">
      <w:pPr>
        <w:spacing w:line="259" w:lineRule="auto"/>
        <w:jc w:val="both"/>
        <w:rPr>
          <w:rFonts w:eastAsiaTheme="minorHAnsi"/>
          <w:b/>
          <w:lang w:eastAsia="en-US"/>
        </w:rPr>
      </w:pPr>
    </w:p>
    <w:p w14:paraId="535FB626" w14:textId="77777777" w:rsidR="00557563" w:rsidRPr="00557563" w:rsidRDefault="00557563" w:rsidP="00557563">
      <w:pPr>
        <w:spacing w:line="259" w:lineRule="auto"/>
        <w:jc w:val="both"/>
        <w:rPr>
          <w:rFonts w:eastAsiaTheme="minorHAnsi"/>
          <w:b/>
          <w:lang w:eastAsia="en-US"/>
        </w:rPr>
      </w:pPr>
    </w:p>
    <w:p w14:paraId="19DBAC1E" w14:textId="77777777" w:rsidR="00557563" w:rsidRPr="00557563" w:rsidRDefault="00557563" w:rsidP="00557563">
      <w:pPr>
        <w:spacing w:line="259" w:lineRule="auto"/>
        <w:jc w:val="both"/>
        <w:rPr>
          <w:rFonts w:eastAsiaTheme="minorHAnsi"/>
          <w:b/>
          <w:lang w:eastAsia="en-US"/>
        </w:rPr>
      </w:pPr>
    </w:p>
    <w:p w14:paraId="1B66CC59" w14:textId="77777777" w:rsidR="00557563" w:rsidRPr="00557563" w:rsidRDefault="00557563" w:rsidP="00557563">
      <w:pPr>
        <w:spacing w:line="259" w:lineRule="auto"/>
        <w:jc w:val="both"/>
        <w:rPr>
          <w:rFonts w:eastAsiaTheme="minorHAnsi"/>
          <w:b/>
          <w:lang w:eastAsia="en-US"/>
        </w:rPr>
      </w:pPr>
    </w:p>
    <w:p w14:paraId="51BA36D1" w14:textId="77777777" w:rsidR="00557563" w:rsidRPr="00557563" w:rsidRDefault="00557563" w:rsidP="00557563">
      <w:pPr>
        <w:spacing w:line="259" w:lineRule="auto"/>
        <w:jc w:val="both"/>
        <w:rPr>
          <w:rFonts w:eastAsiaTheme="minorHAnsi"/>
          <w:b/>
          <w:lang w:eastAsia="en-US"/>
        </w:rPr>
      </w:pPr>
    </w:p>
    <w:p w14:paraId="6FD5CA83" w14:textId="77777777" w:rsidR="00557563" w:rsidRPr="00557563" w:rsidRDefault="00557563" w:rsidP="00557563">
      <w:pPr>
        <w:spacing w:line="259" w:lineRule="auto"/>
        <w:jc w:val="both"/>
        <w:rPr>
          <w:rFonts w:eastAsiaTheme="minorHAnsi"/>
          <w:b/>
          <w:lang w:eastAsia="en-US"/>
        </w:rPr>
      </w:pPr>
    </w:p>
    <w:p w14:paraId="77C6F494" w14:textId="77777777" w:rsidR="00557563" w:rsidRPr="00557563" w:rsidRDefault="00557563" w:rsidP="00557563">
      <w:pPr>
        <w:spacing w:line="259" w:lineRule="auto"/>
        <w:jc w:val="both"/>
        <w:rPr>
          <w:rFonts w:eastAsiaTheme="minorHAnsi"/>
          <w:b/>
          <w:lang w:eastAsia="en-US"/>
        </w:rPr>
      </w:pPr>
    </w:p>
    <w:p w14:paraId="26A1CEAC" w14:textId="77777777" w:rsidR="00557563" w:rsidRPr="00557563" w:rsidRDefault="00557563" w:rsidP="00557563">
      <w:pPr>
        <w:spacing w:line="259" w:lineRule="auto"/>
        <w:jc w:val="both"/>
        <w:rPr>
          <w:rFonts w:eastAsiaTheme="minorHAnsi"/>
          <w:b/>
          <w:lang w:eastAsia="en-US"/>
        </w:rPr>
      </w:pPr>
    </w:p>
    <w:p w14:paraId="28826E88" w14:textId="77777777" w:rsidR="00557563" w:rsidRPr="00557563" w:rsidRDefault="00557563" w:rsidP="00557563">
      <w:pPr>
        <w:spacing w:line="259" w:lineRule="auto"/>
        <w:jc w:val="both"/>
        <w:rPr>
          <w:rFonts w:eastAsiaTheme="minorHAnsi"/>
          <w:b/>
          <w:lang w:eastAsia="en-US"/>
        </w:rPr>
      </w:pPr>
    </w:p>
    <w:p w14:paraId="2ED72D47" w14:textId="77777777" w:rsidR="00557563" w:rsidRPr="00557563" w:rsidRDefault="00557563" w:rsidP="00557563">
      <w:pPr>
        <w:spacing w:line="259" w:lineRule="auto"/>
        <w:jc w:val="both"/>
        <w:rPr>
          <w:rFonts w:eastAsiaTheme="minorHAnsi"/>
          <w:b/>
          <w:lang w:eastAsia="en-US"/>
        </w:rPr>
      </w:pPr>
    </w:p>
    <w:p w14:paraId="0FF0B66B" w14:textId="77777777" w:rsidR="00557563" w:rsidRPr="00557563" w:rsidRDefault="00557563" w:rsidP="00557563">
      <w:pPr>
        <w:spacing w:line="259" w:lineRule="auto"/>
        <w:jc w:val="both"/>
        <w:rPr>
          <w:rFonts w:eastAsiaTheme="minorHAnsi"/>
          <w:b/>
          <w:lang w:eastAsia="en-US"/>
        </w:rPr>
      </w:pPr>
    </w:p>
    <w:p w14:paraId="2092CE23" w14:textId="77777777" w:rsidR="00557563" w:rsidRPr="00557563" w:rsidRDefault="00557563" w:rsidP="00557563">
      <w:pPr>
        <w:spacing w:line="259" w:lineRule="auto"/>
        <w:jc w:val="both"/>
        <w:rPr>
          <w:rFonts w:eastAsiaTheme="minorHAnsi"/>
          <w:b/>
          <w:lang w:eastAsia="en-US"/>
        </w:rPr>
      </w:pPr>
    </w:p>
    <w:p w14:paraId="3AFACF16" w14:textId="77777777" w:rsidR="00557563" w:rsidRPr="00557563" w:rsidRDefault="00557563" w:rsidP="00557563">
      <w:pPr>
        <w:spacing w:line="259" w:lineRule="auto"/>
        <w:jc w:val="both"/>
        <w:rPr>
          <w:rFonts w:eastAsiaTheme="minorHAnsi"/>
          <w:b/>
          <w:lang w:eastAsia="en-US"/>
        </w:rPr>
      </w:pPr>
    </w:p>
    <w:p w14:paraId="42E74593" w14:textId="77777777" w:rsidR="00557563" w:rsidRPr="00557563" w:rsidRDefault="00557563" w:rsidP="00557563">
      <w:pPr>
        <w:spacing w:line="259" w:lineRule="auto"/>
        <w:jc w:val="both"/>
        <w:rPr>
          <w:rFonts w:eastAsiaTheme="minorHAnsi"/>
          <w:b/>
          <w:lang w:eastAsia="en-US"/>
        </w:rPr>
      </w:pPr>
    </w:p>
    <w:p w14:paraId="3D64F64A" w14:textId="77777777" w:rsidR="00557563" w:rsidRPr="00557563" w:rsidRDefault="00557563" w:rsidP="00557563">
      <w:pPr>
        <w:spacing w:line="259" w:lineRule="auto"/>
        <w:jc w:val="both"/>
        <w:rPr>
          <w:rFonts w:eastAsiaTheme="minorHAnsi"/>
          <w:b/>
          <w:lang w:eastAsia="en-US"/>
        </w:rPr>
      </w:pPr>
    </w:p>
    <w:p w14:paraId="65493F36" w14:textId="77777777" w:rsidR="00557563" w:rsidRPr="00557563" w:rsidRDefault="00557563" w:rsidP="00557563">
      <w:pPr>
        <w:spacing w:line="259" w:lineRule="auto"/>
        <w:jc w:val="both"/>
        <w:rPr>
          <w:rFonts w:eastAsiaTheme="minorHAnsi"/>
          <w:b/>
          <w:lang w:eastAsia="en-US"/>
        </w:rPr>
      </w:pPr>
    </w:p>
    <w:p w14:paraId="460ADBA6" w14:textId="77777777" w:rsidR="00557563" w:rsidRPr="00557563" w:rsidRDefault="00557563" w:rsidP="00557563">
      <w:pPr>
        <w:spacing w:line="259" w:lineRule="auto"/>
        <w:jc w:val="both"/>
        <w:rPr>
          <w:rFonts w:eastAsiaTheme="minorHAnsi"/>
          <w:b/>
          <w:lang w:eastAsia="en-US"/>
        </w:rPr>
      </w:pPr>
    </w:p>
    <w:p w14:paraId="299951C3" w14:textId="77777777" w:rsidR="00557563" w:rsidRPr="00557563" w:rsidRDefault="00557563" w:rsidP="00557563">
      <w:pPr>
        <w:spacing w:line="259" w:lineRule="auto"/>
        <w:jc w:val="both"/>
        <w:rPr>
          <w:rFonts w:eastAsiaTheme="minorHAnsi"/>
          <w:b/>
          <w:lang w:eastAsia="en-US"/>
        </w:rPr>
      </w:pPr>
    </w:p>
    <w:p w14:paraId="79E2733D" w14:textId="77777777" w:rsidR="00557563" w:rsidRPr="00557563" w:rsidRDefault="00557563" w:rsidP="00557563">
      <w:pPr>
        <w:spacing w:line="259" w:lineRule="auto"/>
        <w:jc w:val="both"/>
        <w:rPr>
          <w:rFonts w:eastAsiaTheme="minorHAnsi"/>
          <w:b/>
          <w:lang w:eastAsia="en-US"/>
        </w:rPr>
      </w:pPr>
    </w:p>
    <w:p w14:paraId="7F6BDD59" w14:textId="77777777" w:rsidR="00557563" w:rsidRPr="00557563" w:rsidRDefault="00557563" w:rsidP="00557563">
      <w:pPr>
        <w:spacing w:line="259" w:lineRule="auto"/>
        <w:jc w:val="both"/>
        <w:rPr>
          <w:rFonts w:eastAsiaTheme="minorHAnsi"/>
          <w:b/>
          <w:lang w:eastAsia="en-US"/>
        </w:rPr>
      </w:pPr>
    </w:p>
    <w:p w14:paraId="681798A4" w14:textId="77777777" w:rsidR="00557563" w:rsidRPr="00557563" w:rsidRDefault="00557563" w:rsidP="00557563">
      <w:pPr>
        <w:spacing w:line="259" w:lineRule="auto"/>
        <w:jc w:val="both"/>
        <w:rPr>
          <w:rFonts w:eastAsiaTheme="minorHAnsi"/>
          <w:b/>
          <w:lang w:eastAsia="en-US"/>
        </w:rPr>
      </w:pPr>
    </w:p>
    <w:p w14:paraId="6C47A869" w14:textId="77777777" w:rsidR="00557563" w:rsidRPr="00557563" w:rsidRDefault="00557563" w:rsidP="00557563">
      <w:pPr>
        <w:spacing w:line="259" w:lineRule="auto"/>
        <w:jc w:val="both"/>
        <w:rPr>
          <w:rFonts w:eastAsiaTheme="minorHAnsi"/>
          <w:b/>
          <w:lang w:eastAsia="en-US"/>
        </w:rPr>
      </w:pPr>
    </w:p>
    <w:p w14:paraId="1414C65F" w14:textId="77777777" w:rsidR="00557563" w:rsidRPr="00557563" w:rsidRDefault="00557563" w:rsidP="00557563">
      <w:pPr>
        <w:spacing w:line="259" w:lineRule="auto"/>
        <w:jc w:val="both"/>
        <w:rPr>
          <w:rFonts w:eastAsiaTheme="minorHAnsi"/>
          <w:b/>
          <w:lang w:eastAsia="en-US"/>
        </w:rPr>
      </w:pPr>
    </w:p>
    <w:p w14:paraId="7C0AF8A9" w14:textId="77777777" w:rsidR="00557563" w:rsidRPr="00557563" w:rsidRDefault="00557563" w:rsidP="00557563">
      <w:pPr>
        <w:spacing w:line="259" w:lineRule="auto"/>
        <w:jc w:val="both"/>
        <w:rPr>
          <w:rFonts w:eastAsiaTheme="minorHAnsi"/>
          <w:b/>
          <w:lang w:eastAsia="en-US"/>
        </w:rPr>
      </w:pPr>
    </w:p>
    <w:p w14:paraId="4BF2568B" w14:textId="77777777" w:rsidR="00557563" w:rsidRPr="00557563" w:rsidRDefault="00557563" w:rsidP="00557563">
      <w:pPr>
        <w:spacing w:line="259" w:lineRule="auto"/>
        <w:jc w:val="both"/>
        <w:rPr>
          <w:rFonts w:eastAsiaTheme="minorHAnsi"/>
          <w:b/>
          <w:lang w:eastAsia="en-US"/>
        </w:rPr>
      </w:pPr>
    </w:p>
    <w:p w14:paraId="2AEEE2BF" w14:textId="77777777" w:rsidR="00557563" w:rsidRPr="00557563" w:rsidRDefault="00557563" w:rsidP="00557563">
      <w:pPr>
        <w:spacing w:line="259" w:lineRule="auto"/>
        <w:jc w:val="both"/>
        <w:rPr>
          <w:rFonts w:eastAsiaTheme="minorHAnsi"/>
          <w:b/>
          <w:lang w:eastAsia="en-US"/>
        </w:rPr>
      </w:pPr>
    </w:p>
    <w:p w14:paraId="297D8178" w14:textId="77777777" w:rsidR="00557563" w:rsidRPr="00557563" w:rsidRDefault="00557563" w:rsidP="00557563">
      <w:pPr>
        <w:spacing w:line="259" w:lineRule="auto"/>
        <w:jc w:val="both"/>
        <w:rPr>
          <w:rFonts w:eastAsiaTheme="minorHAnsi"/>
          <w:b/>
          <w:lang w:eastAsia="en-US"/>
        </w:rPr>
      </w:pPr>
    </w:p>
    <w:p w14:paraId="4EDCA864" w14:textId="77777777" w:rsidR="00557563" w:rsidRPr="00557563" w:rsidRDefault="00557563" w:rsidP="00557563">
      <w:pPr>
        <w:spacing w:line="259" w:lineRule="auto"/>
        <w:jc w:val="both"/>
        <w:rPr>
          <w:rFonts w:eastAsiaTheme="minorHAnsi"/>
          <w:b/>
          <w:lang w:eastAsia="en-US"/>
        </w:rPr>
      </w:pPr>
    </w:p>
    <w:p w14:paraId="0234EF54" w14:textId="77777777" w:rsidR="00557563" w:rsidRPr="00557563" w:rsidRDefault="00557563" w:rsidP="00557563">
      <w:pPr>
        <w:spacing w:line="259" w:lineRule="auto"/>
        <w:jc w:val="both"/>
        <w:rPr>
          <w:rFonts w:eastAsiaTheme="minorHAnsi"/>
          <w:b/>
          <w:lang w:eastAsia="en-US"/>
        </w:rPr>
      </w:pPr>
    </w:p>
    <w:p w14:paraId="43CE2BAD" w14:textId="77777777" w:rsidR="00557563" w:rsidRPr="00557563" w:rsidRDefault="00557563" w:rsidP="00557563">
      <w:pPr>
        <w:spacing w:line="259" w:lineRule="auto"/>
        <w:jc w:val="both"/>
        <w:rPr>
          <w:rFonts w:eastAsiaTheme="minorHAnsi"/>
          <w:b/>
          <w:lang w:eastAsia="en-US"/>
        </w:rPr>
      </w:pPr>
    </w:p>
    <w:p w14:paraId="576E7499"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lastRenderedPageBreak/>
        <w:t>K Čl. VI – zákon č. 39/2015 Z. z. o poisťovníctve</w:t>
      </w:r>
    </w:p>
    <w:p w14:paraId="437BFFE0" w14:textId="77777777" w:rsidR="00557563" w:rsidRPr="00557563" w:rsidRDefault="00557563" w:rsidP="00557563">
      <w:pPr>
        <w:spacing w:line="259" w:lineRule="auto"/>
        <w:jc w:val="both"/>
        <w:rPr>
          <w:rFonts w:eastAsiaTheme="minorHAnsi"/>
          <w:b/>
          <w:lang w:eastAsia="en-US"/>
        </w:rPr>
      </w:pPr>
    </w:p>
    <w:p w14:paraId="07141C9B"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sk-SK"/>
        </w:rPr>
        <w:t xml:space="preserve">K bodom 1, 3 a 26 </w:t>
      </w:r>
      <w:r w:rsidRPr="00557563">
        <w:rPr>
          <w:rFonts w:eastAsiaTheme="minorHAnsi"/>
          <w:b/>
          <w:lang w:eastAsia="en-US"/>
        </w:rPr>
        <w:t>[§ 7 ods. 3, § 9 ods. 3 a § 168 ods. 4]</w:t>
      </w:r>
    </w:p>
    <w:p w14:paraId="299A0CD3"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 xml:space="preserve">Dňom 1. 11. 2015 nadobudol účinnosť zákon č. 272/2015 Z. z. o registri právnických osôb, podnikateľov a orgánov verejnej moci a o zmene a doplnení niektorých zákonov, ktorým sa zmenil postup prideľovania a oznamovania identifikačného čísla pre právnické osoby a podnikateľov. Vzhľadom na to, že aktuálne sa IČO prideľuje až pri zápise spoločnosti do OR SR, návrh má za cieľ zosúladenie textu zákona v súvislosti so zmenou úpravy prideľovania IČO. Ako vyplýva z už uvedeného, návrh na zápis spoločnosti (poisťovne) do OR SR sa podáva až po udelení povolenia na vykonávanie poisťovacej činnosti, teda IČO budúcej poisťovne nebude môcť byť náležitosťou žiadosti o udelenie poisťovacej licencie. To isté platí aj pri zápise zaisťovne. </w:t>
      </w:r>
    </w:p>
    <w:p w14:paraId="15EABC11" w14:textId="77777777" w:rsidR="00557563" w:rsidRPr="00557563" w:rsidRDefault="00557563" w:rsidP="00557563">
      <w:pPr>
        <w:spacing w:line="259" w:lineRule="auto"/>
        <w:jc w:val="both"/>
        <w:rPr>
          <w:rFonts w:eastAsiaTheme="minorHAnsi"/>
          <w:b/>
          <w:lang w:eastAsia="sk-SK"/>
        </w:rPr>
      </w:pPr>
    </w:p>
    <w:p w14:paraId="693DA19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sk-SK"/>
        </w:rPr>
        <w:t xml:space="preserve">K bodom 2 a 4 </w:t>
      </w:r>
      <w:r w:rsidRPr="00557563">
        <w:rPr>
          <w:rFonts w:eastAsiaTheme="minorHAnsi"/>
          <w:b/>
          <w:lang w:eastAsia="en-US"/>
        </w:rPr>
        <w:t>[§ 7 ods. 9 a § 9 ods. 9]</w:t>
      </w:r>
    </w:p>
    <w:p w14:paraId="7C6D9172" w14:textId="77777777" w:rsidR="00557563" w:rsidRPr="00557563" w:rsidRDefault="00557563" w:rsidP="00557563">
      <w:pPr>
        <w:spacing w:line="259" w:lineRule="auto"/>
        <w:jc w:val="both"/>
        <w:rPr>
          <w:lang w:eastAsia="sk-SK"/>
        </w:rPr>
      </w:pPr>
      <w:r w:rsidRPr="00557563">
        <w:rPr>
          <w:rFonts w:eastAsiaTheme="minorHAnsi"/>
          <w:lang w:eastAsia="sk-SK"/>
        </w:rPr>
        <w:t xml:space="preserve">V reakcii na nárast cezhraničného vykonávania poisťovacej a zaisťovacej činnosti sa v súlade s článkom 2 bod 3 smernice Európskeho parlamentu a Rady (EÚ) 2019/2177, ktorý novelizuje smernicu Solventnosť II zavádza oznamovacia povinnosť Národnej banky Slovenska (NBS). Ak v procese udeľovania povolenia na vykonávanie poisťovacej činnosti alebo zaisťovacej činnosti NBS zistí, že časť činnosti bude vykonávaná </w:t>
      </w:r>
      <w:r w:rsidRPr="00557563">
        <w:rPr>
          <w:lang w:eastAsia="sk-SK"/>
        </w:rPr>
        <w:t xml:space="preserve">v inom členskom štáte a tieto činnosti budú pravdepodobne relevantné pre trh tohto hostiteľského členského štátu, oznámi </w:t>
      </w:r>
      <w:r w:rsidRPr="00557563">
        <w:rPr>
          <w:color w:val="000000" w:themeColor="text1"/>
          <w:lang w:eastAsia="sk-SK"/>
        </w:rPr>
        <w:t>túto skutočnosť</w:t>
      </w:r>
      <w:r w:rsidRPr="00557563">
        <w:rPr>
          <w:lang w:eastAsia="sk-SK"/>
        </w:rPr>
        <w:t xml:space="preserve"> Európskemu orgánu dohľadu a príslušnému orgánu dohľadu hostiteľského štátu.</w:t>
      </w:r>
    </w:p>
    <w:p w14:paraId="1271AFF6" w14:textId="77777777" w:rsidR="00557563" w:rsidRPr="00557563" w:rsidRDefault="00557563" w:rsidP="00557563">
      <w:pPr>
        <w:spacing w:line="259" w:lineRule="auto"/>
        <w:jc w:val="both"/>
        <w:rPr>
          <w:rFonts w:eastAsiaTheme="minorHAnsi"/>
          <w:lang w:eastAsia="sk-SK"/>
        </w:rPr>
      </w:pPr>
    </w:p>
    <w:p w14:paraId="2E78396C"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sk-SK"/>
        </w:rPr>
        <w:t xml:space="preserve">K bodu 5 </w:t>
      </w:r>
      <w:r w:rsidRPr="00557563">
        <w:rPr>
          <w:rFonts w:eastAsiaTheme="minorHAnsi"/>
          <w:b/>
          <w:lang w:eastAsia="en-US"/>
        </w:rPr>
        <w:t>[§ 16 ods. 6]</w:t>
      </w:r>
    </w:p>
    <w:p w14:paraId="553FC1E5"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Ide o legislatívno-technickú úpravu, nakoľko sa skratka pre Európsky orgán pre poisťovníctvo a dôchodkové poistenie zamestnancov zavádza už v § 7, vypúšťa sa v § 16 ods. 6.</w:t>
      </w:r>
    </w:p>
    <w:p w14:paraId="09FE49FB" w14:textId="77777777" w:rsidR="00557563" w:rsidRPr="00557563" w:rsidRDefault="00557563" w:rsidP="00557563">
      <w:pPr>
        <w:spacing w:line="259" w:lineRule="auto"/>
        <w:jc w:val="both"/>
        <w:rPr>
          <w:rFonts w:eastAsiaTheme="minorHAnsi"/>
          <w:lang w:eastAsia="sk-SK"/>
        </w:rPr>
      </w:pPr>
    </w:p>
    <w:p w14:paraId="7B68E936"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sk-SK"/>
        </w:rPr>
        <w:t xml:space="preserve">K bodom 6 a 7 </w:t>
      </w:r>
      <w:r w:rsidRPr="00557563">
        <w:rPr>
          <w:rFonts w:eastAsiaTheme="minorHAnsi"/>
          <w:b/>
          <w:lang w:eastAsia="en-US"/>
        </w:rPr>
        <w:t>[§ 16 ods. 9 až 11 a § 17 ods. 11]</w:t>
      </w:r>
    </w:p>
    <w:p w14:paraId="02C7C451" w14:textId="77777777" w:rsidR="00557563" w:rsidRPr="00557563" w:rsidRDefault="00557563" w:rsidP="00557563">
      <w:pPr>
        <w:spacing w:line="259" w:lineRule="auto"/>
        <w:jc w:val="both"/>
        <w:rPr>
          <w:color w:val="000000" w:themeColor="text1"/>
          <w:lang w:eastAsia="sk-SK"/>
        </w:rPr>
      </w:pPr>
      <w:r w:rsidRPr="00557563">
        <w:rPr>
          <w:rFonts w:eastAsiaTheme="minorHAnsi"/>
          <w:lang w:eastAsia="sk-SK"/>
        </w:rPr>
        <w:t xml:space="preserve">V súlade s článkom 2 bod 3 smernice 2019/2177 sa stanovuje povinnosť NBS oznámiť </w:t>
      </w:r>
      <w:r w:rsidRPr="00557563">
        <w:rPr>
          <w:color w:val="000000" w:themeColor="text1"/>
          <w:lang w:eastAsia="sk-SK"/>
        </w:rPr>
        <w:t xml:space="preserve">Európskemu orgánu dohľadu a príslušnému orgánu dohľadu hostiteľského členského zhoršenie finančného stavu alebo vznik iných rizík, ktoré predstavuje poisťovňa alebo zaisťovňa vykonávajúca poisťovaciu činnosť alebo zaisťovaciu činnosť na území hostiteľského členského štátu. V prípade absencie dohody s príslušným orgánom dohľadu členského štátu sa stanovuje možnosť požiadať o pomoc Európsky orgán dohľadu a ak nedôjde k náprave zistených nedostatkov predložiť žiadosť o vytvorenie platformy spolupráce.  </w:t>
      </w:r>
    </w:p>
    <w:p w14:paraId="44C3091A" w14:textId="77777777" w:rsidR="00557563" w:rsidRPr="00557563" w:rsidRDefault="00557563" w:rsidP="00557563">
      <w:pPr>
        <w:spacing w:line="259" w:lineRule="auto"/>
        <w:jc w:val="both"/>
        <w:rPr>
          <w:color w:val="000000" w:themeColor="text1"/>
          <w:lang w:eastAsia="sk-SK"/>
        </w:rPr>
      </w:pPr>
    </w:p>
    <w:p w14:paraId="094114B3" w14:textId="77777777" w:rsidR="00557563" w:rsidRPr="00557563" w:rsidRDefault="00557563" w:rsidP="00557563">
      <w:pPr>
        <w:spacing w:line="259" w:lineRule="auto"/>
        <w:jc w:val="both"/>
        <w:rPr>
          <w:rFonts w:eastAsiaTheme="minorHAnsi"/>
          <w:b/>
          <w:lang w:eastAsia="en-US"/>
        </w:rPr>
      </w:pPr>
      <w:r w:rsidRPr="00557563">
        <w:rPr>
          <w:b/>
          <w:color w:val="000000" w:themeColor="text1"/>
          <w:lang w:eastAsia="sk-SK"/>
        </w:rPr>
        <w:t xml:space="preserve">K bodu 8 </w:t>
      </w:r>
      <w:r w:rsidRPr="00557563">
        <w:rPr>
          <w:rFonts w:eastAsiaTheme="minorHAnsi"/>
          <w:b/>
          <w:lang w:eastAsia="en-US"/>
        </w:rPr>
        <w:t>[§ 21 ods. 8 a 9]</w:t>
      </w:r>
    </w:p>
    <w:p w14:paraId="20C3D0E0" w14:textId="77777777" w:rsidR="00557563" w:rsidRPr="00557563" w:rsidRDefault="00557563" w:rsidP="00557563">
      <w:pPr>
        <w:spacing w:line="259" w:lineRule="auto"/>
        <w:jc w:val="both"/>
        <w:rPr>
          <w:color w:val="000000" w:themeColor="text1"/>
          <w:lang w:eastAsia="sk-SK"/>
        </w:rPr>
      </w:pPr>
      <w:r w:rsidRPr="00557563">
        <w:rPr>
          <w:color w:val="000000" w:themeColor="text1"/>
          <w:lang w:eastAsia="sk-SK"/>
        </w:rPr>
        <w:t xml:space="preserve">S cieľom zlepšenia výmeny informácii pri cezhraničnom vykonávaní poisťovacej činnosti a zaisťovacej činnosti sa stanovuje možnosť informovať orgán dohľadu </w:t>
      </w:r>
      <w:r w:rsidRPr="00557563">
        <w:rPr>
          <w:lang w:eastAsia="sk-SK"/>
        </w:rPr>
        <w:t xml:space="preserve">domovského členského štátu o skutočnosti, že poisťovňa z iného členského štátu alebo zaisťovňa z iného členského štátu porušuje práva týkajúce sa ochrany spotrebiteľa. </w:t>
      </w:r>
    </w:p>
    <w:p w14:paraId="1330DD8C" w14:textId="77777777" w:rsidR="00557563" w:rsidRPr="00557563" w:rsidRDefault="00557563" w:rsidP="00557563">
      <w:pPr>
        <w:spacing w:line="259" w:lineRule="auto"/>
        <w:jc w:val="both"/>
        <w:rPr>
          <w:rFonts w:eastAsiaTheme="minorHAnsi"/>
          <w:lang w:eastAsia="sk-SK"/>
        </w:rPr>
      </w:pPr>
    </w:p>
    <w:p w14:paraId="54AFF1DD"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sk-SK"/>
        </w:rPr>
        <w:t xml:space="preserve">K bodu 9 </w:t>
      </w:r>
      <w:r w:rsidRPr="00557563">
        <w:rPr>
          <w:rFonts w:eastAsiaTheme="minorHAnsi"/>
          <w:b/>
          <w:lang w:eastAsia="en-US"/>
        </w:rPr>
        <w:t>[§ 70 ods. 1]</w:t>
      </w:r>
    </w:p>
    <w:p w14:paraId="7CDE995A"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 xml:space="preserve">Týmto ustanovením sa upresňuje, že vykonávať svoju činnosť s odbornou starostlivosťou je okrem poisťovne a pobočky zahraničnej poisťovne povinná aj poisťovňa z iného členského štátu, ktorá na území Slovenskej republiky vykonáva poisťovaciu činnosť na základe tzv. jednotného európskeho pasu.  </w:t>
      </w:r>
    </w:p>
    <w:p w14:paraId="02AE0B62" w14:textId="77777777" w:rsidR="00557563" w:rsidRPr="00557563" w:rsidRDefault="00557563" w:rsidP="00557563">
      <w:pPr>
        <w:spacing w:line="259" w:lineRule="auto"/>
        <w:jc w:val="both"/>
        <w:rPr>
          <w:rFonts w:eastAsiaTheme="minorHAnsi"/>
          <w:b/>
          <w:lang w:eastAsia="sk-SK"/>
        </w:rPr>
      </w:pPr>
    </w:p>
    <w:p w14:paraId="69F7617A"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sk-SK"/>
        </w:rPr>
        <w:lastRenderedPageBreak/>
        <w:t xml:space="preserve">K bodu 10 </w:t>
      </w:r>
      <w:r w:rsidRPr="00557563">
        <w:rPr>
          <w:rFonts w:eastAsiaTheme="minorHAnsi"/>
          <w:b/>
          <w:lang w:eastAsia="en-US"/>
        </w:rPr>
        <w:t>[§ 72 ods. 3 písm. d)]</w:t>
      </w:r>
    </w:p>
    <w:p w14:paraId="52636BF9"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V zmysle ustanovenia § 2 písm. c) zákona č. 563/2009 Z. z. o správe daní sa daňovým konaním rozumie konanie, v ktorom sa rozhoduje o právach a povinnostiach daňových subjektov. V rámci výkonu správy daní však nie každé konanie správcu dane musí skončiť vydaním rozhodnutia. V takomto prípade by poisťovne mohli, podľa súčasného znenia ustanovenia § 72 ods. 3 písm. d), odmietnuť poskytnúť akékoľvek informácie a správca dane by musel začať daňové konanie, aby získal požadované informácie, čo by zbytočne zaťažovalo daňové subjekty a aj správcu dane.</w:t>
      </w:r>
    </w:p>
    <w:p w14:paraId="4B321A74" w14:textId="77777777" w:rsidR="00557563" w:rsidRPr="00557563" w:rsidRDefault="00557563" w:rsidP="00557563">
      <w:pPr>
        <w:spacing w:line="259" w:lineRule="auto"/>
        <w:jc w:val="both"/>
        <w:rPr>
          <w:rFonts w:eastAsiaTheme="minorHAnsi"/>
          <w:lang w:eastAsia="sk-SK"/>
        </w:rPr>
      </w:pPr>
    </w:p>
    <w:p w14:paraId="5C2DBCAA" w14:textId="77777777" w:rsidR="00557563" w:rsidRPr="00557563" w:rsidRDefault="00557563" w:rsidP="00557563">
      <w:pPr>
        <w:spacing w:line="259" w:lineRule="auto"/>
        <w:jc w:val="both"/>
        <w:rPr>
          <w:rFonts w:eastAsiaTheme="minorHAnsi"/>
          <w:lang w:eastAsia="sk-SK"/>
        </w:rPr>
      </w:pPr>
      <w:r w:rsidRPr="00557563">
        <w:rPr>
          <w:rFonts w:eastAsiaTheme="minorHAnsi"/>
          <w:b/>
          <w:lang w:eastAsia="sk-SK"/>
        </w:rPr>
        <w:t>K bodu 11</w:t>
      </w:r>
      <w:r w:rsidRPr="00557563">
        <w:rPr>
          <w:rFonts w:eastAsiaTheme="minorHAnsi"/>
          <w:lang w:eastAsia="sk-SK"/>
        </w:rPr>
        <w:t xml:space="preserve"> </w:t>
      </w:r>
      <w:r w:rsidRPr="00557563">
        <w:rPr>
          <w:rFonts w:eastAsiaTheme="minorHAnsi"/>
          <w:b/>
          <w:lang w:eastAsia="en-US"/>
        </w:rPr>
        <w:t>[§ 73 ods. 1]</w:t>
      </w:r>
    </w:p>
    <w:p w14:paraId="61ABAE81"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 xml:space="preserve">V súlade s článkom 74 smernice Európskeho parlamentu a Rady (EÚ) 2009/138/ES z 25. novembra 2009 o začatí a vykonávaní poistenia a zaistenia (Smernica Solventnosť II) sa vyžaduje, aby poisťovne, ktoré vykonávajú činnosti životného aj neživotného poistenia, tieto činnosti organizovali takým spôsobom, aby činnosť životného poistenia bola oddelená od činnosti neživotného poistenia. Ochrana poistníkov sa teda má zabezpečiť napr. oddelenými kapitálovými požiadavkami, vedením oddelenej správy a oddelenej analytickej evidencie a oddelením údajov účtovnej závierke. Uvedená smernica však nepožaduje aj personálne oddelenia zamestnancov vykonávajúcich činnosti v oblasti životného a neživotného poistenia. </w:t>
      </w:r>
    </w:p>
    <w:p w14:paraId="12528885" w14:textId="77777777" w:rsidR="00557563" w:rsidRPr="00557563" w:rsidRDefault="00557563" w:rsidP="00557563">
      <w:pPr>
        <w:spacing w:line="259" w:lineRule="auto"/>
        <w:jc w:val="both"/>
        <w:rPr>
          <w:rFonts w:eastAsiaTheme="minorHAnsi"/>
          <w:b/>
          <w:lang w:eastAsia="sk-SK"/>
        </w:rPr>
      </w:pPr>
    </w:p>
    <w:p w14:paraId="034C2140" w14:textId="77777777" w:rsidR="00557563" w:rsidRPr="00557563" w:rsidRDefault="00557563" w:rsidP="00557563">
      <w:pPr>
        <w:spacing w:line="259" w:lineRule="auto"/>
        <w:jc w:val="both"/>
        <w:rPr>
          <w:rFonts w:eastAsiaTheme="minorHAnsi"/>
          <w:lang w:eastAsia="sk-SK"/>
        </w:rPr>
      </w:pPr>
      <w:r w:rsidRPr="00557563">
        <w:rPr>
          <w:rFonts w:eastAsiaTheme="minorHAnsi"/>
          <w:b/>
          <w:lang w:eastAsia="sk-SK"/>
        </w:rPr>
        <w:t xml:space="preserve">K bodu 12 </w:t>
      </w:r>
      <w:r w:rsidRPr="00557563">
        <w:rPr>
          <w:rFonts w:eastAsiaTheme="minorHAnsi"/>
          <w:b/>
          <w:lang w:eastAsia="en-US"/>
        </w:rPr>
        <w:t>[poznámka pod čiarou k odkazu 45]</w:t>
      </w:r>
    </w:p>
    <w:p w14:paraId="1AA439F1"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Upresňuje sa znenie poznámky pod čiarou k odkazu 45.</w:t>
      </w:r>
    </w:p>
    <w:p w14:paraId="294F940B" w14:textId="77777777" w:rsidR="00557563" w:rsidRPr="00557563" w:rsidRDefault="00557563" w:rsidP="00557563">
      <w:pPr>
        <w:spacing w:line="259" w:lineRule="auto"/>
        <w:jc w:val="both"/>
        <w:rPr>
          <w:rFonts w:eastAsiaTheme="minorHAnsi"/>
          <w:lang w:eastAsia="sk-SK"/>
        </w:rPr>
      </w:pPr>
    </w:p>
    <w:p w14:paraId="6CEF2B08" w14:textId="77777777" w:rsidR="00557563" w:rsidRPr="00557563" w:rsidRDefault="00557563" w:rsidP="00557563">
      <w:pPr>
        <w:spacing w:line="259" w:lineRule="auto"/>
        <w:jc w:val="both"/>
        <w:rPr>
          <w:rFonts w:eastAsiaTheme="minorHAnsi"/>
          <w:lang w:eastAsia="sk-SK"/>
        </w:rPr>
      </w:pPr>
      <w:r w:rsidRPr="00557563">
        <w:rPr>
          <w:rFonts w:eastAsiaTheme="minorHAnsi"/>
          <w:b/>
          <w:lang w:eastAsia="sk-SK"/>
        </w:rPr>
        <w:t xml:space="preserve">K bodu 13 </w:t>
      </w:r>
      <w:r w:rsidRPr="00557563">
        <w:rPr>
          <w:rFonts w:eastAsiaTheme="minorHAnsi"/>
          <w:b/>
          <w:lang w:eastAsia="en-US"/>
        </w:rPr>
        <w:t>[§ 77 ods. 1 písm. e)]</w:t>
      </w:r>
    </w:p>
    <w:p w14:paraId="2E52C539"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Konkretizuje sa osobitný predpis, na ktorý sa ustanovenie odvoláva t. j. zákon č. 186/2009 Z. z. o finančnom sprostredkovaní a finančnom poradenstve a o zmene a doplnení niektorých zákonov v znení neskorších predpisov.</w:t>
      </w:r>
    </w:p>
    <w:p w14:paraId="3864E42A" w14:textId="77777777" w:rsidR="00557563" w:rsidRPr="00557563" w:rsidRDefault="00557563" w:rsidP="00557563">
      <w:pPr>
        <w:spacing w:line="259" w:lineRule="auto"/>
        <w:jc w:val="both"/>
        <w:rPr>
          <w:rFonts w:eastAsiaTheme="minorHAnsi"/>
          <w:lang w:eastAsia="sk-SK"/>
        </w:rPr>
      </w:pPr>
    </w:p>
    <w:p w14:paraId="1191EB8A" w14:textId="77777777" w:rsidR="00557563" w:rsidRPr="00557563" w:rsidRDefault="00557563" w:rsidP="00557563">
      <w:pPr>
        <w:spacing w:line="259" w:lineRule="auto"/>
        <w:jc w:val="both"/>
        <w:rPr>
          <w:rFonts w:eastAsiaTheme="minorHAnsi"/>
          <w:lang w:eastAsia="sk-SK"/>
        </w:rPr>
      </w:pPr>
      <w:r w:rsidRPr="00557563">
        <w:rPr>
          <w:rFonts w:eastAsiaTheme="minorHAnsi"/>
          <w:b/>
          <w:lang w:eastAsia="sk-SK"/>
        </w:rPr>
        <w:t xml:space="preserve">K bodu 14 </w:t>
      </w:r>
      <w:r w:rsidRPr="00557563">
        <w:rPr>
          <w:rFonts w:eastAsiaTheme="minorHAnsi"/>
          <w:b/>
          <w:lang w:eastAsia="en-US"/>
        </w:rPr>
        <w:t>[§ 77 ods. 1 písm. v)]</w:t>
      </w:r>
    </w:p>
    <w:p w14:paraId="2605BD2A"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 xml:space="preserve">Rozširuje sa požiadavka na predchádzajúci súhlas NBS v prípade prevodu poistného kmeňa alebo jeho časti, pretože podľa platného znenia zákona o poisťovníctve nie je možné previesť poistný kmeň samostatne na základe predchádzajúceho súhlasu NBS, a to bez prevodu podniku alebo časti podniku, v zmysle § 156 zákona o poisťovníctve. </w:t>
      </w:r>
    </w:p>
    <w:p w14:paraId="4536B84B" w14:textId="77777777" w:rsidR="00557563" w:rsidRPr="00557563" w:rsidRDefault="00557563" w:rsidP="00557563">
      <w:pPr>
        <w:spacing w:line="259" w:lineRule="auto"/>
        <w:jc w:val="both"/>
        <w:rPr>
          <w:rFonts w:eastAsiaTheme="minorHAnsi"/>
          <w:lang w:eastAsia="sk-SK"/>
        </w:rPr>
      </w:pPr>
    </w:p>
    <w:p w14:paraId="5F48EC63" w14:textId="77777777" w:rsidR="00557563" w:rsidRPr="00557563" w:rsidRDefault="00557563" w:rsidP="00557563">
      <w:pPr>
        <w:spacing w:line="259" w:lineRule="auto"/>
        <w:jc w:val="both"/>
        <w:rPr>
          <w:rFonts w:eastAsiaTheme="minorHAnsi"/>
          <w:lang w:eastAsia="sk-SK"/>
        </w:rPr>
      </w:pPr>
      <w:r w:rsidRPr="00557563">
        <w:rPr>
          <w:rFonts w:eastAsiaTheme="minorHAnsi"/>
          <w:b/>
          <w:lang w:eastAsia="sk-SK"/>
        </w:rPr>
        <w:t xml:space="preserve">K bodu 15 </w:t>
      </w:r>
      <w:r w:rsidRPr="00557563">
        <w:rPr>
          <w:rFonts w:eastAsiaTheme="minorHAnsi"/>
          <w:b/>
          <w:lang w:eastAsia="en-US"/>
        </w:rPr>
        <w:t>[§ 77 ods. 2 písm. p)]</w:t>
      </w:r>
    </w:p>
    <w:p w14:paraId="0BA17553"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V nadväznosti na bod 14 sa ustanovujú podmienky, ktoré musia byť splnené na vydanie predchádzajúceho súhlasu NBS na prevod poistného kmeňa, jeho časti, zaistného kmeňa alebo jeho časti.</w:t>
      </w:r>
    </w:p>
    <w:p w14:paraId="4C1E9F15" w14:textId="77777777" w:rsidR="00557563" w:rsidRPr="00557563" w:rsidRDefault="00557563" w:rsidP="00557563">
      <w:pPr>
        <w:spacing w:line="259" w:lineRule="auto"/>
        <w:jc w:val="both"/>
        <w:rPr>
          <w:rFonts w:eastAsiaTheme="minorHAnsi"/>
          <w:lang w:eastAsia="sk-SK"/>
        </w:rPr>
      </w:pPr>
    </w:p>
    <w:p w14:paraId="4DC9CFBB" w14:textId="77777777" w:rsidR="00557563" w:rsidRPr="00557563" w:rsidRDefault="00557563" w:rsidP="00557563">
      <w:pPr>
        <w:spacing w:line="259" w:lineRule="auto"/>
        <w:jc w:val="both"/>
        <w:rPr>
          <w:rFonts w:eastAsiaTheme="minorHAnsi"/>
          <w:lang w:eastAsia="sk-SK"/>
        </w:rPr>
      </w:pPr>
      <w:r w:rsidRPr="00557563">
        <w:rPr>
          <w:rFonts w:eastAsiaTheme="minorHAnsi"/>
          <w:b/>
          <w:lang w:eastAsia="sk-SK"/>
        </w:rPr>
        <w:t xml:space="preserve">K bodu 16 </w:t>
      </w:r>
      <w:r w:rsidRPr="00557563">
        <w:rPr>
          <w:rFonts w:eastAsiaTheme="minorHAnsi"/>
          <w:b/>
          <w:lang w:eastAsia="en-US"/>
        </w:rPr>
        <w:t>[§ 77 ods. 3]</w:t>
      </w:r>
    </w:p>
    <w:p w14:paraId="52331060"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V prípade predaja podniku alebo jeho časti, zlúčenia, splynutia alebo rozdelenia vždy dochádza k prevodu buď celého poistného, resp. zaistného kmeňa alebo jeho časti, a preto je potrebné posúdiť aj informácie a doklady súvisiace s týmto prevodom. Ak by nedochádzalo k prevodu kmeňa predchádzajúci súhlas NBS by bol zbytočný.</w:t>
      </w:r>
    </w:p>
    <w:p w14:paraId="0C080BBE" w14:textId="77777777" w:rsidR="00557563" w:rsidRPr="00557563" w:rsidRDefault="00557563" w:rsidP="00557563">
      <w:pPr>
        <w:spacing w:line="259" w:lineRule="auto"/>
        <w:jc w:val="both"/>
        <w:rPr>
          <w:rFonts w:eastAsiaTheme="minorHAnsi"/>
          <w:lang w:eastAsia="sk-SK"/>
        </w:rPr>
      </w:pPr>
    </w:p>
    <w:p w14:paraId="2BB73BD6" w14:textId="77777777" w:rsidR="00557563" w:rsidRPr="00557563" w:rsidRDefault="00557563" w:rsidP="00557563">
      <w:pPr>
        <w:spacing w:line="259" w:lineRule="auto"/>
        <w:jc w:val="both"/>
        <w:rPr>
          <w:rFonts w:eastAsiaTheme="minorHAnsi"/>
          <w:lang w:eastAsia="sk-SK"/>
        </w:rPr>
      </w:pPr>
      <w:r w:rsidRPr="00557563">
        <w:rPr>
          <w:rFonts w:eastAsiaTheme="minorHAnsi"/>
          <w:b/>
          <w:lang w:eastAsia="sk-SK"/>
        </w:rPr>
        <w:t xml:space="preserve">K bodu 17 </w:t>
      </w:r>
      <w:r w:rsidRPr="00557563">
        <w:rPr>
          <w:rFonts w:eastAsiaTheme="minorHAnsi"/>
          <w:b/>
          <w:lang w:eastAsia="en-US"/>
        </w:rPr>
        <w:t>[§ 77 ods. 7]</w:t>
      </w:r>
    </w:p>
    <w:p w14:paraId="2F7F42FB"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lastRenderedPageBreak/>
        <w:t>Z dôvodu právnej jednoznačnosti sa upravuje znenie § 77 ods. 7, že právomoc Národnej banky Slovenska neudeliť predchádzajúci súhlas sa okrem podmienok uvedených v odseku 2 vzťahuje aj na nesplnenie podmienok uvedených v odsekoch 3 až 5.</w:t>
      </w:r>
    </w:p>
    <w:p w14:paraId="4039608A" w14:textId="77777777" w:rsidR="00557563" w:rsidRPr="00557563" w:rsidRDefault="00557563" w:rsidP="00557563">
      <w:pPr>
        <w:spacing w:line="259" w:lineRule="auto"/>
        <w:jc w:val="both"/>
        <w:rPr>
          <w:rFonts w:eastAsiaTheme="minorHAnsi"/>
          <w:lang w:eastAsia="sk-SK"/>
        </w:rPr>
      </w:pPr>
    </w:p>
    <w:p w14:paraId="7439614D" w14:textId="77777777" w:rsidR="00557563" w:rsidRPr="00557563" w:rsidRDefault="00557563" w:rsidP="00557563">
      <w:pPr>
        <w:spacing w:line="259" w:lineRule="auto"/>
        <w:jc w:val="both"/>
        <w:rPr>
          <w:rFonts w:eastAsiaTheme="minorHAnsi"/>
          <w:lang w:eastAsia="sk-SK"/>
        </w:rPr>
      </w:pPr>
      <w:r w:rsidRPr="00557563">
        <w:rPr>
          <w:rFonts w:eastAsiaTheme="minorHAnsi"/>
          <w:b/>
          <w:lang w:eastAsia="sk-SK"/>
        </w:rPr>
        <w:t xml:space="preserve">K bodu 18 </w:t>
      </w:r>
      <w:r w:rsidRPr="00557563">
        <w:rPr>
          <w:rFonts w:eastAsiaTheme="minorHAnsi"/>
          <w:b/>
          <w:lang w:eastAsia="en-US"/>
        </w:rPr>
        <w:t>[§ 77 ods. 9 písm. e)]</w:t>
      </w:r>
    </w:p>
    <w:p w14:paraId="5856B8A3"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Ustanovuje sa osoba, ktorá je povinná podať žiadosť na predchádzajúci súhlas NBS v prípade prevodu poistného, resp. zaistného kmeňa alebo jeho časti v súvislosti s rozšírením ustanovenia o predchádzajúcom súhlase NBS v bode 14.</w:t>
      </w:r>
    </w:p>
    <w:p w14:paraId="11F63430" w14:textId="77777777" w:rsidR="00557563" w:rsidRPr="00557563" w:rsidRDefault="00557563" w:rsidP="00557563">
      <w:pPr>
        <w:spacing w:line="259" w:lineRule="auto"/>
        <w:jc w:val="both"/>
        <w:rPr>
          <w:rFonts w:eastAsiaTheme="minorHAnsi"/>
          <w:lang w:eastAsia="sk-SK"/>
        </w:rPr>
      </w:pPr>
    </w:p>
    <w:p w14:paraId="2D3CC94A" w14:textId="77777777" w:rsidR="00557563" w:rsidRPr="00557563" w:rsidRDefault="00557563" w:rsidP="00557563">
      <w:pPr>
        <w:spacing w:line="259" w:lineRule="auto"/>
        <w:jc w:val="both"/>
        <w:rPr>
          <w:rFonts w:eastAsiaTheme="minorHAnsi"/>
          <w:lang w:eastAsia="sk-SK"/>
        </w:rPr>
      </w:pPr>
      <w:r w:rsidRPr="00557563">
        <w:rPr>
          <w:rFonts w:eastAsiaTheme="minorHAnsi"/>
          <w:b/>
          <w:lang w:eastAsia="sk-SK"/>
        </w:rPr>
        <w:t xml:space="preserve">K bodu 19 </w:t>
      </w:r>
      <w:r w:rsidRPr="00557563">
        <w:rPr>
          <w:rFonts w:eastAsiaTheme="minorHAnsi"/>
          <w:b/>
          <w:lang w:eastAsia="en-US"/>
        </w:rPr>
        <w:t>[§ 77 ods. 20]</w:t>
      </w:r>
    </w:p>
    <w:p w14:paraId="1002EA09"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Vzhľadom na to, že na nadobudnutie kvalifikovanej účasti na poisťovni alebo zaisťovni je potrebný predchádzajúci súhlas Národnej banky Slovenska, doplnením tohto ustanovenia sa obmedzuje výkon hlasovacieho práva až do doby, kým Národná banka Slovenska tento súhlas neudelí.</w:t>
      </w:r>
    </w:p>
    <w:p w14:paraId="5AD9200D" w14:textId="77777777" w:rsidR="00557563" w:rsidRPr="00557563" w:rsidRDefault="00557563" w:rsidP="00557563">
      <w:pPr>
        <w:spacing w:line="259" w:lineRule="auto"/>
        <w:jc w:val="both"/>
        <w:rPr>
          <w:rFonts w:eastAsiaTheme="minorHAnsi"/>
          <w:lang w:eastAsia="sk-SK"/>
        </w:rPr>
      </w:pPr>
    </w:p>
    <w:p w14:paraId="56AF892F" w14:textId="77777777" w:rsidR="00557563" w:rsidRPr="00557563" w:rsidRDefault="00557563" w:rsidP="00557563">
      <w:pPr>
        <w:spacing w:line="259" w:lineRule="auto"/>
        <w:jc w:val="both"/>
        <w:rPr>
          <w:rFonts w:eastAsiaTheme="minorHAnsi"/>
          <w:lang w:eastAsia="sk-SK"/>
        </w:rPr>
      </w:pPr>
      <w:r w:rsidRPr="00557563">
        <w:rPr>
          <w:rFonts w:eastAsiaTheme="minorHAnsi"/>
          <w:b/>
          <w:lang w:eastAsia="sk-SK"/>
        </w:rPr>
        <w:t xml:space="preserve">K bodu 20 </w:t>
      </w:r>
      <w:r w:rsidRPr="00557563">
        <w:rPr>
          <w:rFonts w:eastAsiaTheme="minorHAnsi"/>
          <w:b/>
          <w:lang w:eastAsia="en-US"/>
        </w:rPr>
        <w:t>[§ 79 ods. 26 písm. b)]</w:t>
      </w:r>
    </w:p>
    <w:p w14:paraId="272EB095"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 xml:space="preserve">Z aplikačnej praxe NBS vyplýva, že za účelom efektívnej výmeny informácií získaných NBS v rámci výkonu dohľadu je potrebné rozšíriť výmenu informácií nielen s orgánmi dohľadu členských štátov, ale aj ostatných štátov. </w:t>
      </w:r>
    </w:p>
    <w:p w14:paraId="45391C2B" w14:textId="77777777" w:rsidR="00557563" w:rsidRPr="00557563" w:rsidRDefault="00557563" w:rsidP="00557563">
      <w:pPr>
        <w:spacing w:line="259" w:lineRule="auto"/>
        <w:jc w:val="both"/>
        <w:rPr>
          <w:rFonts w:eastAsiaTheme="minorHAnsi"/>
          <w:lang w:eastAsia="sk-SK"/>
        </w:rPr>
      </w:pPr>
    </w:p>
    <w:p w14:paraId="3AFA87DF" w14:textId="77777777" w:rsidR="00557563" w:rsidRPr="00557563" w:rsidRDefault="00557563" w:rsidP="00557563">
      <w:pPr>
        <w:spacing w:line="259" w:lineRule="auto"/>
        <w:jc w:val="both"/>
        <w:rPr>
          <w:rFonts w:eastAsiaTheme="minorHAnsi"/>
          <w:lang w:eastAsia="sk-SK"/>
        </w:rPr>
      </w:pPr>
      <w:r w:rsidRPr="00557563">
        <w:rPr>
          <w:rFonts w:eastAsiaTheme="minorHAnsi"/>
          <w:b/>
          <w:lang w:eastAsia="sk-SK"/>
        </w:rPr>
        <w:t xml:space="preserve">K bodu 21 </w:t>
      </w:r>
      <w:r w:rsidRPr="00557563">
        <w:rPr>
          <w:rFonts w:eastAsiaTheme="minorHAnsi"/>
          <w:b/>
          <w:lang w:eastAsia="en-US"/>
        </w:rPr>
        <w:t>[§ 79 ods. 26 písm. i)]</w:t>
      </w:r>
    </w:p>
    <w:p w14:paraId="383B3F38" w14:textId="77777777" w:rsidR="00557563" w:rsidRPr="00557563" w:rsidRDefault="00557563" w:rsidP="00557563">
      <w:pPr>
        <w:spacing w:line="259" w:lineRule="auto"/>
        <w:jc w:val="both"/>
        <w:rPr>
          <w:rFonts w:eastAsiaTheme="minorHAnsi"/>
          <w:lang w:eastAsia="sk-SK"/>
        </w:rPr>
      </w:pPr>
      <w:r w:rsidRPr="00557563">
        <w:rPr>
          <w:rFonts w:ascii="Times" w:hAnsi="Times" w:cs="Times"/>
          <w:lang w:eastAsia="en-US"/>
        </w:rPr>
        <w:t>V rámci svojej činnosti vykonáva NBS dohľad nad poisťovňami, pričom získava informácie, ktoré môžu mať vplyv aj na kontrolu plnenia povinností daňovými subjektmi napríklad v oblasti tvorby technických rezerv. Je preto nevyhnutné, aby takéto informácie mohla poskytovať správcovi dane, ktorý ich môže využiť pri svojej činnosti.</w:t>
      </w:r>
    </w:p>
    <w:p w14:paraId="53F50C94" w14:textId="77777777" w:rsidR="00557563" w:rsidRPr="00557563" w:rsidRDefault="00557563" w:rsidP="00557563">
      <w:pPr>
        <w:spacing w:line="259" w:lineRule="auto"/>
        <w:jc w:val="both"/>
        <w:rPr>
          <w:rFonts w:eastAsiaTheme="minorHAnsi"/>
          <w:lang w:eastAsia="sk-SK"/>
        </w:rPr>
      </w:pPr>
    </w:p>
    <w:p w14:paraId="7AF05D4F" w14:textId="77777777" w:rsidR="00557563" w:rsidRPr="00557563" w:rsidRDefault="00557563" w:rsidP="00557563">
      <w:pPr>
        <w:spacing w:line="259" w:lineRule="auto"/>
        <w:jc w:val="both"/>
        <w:rPr>
          <w:rFonts w:eastAsiaTheme="minorHAnsi"/>
          <w:b/>
          <w:lang w:eastAsia="sk-SK"/>
        </w:rPr>
      </w:pPr>
      <w:r w:rsidRPr="00557563">
        <w:rPr>
          <w:rFonts w:eastAsiaTheme="minorHAnsi"/>
          <w:b/>
          <w:lang w:eastAsia="sk-SK"/>
        </w:rPr>
        <w:t xml:space="preserve">K bodu 22 </w:t>
      </w:r>
      <w:r w:rsidRPr="00557563">
        <w:rPr>
          <w:rFonts w:eastAsiaTheme="minorHAnsi"/>
          <w:b/>
          <w:lang w:eastAsia="en-US"/>
        </w:rPr>
        <w:t>[§ 97 ods. 1]</w:t>
      </w:r>
    </w:p>
    <w:p w14:paraId="72388DD7"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V zmysle článku 2 bod 4 smernice 2019/2177 sa stanovuje, že</w:t>
      </w:r>
      <w:r w:rsidRPr="00557563">
        <w:rPr>
          <w:rFonts w:asciiTheme="minorHAnsi" w:eastAsiaTheme="minorHAnsi" w:hAnsiTheme="minorHAnsi" w:cstheme="minorBidi"/>
          <w:sz w:val="22"/>
          <w:szCs w:val="22"/>
          <w:lang w:eastAsia="en-US"/>
        </w:rPr>
        <w:t xml:space="preserve"> o</w:t>
      </w:r>
      <w:r w:rsidRPr="00557563">
        <w:rPr>
          <w:rFonts w:eastAsiaTheme="minorHAnsi"/>
          <w:lang w:eastAsia="sk-SK"/>
        </w:rPr>
        <w:t>rgán dohľadu nad skupinou bez zbytočného odkladu informuje o žiadosti o schválenie výpočtu konsolidovanej kapitálovej požiadavky skupiny, ako aj kapitálovej požiadavky na solventnosť príbuzných spoločností, ktoré sú predmetom výpočtu solventnosti skupiny, na základe vnútorného modelu aj Európsky orgán dohľadu.</w:t>
      </w:r>
    </w:p>
    <w:p w14:paraId="7EA671E7" w14:textId="77777777" w:rsidR="00557563" w:rsidRPr="00557563" w:rsidRDefault="00557563" w:rsidP="00557563">
      <w:pPr>
        <w:spacing w:line="259" w:lineRule="auto"/>
        <w:jc w:val="both"/>
        <w:rPr>
          <w:rFonts w:eastAsiaTheme="minorHAnsi"/>
          <w:lang w:eastAsia="sk-SK"/>
        </w:rPr>
      </w:pPr>
    </w:p>
    <w:p w14:paraId="526CB469" w14:textId="77777777" w:rsidR="00557563" w:rsidRPr="00557563" w:rsidRDefault="00557563" w:rsidP="00557563">
      <w:pPr>
        <w:spacing w:line="259" w:lineRule="auto"/>
        <w:jc w:val="both"/>
        <w:rPr>
          <w:rFonts w:eastAsiaTheme="minorHAnsi"/>
          <w:b/>
          <w:lang w:eastAsia="sk-SK"/>
        </w:rPr>
      </w:pPr>
      <w:r w:rsidRPr="00557563">
        <w:rPr>
          <w:rFonts w:eastAsiaTheme="minorHAnsi"/>
          <w:b/>
          <w:lang w:eastAsia="sk-SK"/>
        </w:rPr>
        <w:t xml:space="preserve">K bodu 23 </w:t>
      </w:r>
      <w:r w:rsidRPr="00557563">
        <w:rPr>
          <w:rFonts w:eastAsiaTheme="minorHAnsi"/>
          <w:b/>
          <w:lang w:eastAsia="en-US"/>
        </w:rPr>
        <w:t>[§ 143 ods. 5]</w:t>
      </w:r>
    </w:p>
    <w:p w14:paraId="2F5205F9" w14:textId="77777777" w:rsidR="00557563" w:rsidRPr="00557563" w:rsidRDefault="00557563" w:rsidP="00557563">
      <w:pPr>
        <w:spacing w:line="259" w:lineRule="auto"/>
        <w:jc w:val="both"/>
        <w:rPr>
          <w:rFonts w:eastAsiaTheme="minorHAnsi"/>
          <w:lang w:eastAsia="sk-SK"/>
        </w:rPr>
      </w:pPr>
      <w:r w:rsidRPr="00557563">
        <w:rPr>
          <w:rFonts w:eastAsiaTheme="minorHAnsi"/>
          <w:lang w:eastAsia="sk-SK"/>
        </w:rPr>
        <w:t xml:space="preserve">Stanovuje sa povinnosť, aby NBS informovala Európsky orgán dohľadu o všetkých žiadostiach týkajúcich sa využívania alebo zmeny vnútorného modelu. Národná banka Slovenska môže zároveň požiadať Európsky orgán dohľadu o technickú pomoc. </w:t>
      </w:r>
    </w:p>
    <w:p w14:paraId="78BBF586" w14:textId="77777777" w:rsidR="00557563" w:rsidRPr="00557563" w:rsidRDefault="00557563" w:rsidP="00557563">
      <w:pPr>
        <w:jc w:val="both"/>
        <w:rPr>
          <w:rFonts w:eastAsiaTheme="minorHAnsi"/>
          <w:lang w:eastAsia="sk-SK"/>
        </w:rPr>
      </w:pPr>
    </w:p>
    <w:p w14:paraId="5DC70E3D" w14:textId="77777777" w:rsidR="00557563" w:rsidRPr="00557563" w:rsidRDefault="00557563" w:rsidP="00557563">
      <w:pPr>
        <w:jc w:val="both"/>
        <w:rPr>
          <w:rFonts w:eastAsiaTheme="minorHAnsi"/>
          <w:b/>
          <w:lang w:eastAsia="sk-SK"/>
        </w:rPr>
      </w:pPr>
      <w:r w:rsidRPr="00557563">
        <w:rPr>
          <w:rFonts w:eastAsiaTheme="minorHAnsi"/>
          <w:b/>
          <w:lang w:eastAsia="sk-SK"/>
        </w:rPr>
        <w:t xml:space="preserve">K bodom 24 a 25 </w:t>
      </w:r>
      <w:r w:rsidRPr="00557563">
        <w:rPr>
          <w:rFonts w:eastAsiaTheme="minorHAnsi"/>
          <w:b/>
          <w:lang w:eastAsia="en-US"/>
        </w:rPr>
        <w:t>[§ 156 ods. 1 a § 157 ods. 1]</w:t>
      </w:r>
    </w:p>
    <w:p w14:paraId="387A1E0A" w14:textId="77777777" w:rsidR="00557563" w:rsidRPr="00557563" w:rsidRDefault="00557563" w:rsidP="00557563">
      <w:pPr>
        <w:jc w:val="both"/>
        <w:rPr>
          <w:rFonts w:eastAsiaTheme="minorHAnsi"/>
          <w:lang w:eastAsia="sk-SK"/>
        </w:rPr>
      </w:pPr>
      <w:r w:rsidRPr="00557563">
        <w:rPr>
          <w:rFonts w:eastAsiaTheme="minorHAnsi"/>
          <w:lang w:eastAsia="sk-SK"/>
        </w:rPr>
        <w:t xml:space="preserve">Ide o legislatívno-technickú úpravu v nadväznosti na úpravu v bode 14, ktorou sa rozširuje potreba predchádzajúceho súhlasu NBS, prepojením nového ustanovenia § 77 ods. 1 písm. v) na § 156 a 157. </w:t>
      </w:r>
    </w:p>
    <w:p w14:paraId="3FDF4458" w14:textId="77777777" w:rsidR="00557563" w:rsidRPr="00557563" w:rsidRDefault="00557563" w:rsidP="00557563">
      <w:pPr>
        <w:spacing w:after="160" w:line="259" w:lineRule="auto"/>
        <w:rPr>
          <w:rFonts w:asciiTheme="minorHAnsi" w:eastAsiaTheme="minorHAnsi" w:hAnsiTheme="minorHAnsi" w:cstheme="minorBidi"/>
          <w:sz w:val="22"/>
          <w:szCs w:val="22"/>
          <w:lang w:eastAsia="en-US"/>
        </w:rPr>
      </w:pPr>
    </w:p>
    <w:p w14:paraId="734DAE38" w14:textId="77777777" w:rsidR="00557563" w:rsidRPr="00557563" w:rsidRDefault="00557563" w:rsidP="00557563">
      <w:pPr>
        <w:spacing w:after="160" w:line="259" w:lineRule="auto"/>
        <w:rPr>
          <w:rFonts w:asciiTheme="minorHAnsi" w:eastAsiaTheme="minorHAnsi" w:hAnsiTheme="minorHAnsi" w:cstheme="minorBidi"/>
          <w:sz w:val="22"/>
          <w:szCs w:val="22"/>
          <w:lang w:eastAsia="en-US"/>
        </w:rPr>
      </w:pPr>
    </w:p>
    <w:p w14:paraId="06219AC6" w14:textId="77777777" w:rsidR="00557563" w:rsidRPr="00557563" w:rsidRDefault="00557563" w:rsidP="00557563">
      <w:pPr>
        <w:spacing w:line="259" w:lineRule="auto"/>
        <w:jc w:val="both"/>
        <w:rPr>
          <w:rFonts w:eastAsiaTheme="minorHAnsi"/>
          <w:b/>
          <w:lang w:eastAsia="en-US"/>
        </w:rPr>
      </w:pPr>
    </w:p>
    <w:p w14:paraId="523B5E4B" w14:textId="77777777" w:rsidR="00557563" w:rsidRPr="00557563" w:rsidRDefault="00557563" w:rsidP="00557563">
      <w:pPr>
        <w:spacing w:line="259" w:lineRule="auto"/>
        <w:jc w:val="both"/>
        <w:rPr>
          <w:rFonts w:eastAsiaTheme="minorHAnsi"/>
          <w:b/>
          <w:lang w:eastAsia="en-US"/>
        </w:rPr>
      </w:pPr>
    </w:p>
    <w:p w14:paraId="4A9D3E35" w14:textId="77777777" w:rsidR="00557563" w:rsidRPr="00557563" w:rsidRDefault="00557563" w:rsidP="00557563">
      <w:pPr>
        <w:spacing w:line="259" w:lineRule="auto"/>
        <w:jc w:val="both"/>
        <w:rPr>
          <w:rFonts w:eastAsiaTheme="minorHAnsi"/>
          <w:b/>
          <w:lang w:eastAsia="en-US"/>
        </w:rPr>
      </w:pPr>
      <w:r w:rsidRPr="00557563">
        <w:rPr>
          <w:rFonts w:eastAsiaTheme="minorHAnsi"/>
          <w:b/>
          <w:lang w:eastAsia="en-US"/>
        </w:rPr>
        <w:lastRenderedPageBreak/>
        <w:t>Čl. VII</w:t>
      </w:r>
    </w:p>
    <w:p w14:paraId="0D6864BA" w14:textId="77777777" w:rsidR="00557563" w:rsidRPr="00557563" w:rsidRDefault="00557563" w:rsidP="00557563">
      <w:pPr>
        <w:spacing w:line="259" w:lineRule="auto"/>
        <w:jc w:val="both"/>
        <w:rPr>
          <w:rFonts w:eastAsiaTheme="minorHAnsi"/>
          <w:lang w:eastAsia="en-US"/>
        </w:rPr>
      </w:pPr>
      <w:r w:rsidRPr="00420FCF">
        <w:rPr>
          <w:rFonts w:eastAsiaTheme="minorHAnsi"/>
          <w:lang w:eastAsia="en-US"/>
        </w:rPr>
        <w:t>Navrhuje sa účinnosť v súlade so smernicou</w:t>
      </w:r>
      <w:bookmarkStart w:id="4" w:name="_GoBack"/>
      <w:bookmarkEnd w:id="4"/>
      <w:r w:rsidRPr="00557563">
        <w:rPr>
          <w:rFonts w:eastAsiaTheme="minorHAnsi"/>
          <w:lang w:eastAsia="en-US"/>
        </w:rPr>
        <w:t xml:space="preserve"> IFD, smernicou 2019/2177 a smernicou 2020/1504 a to od 26. júna 2021, okrem čl. VI, ktorý nadobúda účinnosť 30. júna 2021, čl. I bodu 14, ktorý nadobúda účinnosť 10. novembra 2021, čl. I bodov 1, 4, 10, 24, 71, 72 a 103 a čl. III bodov 1 a 8, ktoré nadobúdajú účinnosť 1. januára 2022, čl. I bodov 5, 6, 13, 51, 53, 54, 60, 61 a 97 a čl. III bodov 2 až 7, ktoré nadobúdajú účinnosť 1. marca 2022.</w:t>
      </w:r>
    </w:p>
    <w:p w14:paraId="7987F542" w14:textId="77777777" w:rsidR="00557563" w:rsidRDefault="00557563">
      <w:pPr>
        <w:jc w:val="both"/>
      </w:pPr>
    </w:p>
    <w:p w14:paraId="6F73A644" w14:textId="77777777" w:rsidR="00557563" w:rsidRDefault="00557563">
      <w:pPr>
        <w:jc w:val="both"/>
      </w:pPr>
    </w:p>
    <w:p w14:paraId="42BE75D7" w14:textId="78ED2BFF" w:rsidR="00557563" w:rsidRDefault="00557563">
      <w:pPr>
        <w:jc w:val="both"/>
      </w:pPr>
      <w:r>
        <w:t>Schválené vládou Slovenskej republiky dňa 24. februára 2021.</w:t>
      </w:r>
    </w:p>
    <w:p w14:paraId="1FBB8BC1" w14:textId="77777777" w:rsidR="00557563" w:rsidRDefault="00557563">
      <w:pPr>
        <w:jc w:val="both"/>
      </w:pPr>
    </w:p>
    <w:p w14:paraId="3DBDE161" w14:textId="77777777" w:rsidR="00557563" w:rsidRDefault="00557563">
      <w:pPr>
        <w:jc w:val="both"/>
      </w:pPr>
    </w:p>
    <w:p w14:paraId="387C16F0" w14:textId="77777777" w:rsidR="00557563" w:rsidRDefault="00557563">
      <w:pPr>
        <w:jc w:val="both"/>
      </w:pPr>
    </w:p>
    <w:p w14:paraId="512021AD" w14:textId="77777777" w:rsidR="00557563" w:rsidRDefault="00557563" w:rsidP="00557563">
      <w:pPr>
        <w:jc w:val="center"/>
      </w:pPr>
    </w:p>
    <w:p w14:paraId="10B6C17B" w14:textId="77777777" w:rsidR="00557563" w:rsidRDefault="00557563" w:rsidP="00557563">
      <w:pPr>
        <w:jc w:val="center"/>
      </w:pPr>
    </w:p>
    <w:p w14:paraId="4E295543" w14:textId="77777777" w:rsidR="00557563" w:rsidRDefault="00557563" w:rsidP="00557563">
      <w:pPr>
        <w:jc w:val="center"/>
      </w:pPr>
    </w:p>
    <w:p w14:paraId="22B8D36B" w14:textId="77777777" w:rsidR="00557563" w:rsidRDefault="00557563" w:rsidP="00557563">
      <w:pPr>
        <w:jc w:val="center"/>
      </w:pPr>
    </w:p>
    <w:p w14:paraId="58B8BB72" w14:textId="77777777" w:rsidR="00557563" w:rsidRDefault="00557563" w:rsidP="00557563">
      <w:pPr>
        <w:jc w:val="center"/>
      </w:pPr>
    </w:p>
    <w:p w14:paraId="41FBD6D6" w14:textId="77777777" w:rsidR="00557563" w:rsidRDefault="00557563" w:rsidP="00557563">
      <w:pPr>
        <w:jc w:val="center"/>
        <w:rPr>
          <w:b/>
        </w:rPr>
      </w:pPr>
      <w:r>
        <w:rPr>
          <w:b/>
        </w:rPr>
        <w:t>Igor  M a t o v i č   v. r.</w:t>
      </w:r>
    </w:p>
    <w:p w14:paraId="756DA216" w14:textId="77777777" w:rsidR="00557563" w:rsidRDefault="00557563" w:rsidP="00557563">
      <w:pPr>
        <w:jc w:val="center"/>
      </w:pPr>
      <w:r>
        <w:t>predseda vlády Slovenskej republiky</w:t>
      </w:r>
    </w:p>
    <w:p w14:paraId="09F017BD" w14:textId="77777777" w:rsidR="00557563" w:rsidRDefault="00557563" w:rsidP="00557563">
      <w:pPr>
        <w:jc w:val="center"/>
      </w:pPr>
    </w:p>
    <w:p w14:paraId="5ACB56F2" w14:textId="77777777" w:rsidR="00557563" w:rsidRDefault="00557563" w:rsidP="00557563">
      <w:pPr>
        <w:jc w:val="center"/>
      </w:pPr>
    </w:p>
    <w:p w14:paraId="45D35EFA" w14:textId="77777777" w:rsidR="00557563" w:rsidRDefault="00557563" w:rsidP="00557563">
      <w:pPr>
        <w:jc w:val="center"/>
      </w:pPr>
    </w:p>
    <w:p w14:paraId="58EF6739" w14:textId="77777777" w:rsidR="00557563" w:rsidRDefault="00557563" w:rsidP="00557563">
      <w:pPr>
        <w:jc w:val="center"/>
      </w:pPr>
    </w:p>
    <w:p w14:paraId="7357DDB4" w14:textId="77777777" w:rsidR="00557563" w:rsidRDefault="00557563" w:rsidP="00557563">
      <w:pPr>
        <w:jc w:val="center"/>
      </w:pPr>
    </w:p>
    <w:p w14:paraId="0CE14718" w14:textId="77777777" w:rsidR="00557563" w:rsidRDefault="00557563" w:rsidP="00557563">
      <w:pPr>
        <w:jc w:val="center"/>
      </w:pPr>
    </w:p>
    <w:p w14:paraId="39710B35" w14:textId="77777777" w:rsidR="00557563" w:rsidRDefault="00557563" w:rsidP="00557563">
      <w:pPr>
        <w:jc w:val="center"/>
      </w:pPr>
    </w:p>
    <w:p w14:paraId="40C7BF87" w14:textId="77777777" w:rsidR="00557563" w:rsidRPr="00AE748E" w:rsidRDefault="00557563" w:rsidP="00557563">
      <w:pPr>
        <w:jc w:val="center"/>
        <w:rPr>
          <w:b/>
        </w:rPr>
      </w:pPr>
      <w:r w:rsidRPr="00AE748E">
        <w:rPr>
          <w:b/>
        </w:rPr>
        <w:t xml:space="preserve">Eduard  H e g e r </w:t>
      </w:r>
      <w:r>
        <w:rPr>
          <w:b/>
        </w:rPr>
        <w:t xml:space="preserve"> </w:t>
      </w:r>
      <w:r w:rsidRPr="00AE748E">
        <w:rPr>
          <w:b/>
        </w:rPr>
        <w:t xml:space="preserve"> v. r.</w:t>
      </w:r>
    </w:p>
    <w:p w14:paraId="4A0B7EA0" w14:textId="77777777" w:rsidR="00557563" w:rsidRDefault="00557563" w:rsidP="00557563">
      <w:pPr>
        <w:jc w:val="center"/>
      </w:pPr>
      <w:r>
        <w:t>podpredseda vlády a minister financií Slovenskej republiky</w:t>
      </w:r>
    </w:p>
    <w:p w14:paraId="36059F23" w14:textId="77777777" w:rsidR="00557563" w:rsidRDefault="00557563" w:rsidP="00557563">
      <w:pPr>
        <w:jc w:val="center"/>
      </w:pPr>
    </w:p>
    <w:p w14:paraId="0B88C0B8" w14:textId="77777777" w:rsidR="00557563" w:rsidRDefault="00557563">
      <w:pPr>
        <w:jc w:val="both"/>
      </w:pPr>
    </w:p>
    <w:p w14:paraId="185609EB" w14:textId="77777777" w:rsidR="00557563" w:rsidRPr="006E09C2" w:rsidRDefault="00557563">
      <w:pPr>
        <w:jc w:val="both"/>
      </w:pPr>
    </w:p>
    <w:sectPr w:rsidR="00557563" w:rsidRPr="006E09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5AF04" w14:textId="77777777" w:rsidR="002410FA" w:rsidRDefault="002410FA" w:rsidP="00557563">
      <w:r>
        <w:separator/>
      </w:r>
    </w:p>
  </w:endnote>
  <w:endnote w:type="continuationSeparator" w:id="0">
    <w:p w14:paraId="02F72F87" w14:textId="77777777" w:rsidR="002410FA" w:rsidRDefault="002410FA" w:rsidP="0055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Century Gothic"/>
    <w:panose1 w:val="020B0502040204020203"/>
    <w:charset w:val="00"/>
    <w:family w:val="swiss"/>
    <w:pitch w:val="variable"/>
    <w:sig w:usb0="8000006F" w:usb1="1200FBEF" w:usb2="0064C000" w:usb3="00000000" w:csb0="00000001"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828135"/>
      <w:docPartObj>
        <w:docPartGallery w:val="Page Numbers (Bottom of Page)"/>
        <w:docPartUnique/>
      </w:docPartObj>
    </w:sdtPr>
    <w:sdtEndPr/>
    <w:sdtContent>
      <w:p w14:paraId="47B04708" w14:textId="6971A7FE" w:rsidR="00557563" w:rsidRDefault="00557563">
        <w:pPr>
          <w:pStyle w:val="Pta"/>
          <w:jc w:val="right"/>
        </w:pPr>
        <w:r>
          <w:fldChar w:fldCharType="begin"/>
        </w:r>
        <w:r>
          <w:instrText>PAGE   \* MERGEFORMAT</w:instrText>
        </w:r>
        <w:r>
          <w:fldChar w:fldCharType="separate"/>
        </w:r>
        <w:r w:rsidR="00420FCF">
          <w:rPr>
            <w:noProof/>
          </w:rPr>
          <w:t>39</w:t>
        </w:r>
        <w:r>
          <w:fldChar w:fldCharType="end"/>
        </w:r>
      </w:p>
    </w:sdtContent>
  </w:sdt>
  <w:p w14:paraId="2E70E8B8" w14:textId="77777777" w:rsidR="00557563" w:rsidRDefault="0055756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FF91E" w14:textId="77777777" w:rsidR="002410FA" w:rsidRDefault="002410FA" w:rsidP="00557563">
      <w:r>
        <w:separator/>
      </w:r>
    </w:p>
  </w:footnote>
  <w:footnote w:type="continuationSeparator" w:id="0">
    <w:p w14:paraId="6EFA0F31" w14:textId="77777777" w:rsidR="002410FA" w:rsidRDefault="002410FA" w:rsidP="00557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CC636CC"/>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99D4040"/>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4A015794"/>
    <w:multiLevelType w:val="hybridMultilevel"/>
    <w:tmpl w:val="C98447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B161554"/>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 w15:restartNumberingAfterBreak="0">
    <w:nsid w:val="63E512E5"/>
    <w:multiLevelType w:val="hybridMultilevel"/>
    <w:tmpl w:val="041026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BF90B0F"/>
    <w:multiLevelType w:val="hybridMultilevel"/>
    <w:tmpl w:val="0FA6D398"/>
    <w:lvl w:ilvl="0" w:tplc="7F6E159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9"/>
  </w:num>
  <w:num w:numId="2">
    <w:abstractNumId w:val="7"/>
  </w:num>
  <w:num w:numId="3">
    <w:abstractNumId w:val="6"/>
  </w:num>
  <w:num w:numId="4">
    <w:abstractNumId w:val="4"/>
  </w:num>
  <w:num w:numId="5">
    <w:abstractNumId w:val="8"/>
  </w:num>
  <w:num w:numId="6">
    <w:abstractNumId w:val="3"/>
  </w:num>
  <w:num w:numId="7">
    <w:abstractNumId w:val="2"/>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02"/>
    <w:rsid w:val="00062FC1"/>
    <w:rsid w:val="00063EB4"/>
    <w:rsid w:val="00081D66"/>
    <w:rsid w:val="0009646E"/>
    <w:rsid w:val="00140B57"/>
    <w:rsid w:val="002157D7"/>
    <w:rsid w:val="002410FA"/>
    <w:rsid w:val="002B38DE"/>
    <w:rsid w:val="00362E63"/>
    <w:rsid w:val="00397A92"/>
    <w:rsid w:val="00420FCF"/>
    <w:rsid w:val="004F0BCB"/>
    <w:rsid w:val="00557563"/>
    <w:rsid w:val="005F13E3"/>
    <w:rsid w:val="006128AE"/>
    <w:rsid w:val="00650FF2"/>
    <w:rsid w:val="00674D02"/>
    <w:rsid w:val="006E09C2"/>
    <w:rsid w:val="007435A7"/>
    <w:rsid w:val="00844ADD"/>
    <w:rsid w:val="00A00870"/>
    <w:rsid w:val="00C16840"/>
    <w:rsid w:val="00D84CF6"/>
    <w:rsid w:val="00DB01B1"/>
    <w:rsid w:val="00E17F3D"/>
    <w:rsid w:val="00E603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5C1E"/>
  <w15:chartTrackingRefBased/>
  <w15:docId w15:val="{A840F6BF-5F38-41BE-8A45-CAA4B4B2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D0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09646E"/>
    <w:rPr>
      <w:sz w:val="16"/>
      <w:szCs w:val="16"/>
    </w:rPr>
  </w:style>
  <w:style w:type="paragraph" w:styleId="Textkomentra">
    <w:name w:val="annotation text"/>
    <w:basedOn w:val="Normlny"/>
    <w:link w:val="TextkomentraChar"/>
    <w:uiPriority w:val="99"/>
    <w:semiHidden/>
    <w:unhideWhenUsed/>
    <w:rsid w:val="0009646E"/>
    <w:rPr>
      <w:sz w:val="20"/>
      <w:szCs w:val="20"/>
    </w:rPr>
  </w:style>
  <w:style w:type="character" w:customStyle="1" w:styleId="TextkomentraChar">
    <w:name w:val="Text komentára Char"/>
    <w:basedOn w:val="Predvolenpsmoodseku"/>
    <w:link w:val="Textkomentra"/>
    <w:uiPriority w:val="99"/>
    <w:semiHidden/>
    <w:rsid w:val="0009646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9646E"/>
    <w:rPr>
      <w:b/>
      <w:bCs/>
    </w:rPr>
  </w:style>
  <w:style w:type="character" w:customStyle="1" w:styleId="PredmetkomentraChar">
    <w:name w:val="Predmet komentára Char"/>
    <w:basedOn w:val="TextkomentraChar"/>
    <w:link w:val="Predmetkomentra"/>
    <w:uiPriority w:val="99"/>
    <w:semiHidden/>
    <w:rsid w:val="0009646E"/>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964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646E"/>
    <w:rPr>
      <w:rFonts w:ascii="Segoe UI" w:eastAsia="Times New Roman" w:hAnsi="Segoe UI" w:cs="Segoe UI"/>
      <w:sz w:val="18"/>
      <w:szCs w:val="18"/>
      <w:lang w:eastAsia="cs-CZ"/>
    </w:rPr>
  </w:style>
  <w:style w:type="table" w:styleId="Mriekatabuky">
    <w:name w:val="Table Grid"/>
    <w:basedOn w:val="Normlnatabuka"/>
    <w:uiPriority w:val="59"/>
    <w:rsid w:val="00E6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 cíl se seznamem,Odstavec se seznamem1"/>
    <w:basedOn w:val="Normlny"/>
    <w:link w:val="OdsekzoznamuChar"/>
    <w:uiPriority w:val="34"/>
    <w:qFormat/>
    <w:rsid w:val="00E60336"/>
    <w:pPr>
      <w:spacing w:after="200" w:line="276" w:lineRule="auto"/>
      <w:ind w:left="720"/>
      <w:contextualSpacing/>
    </w:pPr>
    <w:rPr>
      <w:rFonts w:asciiTheme="minorHAnsi" w:eastAsiaTheme="minorHAnsi" w:hAnsiTheme="minorHAnsi" w:cstheme="minorBidi"/>
      <w:sz w:val="22"/>
      <w:szCs w:val="22"/>
      <w:lang w:eastAsia="en-US"/>
    </w:rPr>
  </w:style>
  <w:style w:type="character" w:styleId="Siln">
    <w:name w:val="Strong"/>
    <w:basedOn w:val="Predvolenpsmoodseku"/>
    <w:uiPriority w:val="99"/>
    <w:qFormat/>
    <w:rsid w:val="00E60336"/>
    <w:rPr>
      <w:rFonts w:cs="Times New Roman"/>
      <w:b/>
      <w:bCs/>
    </w:rPr>
  </w:style>
  <w:style w:type="character" w:customStyle="1" w:styleId="OdsekzoznamuChar">
    <w:name w:val="Odsek zoznamu Char"/>
    <w:aliases w:val="Odstavec cíl se seznamem Char,Odstavec se seznamem1 Char"/>
    <w:basedOn w:val="Predvolenpsmoodseku"/>
    <w:link w:val="Odsekzoznamu"/>
    <w:uiPriority w:val="34"/>
    <w:locked/>
    <w:rsid w:val="00E60336"/>
  </w:style>
  <w:style w:type="character" w:styleId="Hypertextovprepojenie">
    <w:name w:val="Hyperlink"/>
    <w:basedOn w:val="Predvolenpsmoodseku"/>
    <w:uiPriority w:val="99"/>
    <w:unhideWhenUsed/>
    <w:rsid w:val="00E60336"/>
    <w:rPr>
      <w:rFonts w:cs="Times New Roman"/>
      <w:color w:val="0563C1" w:themeColor="hyperlink"/>
      <w:u w:val="single"/>
    </w:rPr>
  </w:style>
  <w:style w:type="paragraph" w:customStyle="1" w:styleId="c08dispositif">
    <w:name w:val="c08dispositif"/>
    <w:basedOn w:val="Normlny"/>
    <w:rsid w:val="00E60336"/>
    <w:pPr>
      <w:spacing w:before="100" w:beforeAutospacing="1" w:after="100" w:afterAutospacing="1"/>
    </w:pPr>
    <w:rPr>
      <w:lang w:eastAsia="sk-SK"/>
    </w:rPr>
  </w:style>
  <w:style w:type="numbering" w:customStyle="1" w:styleId="Bezzoznamu1">
    <w:name w:val="Bez zoznamu1"/>
    <w:next w:val="Bezzoznamu"/>
    <w:uiPriority w:val="99"/>
    <w:semiHidden/>
    <w:unhideWhenUsed/>
    <w:rsid w:val="00557563"/>
  </w:style>
  <w:style w:type="paragraph" w:styleId="Hlavika">
    <w:name w:val="header"/>
    <w:basedOn w:val="Normlny"/>
    <w:link w:val="HlavikaChar"/>
    <w:uiPriority w:val="99"/>
    <w:unhideWhenUsed/>
    <w:rsid w:val="00557563"/>
    <w:pPr>
      <w:tabs>
        <w:tab w:val="center" w:pos="4536"/>
        <w:tab w:val="right" w:pos="9072"/>
      </w:tabs>
    </w:pPr>
  </w:style>
  <w:style w:type="character" w:customStyle="1" w:styleId="HlavikaChar">
    <w:name w:val="Hlavička Char"/>
    <w:basedOn w:val="Predvolenpsmoodseku"/>
    <w:link w:val="Hlavika"/>
    <w:uiPriority w:val="99"/>
    <w:rsid w:val="0055756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557563"/>
    <w:pPr>
      <w:tabs>
        <w:tab w:val="center" w:pos="4536"/>
        <w:tab w:val="right" w:pos="9072"/>
      </w:tabs>
    </w:pPr>
  </w:style>
  <w:style w:type="character" w:customStyle="1" w:styleId="PtaChar">
    <w:name w:val="Päta Char"/>
    <w:basedOn w:val="Predvolenpsmoodseku"/>
    <w:link w:val="Pta"/>
    <w:uiPriority w:val="99"/>
    <w:rsid w:val="0055756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kassovic@mfs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14104</Words>
  <Characters>80399</Characters>
  <Application>Microsoft Office Word</Application>
  <DocSecurity>0</DocSecurity>
  <Lines>669</Lines>
  <Paragraphs>188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Kassovic Jan</dc:creator>
  <cp:keywords/>
  <dc:description/>
  <cp:lastModifiedBy>Precuchova Georgina</cp:lastModifiedBy>
  <cp:revision>3</cp:revision>
  <dcterms:created xsi:type="dcterms:W3CDTF">2021-02-23T09:23:00Z</dcterms:created>
  <dcterms:modified xsi:type="dcterms:W3CDTF">2021-02-24T08:27:00Z</dcterms:modified>
</cp:coreProperties>
</file>