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</w:t>
      </w:r>
      <w:r w:rsidR="00234E67">
        <w:rPr>
          <w:rFonts w:ascii="Book Antiqua" w:hAnsi="Book Antiqua"/>
        </w:rPr>
        <w:t xml:space="preserve">odnej rady Slovenskej republiky </w:t>
      </w:r>
      <w:r w:rsidRPr="000E6793">
        <w:rPr>
          <w:rFonts w:ascii="Book Antiqua" w:hAnsi="Book Antiqua"/>
        </w:rPr>
        <w:t>Mar</w:t>
      </w:r>
      <w:r w:rsidR="00121DBE">
        <w:rPr>
          <w:rFonts w:ascii="Book Antiqua" w:hAnsi="Book Antiqua"/>
        </w:rPr>
        <w:t>i</w:t>
      </w:r>
      <w:r w:rsidR="00CE2114">
        <w:rPr>
          <w:rFonts w:ascii="Book Antiqua" w:hAnsi="Book Antiqua"/>
        </w:rPr>
        <w:t xml:space="preserve">an Kotleba, </w:t>
      </w:r>
      <w:r w:rsidR="001878B1">
        <w:rPr>
          <w:rFonts w:ascii="Book Antiqua" w:hAnsi="Book Antiqua"/>
        </w:rPr>
        <w:t>Martin Beluský</w:t>
      </w:r>
      <w:r w:rsidR="001F2287">
        <w:rPr>
          <w:rFonts w:ascii="Book Antiqua" w:hAnsi="Book Antiqua"/>
        </w:rPr>
        <w:t xml:space="preserve">, </w:t>
      </w:r>
      <w:r w:rsidR="00A72238">
        <w:rPr>
          <w:rFonts w:ascii="Book Antiqua" w:hAnsi="Book Antiqua"/>
        </w:rPr>
        <w:br/>
      </w:r>
      <w:r w:rsidR="001878B1">
        <w:rPr>
          <w:rFonts w:ascii="Book Antiqua" w:hAnsi="Book Antiqua"/>
        </w:rPr>
        <w:t>Jozef Šimko a Andrej Medvecký</w:t>
      </w:r>
      <w:r w:rsidR="001F2287">
        <w:rPr>
          <w:rFonts w:ascii="Book Antiqua" w:hAnsi="Book Antiqua"/>
        </w:rPr>
        <w:t>.</w:t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DE49A0" w:rsidRPr="00DE49A0" w:rsidP="00DE49A0">
      <w:pPr>
        <w:bidi w:val="0"/>
        <w:spacing w:after="0" w:line="240" w:lineRule="auto"/>
        <w:ind w:left="360"/>
        <w:jc w:val="both"/>
        <w:rPr>
          <w:rFonts w:ascii="Book Antiqua" w:hAnsi="Book Antiqua"/>
          <w:color w:val="000000"/>
          <w:kern w:val="1"/>
          <w:u w:val="single"/>
        </w:rPr>
      </w:pPr>
      <w:r w:rsidRPr="000C47C6" w:rsidR="00C5238B">
        <w:rPr>
          <w:rFonts w:ascii="Book Antiqua" w:hAnsi="Book Antiqua"/>
        </w:rPr>
        <w:t>Návrh</w:t>
      </w:r>
      <w:r w:rsidR="001C016E">
        <w:rPr>
          <w:rFonts w:ascii="Book Antiqua" w:hAnsi="Book Antiqua"/>
        </w:rPr>
        <w:t xml:space="preserve"> </w:t>
      </w:r>
      <w:r w:rsidRPr="000C47C6" w:rsidR="00C5238B">
        <w:rPr>
          <w:rFonts w:ascii="Book Antiqua" w:hAnsi="Book Antiqua"/>
        </w:rPr>
        <w:t xml:space="preserve">zákona, ktorým sa </w:t>
      </w:r>
      <w:r>
        <w:rPr>
          <w:rFonts w:ascii="Book Antiqua" w:hAnsi="Book Antiqua"/>
        </w:rPr>
        <w:t xml:space="preserve">mení a </w:t>
      </w:r>
      <w:r w:rsidR="001F2287">
        <w:rPr>
          <w:rFonts w:ascii="Book Antiqua" w:hAnsi="Book Antiqua"/>
        </w:rPr>
        <w:t>dopĺňa</w:t>
      </w:r>
      <w:r w:rsidRPr="000C47C6" w:rsidR="00C5238B">
        <w:rPr>
          <w:rFonts w:ascii="Book Antiqua" w:hAnsi="Book Antiqua"/>
        </w:rPr>
        <w:t xml:space="preserve"> </w:t>
      </w:r>
      <w:r w:rsidRPr="00DE49A0">
        <w:rPr>
          <w:rFonts w:ascii="Book Antiqua" w:hAnsi="Book Antiqua"/>
          <w:color w:val="000000"/>
          <w:kern w:val="1"/>
        </w:rPr>
        <w:t xml:space="preserve">zákon č. 343/2015 Z. z. o verejnom obstarávaní </w:t>
      </w:r>
      <w:r>
        <w:rPr>
          <w:rFonts w:ascii="Book Antiqua" w:hAnsi="Book Antiqua"/>
          <w:color w:val="000000"/>
          <w:kern w:val="1"/>
        </w:rPr>
        <w:br/>
      </w:r>
      <w:r w:rsidRPr="00DE49A0">
        <w:rPr>
          <w:rFonts w:ascii="Book Antiqua" w:hAnsi="Book Antiqua"/>
          <w:color w:val="000000"/>
          <w:kern w:val="1"/>
        </w:rPr>
        <w:t>a o zmene a doplnení niektorých zákonov v znení neskorších predpisov</w:t>
      </w:r>
      <w:r>
        <w:rPr>
          <w:rFonts w:ascii="Book Antiqua" w:hAnsi="Book Antiqua"/>
          <w:color w:val="000000"/>
          <w:kern w:val="1"/>
        </w:rPr>
        <w:t>.</w:t>
      </w:r>
    </w:p>
    <w:p w:rsidR="00C5238B" w:rsidP="001F2287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C5238B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  <w:color w:val="000000" w:themeColor="tx1" w:themeShade="FF"/>
        </w:rPr>
      </w:pPr>
      <w:r w:rsidRPr="000E1B2E">
        <w:rPr>
          <w:rFonts w:ascii="Book Antiqua" w:hAnsi="Book Antiqua"/>
          <w:b/>
          <w:bCs/>
          <w:color w:val="000000" w:themeColor="tx1" w:themeShade="FF"/>
        </w:rPr>
        <w:t>3.</w:t>
        <w:tab/>
        <w:t xml:space="preserve">Predmet návrhu </w:t>
      </w:r>
      <w:r w:rsidRPr="000E1B2E" w:rsidR="001C016E">
        <w:rPr>
          <w:rFonts w:ascii="Book Antiqua" w:hAnsi="Book Antiqua"/>
          <w:b/>
          <w:bCs/>
          <w:color w:val="000000" w:themeColor="tx1" w:themeShade="FF"/>
        </w:rPr>
        <w:t xml:space="preserve">ústavného </w:t>
      </w:r>
      <w:r w:rsidRPr="000E1B2E" w:rsidR="00133D4F">
        <w:rPr>
          <w:rFonts w:ascii="Book Antiqua" w:hAnsi="Book Antiqua"/>
          <w:b/>
          <w:bCs/>
          <w:color w:val="000000" w:themeColor="tx1" w:themeShade="FF"/>
        </w:rPr>
        <w:t>zákona</w:t>
      </w:r>
      <w:r w:rsidRPr="000E1B2E">
        <w:rPr>
          <w:rFonts w:ascii="Book Antiqua" w:hAnsi="Book Antiqua"/>
          <w:b/>
          <w:bCs/>
          <w:color w:val="000000" w:themeColor="tx1" w:themeShade="FF"/>
        </w:rPr>
        <w:t>:</w:t>
      </w:r>
    </w:p>
    <w:p w:rsidR="000E1B2E" w:rsidRPr="000E1B2E" w:rsidP="000E1B2E">
      <w:pPr>
        <w:bidi w:val="0"/>
        <w:spacing w:after="60" w:line="240" w:lineRule="auto"/>
        <w:rPr>
          <w:rFonts w:ascii="Book Antiqua" w:hAnsi="Book Antiqua"/>
          <w:b/>
          <w:bCs/>
          <w:color w:val="000000" w:themeColor="tx1" w:themeShade="FF"/>
        </w:rPr>
      </w:pPr>
    </w:p>
    <w:p w:rsidR="00771758" w:rsidRPr="00B34D29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  <w:u w:val="single"/>
        </w:rPr>
      </w:pPr>
      <w:r w:rsidRPr="000E1B2E">
        <w:rPr>
          <w:rFonts w:ascii="Book Antiqua" w:hAnsi="Book Antiqua"/>
          <w:bCs/>
          <w:color w:val="000000" w:themeColor="tx1" w:themeShade="FF"/>
        </w:rPr>
        <w:tab/>
        <w:t>a)</w:t>
      </w:r>
      <w:r w:rsidRPr="000E1B2E" w:rsidR="000E1B2E">
        <w:rPr>
          <w:rFonts w:ascii="Book Antiqua" w:hAnsi="Book Antiqua"/>
          <w:bCs/>
          <w:color w:val="000000" w:themeColor="tx1" w:themeShade="FF"/>
        </w:rPr>
        <w:t xml:space="preserve"> </w:t>
      </w:r>
      <w:r w:rsidRPr="00B34D29" w:rsidR="00C5238B">
        <w:rPr>
          <w:rFonts w:ascii="Book Antiqua" w:hAnsi="Book Antiqua"/>
          <w:bCs/>
          <w:color w:val="000000" w:themeColor="tx1" w:themeShade="FF"/>
          <w:u w:val="single"/>
        </w:rPr>
        <w:t xml:space="preserve">je upravený </w:t>
      </w:r>
      <w:r w:rsidRPr="00B34D29" w:rsidR="00DB5985">
        <w:rPr>
          <w:rFonts w:ascii="Book Antiqua" w:hAnsi="Book Antiqua"/>
          <w:bCs/>
          <w:color w:val="000000" w:themeColor="tx1" w:themeShade="FF"/>
          <w:u w:val="single"/>
        </w:rPr>
        <w:t>v primárnom práve Európskej únie</w:t>
      </w:r>
      <w:r w:rsidRPr="00B34D29" w:rsidR="00B34D29">
        <w:rPr>
          <w:rFonts w:ascii="Book Antiqua" w:hAnsi="Book Antiqua"/>
          <w:bCs/>
          <w:color w:val="000000" w:themeColor="tx1" w:themeShade="FF"/>
          <w:u w:val="single"/>
        </w:rPr>
        <w:t>:</w:t>
      </w:r>
    </w:p>
    <w:p w:rsidR="000E1B2E" w:rsidRPr="000E1B2E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</w:p>
    <w:p w:rsidR="000E1B2E" w:rsidRPr="000E1B2E" w:rsidP="000E1B2E">
      <w:pPr>
        <w:bidi w:val="0"/>
        <w:spacing w:after="0" w:line="240" w:lineRule="auto"/>
        <w:ind w:left="360"/>
        <w:rPr>
          <w:rFonts w:ascii="Book Antiqua" w:hAnsi="Book Antiqua"/>
          <w:bCs/>
          <w:color w:val="000000" w:themeColor="tx1" w:themeShade="FF"/>
        </w:rPr>
      </w:pPr>
      <w:r w:rsidRPr="000E1B2E">
        <w:rPr>
          <w:rFonts w:ascii="Book Antiqua" w:hAnsi="Book Antiqua"/>
          <w:bCs/>
          <w:color w:val="000000" w:themeColor="tx1" w:themeShade="FF"/>
        </w:rPr>
        <w:t>Zmluva o Európskej únii, čl. 53 ods. 1, čl. 62 a 114 Zmluvy o fungovaní Európskej únie</w:t>
      </w:r>
      <w:r>
        <w:rPr>
          <w:rFonts w:ascii="Book Antiqua" w:hAnsi="Book Antiqua"/>
          <w:bCs/>
          <w:color w:val="000000" w:themeColor="tx1" w:themeShade="FF"/>
        </w:rPr>
        <w:t>.</w:t>
      </w:r>
    </w:p>
    <w:p w:rsidR="000E1B2E" w:rsidRPr="000E1B2E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</w:p>
    <w:p w:rsidR="00C5238B" w:rsidRPr="000E1B2E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E1B2E" w:rsidR="000E1B2E">
        <w:rPr>
          <w:rFonts w:ascii="Book Antiqua" w:hAnsi="Book Antiqua"/>
          <w:bCs/>
          <w:color w:val="000000" w:themeColor="tx1" w:themeShade="FF"/>
        </w:rPr>
        <w:tab/>
        <w:t xml:space="preserve">b) </w:t>
      </w:r>
      <w:r w:rsidRPr="00B34D29">
        <w:rPr>
          <w:rFonts w:ascii="Book Antiqua" w:hAnsi="Book Antiqua"/>
          <w:bCs/>
          <w:color w:val="000000" w:themeColor="tx1" w:themeShade="FF"/>
          <w:u w:val="single"/>
        </w:rPr>
        <w:t>je upravený v sekundárnom práve Európskej únie</w:t>
      </w:r>
      <w:r w:rsidRPr="00B34D29" w:rsidR="00B34D29">
        <w:rPr>
          <w:rFonts w:ascii="Book Antiqua" w:hAnsi="Book Antiqua"/>
          <w:bCs/>
          <w:color w:val="000000" w:themeColor="tx1" w:themeShade="FF"/>
          <w:u w:val="single"/>
        </w:rPr>
        <w:t>:</w:t>
      </w:r>
    </w:p>
    <w:p w:rsidR="000E1B2E" w:rsidRPr="000E1B2E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</w:p>
    <w:p w:rsidR="000E1B2E" w:rsidRPr="000E1B2E" w:rsidP="000E1B2E">
      <w:pPr>
        <w:bidi w:val="0"/>
        <w:spacing w:after="0" w:line="240" w:lineRule="auto"/>
        <w:ind w:left="360"/>
        <w:rPr>
          <w:rFonts w:ascii="Book Antiqua" w:hAnsi="Book Antiqua"/>
          <w:bCs/>
          <w:i/>
          <w:color w:val="000000" w:themeColor="tx1" w:themeShade="FF"/>
        </w:rPr>
      </w:pPr>
      <w:r w:rsidRPr="000E1B2E">
        <w:rPr>
          <w:rFonts w:ascii="Book Antiqua" w:hAnsi="Book Antiqua"/>
          <w:bCs/>
          <w:color w:val="000000" w:themeColor="tx1" w:themeShade="FF"/>
        </w:rPr>
        <w:t>1.</w:t>
        <w:tab/>
        <w:t>legislatívne akty</w:t>
      </w:r>
    </w:p>
    <w:p w:rsidR="000E1B2E" w:rsidRPr="000E1B2E" w:rsidP="000E1B2E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</w:p>
    <w:p w:rsidR="000E1B2E" w:rsidP="000E1B2E">
      <w:pPr>
        <w:pStyle w:val="ListParagraph"/>
        <w:numPr>
          <w:numId w:val="7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>Smernica Európskeho parlamentu a Rady 2014/23/EÚ z 26. februára 2014 o udeľovaní koncesií (Ú. v. EÚ L 94, 28.3.2014, s. 1).</w:t>
      </w:r>
    </w:p>
    <w:p w:rsidR="000E1B2E" w:rsidP="000E1B2E">
      <w:pPr>
        <w:pStyle w:val="ListParagraph"/>
        <w:numPr>
          <w:numId w:val="7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>Smernica Európskeho parlamentu a Rady 2014/24/EÚ z 26. februára 2014 o verejnom obstarávaní a o zrušení smernice 2004/18/ES (Ú. v. EÚ L 94, 28.3.2014, s. 65).</w:t>
      </w:r>
    </w:p>
    <w:p w:rsidR="000E1B2E" w:rsidRPr="000E1B2E" w:rsidP="000E1B2E">
      <w:pPr>
        <w:pStyle w:val="ListParagraph"/>
        <w:numPr>
          <w:numId w:val="7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 xml:space="preserve">Smernica Európskeho parlamentu a Rady 2014/25/EÚ z 26. februára 2014 </w:t>
      </w:r>
      <w:r>
        <w:rPr>
          <w:rFonts w:ascii="Book Antiqua" w:hAnsi="Book Antiqua"/>
          <w:bCs/>
          <w:color w:themeColor="tx1" w:themeShade="FF"/>
        </w:rPr>
        <w:br/>
      </w:r>
      <w:r w:rsidRPr="000E1B2E">
        <w:rPr>
          <w:rFonts w:ascii="Book Antiqua" w:hAnsi="Book Antiqua"/>
          <w:bCs/>
          <w:color w:themeColor="tx1" w:themeShade="FF"/>
        </w:rPr>
        <w:t>o obstarávaní vykonávanom subjektmi pôsobiacimi v odvetviach vodného hospodárstva, energetiky, dopravy a poštových služieb a o zrušení smernice 2004/17/ES (Ú. v. EÚ L 94, 28.3.2014, s. 243)</w:t>
      </w:r>
    </w:p>
    <w:p w:rsidR="000E1B2E" w:rsidRPr="000E1B2E" w:rsidP="000E1B2E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</w:p>
    <w:p w:rsidR="000E1B2E" w:rsidRPr="000E1B2E" w:rsidP="000E1B2E">
      <w:pPr>
        <w:bidi w:val="0"/>
        <w:spacing w:after="0" w:line="240" w:lineRule="auto"/>
        <w:ind w:left="360"/>
        <w:rPr>
          <w:rFonts w:ascii="Book Antiqua" w:hAnsi="Book Antiqua"/>
          <w:bCs/>
          <w:i/>
          <w:color w:val="000000" w:themeColor="tx1" w:themeShade="FF"/>
        </w:rPr>
      </w:pPr>
      <w:r w:rsidRPr="000E1B2E">
        <w:rPr>
          <w:rFonts w:ascii="Book Antiqua" w:hAnsi="Book Antiqua"/>
          <w:bCs/>
          <w:color w:val="000000" w:themeColor="tx1" w:themeShade="FF"/>
        </w:rPr>
        <w:t>2.</w:t>
        <w:tab/>
        <w:t>nelegislatívne akty</w:t>
      </w:r>
    </w:p>
    <w:tbl>
      <w:tblPr>
        <w:tblStyle w:val="TableNormal"/>
        <w:tblW w:w="8658" w:type="dxa"/>
        <w:tblInd w:w="918" w:type="dxa"/>
        <w:tblLayout w:type="fixed"/>
        <w:tblLook w:val="04A0"/>
      </w:tblPr>
      <w:tblGrid>
        <w:gridCol w:w="8658"/>
      </w:tblGrid>
      <w:tr>
        <w:tblPrEx>
          <w:tblW w:w="8658" w:type="dxa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E1B2E" w:rsidRPr="000E1B2E" w:rsidP="000E1B2E">
            <w:pPr>
              <w:bidi w:val="0"/>
              <w:spacing w:after="0" w:line="240" w:lineRule="auto"/>
              <w:ind w:left="360" w:hanging="360"/>
              <w:rPr>
                <w:rFonts w:ascii="Book Antiqua" w:hAnsi="Book Antiqua"/>
                <w:bCs/>
                <w:color w:val="000000" w:themeColor="tx1" w:themeShade="FF"/>
              </w:rPr>
            </w:pPr>
          </w:p>
        </w:tc>
      </w:tr>
    </w:tbl>
    <w:p w:rsidR="000E1B2E" w:rsidP="000E1B2E">
      <w:pPr>
        <w:pStyle w:val="ListParagraph"/>
        <w:numPr>
          <w:numId w:val="8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 xml:space="preserve">Smernica Rady 89/665/EHS z 21. decembra 1989 o koordinácii zákonov, iných právnych predpisov a správnych opatrení týkajúcich sa uplatňovania postupov preskúmavania v rámci verejného obstarávania tovarov a prác (Mimoriadne vydanie Ú. v. EÚ, kap. 6/zv. 1) v znení smernice Európskeho parlamentu a Rady 2007/66/ES z 11. decembra 2007 (Ú. v. EÚ L 335, 20. 12. 2007) a smernice Európskeho parlamentu </w:t>
      </w:r>
      <w:r>
        <w:rPr>
          <w:rFonts w:ascii="Book Antiqua" w:hAnsi="Book Antiqua"/>
          <w:bCs/>
          <w:color w:themeColor="tx1" w:themeShade="FF"/>
        </w:rPr>
        <w:br/>
      </w:r>
      <w:r w:rsidRPr="000E1B2E">
        <w:rPr>
          <w:rFonts w:ascii="Book Antiqua" w:hAnsi="Book Antiqua"/>
          <w:bCs/>
          <w:color w:themeColor="tx1" w:themeShade="FF"/>
        </w:rPr>
        <w:t>a Rady 2014/23/EÚ z 26. februára 2014 (Ú. v. EÚ L 94, 28. 3. 2014).</w:t>
      </w:r>
    </w:p>
    <w:p w:rsidR="000E1B2E" w:rsidRPr="000E1B2E" w:rsidP="000E1B2E">
      <w:pPr>
        <w:pStyle w:val="ListParagraph"/>
        <w:numPr>
          <w:numId w:val="8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 xml:space="preserve">Smernica Rady 92/13/EHS z 25. februára 1992 o koordinácii zákonov, iných právnych predpisov a správnych opatrení týkajúcich sa uplatňovania pravidiel Spoločenstva pre postupy verejného obstarávania subjektov pôsobiacich v odvetviach vodného hospodárstva, energetiky, dopravy a telekomunikácií (Ú. v. ES L 76, 23. 3. 1992) v znení smernice Európskeho parlamentu a Rady 2007/66/ES z 11. decembra 2007 </w:t>
      </w:r>
      <w:r>
        <w:rPr>
          <w:rFonts w:ascii="Book Antiqua" w:hAnsi="Book Antiqua"/>
          <w:bCs/>
          <w:color w:themeColor="tx1" w:themeShade="FF"/>
        </w:rPr>
        <w:br/>
      </w:r>
      <w:r w:rsidRPr="000E1B2E">
        <w:rPr>
          <w:rFonts w:ascii="Book Antiqua" w:hAnsi="Book Antiqua"/>
          <w:bCs/>
          <w:color w:themeColor="tx1" w:themeShade="FF"/>
        </w:rPr>
        <w:t xml:space="preserve">(Ú. v. EÚ L 335, 20. 12. 2007) a smernice Európskeho parlamentu a Rady 2014/23/EÚ z 26. februára 2014 (Ú. v. EÚ L 94, 28. 3. 2014). </w:t>
      </w:r>
    </w:p>
    <w:p w:rsidR="000E1B2E" w:rsidRPr="000E1B2E" w:rsidP="000E1B2E">
      <w:pPr>
        <w:pStyle w:val="ListParagraph"/>
        <w:numPr>
          <w:numId w:val="8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 xml:space="preserve">Smernica Európskeho parlamentu a Rady 2009/81/ES z 13. júla 2009 o koordinácii postupov pre zadávanie určitých zákaziek na práce, zákaziek na dodávku tovaru a zákaziek na služby verejnými obstarávateľmi alebo obstarávateľmi v oblastiach obrany a bezpečnosti a o zmene a doplnení smerníc 2004/17/ES a 2004/18/ES </w:t>
      </w:r>
      <w:r w:rsidR="00234E67">
        <w:rPr>
          <w:rFonts w:ascii="Book Antiqua" w:hAnsi="Book Antiqua"/>
          <w:bCs/>
          <w:color w:themeColor="tx1" w:themeShade="FF"/>
        </w:rPr>
        <w:br/>
      </w:r>
      <w:r w:rsidRPr="000E1B2E">
        <w:rPr>
          <w:rFonts w:ascii="Book Antiqua" w:hAnsi="Book Antiqua"/>
          <w:bCs/>
          <w:color w:themeColor="tx1" w:themeShade="FF"/>
        </w:rPr>
        <w:t xml:space="preserve">(Ú. v. EÚ L 216, 20. 8. 2009) v znení nariadenia Komisie (ES) č. 1177/2009 </w:t>
      </w:r>
      <w:r w:rsidR="00234E67">
        <w:rPr>
          <w:rFonts w:ascii="Book Antiqua" w:hAnsi="Book Antiqua"/>
          <w:bCs/>
          <w:color w:themeColor="tx1" w:themeShade="FF"/>
        </w:rPr>
        <w:br/>
      </w:r>
      <w:r w:rsidRPr="000E1B2E">
        <w:rPr>
          <w:rFonts w:ascii="Book Antiqua" w:hAnsi="Book Antiqua"/>
          <w:bCs/>
          <w:color w:themeColor="tx1" w:themeShade="FF"/>
        </w:rPr>
        <w:t xml:space="preserve">z 30. novembra 2009 (Ú. v. EÚ L 314, 1. 12. 2009), nariadenia Komisie (EÚ) č. 1251/2011 z 30. novembra 2011 (Ú. v. EÚ L 319, 2. 12. 2011), smernice Rady 2013/16/EÚ z 13. mája 2013 (Ú. v. EÚ L 158, 10. 6. 2013) a nariadenia Komisie (EÚ) č. 1336/2013 z 13. decembra 2013 (Ú. v. EÚ L 335, 14. 12. 2013). </w:t>
      </w:r>
    </w:p>
    <w:p w:rsidR="000E1B2E" w:rsidRPr="000E1B2E" w:rsidP="000E1B2E">
      <w:pPr>
        <w:pStyle w:val="ListParagraph"/>
        <w:numPr>
          <w:numId w:val="8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>Nariadenie Európskeho parlamentu a Rady (ES) č. 2195/2002 z 5. novembra 2002 o spoločnom slovníku obstarávania (CPV) (Mimoriadne vydanie Ú. v. EÚ, kap. 6/zv. 5) v znení nariadenia Komisie (ES) č. 2151/2003 zo 16. decembra 2003 (Ú. v. EÚ L 329, 17.12.2003), nariadenia Komisie (ES) č. 213/2008 z 28. novembra 2007 (Ú. v. EÚ L 74, 15.3.2008) a nariadenia Európskeho parlamentu a Rady (ES) č. 596/2009 z 18. júna 2009 (Ú. v. EÚ L 188, 18.7.2009).</w:t>
      </w:r>
    </w:p>
    <w:p w:rsidR="000E1B2E" w:rsidRPr="000E1B2E" w:rsidP="000E1B2E">
      <w:pPr>
        <w:pStyle w:val="ListParagraph"/>
        <w:numPr>
          <w:numId w:val="8"/>
        </w:numPr>
        <w:bidi w:val="0"/>
        <w:spacing w:after="0"/>
        <w:jc w:val="both"/>
        <w:rPr>
          <w:rFonts w:ascii="Book Antiqua" w:hAnsi="Book Antiqua"/>
          <w:bCs/>
          <w:color w:themeColor="tx1" w:themeShade="FF"/>
        </w:rPr>
      </w:pPr>
      <w:r w:rsidRPr="000E1B2E">
        <w:rPr>
          <w:rFonts w:ascii="Book Antiqua" w:hAnsi="Book Antiqua"/>
          <w:bCs/>
          <w:color w:themeColor="tx1" w:themeShade="FF"/>
        </w:rPr>
        <w:t>Nariadenie Európskeho parlamentu a Rady (ES) č. 1082/2006 z 5. júla 2006 o Európskom zoskupení územnej spolupráce (EZÚS) (Ú. v. EÚ L 210, 31.7.2006).</w:t>
      </w:r>
    </w:p>
    <w:p w:rsidR="000E1B2E" w:rsidRPr="000E1B2E" w:rsidP="000E1B2E">
      <w:pPr>
        <w:bidi w:val="0"/>
        <w:spacing w:after="0"/>
        <w:ind w:left="360"/>
        <w:rPr>
          <w:rFonts w:ascii="Book Antiqua" w:hAnsi="Book Antiqua"/>
          <w:bCs/>
          <w:color w:val="000000" w:themeColor="tx1" w:themeShade="FF"/>
        </w:rPr>
      </w:pPr>
    </w:p>
    <w:p w:rsidR="00B34D29" w:rsidP="00B34D29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E1B2E" w:rsidR="000E1B2E">
        <w:rPr>
          <w:rFonts w:ascii="Book Antiqua" w:hAnsi="Book Antiqua"/>
          <w:bCs/>
          <w:color w:val="000000" w:themeColor="tx1" w:themeShade="FF"/>
        </w:rPr>
        <w:tab/>
        <w:t xml:space="preserve">c) </w:t>
      </w:r>
      <w:r w:rsidRPr="00B34D29" w:rsidR="00C5238B">
        <w:rPr>
          <w:rFonts w:ascii="Book Antiqua" w:hAnsi="Book Antiqua"/>
          <w:bCs/>
          <w:color w:val="000000" w:themeColor="tx1" w:themeShade="FF"/>
          <w:u w:val="single"/>
        </w:rPr>
        <w:t>je obsiahnutý v judikatúre Súdneho dvora Európskej únie</w:t>
      </w:r>
      <w:r w:rsidRPr="00B34D29">
        <w:rPr>
          <w:rFonts w:ascii="Book Antiqua" w:hAnsi="Book Antiqua"/>
          <w:bCs/>
          <w:color w:val="000000" w:themeColor="tx1" w:themeShade="FF"/>
          <w:u w:val="single"/>
        </w:rPr>
        <w:t>:</w:t>
      </w:r>
    </w:p>
    <w:p w:rsidR="00B34D29" w:rsidP="00B34D29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</w:p>
    <w:p w:rsidR="000E1B2E" w:rsidRPr="00B34D29" w:rsidP="00234E67">
      <w:pPr>
        <w:bidi w:val="0"/>
        <w:spacing w:after="0" w:line="240" w:lineRule="auto"/>
        <w:ind w:left="360"/>
        <w:jc w:val="both"/>
        <w:rPr>
          <w:rFonts w:ascii="Book Antiqua" w:hAnsi="Book Antiqua"/>
          <w:bCs/>
          <w:color w:val="000000" w:themeColor="tx1" w:themeShade="FF"/>
        </w:rPr>
      </w:pPr>
      <w:r w:rsidRPr="000E1B2E">
        <w:rPr>
          <w:rFonts w:ascii="Book Antiqua" w:hAnsi="Book Antiqua" w:cs="Arial"/>
          <w:color w:val="000000" w:themeColor="tx1" w:themeShade="FF"/>
        </w:rPr>
        <w:t>napríklad C-615/10, C-348/10, C-94/12, C-327/12, C-19/13, C-161/13, C-470/13,</w:t>
      </w:r>
      <w:r w:rsidR="00B34D29">
        <w:rPr>
          <w:rFonts w:ascii="Book Antiqua" w:hAnsi="Book Antiqua" w:cs="Arial"/>
          <w:color w:val="000000" w:themeColor="tx1" w:themeShade="FF"/>
        </w:rPr>
        <w:t xml:space="preserve"> </w:t>
      </w:r>
      <w:r w:rsidR="00234E67">
        <w:rPr>
          <w:rFonts w:ascii="Book Antiqua" w:hAnsi="Book Antiqua" w:cs="Arial"/>
          <w:color w:val="000000" w:themeColor="tx1" w:themeShade="FF"/>
        </w:rPr>
        <w:br/>
      </w:r>
      <w:r w:rsidRPr="000E1B2E">
        <w:rPr>
          <w:rFonts w:ascii="Book Antiqua" w:hAnsi="Book Antiqua" w:cs="Arial"/>
          <w:color w:val="000000" w:themeColor="tx1" w:themeShade="FF"/>
        </w:rPr>
        <w:t>C- 538/13, C-549/13, C-568/13, C-601/13, C-278/14</w:t>
      </w:r>
      <w:r w:rsidR="00B34D29">
        <w:rPr>
          <w:rFonts w:ascii="Book Antiqua" w:hAnsi="Book Antiqua" w:cs="Arial"/>
          <w:color w:val="000000" w:themeColor="tx1" w:themeShade="FF"/>
        </w:rPr>
        <w:t>.</w:t>
      </w:r>
    </w:p>
    <w:p w:rsidR="000E1B2E" w:rsidP="00C5238B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234E67" w:rsidRPr="00234E67" w:rsidP="00234E67">
      <w:pPr>
        <w:bidi w:val="0"/>
        <w:ind w:left="426" w:hanging="426"/>
        <w:jc w:val="both"/>
        <w:rPr>
          <w:rFonts w:ascii="Book Antiqua" w:hAnsi="Book Antiqua" w:cs="Arial"/>
          <w:b/>
          <w:bCs/>
          <w:color w:val="000000" w:themeColor="tx1" w:themeShade="FF"/>
        </w:rPr>
      </w:pPr>
      <w:r w:rsidRPr="00234E67">
        <w:rPr>
          <w:rFonts w:ascii="Book Antiqua" w:hAnsi="Book Antiqua" w:cs="Arial"/>
          <w:b/>
          <w:bCs/>
          <w:color w:val="000000" w:themeColor="tx1" w:themeShade="FF"/>
        </w:rPr>
        <w:t>4.</w:t>
        <w:tab/>
        <w:t xml:space="preserve">Záväzky Slovenskej republiky vo vzťahu k Európskej únii: </w:t>
      </w:r>
    </w:p>
    <w:p w:rsidR="00234E67" w:rsidP="00234E67">
      <w:pPr>
        <w:bidi w:val="0"/>
        <w:ind w:firstLine="426"/>
        <w:jc w:val="both"/>
        <w:rPr>
          <w:rFonts w:ascii="Book Antiqua" w:hAnsi="Book Antiqua" w:cs="Arial"/>
          <w:color w:val="000000" w:themeColor="tx1" w:themeShade="FF"/>
        </w:rPr>
      </w:pPr>
      <w:r w:rsidRPr="00234E67">
        <w:rPr>
          <w:rFonts w:ascii="Book Antiqua" w:hAnsi="Book Antiqua" w:cs="Arial"/>
          <w:color w:val="000000" w:themeColor="tx1" w:themeShade="FF"/>
        </w:rPr>
        <w:t>Bezpredmetné</w:t>
      </w:r>
      <w:r>
        <w:rPr>
          <w:rFonts w:ascii="Book Antiqua" w:hAnsi="Book Antiqua" w:cs="Arial"/>
          <w:color w:val="000000" w:themeColor="tx1" w:themeShade="FF"/>
        </w:rPr>
        <w:t>.</w:t>
      </w:r>
      <w:r w:rsidRPr="00234E67">
        <w:rPr>
          <w:rFonts w:ascii="Book Antiqua" w:hAnsi="Book Antiqua" w:cs="Arial"/>
          <w:color w:val="000000" w:themeColor="tx1" w:themeShade="FF"/>
        </w:rPr>
        <w:t> </w:t>
      </w:r>
    </w:p>
    <w:p w:rsidR="00234E67" w:rsidRPr="00234E67" w:rsidP="00234E67">
      <w:pPr>
        <w:bidi w:val="0"/>
        <w:ind w:left="426" w:hanging="426"/>
        <w:jc w:val="both"/>
        <w:rPr>
          <w:rFonts w:ascii="Book Antiqua" w:hAnsi="Book Antiqua" w:cs="Arial"/>
          <w:b/>
          <w:bCs/>
          <w:color w:val="000000" w:themeColor="tx1" w:themeShade="FF"/>
        </w:rPr>
      </w:pPr>
      <w:r w:rsidRPr="00234E67">
        <w:rPr>
          <w:rFonts w:ascii="Book Antiqua" w:hAnsi="Book Antiqua" w:cs="Arial"/>
          <w:b/>
          <w:bCs/>
          <w:color w:val="000000" w:themeColor="tx1" w:themeShade="FF"/>
        </w:rPr>
        <w:t>5.</w:t>
        <w:tab/>
        <w:t>Stupeň zlučiteľnosti návrhu právneho predpisu s právom Európskej únie:</w:t>
      </w:r>
    </w:p>
    <w:p w:rsidR="00234E67" w:rsidRPr="00234E67" w:rsidP="00234E67">
      <w:pPr>
        <w:bidi w:val="0"/>
        <w:ind w:firstLine="426"/>
        <w:jc w:val="both"/>
        <w:rPr>
          <w:rFonts w:ascii="Book Antiqua" w:hAnsi="Book Antiqua" w:cs="Arial"/>
          <w:color w:val="000000" w:themeColor="tx1" w:themeShade="FF"/>
        </w:rPr>
      </w:pPr>
      <w:r>
        <w:rPr>
          <w:rFonts w:ascii="Book Antiqua" w:hAnsi="Book Antiqua" w:cs="Arial"/>
          <w:color w:val="000000" w:themeColor="tx1" w:themeShade="FF"/>
        </w:rPr>
        <w:t xml:space="preserve">Návrh zákona nie je zlučiteľný s právom Európskej únie, nakoľko je v rozpore s vyššie </w:t>
      </w:r>
      <w:r w:rsidR="00434A7A">
        <w:rPr>
          <w:rFonts w:ascii="Book Antiqua" w:hAnsi="Book Antiqua" w:cs="Arial"/>
          <w:color w:val="000000" w:themeColor="tx1" w:themeShade="FF"/>
        </w:rPr>
        <w:t xml:space="preserve">uvedenými legislatívnymi a nelegislatívnymi aktami Európskej únie. Dosiahnutie súladu návrhu zákona s právom Európskej únie sa nepredpokladá. </w:t>
      </w:r>
      <w:r>
        <w:rPr>
          <w:rFonts w:ascii="Book Antiqua" w:hAnsi="Book Antiqua" w:cs="Arial"/>
          <w:color w:val="000000" w:themeColor="tx1" w:themeShade="FF"/>
        </w:rPr>
        <w:t xml:space="preserve"> </w:t>
      </w:r>
    </w:p>
    <w:p w:rsidR="00234E67" w:rsidRPr="00234E67" w:rsidP="00234E67">
      <w:pPr>
        <w:bidi w:val="0"/>
        <w:ind w:firstLine="426"/>
        <w:jc w:val="both"/>
        <w:rPr>
          <w:rFonts w:ascii="Book Antiqua" w:hAnsi="Book Antiqua" w:cs="Arial"/>
          <w:color w:val="000000" w:themeColor="tx1" w:themeShade="FF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434A7A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  <w:b/>
          <w:bCs/>
          <w:sz w:val="28"/>
          <w:szCs w:val="28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Pr="00DE49A0" w:rsidP="00DE49A0">
      <w:pPr>
        <w:pStyle w:val="NormalWeb"/>
        <w:bidi w:val="0"/>
        <w:spacing w:after="0"/>
        <w:jc w:val="both"/>
        <w:rPr>
          <w:rFonts w:ascii="Book Antiqua" w:hAnsi="Book Antiqua"/>
          <w:color w:val="000000"/>
          <w:kern w:val="1"/>
          <w:u w:val="single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1F2287">
        <w:rPr>
          <w:rFonts w:ascii="Book Antiqua" w:hAnsi="Book Antiqua"/>
          <w:szCs w:val="22"/>
        </w:rPr>
        <w:t>Návrh</w:t>
      </w:r>
      <w:r w:rsidRPr="001F2287" w:rsidR="0089270C">
        <w:rPr>
          <w:rFonts w:ascii="Book Antiqua" w:hAnsi="Book Antiqua"/>
          <w:szCs w:val="22"/>
        </w:rPr>
        <w:t xml:space="preserve"> </w:t>
      </w:r>
      <w:r w:rsidRPr="001F2287">
        <w:rPr>
          <w:rFonts w:ascii="Book Antiqua" w:hAnsi="Book Antiqua"/>
          <w:szCs w:val="22"/>
        </w:rPr>
        <w:t xml:space="preserve">zákona, </w:t>
      </w:r>
      <w:r w:rsidRPr="001C016E">
        <w:rPr>
          <w:rFonts w:ascii="Book Antiqua" w:hAnsi="Book Antiqua"/>
        </w:rPr>
        <w:t>ktorým sa</w:t>
      </w:r>
      <w:r w:rsidR="00DE49A0">
        <w:rPr>
          <w:rFonts w:ascii="Book Antiqua" w:hAnsi="Book Antiqua"/>
        </w:rPr>
        <w:t xml:space="preserve"> mení a</w:t>
      </w:r>
      <w:r w:rsidRPr="001C016E">
        <w:rPr>
          <w:rFonts w:ascii="Book Antiqua" w:hAnsi="Book Antiqua"/>
        </w:rPr>
        <w:t xml:space="preserve"> </w:t>
      </w:r>
      <w:r w:rsidRPr="001C016E" w:rsidR="001F2287">
        <w:rPr>
          <w:rFonts w:ascii="Book Antiqua" w:hAnsi="Book Antiqua"/>
        </w:rPr>
        <w:t>dopĺňa</w:t>
      </w:r>
      <w:r w:rsidRPr="001C016E">
        <w:rPr>
          <w:rFonts w:ascii="Book Antiqua" w:hAnsi="Book Antiqua"/>
        </w:rPr>
        <w:t xml:space="preserve"> </w:t>
      </w:r>
      <w:r w:rsidRPr="00DE49A0" w:rsidR="00DE49A0">
        <w:rPr>
          <w:rFonts w:ascii="Book Antiqua" w:hAnsi="Book Antiqua"/>
          <w:color w:val="000000"/>
          <w:kern w:val="1"/>
        </w:rPr>
        <w:t>zákon č. 343/2015 Z. z. o verejnom obstarávaní a o zmene a doplnení niektorých zákonov v znení neskorších predpisov</w:t>
      </w:r>
      <w:r w:rsidRPr="00434A7A" w:rsidR="00DE49A0">
        <w:rPr>
          <w:rFonts w:ascii="Book Antiqua" w:hAnsi="Book Antiqua"/>
          <w:color w:val="000000"/>
          <w:kern w:val="1"/>
        </w:rPr>
        <w:t>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434A7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434A7A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E49A0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051003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F228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878B1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 na manželstvo, rodičovstvo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878B1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878B1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878B1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8F2E9A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P="00B93C9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color w:val="000000" w:themeColor="tx1" w:themeShade="FF"/>
        </w:rPr>
      </w:pPr>
      <w:r w:rsidRPr="001C35D5">
        <w:rPr>
          <w:rFonts w:ascii="Book Antiqua" w:hAnsi="Book Antiqua"/>
          <w:color w:val="000000" w:themeColor="tx1" w:themeShade="FF"/>
        </w:rPr>
        <w:t xml:space="preserve">Na dosiahnutie cieľa </w:t>
      </w:r>
      <w:r w:rsidR="001C35D5">
        <w:rPr>
          <w:rFonts w:ascii="Book Antiqua" w:hAnsi="Book Antiqua"/>
          <w:color w:val="000000" w:themeColor="tx1" w:themeShade="FF"/>
        </w:rPr>
        <w:t xml:space="preserve">uvedeného v dôvodovej správe </w:t>
      </w:r>
      <w:r w:rsidRPr="001C35D5">
        <w:rPr>
          <w:rFonts w:ascii="Book Antiqua" w:hAnsi="Book Antiqua"/>
          <w:color w:val="000000" w:themeColor="tx1" w:themeShade="FF"/>
        </w:rPr>
        <w:t>nie je možné použiť iné riešenie, než je predložené.</w:t>
      </w:r>
    </w:p>
    <w:p w:rsidR="00B93C94" w:rsidP="00B93C9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color w:val="000000" w:themeColor="tx1" w:themeShade="FF"/>
        </w:rPr>
      </w:pPr>
    </w:p>
    <w:p w:rsidR="001F2287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</w:rPr>
      </w:pP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EF3877" w:rsidP="00A7223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 w:rsidRPr="00925DC1" w:rsidR="00C5238B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Pr="00925DC1" w:rsidR="00C5238B">
        <w:rPr>
          <w:rFonts w:ascii="Book Antiqua" w:hAnsi="Book Antiqua"/>
          <w:bCs/>
        </w:rPr>
        <w:t xml:space="preserve">zákona bol zaslaný na posúdenie Ministerstvu financií SR. </w:t>
      </w:r>
      <w:r w:rsidR="00C5238B">
        <w:rPr>
          <w:rFonts w:ascii="Book Antiqua" w:hAnsi="Book Antiqua"/>
          <w:bCs/>
        </w:rPr>
        <w:t>Stanovisko ministerstva tvo</w:t>
      </w:r>
      <w:r w:rsidR="00CE2114">
        <w:rPr>
          <w:rFonts w:ascii="Book Antiqua" w:hAnsi="Book Antiqua"/>
          <w:bCs/>
        </w:rPr>
        <w:t>rí prílohu predkladaného návrhu</w:t>
      </w:r>
      <w:r w:rsidR="00B93C94">
        <w:rPr>
          <w:rFonts w:ascii="Book Antiqua" w:hAnsi="Book Antiqua"/>
          <w:bCs/>
        </w:rPr>
        <w:t xml:space="preserve"> </w:t>
      </w:r>
      <w:r w:rsidR="00C5238B">
        <w:rPr>
          <w:rFonts w:ascii="Book Antiqua" w:hAnsi="Book Antiqua"/>
          <w:bCs/>
        </w:rPr>
        <w:t>zákona.</w:t>
      </w: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4A6D6A50"/>
    <w:multiLevelType w:val="hybridMultilevel"/>
    <w:tmpl w:val="93E2AB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66773AE7"/>
    <w:multiLevelType w:val="hybridMultilevel"/>
    <w:tmpl w:val="F8B60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51003"/>
    <w:rsid w:val="000944BB"/>
    <w:rsid w:val="00095D62"/>
    <w:rsid w:val="000B2FAE"/>
    <w:rsid w:val="000C156B"/>
    <w:rsid w:val="000C47C6"/>
    <w:rsid w:val="000E1B2E"/>
    <w:rsid w:val="000E6793"/>
    <w:rsid w:val="00114D93"/>
    <w:rsid w:val="00121DBE"/>
    <w:rsid w:val="00126CC1"/>
    <w:rsid w:val="00133D4F"/>
    <w:rsid w:val="001632E7"/>
    <w:rsid w:val="00170248"/>
    <w:rsid w:val="001878B1"/>
    <w:rsid w:val="001C016E"/>
    <w:rsid w:val="001C329B"/>
    <w:rsid w:val="001C35D5"/>
    <w:rsid w:val="001F2287"/>
    <w:rsid w:val="00205740"/>
    <w:rsid w:val="00234E67"/>
    <w:rsid w:val="00265C56"/>
    <w:rsid w:val="002820C8"/>
    <w:rsid w:val="003059AB"/>
    <w:rsid w:val="00317A3B"/>
    <w:rsid w:val="00334AA1"/>
    <w:rsid w:val="003400DA"/>
    <w:rsid w:val="00361473"/>
    <w:rsid w:val="00377562"/>
    <w:rsid w:val="003C1391"/>
    <w:rsid w:val="00422E02"/>
    <w:rsid w:val="0042757B"/>
    <w:rsid w:val="00434A7A"/>
    <w:rsid w:val="00462133"/>
    <w:rsid w:val="00472E03"/>
    <w:rsid w:val="004D2B56"/>
    <w:rsid w:val="004F09B2"/>
    <w:rsid w:val="005B4FBA"/>
    <w:rsid w:val="005E2879"/>
    <w:rsid w:val="005E3ACF"/>
    <w:rsid w:val="006061FE"/>
    <w:rsid w:val="0061140D"/>
    <w:rsid w:val="00634B93"/>
    <w:rsid w:val="006728FA"/>
    <w:rsid w:val="006974DD"/>
    <w:rsid w:val="006C1AE0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8F3C0E"/>
    <w:rsid w:val="00914DA3"/>
    <w:rsid w:val="00923346"/>
    <w:rsid w:val="00925DC1"/>
    <w:rsid w:val="009605D9"/>
    <w:rsid w:val="009655BA"/>
    <w:rsid w:val="00985CBB"/>
    <w:rsid w:val="009C3924"/>
    <w:rsid w:val="00A215B8"/>
    <w:rsid w:val="00A72238"/>
    <w:rsid w:val="00B105A0"/>
    <w:rsid w:val="00B333FA"/>
    <w:rsid w:val="00B34D29"/>
    <w:rsid w:val="00B5595C"/>
    <w:rsid w:val="00B845D6"/>
    <w:rsid w:val="00B93C94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DE49A0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BBDB-BC4B-4F7D-BFF5-222C4C1A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380</TotalTime>
  <Pages>3</Pages>
  <Words>766</Words>
  <Characters>4370</Characters>
  <Application>Microsoft Office Word</Application>
  <DocSecurity>0</DocSecurity>
  <Lines>0</Lines>
  <Paragraphs>0</Paragraphs>
  <ScaleCrop>false</ScaleCrop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10</cp:revision>
  <cp:lastPrinted>2016-11-02T08:18:00Z</cp:lastPrinted>
  <dcterms:created xsi:type="dcterms:W3CDTF">2017-02-20T21:26:00Z</dcterms:created>
  <dcterms:modified xsi:type="dcterms:W3CDTF">2021-02-17T17:06:00Z</dcterms:modified>
</cp:coreProperties>
</file>