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66" w:rsidRPr="004E1E66" w:rsidRDefault="004E1E66" w:rsidP="004E1E66">
      <w:pPr>
        <w:widowControl/>
        <w:autoSpaceDE/>
        <w:autoSpaceDN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RDefault="004E1E66" w:rsidP="004E1E66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RDefault="00607FFD" w:rsidP="004E1E66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12700" b="0"/>
                <wp:wrapNone/>
                <wp:docPr id="4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EC7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poNwIAAEsEAAAOAAAAZHJzL2Uyb0RvYy54bWysVEtu2zAQ3RfoHQjuHUmunDhC5KCQ7G7S&#10;1mjSA4xJymIjcQiSsWwUPUwOkFMEvVdJ+oOk3RRFtaCGGs6bNzOPurre9h3ZCGMlqpJmZyklQjHk&#10;Uq1L+vVuMZpSYh0oDh0qUdKdsPR69vbN1aALMcYWOy4M8SDKFoMuaeucLpLEslb0YM9QC+WdDZoe&#10;nN+adcINDB6975Jxmp4nAxquDTJhrf9a7510FvGbRjD3uWmscKQrqefm4mriugprMruCYm1At5Id&#10;aMA/sOhBKp/0BFWDA/Jg5B9QvWQGLTbujGGfYNNIJmINvpos/a2a2xa0iLX45lh9apP9f7Ds02Zp&#10;iOQlzSlR0PsRfcGNen4kVuM33ACTQH4+Pj/peyDj0K5B28JHVWppQsFsq271DbJ7SxRWLai1iLTv&#10;dtpjZSEieRUSNlb7pKvhI3J/Bh4cxt5tG9MHSN8Vso0j2p1GJLaOMP9xcnExnaR+kuzoS6A4Bmpj&#10;3QeBPQlGSa0zINetq1ApLwQ0WUwDmxvrAi0ojgEhq8KF7Lqoh06RoaSXk/EkBljsJA/OcMya9arq&#10;DNlAUFR8Yo3e8/KYwQfFI1grgM8PtgPZ7W2fvFMBzxfm6RysvWS+X6aX8+l8mo/y8fl8lKd1PXq/&#10;qPLR+SK7mNTv6qqqsx+BWpYXreRcqMDuKN8s/zt5HC7SXngnAZ/akLxGj/3yZI/vSDpONgxzL4sV&#10;8t3SHCfuFRsPH25XuBIv995++Q+Y/QI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EGNKmg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Poslanci za stranu </w:t>
      </w:r>
      <w:r w:rsidR="00A858BB">
        <w:rPr>
          <w:rFonts w:ascii="Book Antiqua" w:hAnsi="Book Antiqua" w:cs="Book Antiqua"/>
          <w:kern w:val="0"/>
          <w:sz w:val="22"/>
          <w:szCs w:val="22"/>
          <w:lang w:bidi="ar-SA"/>
        </w:rPr>
        <w:t>Kotlebovci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– Ľudová strana Naše Slovensko Marian Kotleba,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Martin Beluský</w:t>
      </w:r>
      <w:r w:rsidR="00152618">
        <w:rPr>
          <w:rFonts w:ascii="Book Antiqua" w:hAnsi="Book Antiqua" w:cs="Book Antiqua"/>
          <w:kern w:val="0"/>
          <w:sz w:val="22"/>
          <w:szCs w:val="22"/>
          <w:lang w:bidi="ar-SA"/>
        </w:rPr>
        <w:t>, Jozef Šimko a Andrej Medvecký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predkladajú do Národnej rady Slovenskej republiky návrh zákona, ktorým sa mení a dopĺňa zákon č. 343/2015 Z. z. o verejnom obstarávaní a o zmene a doplnení niektorých zákonov v znení neskorších predpisov. </w:t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Cieľom novely zákona je podporiť výrobu a spotrebu do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mácich produktov. V súčasnosti 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sa zákon o verejnom obstarávaní drží striktne podmienky nediskriminácie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na základe oblasti alebo miesta pôvodu alebo výroby produktu. Túto podmienku však považujeme za kontraproduktívnu. Považujeme za legitímne, aby mali verejní obstarávatelia možnosť žiadať v súťaži dodanie výrobkov slovenského alebo regionálneho pôvodu. Umožnenie aplikácie takejto podmienky vo verejných obstarávaniach bude mať za následok zvýšenie spotreby</w:t>
      </w:r>
      <w:r w:rsidR="00A858BB">
        <w:rPr>
          <w:rFonts w:ascii="Book Antiqua" w:hAnsi="Book Antiqua" w:cs="Book Antiqua"/>
          <w:kern w:val="0"/>
          <w:sz w:val="22"/>
          <w:szCs w:val="22"/>
          <w:lang w:bidi="ar-SA"/>
        </w:rPr>
        <w:t>,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a tým aj výroby slovenských výrobkov, čo sa v konečnom dôsledky prejaví pozitívne aj na zamestnanosti a celkovom výkone ekonomiky.</w:t>
      </w:r>
    </w:p>
    <w:p w:rsid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Slovensko zaznamenáva dlhodobo negatívne trendy najmä v oblasti výroby potravinárskych a poľnohospodárskych produktov. Najvýraznejšie poklesy boli zaznamenané v počtoch hospodárskych zvierat. Za posledných 40 rokov klesol celkový počet hovädzieho dobytku o viac ako 70 % a celkový počet ošípaných o takmer 80 %. Negatívne trendy sú aj vo vývoji celkového počtu oviec, moriek, kačíc, husí a ďalších zvierat. Tento negatívny vývoj je spôsobený najmä zvýšením dovozu výrobkov z týchto zvierat ako aj nekontrolovaným globálnym prostredím, ktoré ničí našich domácich producentov.</w:t>
      </w:r>
    </w:p>
    <w:p w:rsidR="00152618" w:rsidRDefault="00152618" w:rsidP="00152618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w:drawing>
          <wp:inline distT="0" distB="0" distL="0" distR="0" wp14:anchorId="229616FB" wp14:editId="2941E7ED">
            <wp:extent cx="5705475" cy="3381375"/>
            <wp:effectExtent l="0" t="0" r="9525" b="9525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5E04" w:rsidRDefault="00755E04" w:rsidP="00755E04">
      <w:pPr>
        <w:widowControl/>
        <w:autoSpaceDE/>
        <w:autoSpaceDN/>
        <w:spacing w:line="276" w:lineRule="auto"/>
        <w:textAlignment w:val="auto"/>
        <w:rPr>
          <w:rFonts w:ascii="Calibri" w:hAnsi="Calibri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ab/>
        <w:t xml:space="preserve">    </w:t>
      </w:r>
      <w:r w:rsidRPr="00755E04">
        <w:rPr>
          <w:rFonts w:ascii="Book Antiqua" w:hAnsi="Book Antiqua" w:cs="Book Antiqua"/>
          <w:b/>
          <w:kern w:val="0"/>
          <w:sz w:val="22"/>
          <w:szCs w:val="22"/>
          <w:lang w:bidi="ar-SA"/>
        </w:rPr>
        <w:t>Zdroj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: spracované podľ</w:t>
      </w:r>
      <w:r w:rsidRPr="00755E04">
        <w:rPr>
          <w:rFonts w:ascii="Book Antiqua" w:hAnsi="Book Antiqua" w:cs="Book Antiqua"/>
          <w:color w:val="000000" w:themeColor="text1"/>
          <w:kern w:val="0"/>
          <w:sz w:val="22"/>
          <w:szCs w:val="22"/>
          <w:lang w:bidi="ar-SA"/>
        </w:rPr>
        <w:t xml:space="preserve">a </w:t>
      </w:r>
      <w:r w:rsidR="00152618" w:rsidRPr="00E12250">
        <w:rPr>
          <w:u w:val="single"/>
        </w:rPr>
        <w:t>http://datacube.statistics.sk/</w:t>
      </w:r>
    </w:p>
    <w:p w:rsidR="00755E04" w:rsidRDefault="00755E04" w:rsidP="00755E04">
      <w:pPr>
        <w:widowControl/>
        <w:autoSpaceDE/>
        <w:autoSpaceDN/>
        <w:spacing w:line="276" w:lineRule="auto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lastRenderedPageBreak/>
        <w:tab/>
        <w:t>Na Slovensku taktiež dlhodobo zaznamenávame pokles salda (rozdiel medzi vývozom a dovozom) základných potravín a tovarov. Od vstupu do Európskej únie v roku 2004 rastie dovoz oveľa výraznejším tempom ako tomu bolo pred vstupom do EÚ. Tento trend demonštruje nasledovný graf:</w:t>
      </w:r>
    </w:p>
    <w:p w:rsidR="00B32728" w:rsidRPr="00755E04" w:rsidRDefault="00607FFD" w:rsidP="00755E04">
      <w:pPr>
        <w:widowControl/>
        <w:autoSpaceDE/>
        <w:autoSpaceDN/>
        <w:spacing w:line="276" w:lineRule="auto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96533C">
        <w:rPr>
          <w:noProof/>
          <w:lang w:eastAsia="sk-SK" w:bidi="ar-SA"/>
        </w:rPr>
        <w:drawing>
          <wp:inline distT="0" distB="0" distL="0" distR="0">
            <wp:extent cx="5759450" cy="6480810"/>
            <wp:effectExtent l="0" t="0" r="0" b="0"/>
            <wp:docPr id="2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ab/>
      </w:r>
      <w:r w:rsidRPr="00755E04">
        <w:rPr>
          <w:rFonts w:ascii="Book Antiqua" w:hAnsi="Book Antiqua" w:cs="Book Antiqua"/>
          <w:b/>
          <w:kern w:val="0"/>
          <w:sz w:val="22"/>
          <w:szCs w:val="22"/>
          <w:lang w:bidi="ar-SA"/>
        </w:rPr>
        <w:t>Zdroj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: spracované podľa</w:t>
      </w:r>
      <w:r w:rsidRPr="00755E04">
        <w:rPr>
          <w:rFonts w:ascii="Book Antiqua" w:hAnsi="Book Antiqua" w:cs="Book Antiqua"/>
          <w:color w:val="000000" w:themeColor="text1"/>
          <w:kern w:val="0"/>
          <w:sz w:val="22"/>
          <w:szCs w:val="22"/>
          <w:lang w:bidi="ar-SA"/>
        </w:rPr>
        <w:t xml:space="preserve"> </w:t>
      </w:r>
      <w:r w:rsidR="00E12250" w:rsidRPr="00A858BB">
        <w:rPr>
          <w:u w:val="single"/>
        </w:rPr>
        <w:t>http://datacube.statistics.sk/</w:t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Slovenské potraviny sa strácajú v záplave zahraničnej konkurencie. Potvrdzuje to pasívne saldo, ktoré sa prepadá čoraz viac do mínusu. Ročne teda dovezieme oveľa viac potravín ako ich dokážeme vyviezť. Základné potraviny a výrobky, ktoré sme v minulosti viac vyvážali ako dovážali (napr.: živé zvieratá, mlieko, vajcia, med, jedlé výrobky živočíšneho pôvodu, zelenina, semená, plody, slama) dnes dovážame v neporovnateľne väčších objemoch. Občania SR jedia často ovocie a zeleninu dovážanú z tisíc kilometrov vzdialených lokalít. 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lastRenderedPageBreak/>
        <w:t>Zahraničné mäso a výrobky živočíšneho pôvodu majú zase často pochybný pôvod a kvalitu. Tento negatívny vývoj je výsledkom systematickej ignorácie domácich výrobcov a producentov, ktorým sa zo strany štátu nedostáva ani zďaleka takej podpory, akej sa dostáva zahraničným investorom a firmám.</w:t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Práve v tomto období, </w:t>
      </w:r>
      <w:r w:rsidRPr="00755E04">
        <w:rPr>
          <w:rFonts w:ascii="Book Antiqua" w:hAnsi="Book Antiqua" w:cs="Book Antiqua"/>
          <w:color w:val="000000"/>
          <w:kern w:val="0"/>
          <w:sz w:val="22"/>
          <w:szCs w:val="22"/>
          <w:lang w:bidi="ar-SA"/>
        </w:rPr>
        <w:t>kedy vývoz do zahraničia výrazne klesá</w:t>
      </w:r>
      <w:r w:rsidR="00A858BB">
        <w:rPr>
          <w:rFonts w:ascii="Book Antiqua" w:hAnsi="Book Antiqua" w:cs="Book Antiqua"/>
          <w:color w:val="000000"/>
          <w:kern w:val="0"/>
          <w:sz w:val="22"/>
          <w:szCs w:val="22"/>
          <w:lang w:bidi="ar-SA"/>
        </w:rPr>
        <w:t xml:space="preserve"> a kedy vláda Igora Matoviča zavádza opatrenia, ktorými buď obmedzuje alebo úplne zakazuje obchodovanie a podnikanie,</w:t>
      </w:r>
      <w:r w:rsidRPr="00755E04">
        <w:rPr>
          <w:rFonts w:ascii="Book Antiqua" w:hAnsi="Book Antiqua" w:cs="Book Antiqua"/>
          <w:color w:val="FF0000"/>
          <w:kern w:val="0"/>
          <w:sz w:val="22"/>
          <w:szCs w:val="22"/>
          <w:lang w:bidi="ar-SA"/>
        </w:rPr>
        <w:t xml:space="preserve"> 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by mal štát hľadať možnosti ako podporiť domácich výrobcov aspoň </w:t>
      </w:r>
      <w:r w:rsidR="00A858BB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na lokálnom trhu. Slovenská republika má plné právo a zároveň povinnosť podporovať prioritne domácich producentov, nie vychádzať, často úplne nekriticky, v ústrety zahraničným výrobcom alebo dovozcom. Slovenské vlády by sa nemali pýšiť tým, koľkých zahraničných investorov na Slovensko dotiahli. Mali by sa pýšiť v prvom rade tým, </w:t>
      </w:r>
      <w:r w:rsidR="00A858BB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že vytvorili priaznivé ekonomické prostredie pre rast a následnú medzinárodnú expanziu slovenských firiem. A práve to si kladie za cieľ aj táto novela zákona.</w:t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V nami navrhovanej novele zákona aplikácia podmienky slovenského pôvodu nie je povinná. Verejný obstarávateľ má v prípade potreby možnosť túto podmienku neuplatniť a umožniť tak účasť aj zahraničným spoločnostiam, najmä ak nejde o bežne dostupné tovary a služby alebo ak by uplatnenie podmienky slovenského pôvodu viedlo k markantnému obmedzeniu konkurenčného prostredia a malo výrazne negatívny vplyv na rast predpokladanej hodnoty zákazky. V prípade, ak nebude dopredu jasný dopad aplikácie podmienky slovenského pôvodu na výslednú cenu zákazky, tak verejný obstarávateľ má vždy možnosť urobiť najskôr predbežný prieskum trhu medzi domácimi a zahraničnými výrobcami.</w:t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Pozitívny dopad uplatnenia podmienky slovenského pôvodu očakávame najmä 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br/>
        <w:t xml:space="preserve">pri dodávke potravín a potravinárskych výrobkov. Ak tieto súťaže budú vyhrávať prioritne domáce regionálne firmy, povedie to aspoň čiastočne k postupnému obnoveniu potravinovej a poľnohospodárskej výroby na Slovensku. </w:t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Ďalšou možnosťou pre aplikáciu tejto podmienky je oblasť stavebných prác. Existuje veľké množstvo zákaziek, napríklad výstavba verejnoprospešných diel, ktoré by mohli zrealizovať domáci a regionálni remeselníci a malovýrobcovia, ale kvôli silnému medzinárodnému konkurenčnému prostrediu sa často do takýchto súťaží ani neprihlásia a nakoniec sa z nich často stanú len subkontraktori pre nadnárodné spoločnosti. </w:t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Povolenie podmienky a požiadavky na slovenský pôvod pri vybraných výrobkoch a službách bude mať pozitívny vplyv na zamestnanosť a hospodársky rast slovenského hospodárstva. Spustí sa tým multiplikačný efekt, ktorý umožní slovenským firmám expandovať, zvyšovať tržby, ale aj mzdy pre zamestnancov.</w:t>
      </w:r>
    </w:p>
    <w:p w:rsidR="00755E04" w:rsidRPr="00755E04" w:rsidRDefault="00755E04" w:rsidP="00755E0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>Návrh zákona bude mať tiež pozitívny vplyv na rozpočet verejnej správy a podnikateľské prostredie na Slovensku. Rovnako bude mať pozitívne sociálne vplyvy, vplyvy na hospodárenie obyvateľstva a zamestnanosť.</w:t>
      </w:r>
    </w:p>
    <w:p w:rsidR="00F7206F" w:rsidRPr="00755E04" w:rsidRDefault="00F7206F" w:rsidP="00755E0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9F6924" w:rsidRPr="009F6924" w:rsidRDefault="009F6924" w:rsidP="009F6924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  <w:bookmarkStart w:id="0" w:name="_GoBack"/>
      <w:bookmarkEnd w:id="0"/>
    </w:p>
    <w:p w:rsidR="009F6924" w:rsidRPr="009F6924" w:rsidRDefault="00607FFD" w:rsidP="009F6924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12700" b="0"/>
                <wp:wrapNone/>
                <wp:docPr id="3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C94E" id="Rovná spojovacia šípka 1" o:spid="_x0000_s1026" type="#_x0000_t32" style="position:absolute;margin-left:-.35pt;margin-top:2.75pt;width:45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HVOQIAAEsEAAAOAAAAZHJzL2Uyb0RvYy54bWysVEtu2zAQ3RfoHQjubUmOnThC5KCQ7G7S&#10;1mjSA9AkZbGROATJWDaKHiYH6CmC3qtD+tO63RRFtaCG4sybNzOPurnddi3ZSOsU6IJmw5QSqTkI&#10;pdcF/fSwGEwpcZ5pwVrQsqA76ejt7PWrm97kcgQNtEJagiDa5b0paOO9yZPE8UZ2zA3BSI2HNdiO&#10;edzadSIs6xG9a5NRml4mPVhhLHDpHH6t9od0FvHrWnL/oa6d9KQtKHLzcbVxXYU1md2wfG2ZaRQ/&#10;0GD/wKJjSmPSE1TFPCNPVv0B1SluwUHthxy6BOpacRlrwGqy9Ldq7htmZKwFm+PMqU3u/8Hy95ul&#10;JUoU9IISzToc0UfY6Jdn4gx8hg3jipHvzy/fzCMjWWhXb1yOUaVe2lAw3+p7cwf80RENZcP0Wkba&#10;DzuDWDEiOQsJG2cw6ap/BwJ92JOH2LttbbsAiV0h2zii3WlEcusJx4+Tq6vpJMVJ8uNZwvJjoLHO&#10;v5XQkWAU1HnL1LrxJWiNQgCbxTRsc+c8FoKBx4CQVcNCtW3UQ6tJX9DryWgSAxy0SoTD4ObselW2&#10;lmxYUFR8QlcQ7MzNwpMWEayRTMwPtmeq3dvo3+qAh4UhnYO1l8yX6/R6Pp1Px4Px6HI+GKdVNXiz&#10;KMeDy0V2NakuqrKssq+BWjbOGyWE1IHdUb7Z+O/kcbhIe+GdBHxqQ3KOHktEssd3JB0nG4a5l8UK&#10;xG5pQzfCkFGx0flwu8KV+HUfvX7+A2Y/AAAA//8DAFBLAwQUAAYACAAAACEAOu+oydoAAAAFAQAA&#10;DwAAAGRycy9kb3ducmV2LnhtbEyOTU/DMBBE70j9D9YicUGt3aIACdlUVSUOHPshcXXjJQnE6yh2&#10;mtBfj8sFjqMZvXn5erKtOFPvG8cIy4UCQVw603CFcDy8zp9B+KDZ6NYxIXyTh3Uxu8l1ZtzIOzrv&#10;QyUihH2mEeoQukxKX9ZktV+4jjh2H663OsTYV9L0eoxw28qVUo/S6objQ6072tZUfu0Hi0B+SJZq&#10;k9rq+HYZ799Xl8+xOyDe3U6bFxCBpvA3hqt+VIciOp3cwMaLFmH+FIcISQIitqlKH0CcfrMscvnf&#10;vvgBAAD//wMAUEsBAi0AFAAGAAgAAAAhALaDOJL+AAAA4QEAABMAAAAAAAAAAAAAAAAAAAAAAFtD&#10;b250ZW50X1R5cGVzXS54bWxQSwECLQAUAAYACAAAACEAOP0h/9YAAACUAQAACwAAAAAAAAAAAAAA&#10;AAAvAQAAX3JlbHMvLnJlbHNQSwECLQAUAAYACAAAACEAargh1TkCAABLBAAADgAAAAAAAAAAAAAA&#10;AAAuAgAAZHJzL2Uyb0RvYy54bWxQSwECLQAUAAYACAAAACEAOu+oydoAAAAFAQAADwAAAAAAAAAA&#10;AAAAAACTBAAAZHJzL2Rvd25yZXYueG1sUEsFBgAAAAAEAAQA8wAAAJoFAAAAAA==&#10;"/>
            </w:pict>
          </mc:Fallback>
        </mc:AlternateConten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:rsidR="00AC1E33" w:rsidRDefault="00AC1E33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Do verejného obstarávania sa zavádza nový základný pojem: „slovenský vý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robok“, ktorý pri potravinách 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poľnohospodárskych produktoch odkazuje na definície,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ktoré sú uvedené vo 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hláške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Ministerstva pôdohospodárstva a rozvoja vidieka Slovenskej republiky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č. 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163/2014 Z. z. o podmienkach použ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ívania dobrovoľného označovania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poľnohospodárskych produktov 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 potravín na účely informovania spotrebiteľa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Pri ostatných výrobkoch je definícia slovenského výrobku analogická s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definíci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ou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slovensk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ej potraviny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A6220D" w:rsidRPr="00A6220D" w:rsidRDefault="00A6220D" w:rsidP="00A6220D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A6220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</w:p>
    <w:p w:rsidR="00A6220D" w:rsidRPr="00A6220D" w:rsidRDefault="00A6220D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Pr="00A6220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Do verejného obstarávania sa zavádza nový základný pojem: „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konečný vlastník</w:t>
      </w:r>
      <w:r w:rsidRPr="00A6220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“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ktorým sa rozumie </w:t>
      </w:r>
      <w:r w:rsidRPr="00A6220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vlastník fyzická osoba alebo vlastník právnická osoba, ktorá nie je vlastnená žiadnou fyzickou alebo právnickou osobou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3</w:t>
      </w:r>
    </w:p>
    <w:p w:rsidR="009F6924" w:rsidRPr="009F6924" w:rsidRDefault="00D2694F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Princíp </w:t>
      </w:r>
      <w:r w:rsidR="00AC1E33"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nediskriminácie hospodárskych subjektov</w:t>
      </w: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nebude musieť v</w:t>
      </w:r>
      <w:r w:rsidR="00AC1E33"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erejný obstarávateľ a</w:t>
      </w: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 w:rsidR="00AC1E33"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obstarávateľ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dodržať v </w:t>
      </w:r>
      <w:r w:rsid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prípadoch ustanovených zákonom. Ide napríklad o uprednostnenie uchádzačov s pôvodom na území Slovenskej republiky.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4</w:t>
      </w:r>
    </w:p>
    <w:p w:rsidR="009F6924" w:rsidRPr="009F6924" w:rsidRDefault="00AC1E33" w:rsidP="00AC1E33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Zavádza sa nová podmienka účasti – pôvod uchádzača alebo záujemcu na území Slovenskej republiky, ktorú verejný 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obstarávateľ a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obstarávateľ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môžu, ale nemusia vyžadovať.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Táto podmienka je definovaná tak, že </w:t>
      </w:r>
      <w:r w:rsidR="00A3277D" w:rsidRP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uchádzač alebo záujemca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je</w:t>
      </w:r>
      <w:r w:rsidR="00A3277D" w:rsidRP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občanom Slovenskej republiky alebo právnickou osobou, ktorej konečnými vlastníkmi</w:t>
      </w:r>
      <w:r w:rsidR="00A3277D" w:rsidRP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sú výlučne alebo prevažne občania Slovenskej republiky alebo právnické osoby so sídlom </w:t>
      </w:r>
      <w:r w:rsidR="00A3277D" w:rsidRP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na území Slovenskej republiky.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01147F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5</w:t>
      </w:r>
    </w:p>
    <w:p w:rsidR="00D3056C" w:rsidRDefault="00AC1E33" w:rsidP="00D3056C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Verejný obstarávateľ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bude </w:t>
      </w:r>
      <w:r w:rsidRPr="00AC1E3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 oznámení o vyhlásení verejného obstarávania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uvádzať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aj podmienku </w:t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pôvodu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uchádzača alebo záujemcu</w:t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území Slovenskej republiky,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ak ju uplatňuje.</w:t>
      </w:r>
    </w:p>
    <w:p w:rsidR="009F6924" w:rsidRPr="00D3056C" w:rsidRDefault="009F6924" w:rsidP="00D3056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6</w:t>
      </w:r>
    </w:p>
    <w:p w:rsidR="009F6924" w:rsidRPr="009F6924" w:rsidRDefault="001E6479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Podmienky účasti, ktoré môže určiť obstarávateľ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sa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budú môcť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týkať aj 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pôvodu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území Slovenskej republiky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D87946" w:rsidRDefault="00D87946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lastRenderedPageBreak/>
        <w:t xml:space="preserve">K bodu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7</w:t>
      </w:r>
    </w:p>
    <w:p w:rsidR="001E6479" w:rsidRPr="001E6479" w:rsidRDefault="001E6479" w:rsidP="001E6479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Verejný obstarávateľ a obstarávateľ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budú môcť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 súťažných podkladoch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alebo v koncesnej dokumentácii vyžadovať, aby navrhovaný subdodávateľ spĺňal podmienky účasti týkajúce sa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aj 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pôvodu na území Slovenskej republiky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9F6924" w:rsidRPr="009F6924" w:rsidRDefault="009F6924" w:rsidP="001E6479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8</w:t>
      </w:r>
    </w:p>
    <w:p w:rsidR="001E6479" w:rsidRDefault="001E6479" w:rsidP="001E6479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Verejný obstarávateľ a obstarávateľ 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budú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vypr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acovávať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opis predmetu zákazky</w:t>
      </w:r>
      <w:r w:rsidR="00E81AD7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 súťažných podkladoch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ak ide o obstaranie tovaru, aj tak, že uvedú či 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požaduj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ú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aby bol tovar alebo jeho časť slovenským výrobkom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3C4853" w:rsidRPr="003C4853" w:rsidRDefault="003C4853" w:rsidP="003C4853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3C4853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9</w:t>
      </w:r>
    </w:p>
    <w:p w:rsidR="003C4853" w:rsidRPr="003C4853" w:rsidRDefault="003C4853" w:rsidP="003C4853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Verejný obstarávateľ a obstarávateľ budú vypracovávať opis predmetu zákazky v súťažných podkladoch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ak ide o </w:t>
      </w:r>
      <w:r w:rsidRP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obstaranie poľnohospodárskeho produktu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alebo potraviny, aj tak, že uvedú či požadujú, aby bol poľnohospodársky produkt </w:t>
      </w:r>
      <w:r w:rsidRP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alebo potravina alebo ich časť slovenským výrobkom vyrobeným v konkrétnom okrese </w:t>
      </w:r>
      <w:r w:rsidRP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alebo kraji Slovenskej republiky.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10</w:t>
      </w:r>
    </w:p>
    <w:p w:rsidR="009F6924" w:rsidRPr="009F6924" w:rsidRDefault="001E6479" w:rsidP="00E10995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Technické požiadavky sa budú môcť odvolávať</w:t>
      </w:r>
      <w:r w:rsidR="00E1099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pri tovaroch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Slovenskú republiku</w:t>
      </w:r>
      <w:r w:rsidR="00E1099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 pri poľnohospodárskych produktoch a potravinách na Slovenskú republiku, </w:t>
      </w:r>
      <w:r w:rsidR="00E1099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kraj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alebo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okres v Slovenskej republike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</w:t>
      </w:r>
      <w:r w:rsidR="003C485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ako na</w:t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oblasť alebo miesto pôvodu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alebo výroby</w:t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čo doteraz nebolo možné.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A3277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1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1</w:t>
      </w:r>
    </w:p>
    <w:p w:rsidR="009F6924" w:rsidRPr="009F6924" w:rsidRDefault="001E6479" w:rsidP="00AA3D59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rámci kritérií na vyhodnotenie ponúk na základe „najlepšieho pomeru ceny a kvality“ (§ 44 ods. 3 písm. a) bude možné ponuky hodnotiť aj na základe</w:t>
      </w:r>
      <w:r w:rsidR="00AA3D5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pôvodu 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uchádzača alebo záujemc</w:t>
      </w:r>
      <w:r w:rsidR="00AA3D5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území Slovenskej republiky, 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ak ide o obstaranie tovaru 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 xml:space="preserve">aj </w:t>
      </w:r>
      <w:r w:rsidR="00AA3D5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základe skutočnosti</w:t>
      </w:r>
      <w:r w:rsidRPr="001E647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či ide o slovenský výrobok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 ak ide o obstaranie </w:t>
      </w:r>
      <w:r w:rsidR="00E84888" w:rsidRP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poľnohospodárskeho produktu alebo potraviny 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aj na základe skutočnosti</w:t>
      </w:r>
      <w:r w:rsidR="00E84888" w:rsidRP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či ide o slovenský výrobok vyrobený v konkrétnom okrese alebo kraji Slovenskej republiky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2</w:t>
      </w:r>
    </w:p>
    <w:p w:rsidR="003506A2" w:rsidRDefault="003506A2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Pr="003506A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Verejný obstarávateľ alebo obstarávateľ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budú môcť vyhradiť právo účasti </w:t>
      </w:r>
      <w:r w:rsidR="00EF254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 verejnom obstarávaní pri podlimitných zákazkách </w:t>
      </w:r>
      <w:r w:rsidRPr="003506A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len pre uchádzačov alebo záujemcov s pôvodom na území Slovenskej republiky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013ABE" w:rsidRPr="00013ABE" w:rsidRDefault="00013ABE" w:rsidP="00013ABE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013ABE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  <w:r w:rsidR="00E84888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3</w:t>
      </w:r>
    </w:p>
    <w:p w:rsidR="00013ABE" w:rsidRPr="003506A2" w:rsidRDefault="00013ABE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 xml:space="preserve">Vyššie uvedené zmeny sa budú aplikovať na verejné obstarávania začaté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po 31. decembri 2017.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9F6924" w:rsidRPr="00E84888" w:rsidRDefault="009F6924" w:rsidP="00E84888">
      <w:pPr>
        <w:autoSpaceDN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9F6924">
        <w:rPr>
          <w:rFonts w:ascii="Book Antiqua" w:hAnsi="Book Antiqua" w:cs="Arial"/>
          <w:color w:val="000000"/>
          <w:kern w:val="1"/>
          <w:sz w:val="22"/>
          <w:szCs w:val="22"/>
        </w:rPr>
        <w:t xml:space="preserve">Navrhuje sa účinnosť zákona </w:t>
      </w:r>
      <w:r w:rsidR="00013ABE">
        <w:rPr>
          <w:rFonts w:ascii="Book Antiqua" w:hAnsi="Book Antiqua" w:cs="Arial"/>
          <w:color w:val="000000"/>
          <w:kern w:val="1"/>
          <w:sz w:val="22"/>
          <w:szCs w:val="22"/>
        </w:rPr>
        <w:t xml:space="preserve">dňa </w:t>
      </w:r>
      <w:r w:rsidR="00013ABE">
        <w:rPr>
          <w:rFonts w:ascii="Book Antiqua" w:hAnsi="Book Antiqua" w:cs="Liberation Serif"/>
          <w:color w:val="000000"/>
          <w:kern w:val="1"/>
          <w:sz w:val="22"/>
        </w:rPr>
        <w:t>1. janu</w:t>
      </w:r>
      <w:r w:rsidR="00607FFD">
        <w:rPr>
          <w:rFonts w:ascii="Book Antiqua" w:hAnsi="Book Antiqua" w:cs="Liberation Serif"/>
          <w:color w:val="000000"/>
          <w:kern w:val="1"/>
          <w:sz w:val="22"/>
        </w:rPr>
        <w:t>ára 2022</w:t>
      </w:r>
      <w:r w:rsidR="00E84888">
        <w:rPr>
          <w:rFonts w:ascii="Book Antiqua" w:hAnsi="Book Antiqua" w:cs="Liberation Serif"/>
          <w:color w:val="000000"/>
          <w:kern w:val="1"/>
          <w:sz w:val="22"/>
        </w:rPr>
        <w:t>.</w:t>
      </w:r>
    </w:p>
    <w:sectPr w:rsidR="009F6924" w:rsidRPr="00E84888">
      <w:type w:val="continuous"/>
      <w:pgSz w:w="11906" w:h="16838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E4" w:rsidRDefault="00455DE4">
      <w:r>
        <w:separator/>
      </w:r>
    </w:p>
  </w:endnote>
  <w:endnote w:type="continuationSeparator" w:id="0">
    <w:p w:rsidR="00455DE4" w:rsidRDefault="0045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2"/>
    <w:family w:val="auto"/>
    <w:notTrueType/>
    <w:pitch w:val="variable"/>
  </w:font>
  <w:font w:name="Symbol, 'Times New Roman'">
    <w:panose1 w:val="00000000000000000000"/>
    <w:charset w:val="02"/>
    <w:family w:val="roman"/>
    <w:notTrueType/>
    <w:pitch w:val="variable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E4" w:rsidRDefault="00455DE4">
      <w:r>
        <w:rPr>
          <w:color w:val="000000"/>
        </w:rPr>
        <w:separator/>
      </w:r>
    </w:p>
  </w:footnote>
  <w:footnote w:type="continuationSeparator" w:id="0">
    <w:p w:rsidR="00455DE4" w:rsidRDefault="00455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8D"/>
    <w:multiLevelType w:val="hybridMultilevel"/>
    <w:tmpl w:val="7F3809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3D"/>
    <w:rsid w:val="0001147F"/>
    <w:rsid w:val="00013ABE"/>
    <w:rsid w:val="000470E8"/>
    <w:rsid w:val="00075798"/>
    <w:rsid w:val="000D6D87"/>
    <w:rsid w:val="000E26FA"/>
    <w:rsid w:val="00152618"/>
    <w:rsid w:val="001C442D"/>
    <w:rsid w:val="001E6479"/>
    <w:rsid w:val="002163D3"/>
    <w:rsid w:val="0023443E"/>
    <w:rsid w:val="00297050"/>
    <w:rsid w:val="002E3CB8"/>
    <w:rsid w:val="003506A2"/>
    <w:rsid w:val="003C4853"/>
    <w:rsid w:val="003F2C29"/>
    <w:rsid w:val="00401CEF"/>
    <w:rsid w:val="00403429"/>
    <w:rsid w:val="00445805"/>
    <w:rsid w:val="00455DE4"/>
    <w:rsid w:val="00470E08"/>
    <w:rsid w:val="004C7C57"/>
    <w:rsid w:val="004E1E66"/>
    <w:rsid w:val="005469A9"/>
    <w:rsid w:val="00607FFD"/>
    <w:rsid w:val="006329D9"/>
    <w:rsid w:val="00656433"/>
    <w:rsid w:val="006C15F7"/>
    <w:rsid w:val="006D275F"/>
    <w:rsid w:val="007374A8"/>
    <w:rsid w:val="00755E04"/>
    <w:rsid w:val="00784B25"/>
    <w:rsid w:val="007B25B8"/>
    <w:rsid w:val="007E1102"/>
    <w:rsid w:val="00854118"/>
    <w:rsid w:val="00880065"/>
    <w:rsid w:val="008D50B9"/>
    <w:rsid w:val="009532D4"/>
    <w:rsid w:val="00965210"/>
    <w:rsid w:val="0096533C"/>
    <w:rsid w:val="009C1FB6"/>
    <w:rsid w:val="009F6924"/>
    <w:rsid w:val="00A3277D"/>
    <w:rsid w:val="00A6220D"/>
    <w:rsid w:val="00A858BB"/>
    <w:rsid w:val="00AA3D59"/>
    <w:rsid w:val="00AC1E33"/>
    <w:rsid w:val="00AC4D1E"/>
    <w:rsid w:val="00AE6541"/>
    <w:rsid w:val="00B32728"/>
    <w:rsid w:val="00B52ABA"/>
    <w:rsid w:val="00B553D2"/>
    <w:rsid w:val="00B82509"/>
    <w:rsid w:val="00C07276"/>
    <w:rsid w:val="00C176E4"/>
    <w:rsid w:val="00C63173"/>
    <w:rsid w:val="00C63DA0"/>
    <w:rsid w:val="00CA3BF2"/>
    <w:rsid w:val="00CB653D"/>
    <w:rsid w:val="00CF1C12"/>
    <w:rsid w:val="00CF3A95"/>
    <w:rsid w:val="00D2694F"/>
    <w:rsid w:val="00D3056C"/>
    <w:rsid w:val="00D458E1"/>
    <w:rsid w:val="00D46245"/>
    <w:rsid w:val="00D87946"/>
    <w:rsid w:val="00DB39CF"/>
    <w:rsid w:val="00E10995"/>
    <w:rsid w:val="00E12250"/>
    <w:rsid w:val="00E13DF0"/>
    <w:rsid w:val="00E81AD7"/>
    <w:rsid w:val="00E84888"/>
    <w:rsid w:val="00ED6347"/>
    <w:rsid w:val="00EE702A"/>
    <w:rsid w:val="00EE74AB"/>
    <w:rsid w:val="00EF2548"/>
    <w:rsid w:val="00F55A58"/>
    <w:rsid w:val="00F70A0C"/>
    <w:rsid w:val="00F7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AAE1A"/>
  <w14:defaultImageDpi w14:val="0"/>
  <w15:docId w15:val="{A40EBB4A-5E9A-496C-9523-C2EC621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bidi="hi-IN"/>
    </w:rPr>
  </w:style>
  <w:style w:type="paragraph" w:styleId="Nzov">
    <w:name w:val="Title"/>
    <w:basedOn w:val="Standard"/>
    <w:next w:val="Textbody"/>
    <w:link w:val="NzovChar"/>
    <w:uiPriority w:val="99"/>
    <w:qFormat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</w:pPr>
    <w:rPr>
      <w:lang w:eastAsia="zh-CN"/>
    </w:rPr>
  </w:style>
  <w:style w:type="paragraph" w:styleId="Zoznam">
    <w:name w:val="List"/>
    <w:basedOn w:val="Textbody"/>
    <w:uiPriority w:val="99"/>
  </w:style>
  <w:style w:type="paragraph" w:styleId="Popis">
    <w:name w:val="caption"/>
    <w:basedOn w:val="Standard"/>
    <w:uiPriority w:val="99"/>
    <w:qFormat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/>
    </w:rPr>
  </w:style>
  <w:style w:type="character" w:customStyle="1" w:styleId="RTFNum52">
    <w:name w:val="RTF_Num 5 2"/>
    <w:uiPriority w:val="99"/>
    <w:rPr>
      <w:rFonts w:ascii="Courier New" w:hAnsi="Courier New"/>
    </w:rPr>
  </w:style>
  <w:style w:type="character" w:customStyle="1" w:styleId="RTFNum53">
    <w:name w:val="RTF_Num 5 3"/>
    <w:uiPriority w:val="99"/>
    <w:rPr>
      <w:rFonts w:ascii="Wingdings, Symbol" w:hAnsi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/>
    </w:rPr>
  </w:style>
  <w:style w:type="character" w:customStyle="1" w:styleId="RTFNum55">
    <w:name w:val="RTF_Num 5 5"/>
    <w:uiPriority w:val="99"/>
    <w:rPr>
      <w:rFonts w:ascii="Courier New" w:hAnsi="Courier New"/>
    </w:rPr>
  </w:style>
  <w:style w:type="character" w:customStyle="1" w:styleId="RTFNum56">
    <w:name w:val="RTF_Num 5 6"/>
    <w:uiPriority w:val="99"/>
    <w:rPr>
      <w:rFonts w:ascii="Wingdings, Symbol" w:hAnsi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/>
    </w:rPr>
  </w:style>
  <w:style w:type="character" w:customStyle="1" w:styleId="RTFNum58">
    <w:name w:val="RTF_Num 5 8"/>
    <w:uiPriority w:val="99"/>
    <w:rPr>
      <w:rFonts w:ascii="Courier New" w:hAnsi="Courier New"/>
    </w:rPr>
  </w:style>
  <w:style w:type="character" w:customStyle="1" w:styleId="RTFNum59">
    <w:name w:val="RTF_Num 5 9"/>
    <w:uiPriority w:val="99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locked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tin_belusky\Dropbox\&#317;SNS\NR%20SR\Z&#225;kony\_VIII.%20volebn&#233;%20odbobie\08%20VO\&#352;tatistiky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rtin.belusky\Dropbox\&#317;SNS\NR%20SR\Z&#225;kony\6%20VO\&#352;tatistik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Vývoj počtu hovädzieho dobytku a ošípaných</a:t>
            </a:r>
          </a:p>
        </c:rich>
      </c:tx>
      <c:layout>
        <c:manualLayout>
          <c:xMode val="edge"/>
          <c:yMode val="edge"/>
          <c:x val="0.18894239614897926"/>
          <c:y val="2.008032128514056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Hárok3!$A$2</c:f>
              <c:strCache>
                <c:ptCount val="1"/>
                <c:pt idx="0">
                  <c:v>Hovädzí dobytok spolu</c:v>
                </c:pt>
              </c:strCache>
            </c:strRef>
          </c:tx>
          <c:marker>
            <c:symbol val="none"/>
          </c:marker>
          <c:cat>
            <c:numRef>
              <c:f>Hárok3!$O$1:$AY$1</c:f>
              <c:numCache>
                <c:formatCode>General</c:formatCode>
                <c:ptCount val="37"/>
                <c:pt idx="0">
                  <c:v>1983</c:v>
                </c:pt>
                <c:pt idx="1">
                  <c:v>1984</c:v>
                </c:pt>
                <c:pt idx="2">
                  <c:v>1985</c:v>
                </c:pt>
                <c:pt idx="3">
                  <c:v>1986</c:v>
                </c:pt>
                <c:pt idx="4">
                  <c:v>1987</c:v>
                </c:pt>
                <c:pt idx="5">
                  <c:v>1988</c:v>
                </c:pt>
                <c:pt idx="6">
                  <c:v>1989</c:v>
                </c:pt>
                <c:pt idx="7">
                  <c:v>1990</c:v>
                </c:pt>
                <c:pt idx="8">
                  <c:v>1991</c:v>
                </c:pt>
                <c:pt idx="9">
                  <c:v>1992</c:v>
                </c:pt>
                <c:pt idx="10">
                  <c:v>1993</c:v>
                </c:pt>
                <c:pt idx="11">
                  <c:v>1994</c:v>
                </c:pt>
                <c:pt idx="12">
                  <c:v>1995</c:v>
                </c:pt>
                <c:pt idx="13">
                  <c:v>1996</c:v>
                </c:pt>
                <c:pt idx="14">
                  <c:v>1997</c:v>
                </c:pt>
                <c:pt idx="15">
                  <c:v>1998</c:v>
                </c:pt>
                <c:pt idx="16">
                  <c:v>1999</c:v>
                </c:pt>
                <c:pt idx="17">
                  <c:v>2000</c:v>
                </c:pt>
                <c:pt idx="18">
                  <c:v>2001</c:v>
                </c:pt>
                <c:pt idx="19">
                  <c:v>2002</c:v>
                </c:pt>
                <c:pt idx="20">
                  <c:v>2003</c:v>
                </c:pt>
                <c:pt idx="21">
                  <c:v>2004</c:v>
                </c:pt>
                <c:pt idx="22">
                  <c:v>2005</c:v>
                </c:pt>
                <c:pt idx="23">
                  <c:v>2006</c:v>
                </c:pt>
                <c:pt idx="24">
                  <c:v>2007</c:v>
                </c:pt>
                <c:pt idx="25">
                  <c:v>2008</c:v>
                </c:pt>
                <c:pt idx="26">
                  <c:v>2009</c:v>
                </c:pt>
                <c:pt idx="27">
                  <c:v>2010</c:v>
                </c:pt>
                <c:pt idx="28">
                  <c:v>2011</c:v>
                </c:pt>
                <c:pt idx="29">
                  <c:v>2012</c:v>
                </c:pt>
                <c:pt idx="30">
                  <c:v>2013</c:v>
                </c:pt>
                <c:pt idx="31">
                  <c:v>2014</c:v>
                </c:pt>
                <c:pt idx="32">
                  <c:v>2015</c:v>
                </c:pt>
                <c:pt idx="33">
                  <c:v>2016</c:v>
                </c:pt>
                <c:pt idx="34">
                  <c:v>2017</c:v>
                </c:pt>
                <c:pt idx="35">
                  <c:v>2018</c:v>
                </c:pt>
                <c:pt idx="36">
                  <c:v>2019</c:v>
                </c:pt>
              </c:numCache>
            </c:numRef>
          </c:cat>
          <c:val>
            <c:numRef>
              <c:f>Hárok3!$O$2:$AY$2</c:f>
              <c:numCache>
                <c:formatCode>#,##0</c:formatCode>
                <c:ptCount val="37"/>
                <c:pt idx="0">
                  <c:v>1642056</c:v>
                </c:pt>
                <c:pt idx="1">
                  <c:v>1647393</c:v>
                </c:pt>
                <c:pt idx="2">
                  <c:v>1603104</c:v>
                </c:pt>
                <c:pt idx="3">
                  <c:v>1590514</c:v>
                </c:pt>
                <c:pt idx="4">
                  <c:v>1576379</c:v>
                </c:pt>
                <c:pt idx="5">
                  <c:v>1594028</c:v>
                </c:pt>
                <c:pt idx="6">
                  <c:v>1622512</c:v>
                </c:pt>
                <c:pt idx="7">
                  <c:v>1563070</c:v>
                </c:pt>
                <c:pt idx="8">
                  <c:v>1396570</c:v>
                </c:pt>
                <c:pt idx="9">
                  <c:v>1181660</c:v>
                </c:pt>
                <c:pt idx="10">
                  <c:v>992963</c:v>
                </c:pt>
                <c:pt idx="11">
                  <c:v>916153</c:v>
                </c:pt>
                <c:pt idx="12">
                  <c:v>928706</c:v>
                </c:pt>
                <c:pt idx="13">
                  <c:v>891991</c:v>
                </c:pt>
                <c:pt idx="14">
                  <c:v>803398</c:v>
                </c:pt>
                <c:pt idx="15">
                  <c:v>704792</c:v>
                </c:pt>
                <c:pt idx="16">
                  <c:v>665055</c:v>
                </c:pt>
                <c:pt idx="17">
                  <c:v>646148</c:v>
                </c:pt>
                <c:pt idx="18">
                  <c:v>625190</c:v>
                </c:pt>
                <c:pt idx="19">
                  <c:v>607835</c:v>
                </c:pt>
                <c:pt idx="20">
                  <c:v>593182</c:v>
                </c:pt>
                <c:pt idx="21">
                  <c:v>540146</c:v>
                </c:pt>
                <c:pt idx="22">
                  <c:v>527889</c:v>
                </c:pt>
                <c:pt idx="23">
                  <c:v>507820</c:v>
                </c:pt>
                <c:pt idx="24">
                  <c:v>501817</c:v>
                </c:pt>
                <c:pt idx="25" formatCode="General">
                  <c:v>488381</c:v>
                </c:pt>
                <c:pt idx="26" formatCode="General">
                  <c:v>471965</c:v>
                </c:pt>
                <c:pt idx="27" formatCode="General">
                  <c:v>467125</c:v>
                </c:pt>
                <c:pt idx="28">
                  <c:v>463358</c:v>
                </c:pt>
                <c:pt idx="29">
                  <c:v>471091</c:v>
                </c:pt>
                <c:pt idx="30">
                  <c:v>467820</c:v>
                </c:pt>
                <c:pt idx="31" formatCode="General">
                  <c:v>465543</c:v>
                </c:pt>
                <c:pt idx="32">
                  <c:v>457586</c:v>
                </c:pt>
                <c:pt idx="33">
                  <c:v>446112</c:v>
                </c:pt>
                <c:pt idx="34">
                  <c:v>439826</c:v>
                </c:pt>
                <c:pt idx="35">
                  <c:v>438855</c:v>
                </c:pt>
                <c:pt idx="36">
                  <c:v>432253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A1-4DF5-9584-E8141CBDC4A8}"/>
            </c:ext>
          </c:extLst>
        </c:ser>
        <c:ser>
          <c:idx val="0"/>
          <c:order val="1"/>
          <c:tx>
            <c:strRef>
              <c:f>Hárok3!$A$3</c:f>
              <c:strCache>
                <c:ptCount val="1"/>
                <c:pt idx="0">
                  <c:v>Ošípané spolu</c:v>
                </c:pt>
              </c:strCache>
            </c:strRef>
          </c:tx>
          <c:marker>
            <c:symbol val="none"/>
          </c:marker>
          <c:cat>
            <c:numRef>
              <c:f>Hárok3!$O$1:$AY$1</c:f>
              <c:numCache>
                <c:formatCode>General</c:formatCode>
                <c:ptCount val="37"/>
                <c:pt idx="0">
                  <c:v>1983</c:v>
                </c:pt>
                <c:pt idx="1">
                  <c:v>1984</c:v>
                </c:pt>
                <c:pt idx="2">
                  <c:v>1985</c:v>
                </c:pt>
                <c:pt idx="3">
                  <c:v>1986</c:v>
                </c:pt>
                <c:pt idx="4">
                  <c:v>1987</c:v>
                </c:pt>
                <c:pt idx="5">
                  <c:v>1988</c:v>
                </c:pt>
                <c:pt idx="6">
                  <c:v>1989</c:v>
                </c:pt>
                <c:pt idx="7">
                  <c:v>1990</c:v>
                </c:pt>
                <c:pt idx="8">
                  <c:v>1991</c:v>
                </c:pt>
                <c:pt idx="9">
                  <c:v>1992</c:v>
                </c:pt>
                <c:pt idx="10">
                  <c:v>1993</c:v>
                </c:pt>
                <c:pt idx="11">
                  <c:v>1994</c:v>
                </c:pt>
                <c:pt idx="12">
                  <c:v>1995</c:v>
                </c:pt>
                <c:pt idx="13">
                  <c:v>1996</c:v>
                </c:pt>
                <c:pt idx="14">
                  <c:v>1997</c:v>
                </c:pt>
                <c:pt idx="15">
                  <c:v>1998</c:v>
                </c:pt>
                <c:pt idx="16">
                  <c:v>1999</c:v>
                </c:pt>
                <c:pt idx="17">
                  <c:v>2000</c:v>
                </c:pt>
                <c:pt idx="18">
                  <c:v>2001</c:v>
                </c:pt>
                <c:pt idx="19">
                  <c:v>2002</c:v>
                </c:pt>
                <c:pt idx="20">
                  <c:v>2003</c:v>
                </c:pt>
                <c:pt idx="21">
                  <c:v>2004</c:v>
                </c:pt>
                <c:pt idx="22">
                  <c:v>2005</c:v>
                </c:pt>
                <c:pt idx="23">
                  <c:v>2006</c:v>
                </c:pt>
                <c:pt idx="24">
                  <c:v>2007</c:v>
                </c:pt>
                <c:pt idx="25">
                  <c:v>2008</c:v>
                </c:pt>
                <c:pt idx="26">
                  <c:v>2009</c:v>
                </c:pt>
                <c:pt idx="27">
                  <c:v>2010</c:v>
                </c:pt>
                <c:pt idx="28">
                  <c:v>2011</c:v>
                </c:pt>
                <c:pt idx="29">
                  <c:v>2012</c:v>
                </c:pt>
                <c:pt idx="30">
                  <c:v>2013</c:v>
                </c:pt>
                <c:pt idx="31">
                  <c:v>2014</c:v>
                </c:pt>
                <c:pt idx="32">
                  <c:v>2015</c:v>
                </c:pt>
                <c:pt idx="33">
                  <c:v>2016</c:v>
                </c:pt>
                <c:pt idx="34">
                  <c:v>2017</c:v>
                </c:pt>
                <c:pt idx="35">
                  <c:v>2018</c:v>
                </c:pt>
                <c:pt idx="36">
                  <c:v>2019</c:v>
                </c:pt>
              </c:numCache>
            </c:numRef>
          </c:cat>
          <c:val>
            <c:numRef>
              <c:f>Hárok3!$O$3:$AY$3</c:f>
              <c:numCache>
                <c:formatCode>#,##0</c:formatCode>
                <c:ptCount val="37"/>
                <c:pt idx="0">
                  <c:v>2563174</c:v>
                </c:pt>
                <c:pt idx="1">
                  <c:v>2444053</c:v>
                </c:pt>
                <c:pt idx="2">
                  <c:v>2317965</c:v>
                </c:pt>
                <c:pt idx="3">
                  <c:v>2421850</c:v>
                </c:pt>
                <c:pt idx="4">
                  <c:v>2617274</c:v>
                </c:pt>
                <c:pt idx="5">
                  <c:v>2698264</c:v>
                </c:pt>
                <c:pt idx="6">
                  <c:v>2708481</c:v>
                </c:pt>
                <c:pt idx="7">
                  <c:v>2520524</c:v>
                </c:pt>
                <c:pt idx="8">
                  <c:v>2427996</c:v>
                </c:pt>
                <c:pt idx="9">
                  <c:v>2269232</c:v>
                </c:pt>
                <c:pt idx="10">
                  <c:v>2179029</c:v>
                </c:pt>
                <c:pt idx="11">
                  <c:v>2037371</c:v>
                </c:pt>
                <c:pt idx="12">
                  <c:v>2076439</c:v>
                </c:pt>
                <c:pt idx="13">
                  <c:v>1985223</c:v>
                </c:pt>
                <c:pt idx="14">
                  <c:v>1809868</c:v>
                </c:pt>
                <c:pt idx="15">
                  <c:v>1592599</c:v>
                </c:pt>
                <c:pt idx="16">
                  <c:v>1562106</c:v>
                </c:pt>
                <c:pt idx="17">
                  <c:v>1488441</c:v>
                </c:pt>
                <c:pt idx="18">
                  <c:v>1517291</c:v>
                </c:pt>
                <c:pt idx="19">
                  <c:v>1553880</c:v>
                </c:pt>
                <c:pt idx="20">
                  <c:v>1443013</c:v>
                </c:pt>
                <c:pt idx="21">
                  <c:v>1149282</c:v>
                </c:pt>
                <c:pt idx="22">
                  <c:v>1108265</c:v>
                </c:pt>
                <c:pt idx="23">
                  <c:v>1104829</c:v>
                </c:pt>
                <c:pt idx="24">
                  <c:v>951934</c:v>
                </c:pt>
                <c:pt idx="25" formatCode="General">
                  <c:v>748515</c:v>
                </c:pt>
                <c:pt idx="26" formatCode="General">
                  <c:v>740862</c:v>
                </c:pt>
                <c:pt idx="27" formatCode="General">
                  <c:v>687260</c:v>
                </c:pt>
                <c:pt idx="28">
                  <c:v>580393</c:v>
                </c:pt>
                <c:pt idx="29">
                  <c:v>631464</c:v>
                </c:pt>
                <c:pt idx="30">
                  <c:v>637167</c:v>
                </c:pt>
                <c:pt idx="31" formatCode="General">
                  <c:v>641827</c:v>
                </c:pt>
                <c:pt idx="32">
                  <c:v>633116</c:v>
                </c:pt>
                <c:pt idx="33">
                  <c:v>585843</c:v>
                </c:pt>
                <c:pt idx="34">
                  <c:v>614384</c:v>
                </c:pt>
                <c:pt idx="35">
                  <c:v>627022</c:v>
                </c:pt>
                <c:pt idx="36">
                  <c:v>589228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A1-4DF5-9584-E8141CBDC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1097464"/>
        <c:axId val="591095168"/>
      </c:lineChart>
      <c:catAx>
        <c:axId val="591097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591095168"/>
        <c:crosses val="autoZero"/>
        <c:auto val="1"/>
        <c:lblAlgn val="ctr"/>
        <c:lblOffset val="100"/>
        <c:noMultiLvlLbl val="0"/>
      </c:catAx>
      <c:valAx>
        <c:axId val="59109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591097464"/>
        <c:crosses val="autoZero"/>
        <c:crossBetween val="between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Vývoj salda vybraných tovarov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Hárok6!$A$56</c:f>
              <c:strCache>
                <c:ptCount val="1"/>
                <c:pt idx="0">
                  <c:v>Mäso a požívateľné droby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Hárok6!$B$54:$W$54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Hárok6!$B$56:$W$56</c:f>
              <c:numCache>
                <c:formatCode>#,##0.00</c:formatCode>
                <c:ptCount val="22"/>
                <c:pt idx="0">
                  <c:v>-10562.22</c:v>
                </c:pt>
                <c:pt idx="1">
                  <c:v>-32922.81</c:v>
                </c:pt>
                <c:pt idx="2">
                  <c:v>-27995.67</c:v>
                </c:pt>
                <c:pt idx="3">
                  <c:v>-43847.289999999994</c:v>
                </c:pt>
                <c:pt idx="4">
                  <c:v>-48256.279999999992</c:v>
                </c:pt>
                <c:pt idx="5">
                  <c:v>-59013.540000000008</c:v>
                </c:pt>
                <c:pt idx="6">
                  <c:v>-52005.429999999993</c:v>
                </c:pt>
                <c:pt idx="7">
                  <c:v>-59281.91</c:v>
                </c:pt>
                <c:pt idx="8">
                  <c:v>-116611.2</c:v>
                </c:pt>
                <c:pt idx="9">
                  <c:v>-116573.40000000001</c:v>
                </c:pt>
                <c:pt idx="10">
                  <c:v>-122269.21999999999</c:v>
                </c:pt>
                <c:pt idx="11">
                  <c:v>-183259.31</c:v>
                </c:pt>
                <c:pt idx="12">
                  <c:v>-230348.31</c:v>
                </c:pt>
                <c:pt idx="13">
                  <c:v>-201250.81000000003</c:v>
                </c:pt>
                <c:pt idx="14">
                  <c:v>-262835.81999999995</c:v>
                </c:pt>
                <c:pt idx="15">
                  <c:v>-230764.3</c:v>
                </c:pt>
                <c:pt idx="16">
                  <c:v>-254527.43</c:v>
                </c:pt>
                <c:pt idx="17">
                  <c:v>-241474.47999999998</c:v>
                </c:pt>
                <c:pt idx="18">
                  <c:v>-248072.02999999997</c:v>
                </c:pt>
                <c:pt idx="19">
                  <c:v>-314228.17199999996</c:v>
                </c:pt>
                <c:pt idx="20">
                  <c:v>-402087.45799999998</c:v>
                </c:pt>
                <c:pt idx="21">
                  <c:v>-410517.32200000004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3F-469A-8E6C-2AD8445ABF0B}"/>
            </c:ext>
          </c:extLst>
        </c:ser>
        <c:ser>
          <c:idx val="3"/>
          <c:order val="1"/>
          <c:tx>
            <c:strRef>
              <c:f>Hárok6!$A$58</c:f>
              <c:strCache>
                <c:ptCount val="1"/>
                <c:pt idx="0">
                  <c:v>Mlieko, vajcia, med, jedlé výrobky živoč. pôvodu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Hárok6!$B$54:$W$54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Hárok6!$B$58:$W$58</c:f>
              <c:numCache>
                <c:formatCode>#,##0.00</c:formatCode>
                <c:ptCount val="22"/>
                <c:pt idx="0">
                  <c:v>26176.229999999996</c:v>
                </c:pt>
                <c:pt idx="1">
                  <c:v>25777.250000000004</c:v>
                </c:pt>
                <c:pt idx="2">
                  <c:v>26459.450000000004</c:v>
                </c:pt>
                <c:pt idx="3">
                  <c:v>29707.62999999999</c:v>
                </c:pt>
                <c:pt idx="4">
                  <c:v>48077.35</c:v>
                </c:pt>
                <c:pt idx="5">
                  <c:v>47848.200000000004</c:v>
                </c:pt>
                <c:pt idx="6">
                  <c:v>70288.23000000001</c:v>
                </c:pt>
                <c:pt idx="7">
                  <c:v>75591.640000000014</c:v>
                </c:pt>
                <c:pt idx="8">
                  <c:v>79224.72</c:v>
                </c:pt>
                <c:pt idx="9">
                  <c:v>71378.860000000015</c:v>
                </c:pt>
                <c:pt idx="10">
                  <c:v>72841.670000000013</c:v>
                </c:pt>
                <c:pt idx="11">
                  <c:v>82119.099999999977</c:v>
                </c:pt>
                <c:pt idx="12">
                  <c:v>-13417.540000000008</c:v>
                </c:pt>
                <c:pt idx="13">
                  <c:v>-49557.399999999994</c:v>
                </c:pt>
                <c:pt idx="14">
                  <c:v>-17860.780000000028</c:v>
                </c:pt>
                <c:pt idx="15">
                  <c:v>-8127.5799999999581</c:v>
                </c:pt>
                <c:pt idx="16">
                  <c:v>-19916.97000000003</c:v>
                </c:pt>
                <c:pt idx="17">
                  <c:v>-28743.950000000012</c:v>
                </c:pt>
                <c:pt idx="18">
                  <c:v>-32149.869999999995</c:v>
                </c:pt>
                <c:pt idx="19">
                  <c:v>-65357.094000000012</c:v>
                </c:pt>
                <c:pt idx="20">
                  <c:v>-97655.387999999977</c:v>
                </c:pt>
                <c:pt idx="21">
                  <c:v>-88453.298999999999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13F-469A-8E6C-2AD8445ABF0B}"/>
            </c:ext>
          </c:extLst>
        </c:ser>
        <c:ser>
          <c:idx val="6"/>
          <c:order val="2"/>
          <c:tx>
            <c:strRef>
              <c:f>Hárok6!$A$61</c:f>
              <c:strCache>
                <c:ptCount val="1"/>
                <c:pt idx="0">
                  <c:v>Zelenina, jedlé mlynárske rastliny, korene a hľuzy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Hárok6!$B$54:$W$54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Hárok6!$B$61:$W$61</c:f>
              <c:numCache>
                <c:formatCode>#,##0.00</c:formatCode>
                <c:ptCount val="22"/>
                <c:pt idx="0">
                  <c:v>5438.32</c:v>
                </c:pt>
                <c:pt idx="1">
                  <c:v>-9722.0499999999993</c:v>
                </c:pt>
                <c:pt idx="2">
                  <c:v>-7792.4500000000007</c:v>
                </c:pt>
                <c:pt idx="3">
                  <c:v>-13886.510000000002</c:v>
                </c:pt>
                <c:pt idx="4">
                  <c:v>-11622.029999999999</c:v>
                </c:pt>
                <c:pt idx="5">
                  <c:v>-23259.46</c:v>
                </c:pt>
                <c:pt idx="6">
                  <c:v>-24286.52</c:v>
                </c:pt>
                <c:pt idx="7">
                  <c:v>-49536.319999999992</c:v>
                </c:pt>
                <c:pt idx="8">
                  <c:v>-47772.04</c:v>
                </c:pt>
                <c:pt idx="9">
                  <c:v>-85268.31</c:v>
                </c:pt>
                <c:pt idx="10">
                  <c:v>-100090.5</c:v>
                </c:pt>
                <c:pt idx="11">
                  <c:v>-106116.59999999998</c:v>
                </c:pt>
                <c:pt idx="12">
                  <c:v>-109566.86</c:v>
                </c:pt>
                <c:pt idx="13">
                  <c:v>-137032.91</c:v>
                </c:pt>
                <c:pt idx="14">
                  <c:v>-162044.21000000002</c:v>
                </c:pt>
                <c:pt idx="15">
                  <c:v>-130640.03</c:v>
                </c:pt>
                <c:pt idx="16">
                  <c:v>-162539.81</c:v>
                </c:pt>
                <c:pt idx="17">
                  <c:v>-159972.57</c:v>
                </c:pt>
                <c:pt idx="18">
                  <c:v>-173075.77</c:v>
                </c:pt>
                <c:pt idx="19">
                  <c:v>-195786.06</c:v>
                </c:pt>
                <c:pt idx="20">
                  <c:v>-192135.18600000002</c:v>
                </c:pt>
                <c:pt idx="21">
                  <c:v>-200878.86700000003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13F-469A-8E6C-2AD8445ABF0B}"/>
            </c:ext>
          </c:extLst>
        </c:ser>
        <c:ser>
          <c:idx val="7"/>
          <c:order val="3"/>
          <c:tx>
            <c:strRef>
              <c:f>Hárok6!$A$62</c:f>
              <c:strCache>
                <c:ptCount val="1"/>
                <c:pt idx="0">
                  <c:v>Ovocie, orechy, šupy citrus. plodov a melónov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Hárok6!$B$54:$W$54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Hárok6!$B$62:$W$62</c:f>
              <c:numCache>
                <c:formatCode>#,##0.00</c:formatCode>
                <c:ptCount val="22"/>
                <c:pt idx="0">
                  <c:v>-83524.150000000009</c:v>
                </c:pt>
                <c:pt idx="1">
                  <c:v>-87435.11</c:v>
                </c:pt>
                <c:pt idx="2">
                  <c:v>-89269.29</c:v>
                </c:pt>
                <c:pt idx="3">
                  <c:v>-86392.62</c:v>
                </c:pt>
                <c:pt idx="4">
                  <c:v>-97185.06</c:v>
                </c:pt>
                <c:pt idx="5">
                  <c:v>-103636.02</c:v>
                </c:pt>
                <c:pt idx="6">
                  <c:v>-93105.87</c:v>
                </c:pt>
                <c:pt idx="7">
                  <c:v>-114207.1</c:v>
                </c:pt>
                <c:pt idx="8">
                  <c:v>-104652.29000000001</c:v>
                </c:pt>
                <c:pt idx="9">
                  <c:v>-110580.75</c:v>
                </c:pt>
                <c:pt idx="10">
                  <c:v>-149807.26999999999</c:v>
                </c:pt>
                <c:pt idx="11">
                  <c:v>-155283.82</c:v>
                </c:pt>
                <c:pt idx="12">
                  <c:v>-136349.5</c:v>
                </c:pt>
                <c:pt idx="13">
                  <c:v>-156541.96</c:v>
                </c:pt>
                <c:pt idx="14">
                  <c:v>-156018.51999999999</c:v>
                </c:pt>
                <c:pt idx="15">
                  <c:v>-163855.45000000001</c:v>
                </c:pt>
                <c:pt idx="16">
                  <c:v>-170053.22999999998</c:v>
                </c:pt>
                <c:pt idx="17">
                  <c:v>-190974.69</c:v>
                </c:pt>
                <c:pt idx="18">
                  <c:v>-207291.86</c:v>
                </c:pt>
                <c:pt idx="19">
                  <c:v>-242058.18700000001</c:v>
                </c:pt>
                <c:pt idx="20">
                  <c:v>-231195.64199999999</c:v>
                </c:pt>
                <c:pt idx="21">
                  <c:v>-238853.52400000003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13F-469A-8E6C-2AD8445ABF0B}"/>
            </c:ext>
          </c:extLst>
        </c:ser>
        <c:ser>
          <c:idx val="17"/>
          <c:order val="4"/>
          <c:tx>
            <c:strRef>
              <c:f>Hárok6!$A$72</c:f>
              <c:strCache>
                <c:ptCount val="1"/>
                <c:pt idx="0">
                  <c:v>Kakao a kakaové výrobky</c:v>
                </c:pt>
              </c:strCache>
            </c:strRef>
          </c:tx>
          <c:spPr>
            <a:ln w="28575" cap="rnd">
              <a:solidFill>
                <a:schemeClr val="accent6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Hárok6!$B$54:$W$54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Hárok6!$B$72:$W$72</c:f>
              <c:numCache>
                <c:formatCode>#,##0.00</c:formatCode>
                <c:ptCount val="22"/>
                <c:pt idx="0">
                  <c:v>-24062.290000000005</c:v>
                </c:pt>
                <c:pt idx="1">
                  <c:v>-28413.17</c:v>
                </c:pt>
                <c:pt idx="2">
                  <c:v>-28498.659999999996</c:v>
                </c:pt>
                <c:pt idx="3">
                  <c:v>-20175.589999999997</c:v>
                </c:pt>
                <c:pt idx="4">
                  <c:v>-17520.159999999996</c:v>
                </c:pt>
                <c:pt idx="5">
                  <c:v>-21244.770000000004</c:v>
                </c:pt>
                <c:pt idx="6">
                  <c:v>-18396.080000000002</c:v>
                </c:pt>
                <c:pt idx="7">
                  <c:v>7579.6100000000006</c:v>
                </c:pt>
                <c:pt idx="8">
                  <c:v>-20582.550000000017</c:v>
                </c:pt>
                <c:pt idx="9">
                  <c:v>-17028.479999999981</c:v>
                </c:pt>
                <c:pt idx="10">
                  <c:v>-1285.8800000000047</c:v>
                </c:pt>
                <c:pt idx="11">
                  <c:v>-2806.5200000000186</c:v>
                </c:pt>
                <c:pt idx="12">
                  <c:v>12801.36</c:v>
                </c:pt>
                <c:pt idx="13">
                  <c:v>31356.160000000003</c:v>
                </c:pt>
                <c:pt idx="14">
                  <c:v>21867.279999999999</c:v>
                </c:pt>
                <c:pt idx="15">
                  <c:v>-23112.110000000015</c:v>
                </c:pt>
                <c:pt idx="16">
                  <c:v>-38325.429999999993</c:v>
                </c:pt>
                <c:pt idx="17">
                  <c:v>-34162.429999999993</c:v>
                </c:pt>
                <c:pt idx="18">
                  <c:v>-31229.690000000002</c:v>
                </c:pt>
                <c:pt idx="19">
                  <c:v>-54709.214999999997</c:v>
                </c:pt>
                <c:pt idx="20">
                  <c:v>-47257.43200000003</c:v>
                </c:pt>
                <c:pt idx="21">
                  <c:v>-53628.662000000011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13F-469A-8E6C-2AD8445ABF0B}"/>
            </c:ext>
          </c:extLst>
        </c:ser>
        <c:ser>
          <c:idx val="18"/>
          <c:order val="5"/>
          <c:tx>
            <c:strRef>
              <c:f>Hárok6!$A$73</c:f>
              <c:strCache>
                <c:ptCount val="1"/>
                <c:pt idx="0">
                  <c:v>Prípravky z obilia, múky, mlieka, jemné pečivo</c:v>
                </c:pt>
              </c:strCache>
            </c:strRef>
          </c:tx>
          <c:spPr>
            <a:ln w="28575" cap="rnd">
              <a:solidFill>
                <a:schemeClr val="accent1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Hárok6!$B$54:$W$54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Hárok6!$B$73:$W$73</c:f>
              <c:numCache>
                <c:formatCode>#,##0.00</c:formatCode>
                <c:ptCount val="22"/>
                <c:pt idx="0">
                  <c:v>-26609.829999999998</c:v>
                </c:pt>
                <c:pt idx="1">
                  <c:v>-46221.619999999995</c:v>
                </c:pt>
                <c:pt idx="2">
                  <c:v>-48918.069999999992</c:v>
                </c:pt>
                <c:pt idx="3">
                  <c:v>-46380.05</c:v>
                </c:pt>
                <c:pt idx="4">
                  <c:v>-49562.91</c:v>
                </c:pt>
                <c:pt idx="5">
                  <c:v>-46926.25</c:v>
                </c:pt>
                <c:pt idx="6">
                  <c:v>-45411.06</c:v>
                </c:pt>
                <c:pt idx="7">
                  <c:v>-47451.710000000006</c:v>
                </c:pt>
                <c:pt idx="8">
                  <c:v>-59438.740000000005</c:v>
                </c:pt>
                <c:pt idx="9">
                  <c:v>-61928.42</c:v>
                </c:pt>
                <c:pt idx="10">
                  <c:v>-75845.160000000018</c:v>
                </c:pt>
                <c:pt idx="11">
                  <c:v>-86567.78</c:v>
                </c:pt>
                <c:pt idx="12">
                  <c:v>-95426.170000000013</c:v>
                </c:pt>
                <c:pt idx="13">
                  <c:v>-116279.23</c:v>
                </c:pt>
                <c:pt idx="14">
                  <c:v>-130534.09000000001</c:v>
                </c:pt>
                <c:pt idx="15">
                  <c:v>-123597.32</c:v>
                </c:pt>
                <c:pt idx="16">
                  <c:v>-122150.68</c:v>
                </c:pt>
                <c:pt idx="17">
                  <c:v>-123910.98</c:v>
                </c:pt>
                <c:pt idx="18">
                  <c:v>-146911.74000000002</c:v>
                </c:pt>
                <c:pt idx="19">
                  <c:v>-153050.46000000002</c:v>
                </c:pt>
                <c:pt idx="20">
                  <c:v>-133575.75099999999</c:v>
                </c:pt>
                <c:pt idx="21">
                  <c:v>-157479.11400000003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13F-469A-8E6C-2AD8445ABF0B}"/>
            </c:ext>
          </c:extLst>
        </c:ser>
        <c:ser>
          <c:idx val="19"/>
          <c:order val="6"/>
          <c:tx>
            <c:strRef>
              <c:f>Hárok6!$A$74</c:f>
              <c:strCache>
                <c:ptCount val="1"/>
                <c:pt idx="0">
                  <c:v>Prípravky zo zeleniny, ovocia, orechov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Hárok6!$B$54:$W$54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Hárok6!$B$74:$W$74</c:f>
              <c:numCache>
                <c:formatCode>#,##0.00</c:formatCode>
                <c:ptCount val="22"/>
                <c:pt idx="0">
                  <c:v>-39332.339999999997</c:v>
                </c:pt>
                <c:pt idx="1">
                  <c:v>-51147.85</c:v>
                </c:pt>
                <c:pt idx="2">
                  <c:v>-49789.14</c:v>
                </c:pt>
                <c:pt idx="3">
                  <c:v>-57447.89</c:v>
                </c:pt>
                <c:pt idx="4">
                  <c:v>-49207.62000000001</c:v>
                </c:pt>
                <c:pt idx="5">
                  <c:v>-54634.62999999999</c:v>
                </c:pt>
                <c:pt idx="6">
                  <c:v>-51043.97</c:v>
                </c:pt>
                <c:pt idx="7">
                  <c:v>-64424.58</c:v>
                </c:pt>
                <c:pt idx="8">
                  <c:v>-75582.959999999992</c:v>
                </c:pt>
                <c:pt idx="9">
                  <c:v>-78600.03</c:v>
                </c:pt>
                <c:pt idx="10">
                  <c:v>-78410.37</c:v>
                </c:pt>
                <c:pt idx="11">
                  <c:v>-83586.34</c:v>
                </c:pt>
                <c:pt idx="12">
                  <c:v>-74520.040000000008</c:v>
                </c:pt>
                <c:pt idx="13">
                  <c:v>-83488.320000000007</c:v>
                </c:pt>
                <c:pt idx="14">
                  <c:v>-79941.31</c:v>
                </c:pt>
                <c:pt idx="15">
                  <c:v>-87695.97</c:v>
                </c:pt>
                <c:pt idx="16">
                  <c:v>-95012.12000000001</c:v>
                </c:pt>
                <c:pt idx="17">
                  <c:v>-101820.54</c:v>
                </c:pt>
                <c:pt idx="18">
                  <c:v>-93988.359999999986</c:v>
                </c:pt>
                <c:pt idx="19">
                  <c:v>-95025.702000000005</c:v>
                </c:pt>
                <c:pt idx="20">
                  <c:v>-90369.796000000017</c:v>
                </c:pt>
                <c:pt idx="21">
                  <c:v>-103569.41100000001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13F-469A-8E6C-2AD8445ABF0B}"/>
            </c:ext>
          </c:extLst>
        </c:ser>
        <c:ser>
          <c:idx val="20"/>
          <c:order val="7"/>
          <c:tx>
            <c:strRef>
              <c:f>Hárok6!$A$75</c:f>
              <c:strCache>
                <c:ptCount val="1"/>
                <c:pt idx="0">
                  <c:v>Rôzne potravinové prípravky</c:v>
                </c:pt>
              </c:strCache>
            </c:strRef>
          </c:tx>
          <c:spPr>
            <a:ln w="28575" cap="rnd">
              <a:solidFill>
                <a:schemeClr val="accent3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Hárok6!$B$54:$W$54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Hárok6!$B$75:$W$75</c:f>
              <c:numCache>
                <c:formatCode>#,##0.00</c:formatCode>
                <c:ptCount val="22"/>
                <c:pt idx="0">
                  <c:v>-52281.219999999994</c:v>
                </c:pt>
                <c:pt idx="1">
                  <c:v>-59665.649999999994</c:v>
                </c:pt>
                <c:pt idx="2">
                  <c:v>-61776.590000000004</c:v>
                </c:pt>
                <c:pt idx="3">
                  <c:v>-36458.120000000003</c:v>
                </c:pt>
                <c:pt idx="4">
                  <c:v>-41351.549999999996</c:v>
                </c:pt>
                <c:pt idx="5">
                  <c:v>-72748.109999999986</c:v>
                </c:pt>
                <c:pt idx="6">
                  <c:v>-59344.56</c:v>
                </c:pt>
                <c:pt idx="7">
                  <c:v>-82544.600000000006</c:v>
                </c:pt>
                <c:pt idx="8">
                  <c:v>-65697.799999999988</c:v>
                </c:pt>
                <c:pt idx="9">
                  <c:v>-84255.67</c:v>
                </c:pt>
                <c:pt idx="10">
                  <c:v>-86054.13</c:v>
                </c:pt>
                <c:pt idx="11">
                  <c:v>-85156.330000000016</c:v>
                </c:pt>
                <c:pt idx="12">
                  <c:v>-81124.149999999994</c:v>
                </c:pt>
                <c:pt idx="13">
                  <c:v>-83740.349999999991</c:v>
                </c:pt>
                <c:pt idx="14">
                  <c:v>-95824.5</c:v>
                </c:pt>
                <c:pt idx="15">
                  <c:v>-102101.47</c:v>
                </c:pt>
                <c:pt idx="16">
                  <c:v>-109666.59</c:v>
                </c:pt>
                <c:pt idx="17">
                  <c:v>-115204.96000000002</c:v>
                </c:pt>
                <c:pt idx="18">
                  <c:v>-107187.70999999999</c:v>
                </c:pt>
                <c:pt idx="19">
                  <c:v>-106573.15899999999</c:v>
                </c:pt>
                <c:pt idx="20">
                  <c:v>-104782.867</c:v>
                </c:pt>
                <c:pt idx="21">
                  <c:v>-103531.861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13F-469A-8E6C-2AD8445ABF0B}"/>
            </c:ext>
          </c:extLst>
        </c:ser>
        <c:ser>
          <c:idx val="21"/>
          <c:order val="8"/>
          <c:tx>
            <c:strRef>
              <c:f>Hárok6!$A$76</c:f>
              <c:strCache>
                <c:ptCount val="1"/>
                <c:pt idx="0">
                  <c:v>Nápoje, liehové tekutiny, ocot</c:v>
                </c:pt>
              </c:strCache>
            </c:strRef>
          </c:tx>
          <c:spPr>
            <a:ln w="28575" cap="rnd">
              <a:solidFill>
                <a:schemeClr val="accent4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Hárok6!$B$54:$W$54</c:f>
              <c:numCache>
                <c:formatCode>General</c:formatCode>
                <c:ptCount val="22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numCache>
            </c:numRef>
          </c:cat>
          <c:val>
            <c:numRef>
              <c:f>Hárok6!$B$76:$W$76</c:f>
              <c:numCache>
                <c:formatCode>#,##0.00</c:formatCode>
                <c:ptCount val="22"/>
                <c:pt idx="0">
                  <c:v>-30533.129999999997</c:v>
                </c:pt>
                <c:pt idx="1">
                  <c:v>-33476.32</c:v>
                </c:pt>
                <c:pt idx="2">
                  <c:v>-41627.479999999996</c:v>
                </c:pt>
                <c:pt idx="3">
                  <c:v>-35797.53</c:v>
                </c:pt>
                <c:pt idx="4">
                  <c:v>-31819.559999999998</c:v>
                </c:pt>
                <c:pt idx="5">
                  <c:v>-43232.330000000009</c:v>
                </c:pt>
                <c:pt idx="6">
                  <c:v>-39833.519999999997</c:v>
                </c:pt>
                <c:pt idx="7">
                  <c:v>-55982.73000000001</c:v>
                </c:pt>
                <c:pt idx="8">
                  <c:v>-95417.99</c:v>
                </c:pt>
                <c:pt idx="9">
                  <c:v>-110739.04000000001</c:v>
                </c:pt>
                <c:pt idx="10">
                  <c:v>-90525.040000000008</c:v>
                </c:pt>
                <c:pt idx="11">
                  <c:v>-109734.96000000002</c:v>
                </c:pt>
                <c:pt idx="12">
                  <c:v>-159845.25999999998</c:v>
                </c:pt>
                <c:pt idx="13">
                  <c:v>-135532.24</c:v>
                </c:pt>
                <c:pt idx="14">
                  <c:v>-105808.45000000001</c:v>
                </c:pt>
                <c:pt idx="15">
                  <c:v>-62382.960000000021</c:v>
                </c:pt>
                <c:pt idx="16">
                  <c:v>-138868.22</c:v>
                </c:pt>
                <c:pt idx="17">
                  <c:v>-163643.44999999998</c:v>
                </c:pt>
                <c:pt idx="18">
                  <c:v>-152977.24</c:v>
                </c:pt>
                <c:pt idx="19">
                  <c:v>-184001.99900000001</c:v>
                </c:pt>
                <c:pt idx="20">
                  <c:v>-197615.8</c:v>
                </c:pt>
                <c:pt idx="21">
                  <c:v>-242252.08199999997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13F-469A-8E6C-2AD8445AB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1097464"/>
        <c:axId val="591095168"/>
      </c:lineChart>
      <c:catAx>
        <c:axId val="591097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591095168"/>
        <c:crosses val="autoZero"/>
        <c:auto val="1"/>
        <c:lblAlgn val="ctr"/>
        <c:lblOffset val="100"/>
        <c:noMultiLvlLbl val="0"/>
      </c:catAx>
      <c:valAx>
        <c:axId val="59109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591097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cibula</dc:creator>
  <cp:keywords/>
  <dc:description/>
  <cp:lastModifiedBy>Beluský, Martin</cp:lastModifiedBy>
  <cp:revision>5</cp:revision>
  <cp:lastPrinted>2017-08-18T05:32:00Z</cp:lastPrinted>
  <dcterms:created xsi:type="dcterms:W3CDTF">2021-02-12T20:27:00Z</dcterms:created>
  <dcterms:modified xsi:type="dcterms:W3CDTF">2021-02-23T16:42:00Z</dcterms:modified>
</cp:coreProperties>
</file>