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A1" w:rsidRPr="00A179AE" w:rsidRDefault="003501A1" w:rsidP="003501A1">
      <w:pPr>
        <w:jc w:val="center"/>
        <w:rPr>
          <w:b/>
          <w:bCs/>
          <w:sz w:val="28"/>
          <w:szCs w:val="28"/>
        </w:rPr>
      </w:pPr>
      <w:r>
        <w:rPr>
          <w:b/>
          <w:bCs/>
          <w:sz w:val="28"/>
          <w:szCs w:val="28"/>
        </w:rPr>
        <w:t>Doložka vybraných vplyvov</w:t>
      </w:r>
    </w:p>
    <w:p w:rsidR="003501A1" w:rsidRPr="00B207E0"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B207E0" w:rsidTr="003501A1">
        <w:tc>
          <w:tcPr>
            <w:tcW w:w="9180" w:type="dxa"/>
            <w:gridSpan w:val="10"/>
            <w:tcBorders>
              <w:bottom w:val="single" w:sz="4" w:space="0" w:color="FFFFFF" w:themeColor="background1"/>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Základné údaje</w:t>
            </w:r>
          </w:p>
        </w:tc>
      </w:tr>
      <w:tr w:rsidR="003501A1" w:rsidRPr="00B207E0" w:rsidTr="003501A1">
        <w:tc>
          <w:tcPr>
            <w:tcW w:w="9180" w:type="dxa"/>
            <w:gridSpan w:val="10"/>
            <w:tcBorders>
              <w:bottom w:val="single" w:sz="4" w:space="0" w:color="FFFFFF" w:themeColor="background1"/>
            </w:tcBorders>
            <w:shd w:val="clear" w:color="auto" w:fill="E2E2E2"/>
          </w:tcPr>
          <w:p w:rsidR="003501A1" w:rsidRPr="00B207E0" w:rsidRDefault="003501A1" w:rsidP="007B71A4">
            <w:pPr>
              <w:pStyle w:val="Odsekzoznamu"/>
              <w:ind w:left="142"/>
              <w:rPr>
                <w:rFonts w:ascii="Times New Roman" w:hAnsi="Times New Roman" w:cs="Times New Roman"/>
                <w:b/>
              </w:rPr>
            </w:pPr>
            <w:r w:rsidRPr="00B207E0">
              <w:rPr>
                <w:rFonts w:ascii="Times New Roman" w:hAnsi="Times New Roman" w:cs="Times New Roman"/>
                <w:b/>
              </w:rPr>
              <w:t>Názov materiálu</w:t>
            </w:r>
          </w:p>
        </w:tc>
      </w:tr>
      <w:tr w:rsidR="003501A1" w:rsidRPr="00B207E0" w:rsidTr="003501A1">
        <w:tc>
          <w:tcPr>
            <w:tcW w:w="9180" w:type="dxa"/>
            <w:gridSpan w:val="10"/>
            <w:tcBorders>
              <w:top w:val="single" w:sz="4" w:space="0" w:color="FFFFFF" w:themeColor="background1"/>
              <w:bottom w:val="single" w:sz="4" w:space="0" w:color="auto"/>
            </w:tcBorders>
          </w:tcPr>
          <w:p w:rsidR="003501A1" w:rsidRPr="00B207E0" w:rsidRDefault="008E345E" w:rsidP="00E86F17">
            <w:pPr>
              <w:jc w:val="both"/>
              <w:rPr>
                <w:sz w:val="22"/>
                <w:szCs w:val="22"/>
              </w:rPr>
            </w:pPr>
            <w:r w:rsidRPr="008E345E">
              <w:rPr>
                <w:bCs/>
                <w:sz w:val="22"/>
                <w:szCs w:val="22"/>
              </w:rPr>
              <w:t>Návrh Dohody, ktorou sa mení Dohoda o prevode a mutualizácii príspevkov do jednotného fondu na riešenie krízových situácií (ďalej len „Dohoda“).</w:t>
            </w:r>
          </w:p>
        </w:tc>
      </w:tr>
      <w:tr w:rsidR="003501A1" w:rsidRPr="00B207E0"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rsidR="003501A1" w:rsidRPr="00B207E0" w:rsidRDefault="003501A1" w:rsidP="007B71A4">
            <w:pPr>
              <w:pStyle w:val="Odsekzoznamu"/>
              <w:ind w:left="142"/>
              <w:rPr>
                <w:rFonts w:ascii="Times New Roman" w:hAnsi="Times New Roman" w:cs="Times New Roman"/>
                <w:b/>
              </w:rPr>
            </w:pPr>
            <w:r w:rsidRPr="00B207E0">
              <w:rPr>
                <w:rFonts w:ascii="Times New Roman" w:hAnsi="Times New Roman" w:cs="Times New Roman"/>
                <w:b/>
              </w:rPr>
              <w:t>Predkladateľ (a spolupredkladateľ)</w:t>
            </w:r>
          </w:p>
        </w:tc>
      </w:tr>
      <w:tr w:rsidR="003501A1" w:rsidRPr="00B207E0"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3501A1" w:rsidRDefault="00AE44A7" w:rsidP="007B71A4">
            <w:pPr>
              <w:rPr>
                <w:sz w:val="22"/>
                <w:szCs w:val="22"/>
              </w:rPr>
            </w:pPr>
            <w:r w:rsidRPr="00B207E0">
              <w:rPr>
                <w:sz w:val="22"/>
                <w:szCs w:val="22"/>
              </w:rPr>
              <w:t>Predkladateľ: Ministerstvo financií Slovenskej republiky</w:t>
            </w:r>
          </w:p>
          <w:p w:rsidR="005C18C8" w:rsidRPr="00B207E0" w:rsidRDefault="005C18C8" w:rsidP="007B71A4">
            <w:pPr>
              <w:rPr>
                <w:sz w:val="22"/>
                <w:szCs w:val="22"/>
              </w:rPr>
            </w:pPr>
            <w:r>
              <w:rPr>
                <w:sz w:val="22"/>
                <w:szCs w:val="22"/>
              </w:rPr>
              <w:t xml:space="preserve">                       </w:t>
            </w:r>
          </w:p>
          <w:p w:rsidR="003501A1" w:rsidRPr="00B207E0" w:rsidRDefault="003501A1" w:rsidP="00D8098B">
            <w:pPr>
              <w:rPr>
                <w:sz w:val="22"/>
                <w:szCs w:val="22"/>
              </w:rPr>
            </w:pPr>
          </w:p>
        </w:tc>
      </w:tr>
      <w:tr w:rsidR="003501A1" w:rsidRPr="00B207E0"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3501A1" w:rsidRPr="00B207E0" w:rsidRDefault="003501A1" w:rsidP="007B71A4">
            <w:pPr>
              <w:pStyle w:val="Odsekzoznamu"/>
              <w:ind w:left="142"/>
              <w:rPr>
                <w:rFonts w:ascii="Times New Roman" w:hAnsi="Times New Roman" w:cs="Times New Roman"/>
                <w:b/>
              </w:rPr>
            </w:pPr>
            <w:r w:rsidRPr="00B207E0">
              <w:rPr>
                <w:rFonts w:ascii="Times New Roman" w:hAnsi="Times New Roman" w:cs="Times New Roman"/>
                <w:b/>
              </w:rPr>
              <w:t>Charakter predkladaného materiálu</w:t>
            </w:r>
          </w:p>
        </w:tc>
        <w:sdt>
          <w:sdtPr>
            <w:rPr>
              <w:sz w:val="22"/>
              <w:szCs w:val="22"/>
            </w:rPr>
            <w:id w:val="-6989077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B207E0" w:rsidRDefault="003D4B1C" w:rsidP="007B71A4">
                <w:pPr>
                  <w:jc w:val="center"/>
                  <w:rPr>
                    <w:sz w:val="22"/>
                    <w:szCs w:val="22"/>
                  </w:rPr>
                </w:pPr>
                <w:r>
                  <w:rPr>
                    <w:rFonts w:ascii="MS Gothic" w:eastAsia="MS Gothic" w:hAnsi="MS Gothic" w:hint="eastAsia"/>
                    <w:sz w:val="22"/>
                    <w:szCs w:val="22"/>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3501A1" w:rsidRPr="00B207E0" w:rsidRDefault="003501A1" w:rsidP="007B71A4">
            <w:pPr>
              <w:rPr>
                <w:sz w:val="22"/>
                <w:szCs w:val="22"/>
              </w:rPr>
            </w:pPr>
            <w:r w:rsidRPr="00B207E0">
              <w:rPr>
                <w:sz w:val="22"/>
                <w:szCs w:val="22"/>
              </w:rPr>
              <w:t>Materiál nelegislatívnej povahy</w:t>
            </w:r>
          </w:p>
        </w:tc>
      </w:tr>
      <w:tr w:rsidR="003501A1" w:rsidRPr="00B207E0" w:rsidTr="004F6F1F">
        <w:tc>
          <w:tcPr>
            <w:tcW w:w="4212" w:type="dxa"/>
            <w:gridSpan w:val="2"/>
            <w:vMerge/>
            <w:tcBorders>
              <w:top w:val="nil"/>
              <w:left w:val="single" w:sz="4" w:space="0" w:color="auto"/>
              <w:bottom w:val="single" w:sz="4" w:space="0" w:color="FFFFFF" w:themeColor="background1"/>
            </w:tcBorders>
            <w:shd w:val="clear" w:color="auto" w:fill="E2E2E2"/>
          </w:tcPr>
          <w:p w:rsidR="003501A1" w:rsidRPr="00B207E0" w:rsidRDefault="003501A1" w:rsidP="007B71A4">
            <w:pPr>
              <w:rPr>
                <w:sz w:val="22"/>
                <w:szCs w:val="22"/>
              </w:rPr>
            </w:pPr>
          </w:p>
        </w:tc>
        <w:sdt>
          <w:sdtPr>
            <w:rPr>
              <w:sz w:val="22"/>
              <w:szCs w:val="22"/>
            </w:rPr>
            <w:id w:val="-145588339"/>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B207E0" w:rsidRDefault="003D4B1C" w:rsidP="007B71A4">
                <w:pPr>
                  <w:jc w:val="center"/>
                  <w:rPr>
                    <w:sz w:val="22"/>
                    <w:szCs w:val="22"/>
                  </w:rPr>
                </w:pPr>
                <w:r>
                  <w:rPr>
                    <w:rFonts w:ascii="MS Gothic" w:eastAsia="MS Gothic" w:hAnsi="MS Gothic"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B207E0" w:rsidRDefault="003501A1" w:rsidP="007B71A4">
            <w:pPr>
              <w:ind w:left="175" w:hanging="175"/>
              <w:rPr>
                <w:sz w:val="22"/>
                <w:szCs w:val="22"/>
              </w:rPr>
            </w:pPr>
            <w:r w:rsidRPr="00B207E0">
              <w:rPr>
                <w:sz w:val="22"/>
                <w:szCs w:val="22"/>
              </w:rPr>
              <w:t>Materiál legislatívnej povahy</w:t>
            </w:r>
          </w:p>
        </w:tc>
      </w:tr>
      <w:tr w:rsidR="003501A1" w:rsidRPr="00B207E0" w:rsidTr="004F6F1F">
        <w:tc>
          <w:tcPr>
            <w:tcW w:w="4212" w:type="dxa"/>
            <w:gridSpan w:val="2"/>
            <w:vMerge/>
            <w:tcBorders>
              <w:top w:val="nil"/>
              <w:left w:val="single" w:sz="4" w:space="0" w:color="auto"/>
              <w:bottom w:val="single" w:sz="4" w:space="0" w:color="auto"/>
            </w:tcBorders>
            <w:shd w:val="clear" w:color="auto" w:fill="E2E2E2"/>
          </w:tcPr>
          <w:p w:rsidR="003501A1" w:rsidRPr="00B207E0" w:rsidRDefault="003501A1" w:rsidP="007B71A4">
            <w:pPr>
              <w:rPr>
                <w:sz w:val="22"/>
                <w:szCs w:val="22"/>
              </w:rPr>
            </w:pPr>
          </w:p>
        </w:tc>
        <w:sdt>
          <w:sdtPr>
            <w:rPr>
              <w:sz w:val="22"/>
              <w:szCs w:val="22"/>
            </w:r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B207E0" w:rsidRDefault="008E345E" w:rsidP="007B71A4">
                <w:pPr>
                  <w:jc w:val="center"/>
                  <w:rPr>
                    <w:sz w:val="22"/>
                    <w:szCs w:val="22"/>
                  </w:rPr>
                </w:pPr>
                <w:r>
                  <w:rPr>
                    <w:rFonts w:ascii="MS Gothic" w:eastAsia="MS Gothic" w:hAnsi="MS Gothic"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B207E0" w:rsidRDefault="003501A1" w:rsidP="007B71A4">
            <w:pPr>
              <w:rPr>
                <w:sz w:val="22"/>
                <w:szCs w:val="22"/>
              </w:rPr>
            </w:pPr>
            <w:r w:rsidRPr="00B207E0">
              <w:rPr>
                <w:sz w:val="22"/>
                <w:szCs w:val="22"/>
              </w:rPr>
              <w:t>Transpozícia práva EÚ</w:t>
            </w:r>
          </w:p>
        </w:tc>
      </w:tr>
      <w:tr w:rsidR="003501A1" w:rsidRPr="00B207E0" w:rsidTr="003501A1">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3501A1" w:rsidRPr="00B207E0" w:rsidRDefault="003501A1" w:rsidP="007B71A4">
            <w:pPr>
              <w:rPr>
                <w:i/>
                <w:sz w:val="22"/>
                <w:szCs w:val="22"/>
              </w:rPr>
            </w:pPr>
            <w:r w:rsidRPr="00B207E0">
              <w:rPr>
                <w:i/>
                <w:sz w:val="22"/>
                <w:szCs w:val="22"/>
              </w:rPr>
              <w:t>V prípade transpozície uveďte zoznam transponovaných predpisov:</w:t>
            </w:r>
          </w:p>
          <w:p w:rsidR="00165319" w:rsidRPr="00B207E0" w:rsidRDefault="00165319" w:rsidP="007B71A4">
            <w:pPr>
              <w:rPr>
                <w:i/>
                <w:sz w:val="22"/>
                <w:szCs w:val="22"/>
              </w:rPr>
            </w:pPr>
          </w:p>
          <w:p w:rsidR="003501A1" w:rsidRPr="00B207E0" w:rsidRDefault="003501A1" w:rsidP="00461E66">
            <w:pPr>
              <w:pStyle w:val="Odsekzoznamu"/>
              <w:numPr>
                <w:ilvl w:val="0"/>
                <w:numId w:val="2"/>
              </w:numPr>
              <w:spacing w:after="0" w:line="240" w:lineRule="auto"/>
              <w:ind w:left="714" w:hanging="357"/>
            </w:pPr>
          </w:p>
        </w:tc>
      </w:tr>
      <w:tr w:rsidR="003501A1" w:rsidRPr="00B207E0" w:rsidTr="004F6F1F">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3501A1" w:rsidRPr="00B207E0" w:rsidRDefault="003501A1" w:rsidP="007B71A4">
            <w:pPr>
              <w:pStyle w:val="Odsekzoznamu"/>
              <w:ind w:left="142"/>
              <w:rPr>
                <w:rFonts w:ascii="Times New Roman" w:hAnsi="Times New Roman" w:cs="Times New Roman"/>
                <w:b/>
              </w:rPr>
            </w:pPr>
            <w:r w:rsidRPr="00B207E0">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060320" w:rsidRPr="003A03A1" w:rsidRDefault="00060320" w:rsidP="00461E66">
            <w:pPr>
              <w:rPr>
                <w:sz w:val="22"/>
                <w:szCs w:val="22"/>
              </w:rPr>
            </w:pPr>
          </w:p>
        </w:tc>
      </w:tr>
      <w:tr w:rsidR="003501A1" w:rsidRPr="00B207E0"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7B71A4">
            <w:pPr>
              <w:pStyle w:val="Odsekzoznamu"/>
              <w:ind w:left="142"/>
              <w:rPr>
                <w:rFonts w:ascii="Times New Roman" w:hAnsi="Times New Roman" w:cs="Times New Roman"/>
                <w:b/>
              </w:rPr>
            </w:pPr>
            <w:r w:rsidRPr="00B207E0">
              <w:rPr>
                <w:rFonts w:ascii="Times New Roman" w:hAnsi="Times New Roman" w:cs="Times New Roman"/>
                <w:b/>
              </w:rPr>
              <w:t>Predpokladaný termín predloženia na MPK</w:t>
            </w:r>
            <w:r w:rsidR="00F62771" w:rsidRPr="00B207E0">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3A03A1" w:rsidRDefault="008E345E" w:rsidP="008E345E">
            <w:pPr>
              <w:rPr>
                <w:sz w:val="22"/>
                <w:szCs w:val="22"/>
              </w:rPr>
            </w:pPr>
            <w:r>
              <w:rPr>
                <w:sz w:val="22"/>
                <w:szCs w:val="22"/>
              </w:rPr>
              <w:t>december</w:t>
            </w:r>
            <w:r w:rsidR="00C63A86" w:rsidRPr="003A03A1">
              <w:rPr>
                <w:sz w:val="22"/>
                <w:szCs w:val="22"/>
              </w:rPr>
              <w:t xml:space="preserve"> 2020</w:t>
            </w:r>
          </w:p>
        </w:tc>
      </w:tr>
      <w:tr w:rsidR="003501A1" w:rsidRPr="00B207E0"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7B71A4">
            <w:pPr>
              <w:pStyle w:val="Odsekzoznamu"/>
              <w:ind w:left="142"/>
              <w:rPr>
                <w:rFonts w:ascii="Times New Roman" w:hAnsi="Times New Roman" w:cs="Times New Roman"/>
                <w:b/>
              </w:rPr>
            </w:pPr>
            <w:r w:rsidRPr="00B207E0">
              <w:rPr>
                <w:rFonts w:ascii="Times New Roman" w:hAnsi="Times New Roman" w:cs="Times New Roman"/>
                <w:b/>
              </w:rPr>
              <w:t>Predpokladaný termín predloženia na Rokovanie vlády SR</w:t>
            </w:r>
            <w:r w:rsidR="00F62771" w:rsidRPr="00B207E0">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3A03A1" w:rsidRDefault="003D4B1C" w:rsidP="003D4B1C">
            <w:pPr>
              <w:rPr>
                <w:sz w:val="22"/>
                <w:szCs w:val="22"/>
              </w:rPr>
            </w:pPr>
            <w:r>
              <w:rPr>
                <w:sz w:val="22"/>
                <w:szCs w:val="22"/>
              </w:rPr>
              <w:t>január</w:t>
            </w:r>
            <w:r w:rsidR="00C63A86" w:rsidRPr="003A03A1">
              <w:rPr>
                <w:sz w:val="22"/>
                <w:szCs w:val="22"/>
              </w:rPr>
              <w:t xml:space="preserve"> 202</w:t>
            </w:r>
            <w:r>
              <w:rPr>
                <w:sz w:val="22"/>
                <w:szCs w:val="22"/>
              </w:rPr>
              <w:t>1</w:t>
            </w:r>
          </w:p>
        </w:tc>
      </w:tr>
      <w:tr w:rsidR="003501A1" w:rsidRPr="00B207E0" w:rsidTr="003501A1">
        <w:tc>
          <w:tcPr>
            <w:tcW w:w="9180" w:type="dxa"/>
            <w:gridSpan w:val="10"/>
            <w:tcBorders>
              <w:top w:val="single" w:sz="4" w:space="0" w:color="auto"/>
              <w:left w:val="nil"/>
              <w:bottom w:val="single" w:sz="4" w:space="0" w:color="auto"/>
              <w:right w:val="nil"/>
            </w:tcBorders>
            <w:shd w:val="clear" w:color="auto" w:fill="FFFFFF" w:themeFill="background1"/>
          </w:tcPr>
          <w:p w:rsidR="003501A1" w:rsidRPr="00B207E0" w:rsidRDefault="003501A1" w:rsidP="007B71A4">
            <w:pPr>
              <w:rPr>
                <w:sz w:val="22"/>
                <w:szCs w:val="22"/>
              </w:rPr>
            </w:pPr>
          </w:p>
          <w:p w:rsidR="00A05921" w:rsidRPr="00B207E0" w:rsidRDefault="00A05921" w:rsidP="007B71A4">
            <w:pPr>
              <w:rPr>
                <w:sz w:val="22"/>
                <w:szCs w:val="22"/>
              </w:rPr>
            </w:pPr>
          </w:p>
        </w:tc>
      </w:tr>
      <w:tr w:rsidR="003501A1" w:rsidRPr="00B207E0"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Defin</w:t>
            </w:r>
            <w:r w:rsidR="00AC2477" w:rsidRPr="00B207E0">
              <w:rPr>
                <w:rFonts w:ascii="Times New Roman" w:hAnsi="Times New Roman" w:cs="Times New Roman"/>
                <w:b/>
              </w:rPr>
              <w:t>ovanie</w:t>
            </w:r>
            <w:r w:rsidRPr="00B207E0">
              <w:rPr>
                <w:rFonts w:ascii="Times New Roman" w:hAnsi="Times New Roman" w:cs="Times New Roman"/>
                <w:b/>
              </w:rPr>
              <w:t xml:space="preserve"> problému</w:t>
            </w:r>
          </w:p>
        </w:tc>
      </w:tr>
      <w:tr w:rsidR="003501A1" w:rsidRPr="00B207E0" w:rsidTr="00D13B6F">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B207E0" w:rsidRDefault="003501A1" w:rsidP="00461E66">
            <w:pPr>
              <w:jc w:val="both"/>
              <w:rPr>
                <w:i/>
                <w:sz w:val="22"/>
                <w:szCs w:val="22"/>
              </w:rPr>
            </w:pPr>
            <w:r w:rsidRPr="00B207E0">
              <w:rPr>
                <w:i/>
                <w:sz w:val="22"/>
                <w:szCs w:val="22"/>
              </w:rPr>
              <w:t>Uveďte základné problémy, na ktoré navrhovaná regulácia reaguje.</w:t>
            </w:r>
          </w:p>
          <w:p w:rsidR="003501A1" w:rsidRPr="00B207E0" w:rsidRDefault="003501A1" w:rsidP="00461E66">
            <w:pPr>
              <w:jc w:val="both"/>
              <w:rPr>
                <w:b/>
                <w:sz w:val="22"/>
                <w:szCs w:val="22"/>
              </w:rPr>
            </w:pPr>
          </w:p>
          <w:p w:rsidR="008E345E" w:rsidRPr="008E345E" w:rsidRDefault="008E345E" w:rsidP="00461E66">
            <w:pPr>
              <w:spacing w:after="120"/>
              <w:jc w:val="both"/>
              <w:rPr>
                <w:sz w:val="22"/>
                <w:szCs w:val="22"/>
              </w:rPr>
            </w:pPr>
            <w:r w:rsidRPr="008E345E">
              <w:rPr>
                <w:sz w:val="22"/>
                <w:szCs w:val="22"/>
              </w:rPr>
              <w:t xml:space="preserve">V spojitosti so snahami o posilňovanie bankovej únie a stability finančných trhov Európskej únie bol na samite eurozóny, ktorý sa konal v inkluzívnom formáte 14. decembra 2018 hlavy štátov alebo predsedovia vlád členských štátov, ktorých menou je euro schválený komplexný balík zmien cieľom posilnenia hospodárskej a menovej únie, vrátane úpravy referenčného rámca spoločného zabezpečovacieho mechanizmu pre jednotný fond na riešenie krízových situácií. Na základe týchto schválených zmien by sa spoločný zabezpečovací mechanizmus zaviedol ešte pred skončením prechodného obdobia prostredníctvom obmedzených zmien Dohody o prevode a mutualizácii príspevkov do jednotného fondu na riešenie krízových situácií pred skončením prechodného obdobia, a to za predpokladu, že sa dosiahol dostatočný pokrok v otázke zníženia </w:t>
            </w:r>
            <w:r w:rsidR="00805427">
              <w:rPr>
                <w:sz w:val="22"/>
                <w:szCs w:val="22"/>
              </w:rPr>
              <w:t>rizík v bankovom sektore</w:t>
            </w:r>
            <w:r w:rsidRPr="008E345E">
              <w:rPr>
                <w:sz w:val="22"/>
                <w:szCs w:val="22"/>
              </w:rPr>
              <w:t>.</w:t>
            </w:r>
            <w:r w:rsidR="00805427">
              <w:t xml:space="preserve"> </w:t>
            </w:r>
            <w:r w:rsidR="00805427" w:rsidRPr="00805427">
              <w:rPr>
                <w:sz w:val="22"/>
                <w:szCs w:val="22"/>
              </w:rPr>
              <w:t>V tejto súvislosti bolo na inkluzívnom formáte zasadnutia Euroskupiny dňa 30. 11. 2020 potvrdené, že boli splnené podmienky znižovania rizík v bankovom sektore, ktoré boli podmienkou k prístupu ku skoršiemu zavedeniu zabezpečovacieho mechanizmu.</w:t>
            </w:r>
            <w:r w:rsidR="00805427">
              <w:rPr>
                <w:sz w:val="22"/>
                <w:szCs w:val="22"/>
              </w:rPr>
              <w:t xml:space="preserve"> </w:t>
            </w:r>
            <w:r w:rsidRPr="008E345E">
              <w:rPr>
                <w:sz w:val="22"/>
                <w:szCs w:val="22"/>
              </w:rPr>
              <w:t xml:space="preserve"> </w:t>
            </w:r>
          </w:p>
          <w:p w:rsidR="00721336" w:rsidRPr="00B207E0" w:rsidRDefault="008E345E" w:rsidP="00461E66">
            <w:pPr>
              <w:jc w:val="both"/>
              <w:rPr>
                <w:b/>
                <w:sz w:val="22"/>
                <w:szCs w:val="22"/>
              </w:rPr>
            </w:pPr>
            <w:r w:rsidRPr="008E345E">
              <w:rPr>
                <w:sz w:val="22"/>
                <w:szCs w:val="22"/>
              </w:rPr>
              <w:t xml:space="preserve">S cieľom zabezpečiť, aby požiadavky na zníženie rizika boli úmerné úrovni ambícií spoločného zabezpečovacieho mechanizmu počas prechodného obdobia v porovnaní s obdobím ustáleného stavu, bola schválená mutualizácia mimoriadnych ex-post príspevkov do spoločného fondu na riešenie krízových situácií podobným spôsobom ako sú mutualizované ex-ante príspevky. Týmto riešením by sa mal zabezpečiť hladký prechod zo zložkovej štruktúry na plne mutualizovanú štruktúru.  </w:t>
            </w:r>
          </w:p>
        </w:tc>
      </w:tr>
      <w:tr w:rsidR="003501A1" w:rsidRPr="00B207E0"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B207E0" w:rsidRDefault="003501A1" w:rsidP="00461E66">
            <w:pPr>
              <w:pStyle w:val="Odsekzoznamu"/>
              <w:numPr>
                <w:ilvl w:val="0"/>
                <w:numId w:val="1"/>
              </w:numPr>
              <w:spacing w:after="0" w:line="240" w:lineRule="auto"/>
              <w:ind w:left="426"/>
              <w:jc w:val="both"/>
              <w:rPr>
                <w:rFonts w:ascii="Times New Roman" w:hAnsi="Times New Roman" w:cs="Times New Roman"/>
                <w:b/>
              </w:rPr>
            </w:pPr>
            <w:r w:rsidRPr="00B207E0">
              <w:rPr>
                <w:rFonts w:ascii="Times New Roman" w:hAnsi="Times New Roman" w:cs="Times New Roman"/>
                <w:b/>
              </w:rPr>
              <w:t>Ciele a výsledný stav</w:t>
            </w:r>
          </w:p>
        </w:tc>
      </w:tr>
      <w:tr w:rsidR="003501A1" w:rsidRPr="00B207E0" w:rsidTr="00D13B6F">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8E345E" w:rsidRPr="00461E66" w:rsidRDefault="008E345E" w:rsidP="00461E66">
            <w:pPr>
              <w:jc w:val="both"/>
              <w:rPr>
                <w:sz w:val="22"/>
                <w:szCs w:val="22"/>
              </w:rPr>
            </w:pPr>
            <w:r w:rsidRPr="00461E66">
              <w:rPr>
                <w:sz w:val="22"/>
                <w:szCs w:val="22"/>
              </w:rPr>
              <w:t>Medzi najdôležitejšie časti, ktoré sú súčasťou Návrhu Dohody, patria:</w:t>
            </w:r>
          </w:p>
          <w:p w:rsidR="008E345E" w:rsidRDefault="005B0D0A" w:rsidP="00461E66">
            <w:pPr>
              <w:jc w:val="both"/>
              <w:rPr>
                <w:sz w:val="22"/>
                <w:szCs w:val="22"/>
              </w:rPr>
            </w:pPr>
            <w:r>
              <w:rPr>
                <w:sz w:val="22"/>
                <w:szCs w:val="22"/>
              </w:rPr>
              <w:t xml:space="preserve">Nastavenie mutualizácie, už v súčasnosti zavedených </w:t>
            </w:r>
            <w:r w:rsidR="008E345E" w:rsidRPr="00461E66">
              <w:rPr>
                <w:sz w:val="22"/>
                <w:szCs w:val="22"/>
              </w:rPr>
              <w:t xml:space="preserve">ex-post príspevkov obdobným spôsobom, ako sú mutualizované ex-ante príspevky bánk do </w:t>
            </w:r>
            <w:r w:rsidR="004A4E24">
              <w:rPr>
                <w:sz w:val="22"/>
                <w:szCs w:val="22"/>
              </w:rPr>
              <w:t>Jednotného fondu na riešenie krízových situácií</w:t>
            </w:r>
            <w:r w:rsidR="008E345E" w:rsidRPr="00461E66">
              <w:rPr>
                <w:sz w:val="22"/>
                <w:szCs w:val="22"/>
              </w:rPr>
              <w:t xml:space="preserve">. Týmto riešením by sa mal zabezpečiť hladký prechod zo zložkovej štruktúry na plne mutualizovanú štruktúru.  </w:t>
            </w:r>
          </w:p>
          <w:p w:rsidR="00461E66" w:rsidRPr="00461E66" w:rsidRDefault="00461E66" w:rsidP="00461E66">
            <w:pPr>
              <w:jc w:val="both"/>
              <w:rPr>
                <w:sz w:val="22"/>
                <w:szCs w:val="22"/>
              </w:rPr>
            </w:pPr>
          </w:p>
          <w:p w:rsidR="008E345E" w:rsidRDefault="008E345E" w:rsidP="00461E66">
            <w:pPr>
              <w:jc w:val="both"/>
              <w:rPr>
                <w:sz w:val="22"/>
                <w:szCs w:val="22"/>
              </w:rPr>
            </w:pPr>
            <w:r w:rsidRPr="00461E66">
              <w:rPr>
                <w:sz w:val="22"/>
                <w:szCs w:val="22"/>
              </w:rPr>
              <w:lastRenderedPageBreak/>
              <w:t>Úpravu výšky ex-post príspevkov, ktoré môže v rámci svojich právomocí uplatniť Jednotná rada pre riešenie krízových situácií – maximálna suma ex-post príspevkom nesm</w:t>
            </w:r>
            <w:r w:rsidR="005B0D0A">
              <w:rPr>
                <w:sz w:val="22"/>
                <w:szCs w:val="22"/>
              </w:rPr>
              <w:t>ie</w:t>
            </w:r>
            <w:r w:rsidRPr="00461E66">
              <w:rPr>
                <w:sz w:val="22"/>
                <w:szCs w:val="22"/>
              </w:rPr>
              <w:t xml:space="preserve"> prekročiť výšku trojnásobku bežných príspevkov a zároveň výška ex-post príspevkov nesmie byť vyššia ako výška zaplatených ex-ante príspevkov. </w:t>
            </w:r>
          </w:p>
          <w:p w:rsidR="00461E66" w:rsidRPr="00461E66" w:rsidRDefault="00461E66" w:rsidP="00461E66">
            <w:pPr>
              <w:jc w:val="both"/>
              <w:rPr>
                <w:sz w:val="22"/>
                <w:szCs w:val="22"/>
              </w:rPr>
            </w:pPr>
          </w:p>
          <w:p w:rsidR="008E345E" w:rsidRPr="00461E66" w:rsidRDefault="008E345E" w:rsidP="00461E66">
            <w:pPr>
              <w:jc w:val="both"/>
              <w:rPr>
                <w:sz w:val="22"/>
                <w:szCs w:val="22"/>
              </w:rPr>
            </w:pPr>
            <w:r w:rsidRPr="00461E66">
              <w:rPr>
                <w:sz w:val="22"/>
                <w:szCs w:val="22"/>
              </w:rPr>
              <w:t>Nadobudnutie platnosti a uplatňovanie dohody je upravené spôsobom, aby dohoda nadobudla platnosť až po dosiahnutí dostatočného pokroku v znižovaní rizík na finančnom trhu a po uznesení Rady guvernérov Euró</w:t>
            </w:r>
            <w:r w:rsidR="00461E66">
              <w:rPr>
                <w:sz w:val="22"/>
                <w:szCs w:val="22"/>
              </w:rPr>
              <w:t>p</w:t>
            </w:r>
            <w:r w:rsidRPr="00461E66">
              <w:rPr>
                <w:sz w:val="22"/>
                <w:szCs w:val="22"/>
              </w:rPr>
              <w:t xml:space="preserve">skeho mechanizmu pre stabilitu.  </w:t>
            </w:r>
          </w:p>
          <w:p w:rsidR="00721336" w:rsidRPr="00B207E0" w:rsidRDefault="00721336" w:rsidP="00461E66">
            <w:pPr>
              <w:jc w:val="both"/>
              <w:rPr>
                <w:sz w:val="22"/>
                <w:szCs w:val="22"/>
              </w:rPr>
            </w:pPr>
          </w:p>
        </w:tc>
      </w:tr>
      <w:tr w:rsidR="003501A1" w:rsidRPr="00B207E0"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lastRenderedPageBreak/>
              <w:t>Dotknuté subjekty</w:t>
            </w:r>
          </w:p>
        </w:tc>
      </w:tr>
      <w:tr w:rsidR="003501A1" w:rsidRPr="00B207E0"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B207E0" w:rsidRDefault="003501A1" w:rsidP="007B71A4">
            <w:pPr>
              <w:rPr>
                <w:i/>
                <w:sz w:val="22"/>
                <w:szCs w:val="22"/>
              </w:rPr>
            </w:pPr>
            <w:r w:rsidRPr="00B207E0">
              <w:rPr>
                <w:i/>
                <w:sz w:val="22"/>
                <w:szCs w:val="22"/>
              </w:rPr>
              <w:t>Uveďte subjekty, ktorých sa zmeny návrhu dotknú priamo aj nepriamo:</w:t>
            </w:r>
          </w:p>
          <w:p w:rsidR="003501A1" w:rsidRPr="00B207E0" w:rsidRDefault="003501A1" w:rsidP="007B71A4">
            <w:pPr>
              <w:rPr>
                <w:sz w:val="22"/>
                <w:szCs w:val="22"/>
              </w:rPr>
            </w:pPr>
          </w:p>
          <w:p w:rsidR="00AE44A7" w:rsidRPr="00B207E0" w:rsidRDefault="00DF6F26" w:rsidP="007B71A4">
            <w:pPr>
              <w:rPr>
                <w:sz w:val="22"/>
                <w:szCs w:val="22"/>
              </w:rPr>
            </w:pPr>
            <w:r w:rsidRPr="00B207E0">
              <w:rPr>
                <w:sz w:val="22"/>
                <w:szCs w:val="22"/>
              </w:rPr>
              <w:t>b</w:t>
            </w:r>
            <w:r w:rsidR="00AE44A7" w:rsidRPr="00B207E0">
              <w:rPr>
                <w:sz w:val="22"/>
                <w:szCs w:val="22"/>
              </w:rPr>
              <w:t xml:space="preserve">anky a pobočky zahraničných bánk </w:t>
            </w:r>
            <w:r w:rsidR="000C1326" w:rsidRPr="00B207E0">
              <w:rPr>
                <w:sz w:val="22"/>
                <w:szCs w:val="22"/>
              </w:rPr>
              <w:t>(27)</w:t>
            </w:r>
          </w:p>
          <w:p w:rsidR="00B207E0" w:rsidRPr="00B207E0" w:rsidRDefault="00B207E0" w:rsidP="007B71A4">
            <w:pPr>
              <w:rPr>
                <w:i/>
                <w:sz w:val="22"/>
                <w:szCs w:val="22"/>
              </w:rPr>
            </w:pPr>
          </w:p>
        </w:tc>
      </w:tr>
      <w:tr w:rsidR="003501A1" w:rsidRPr="00B207E0"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Alternatívne riešenia</w:t>
            </w:r>
          </w:p>
        </w:tc>
      </w:tr>
      <w:tr w:rsidR="003501A1" w:rsidRPr="00B207E0"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B207E0" w:rsidRDefault="003501A1" w:rsidP="007B71A4">
            <w:pPr>
              <w:rPr>
                <w:i/>
                <w:sz w:val="22"/>
                <w:szCs w:val="22"/>
              </w:rPr>
            </w:pPr>
            <w:r w:rsidRPr="00B207E0">
              <w:rPr>
                <w:i/>
                <w:sz w:val="22"/>
                <w:szCs w:val="22"/>
              </w:rPr>
              <w:t>Aké alternatívne riešenia boli posudzované?</w:t>
            </w:r>
          </w:p>
          <w:p w:rsidR="003501A1" w:rsidRPr="00B207E0" w:rsidRDefault="003501A1" w:rsidP="007B71A4">
            <w:pPr>
              <w:rPr>
                <w:i/>
                <w:sz w:val="22"/>
                <w:szCs w:val="22"/>
              </w:rPr>
            </w:pPr>
            <w:r w:rsidRPr="00B207E0">
              <w:rPr>
                <w:i/>
                <w:sz w:val="22"/>
                <w:szCs w:val="22"/>
              </w:rPr>
              <w:t>Uveďte, aké alternatívne spôsoby na odstránenie definovaného problému boli identifikované a posudzované.</w:t>
            </w:r>
          </w:p>
          <w:p w:rsidR="00EB62BF" w:rsidRDefault="00EB62BF" w:rsidP="007B71A4">
            <w:pPr>
              <w:rPr>
                <w:i/>
                <w:sz w:val="22"/>
                <w:szCs w:val="22"/>
              </w:rPr>
            </w:pPr>
          </w:p>
          <w:p w:rsidR="00C52AAB" w:rsidRPr="00B207E0" w:rsidRDefault="00C52AAB" w:rsidP="007B71A4">
            <w:pPr>
              <w:rPr>
                <w:i/>
                <w:sz w:val="22"/>
                <w:szCs w:val="22"/>
              </w:rPr>
            </w:pPr>
            <w:r>
              <w:rPr>
                <w:sz w:val="22"/>
                <w:szCs w:val="22"/>
              </w:rPr>
              <w:t xml:space="preserve">Materiál je výsledkom technických a politických negociácií na úrovni pracovných skupín Euroskupiny a samotnej Euroskupiny. Samotný mandát na zmenu </w:t>
            </w:r>
            <w:r w:rsidRPr="008E345E">
              <w:rPr>
                <w:bCs/>
                <w:sz w:val="22"/>
                <w:szCs w:val="22"/>
              </w:rPr>
              <w:t>Dohod</w:t>
            </w:r>
            <w:r>
              <w:rPr>
                <w:bCs/>
                <w:sz w:val="22"/>
                <w:szCs w:val="22"/>
              </w:rPr>
              <w:t>y</w:t>
            </w:r>
            <w:r w:rsidRPr="008E345E">
              <w:rPr>
                <w:bCs/>
                <w:sz w:val="22"/>
                <w:szCs w:val="22"/>
              </w:rPr>
              <w:t xml:space="preserve"> o prevode a mutualizácii príspevkov do jednotného fondu na riešenie krízových situácií</w:t>
            </w:r>
            <w:r>
              <w:rPr>
                <w:sz w:val="22"/>
                <w:szCs w:val="22"/>
              </w:rPr>
              <w:t xml:space="preserve"> vychádza z vyhlásenia lídrov Európskej únie, ktoré boli prijaté v decembri 2018 a decembri 2019.</w:t>
            </w:r>
          </w:p>
          <w:p w:rsidR="00C52AAB" w:rsidRDefault="00C52AAB" w:rsidP="007B71A4">
            <w:pPr>
              <w:rPr>
                <w:sz w:val="22"/>
                <w:szCs w:val="22"/>
              </w:rPr>
            </w:pPr>
          </w:p>
          <w:p w:rsidR="00186B89" w:rsidRDefault="00EB62BF" w:rsidP="007B71A4">
            <w:pPr>
              <w:rPr>
                <w:sz w:val="22"/>
                <w:szCs w:val="22"/>
              </w:rPr>
            </w:pPr>
            <w:r w:rsidRPr="00B207E0">
              <w:rPr>
                <w:sz w:val="22"/>
                <w:szCs w:val="22"/>
              </w:rPr>
              <w:t>Alternatívne riešenia neboli zvažované.</w:t>
            </w:r>
            <w:r w:rsidR="00C52AAB">
              <w:rPr>
                <w:sz w:val="22"/>
                <w:szCs w:val="22"/>
              </w:rPr>
              <w:t xml:space="preserve"> </w:t>
            </w:r>
          </w:p>
          <w:p w:rsidR="00186B89" w:rsidRDefault="00186B89" w:rsidP="007B71A4">
            <w:pPr>
              <w:rPr>
                <w:sz w:val="22"/>
                <w:szCs w:val="22"/>
              </w:rPr>
            </w:pPr>
          </w:p>
          <w:p w:rsidR="00EB62BF" w:rsidRPr="00186B89" w:rsidRDefault="00C52AAB" w:rsidP="007B71A4">
            <w:pPr>
              <w:rPr>
                <w:sz w:val="22"/>
                <w:szCs w:val="22"/>
              </w:rPr>
            </w:pPr>
            <w:r w:rsidRPr="00186B89">
              <w:rPr>
                <w:sz w:val="22"/>
                <w:szCs w:val="22"/>
              </w:rPr>
              <w:t xml:space="preserve">Nulový variant </w:t>
            </w:r>
            <w:r w:rsidR="00186B89" w:rsidRPr="00186B89">
              <w:rPr>
                <w:sz w:val="22"/>
                <w:szCs w:val="22"/>
              </w:rPr>
              <w:t>– na túto dohodu sa nevzťahuje uplatnenie nulového variantu</w:t>
            </w:r>
            <w:r w:rsidR="00063660">
              <w:rPr>
                <w:sz w:val="22"/>
                <w:szCs w:val="22"/>
              </w:rPr>
              <w:t xml:space="preserve"> v súlade s </w:t>
            </w:r>
            <w:r w:rsidR="00063660" w:rsidRPr="00063660">
              <w:rPr>
                <w:sz w:val="22"/>
                <w:szCs w:val="22"/>
              </w:rPr>
              <w:t>v súlade s Jednotnou metodikou na posudzovanie vybraných vplyvov</w:t>
            </w:r>
            <w:r w:rsidR="00186B89" w:rsidRPr="00186B89">
              <w:rPr>
                <w:sz w:val="22"/>
                <w:szCs w:val="22"/>
              </w:rPr>
              <w:t xml:space="preserve"> z dôvodu, že ide o právny predpis vyššej sily – t</w:t>
            </w:r>
            <w:r w:rsidR="00063660">
              <w:rPr>
                <w:sz w:val="22"/>
                <w:szCs w:val="22"/>
              </w:rPr>
              <w:t xml:space="preserve">. </w:t>
            </w:r>
            <w:r w:rsidR="00186B89" w:rsidRPr="00186B89">
              <w:rPr>
                <w:sz w:val="22"/>
                <w:szCs w:val="22"/>
              </w:rPr>
              <w:t>j. prijatie medzinárodného záväzku – dohody, ktorá by mala byť podpísaná všetkými členskými krajinami EÚ.</w:t>
            </w:r>
          </w:p>
          <w:p w:rsidR="00EB62BF" w:rsidRPr="00B207E0" w:rsidRDefault="00EB62BF" w:rsidP="007B71A4">
            <w:pPr>
              <w:rPr>
                <w:i/>
                <w:sz w:val="22"/>
                <w:szCs w:val="22"/>
              </w:rPr>
            </w:pPr>
          </w:p>
        </w:tc>
      </w:tr>
      <w:tr w:rsidR="003501A1" w:rsidRPr="00B207E0"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Vykonávacie predpisy</w:t>
            </w:r>
          </w:p>
        </w:tc>
      </w:tr>
      <w:tr w:rsidR="003501A1" w:rsidRPr="00B207E0"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3501A1" w:rsidRPr="00B207E0" w:rsidRDefault="003501A1" w:rsidP="007B71A4">
            <w:pPr>
              <w:rPr>
                <w:i/>
                <w:sz w:val="22"/>
                <w:szCs w:val="22"/>
              </w:rPr>
            </w:pPr>
            <w:r w:rsidRPr="00B207E0">
              <w:rPr>
                <w:i/>
                <w:sz w:val="22"/>
                <w:szCs w:val="22"/>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B207E0" w:rsidRDefault="000D6154" w:rsidP="007B71A4">
            <w:pPr>
              <w:jc w:val="center"/>
              <w:rPr>
                <w:sz w:val="22"/>
                <w:szCs w:val="22"/>
              </w:rPr>
            </w:pPr>
            <w:sdt>
              <w:sdtPr>
                <w:rPr>
                  <w:sz w:val="22"/>
                  <w:szCs w:val="22"/>
                </w:rPr>
                <w:id w:val="-1407611648"/>
                <w14:checkbox>
                  <w14:checked w14:val="0"/>
                  <w14:checkedState w14:val="2612" w14:font="MS Gothic"/>
                  <w14:uncheckedState w14:val="2610" w14:font="MS Gothic"/>
                </w14:checkbox>
              </w:sdtPr>
              <w:sdtEndPr/>
              <w:sdtContent>
                <w:r w:rsidR="00934050">
                  <w:rPr>
                    <w:rFonts w:ascii="MS Gothic" w:eastAsia="MS Gothic" w:hAnsi="MS Gothic" w:hint="eastAsia"/>
                    <w:sz w:val="22"/>
                    <w:szCs w:val="22"/>
                  </w:rPr>
                  <w:t>☐</w:t>
                </w:r>
              </w:sdtContent>
            </w:sdt>
            <w:r w:rsidR="003501A1" w:rsidRPr="00B207E0">
              <w:rPr>
                <w:sz w:val="22"/>
                <w:szCs w:val="22"/>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3501A1" w:rsidRPr="00B207E0" w:rsidRDefault="000D6154" w:rsidP="007B71A4">
            <w:pPr>
              <w:jc w:val="center"/>
              <w:rPr>
                <w:sz w:val="22"/>
                <w:szCs w:val="22"/>
              </w:rPr>
            </w:pPr>
            <w:sdt>
              <w:sdtPr>
                <w:rPr>
                  <w:sz w:val="22"/>
                  <w:szCs w:val="22"/>
                </w:rPr>
                <w:id w:val="-1625842802"/>
                <w14:checkbox>
                  <w14:checked w14:val="1"/>
                  <w14:checkedState w14:val="2612" w14:font="MS Gothic"/>
                  <w14:uncheckedState w14:val="2610" w14:font="MS Gothic"/>
                </w14:checkbox>
              </w:sdtPr>
              <w:sdtEndPr/>
              <w:sdtContent>
                <w:r w:rsidR="00934050">
                  <w:rPr>
                    <w:rFonts w:ascii="MS Gothic" w:eastAsia="MS Gothic" w:hAnsi="MS Gothic" w:hint="eastAsia"/>
                    <w:sz w:val="22"/>
                    <w:szCs w:val="22"/>
                  </w:rPr>
                  <w:t>☒</w:t>
                </w:r>
              </w:sdtContent>
            </w:sdt>
            <w:r w:rsidR="003501A1" w:rsidRPr="00B207E0">
              <w:rPr>
                <w:sz w:val="22"/>
                <w:szCs w:val="22"/>
              </w:rPr>
              <w:t xml:space="preserve">  Nie</w:t>
            </w:r>
          </w:p>
        </w:tc>
      </w:tr>
      <w:tr w:rsidR="003501A1" w:rsidRPr="00B207E0"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B207E0" w:rsidRDefault="003501A1" w:rsidP="007B71A4">
            <w:pPr>
              <w:rPr>
                <w:i/>
                <w:sz w:val="22"/>
                <w:szCs w:val="22"/>
              </w:rPr>
            </w:pPr>
            <w:r w:rsidRPr="00B207E0">
              <w:rPr>
                <w:i/>
                <w:sz w:val="22"/>
                <w:szCs w:val="22"/>
              </w:rPr>
              <w:t>Ak áno, uveďte ktoré oblasti budú nimi upravené, resp. ktorých vykonávacích predpisov sa zmena dotkne:</w:t>
            </w:r>
          </w:p>
          <w:p w:rsidR="003501A1" w:rsidRPr="00B207E0" w:rsidRDefault="003501A1" w:rsidP="00934050">
            <w:pPr>
              <w:rPr>
                <w:sz w:val="22"/>
                <w:szCs w:val="22"/>
              </w:rPr>
            </w:pPr>
          </w:p>
        </w:tc>
      </w:tr>
      <w:tr w:rsidR="003501A1" w:rsidRPr="00B207E0"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 xml:space="preserve">Transpozícia práva EÚ </w:t>
            </w:r>
          </w:p>
        </w:tc>
      </w:tr>
      <w:tr w:rsidR="003501A1" w:rsidRPr="00B207E0"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3501A1" w:rsidRPr="00B207E0" w:rsidRDefault="003501A1" w:rsidP="007B71A4">
            <w:pPr>
              <w:rPr>
                <w:i/>
                <w:sz w:val="22"/>
                <w:szCs w:val="22"/>
              </w:rPr>
            </w:pPr>
            <w:r w:rsidRPr="00B207E0">
              <w:rPr>
                <w:i/>
                <w:sz w:val="22"/>
                <w:szCs w:val="22"/>
              </w:rPr>
              <w:t>Uveďte, v ktorých ustanoveniach ide národná právna úprava nad rámec minimálnych požiadaviek EÚ spolu s odôvodnením.</w:t>
            </w:r>
          </w:p>
          <w:p w:rsidR="00EB62BF" w:rsidRPr="00B207E0" w:rsidRDefault="00EB62BF" w:rsidP="007B71A4">
            <w:pPr>
              <w:rPr>
                <w:i/>
                <w:sz w:val="22"/>
                <w:szCs w:val="22"/>
              </w:rPr>
            </w:pPr>
          </w:p>
          <w:p w:rsidR="00EB62BF" w:rsidRPr="00B207E0" w:rsidRDefault="008E345E" w:rsidP="005B0D0A">
            <w:pPr>
              <w:rPr>
                <w:sz w:val="22"/>
                <w:szCs w:val="22"/>
              </w:rPr>
            </w:pPr>
            <w:r>
              <w:rPr>
                <w:sz w:val="22"/>
                <w:szCs w:val="22"/>
              </w:rPr>
              <w:t xml:space="preserve">Keďže sa jedná o medzinárodnú prezidentskú zmluvu, </w:t>
            </w:r>
            <w:r w:rsidR="005B0D0A">
              <w:rPr>
                <w:sz w:val="22"/>
                <w:szCs w:val="22"/>
              </w:rPr>
              <w:t>národná právna úprava nejde nad rámec minimálnych požiadaviek EÚ</w:t>
            </w:r>
            <w:r>
              <w:rPr>
                <w:sz w:val="22"/>
                <w:szCs w:val="22"/>
              </w:rPr>
              <w:t xml:space="preserve">. </w:t>
            </w:r>
          </w:p>
        </w:tc>
      </w:tr>
      <w:tr w:rsidR="003501A1" w:rsidRPr="00B207E0"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B207E0" w:rsidRDefault="003501A1" w:rsidP="007B71A4">
            <w:pPr>
              <w:jc w:val="center"/>
              <w:rPr>
                <w:sz w:val="22"/>
                <w:szCs w:val="22"/>
              </w:rPr>
            </w:pPr>
          </w:p>
        </w:tc>
      </w:tr>
      <w:tr w:rsidR="003501A1" w:rsidRPr="00B207E0"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395098">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Preskúmanie účelnosti</w:t>
            </w:r>
            <w:r w:rsidR="00F62771" w:rsidRPr="00B207E0">
              <w:rPr>
                <w:rFonts w:ascii="Times New Roman" w:hAnsi="Times New Roman" w:cs="Times New Roman"/>
                <w:b/>
              </w:rPr>
              <w:t>**</w:t>
            </w:r>
          </w:p>
        </w:tc>
      </w:tr>
      <w:tr w:rsidR="003501A1" w:rsidRPr="00B207E0"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B207E0" w:rsidRDefault="003501A1" w:rsidP="007B71A4">
            <w:pPr>
              <w:rPr>
                <w:i/>
                <w:sz w:val="22"/>
                <w:szCs w:val="22"/>
              </w:rPr>
            </w:pPr>
            <w:r w:rsidRPr="00B207E0">
              <w:rPr>
                <w:i/>
                <w:sz w:val="22"/>
                <w:szCs w:val="22"/>
              </w:rPr>
              <w:t>Uveďte termín, kedy by malo dôjsť k preskúmaniu účinnosti a účelnosti navrhovaného predpisu.</w:t>
            </w:r>
          </w:p>
          <w:p w:rsidR="003501A1" w:rsidRPr="00B207E0" w:rsidRDefault="003501A1" w:rsidP="007B71A4">
            <w:pPr>
              <w:rPr>
                <w:i/>
                <w:sz w:val="22"/>
                <w:szCs w:val="22"/>
              </w:rPr>
            </w:pPr>
            <w:r w:rsidRPr="00B207E0">
              <w:rPr>
                <w:i/>
                <w:sz w:val="22"/>
                <w:szCs w:val="22"/>
              </w:rPr>
              <w:t>Uveďte kritériá, na základe ktorých bude preskúmanie vykonané.</w:t>
            </w:r>
          </w:p>
          <w:p w:rsidR="003501A1" w:rsidRPr="00B207E0" w:rsidRDefault="003501A1" w:rsidP="007B71A4">
            <w:pPr>
              <w:rPr>
                <w:i/>
                <w:sz w:val="22"/>
                <w:szCs w:val="22"/>
              </w:rPr>
            </w:pPr>
          </w:p>
        </w:tc>
      </w:tr>
      <w:tr w:rsidR="003501A1" w:rsidRPr="00B207E0" w:rsidTr="004C60B8">
        <w:trPr>
          <w:trHeight w:val="715"/>
        </w:trPr>
        <w:tc>
          <w:tcPr>
            <w:tcW w:w="9180" w:type="dxa"/>
            <w:gridSpan w:val="10"/>
            <w:tcBorders>
              <w:top w:val="single" w:sz="4" w:space="0" w:color="auto"/>
              <w:left w:val="nil"/>
              <w:bottom w:val="nil"/>
              <w:right w:val="nil"/>
            </w:tcBorders>
            <w:shd w:val="clear" w:color="auto" w:fill="FFFFFF" w:themeFill="background1"/>
          </w:tcPr>
          <w:p w:rsidR="004F6F1F" w:rsidRPr="00B207E0" w:rsidRDefault="004F6F1F" w:rsidP="004C60B8">
            <w:pPr>
              <w:ind w:left="142" w:hanging="142"/>
              <w:rPr>
                <w:sz w:val="22"/>
                <w:szCs w:val="22"/>
              </w:rPr>
            </w:pPr>
          </w:p>
          <w:p w:rsidR="00F62771" w:rsidRPr="00B207E0" w:rsidRDefault="00F62771" w:rsidP="004C60B8">
            <w:pPr>
              <w:ind w:left="142" w:hanging="142"/>
              <w:rPr>
                <w:sz w:val="22"/>
                <w:szCs w:val="22"/>
              </w:rPr>
            </w:pPr>
            <w:r w:rsidRPr="00B207E0">
              <w:rPr>
                <w:sz w:val="22"/>
                <w:szCs w:val="22"/>
              </w:rPr>
              <w:t xml:space="preserve">* </w:t>
            </w:r>
            <w:r w:rsidR="004C60B8" w:rsidRPr="00B207E0">
              <w:rPr>
                <w:sz w:val="22"/>
                <w:szCs w:val="22"/>
              </w:rPr>
              <w:t>vyplniť iba v prípade, ak</w:t>
            </w:r>
            <w:r w:rsidRPr="00B207E0">
              <w:rPr>
                <w:sz w:val="22"/>
                <w:szCs w:val="22"/>
              </w:rPr>
              <w:t xml:space="preserve"> </w:t>
            </w:r>
            <w:r w:rsidR="004C60B8" w:rsidRPr="00B207E0">
              <w:rPr>
                <w:sz w:val="22"/>
                <w:szCs w:val="22"/>
              </w:rPr>
              <w:t xml:space="preserve">materiál </w:t>
            </w:r>
            <w:r w:rsidRPr="00B207E0">
              <w:rPr>
                <w:sz w:val="22"/>
                <w:szCs w:val="22"/>
              </w:rPr>
              <w:t xml:space="preserve">nie je </w:t>
            </w:r>
            <w:r w:rsidR="004C60B8" w:rsidRPr="00B207E0">
              <w:rPr>
                <w:sz w:val="22"/>
                <w:szCs w:val="22"/>
              </w:rPr>
              <w:t>zahrnutý do Plánu práce vlády Slovenskej republiky alebo Plánu        legislatívnych úloh vlády Slovenskej republiky.</w:t>
            </w:r>
            <w:r w:rsidRPr="00B207E0">
              <w:rPr>
                <w:sz w:val="22"/>
                <w:szCs w:val="22"/>
              </w:rPr>
              <w:t xml:space="preserve"> </w:t>
            </w:r>
          </w:p>
          <w:p w:rsidR="003501A1" w:rsidRPr="00B207E0" w:rsidRDefault="00F62771" w:rsidP="00F22831">
            <w:pPr>
              <w:rPr>
                <w:sz w:val="22"/>
                <w:szCs w:val="22"/>
              </w:rPr>
            </w:pPr>
            <w:r w:rsidRPr="00B207E0">
              <w:rPr>
                <w:sz w:val="22"/>
                <w:szCs w:val="22"/>
              </w:rPr>
              <w:t>*</w:t>
            </w:r>
            <w:r w:rsidR="00F22831" w:rsidRPr="00B207E0">
              <w:rPr>
                <w:sz w:val="22"/>
                <w:szCs w:val="22"/>
              </w:rPr>
              <w:t>* nepovinné</w:t>
            </w:r>
          </w:p>
        </w:tc>
      </w:tr>
      <w:tr w:rsidR="003501A1" w:rsidRPr="00B207E0" w:rsidTr="004F6F1F">
        <w:tc>
          <w:tcPr>
            <w:tcW w:w="9180" w:type="dxa"/>
            <w:gridSpan w:val="10"/>
            <w:tcBorders>
              <w:top w:val="nil"/>
              <w:left w:val="nil"/>
              <w:bottom w:val="single" w:sz="4" w:space="0" w:color="auto"/>
              <w:right w:val="nil"/>
            </w:tcBorders>
            <w:shd w:val="clear" w:color="auto" w:fill="FFFFFF" w:themeFill="background1"/>
          </w:tcPr>
          <w:p w:rsidR="003501A1" w:rsidRPr="00B207E0" w:rsidRDefault="003501A1" w:rsidP="003501A1">
            <w:pPr>
              <w:rPr>
                <w:b/>
                <w:sz w:val="22"/>
                <w:szCs w:val="22"/>
              </w:rPr>
            </w:pPr>
          </w:p>
        </w:tc>
      </w:tr>
      <w:tr w:rsidR="003501A1" w:rsidRPr="00B207E0"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Vplyvy navrhovaného materiálu</w:t>
            </w:r>
          </w:p>
        </w:tc>
      </w:tr>
      <w:tr w:rsidR="003501A1" w:rsidRPr="00B207E0" w:rsidTr="004F6F1F">
        <w:tc>
          <w:tcPr>
            <w:tcW w:w="3812" w:type="dxa"/>
            <w:tcBorders>
              <w:top w:val="single" w:sz="4" w:space="0" w:color="auto"/>
              <w:left w:val="single" w:sz="4" w:space="0" w:color="auto"/>
              <w:bottom w:val="nil"/>
              <w:right w:val="single" w:sz="4" w:space="0" w:color="auto"/>
            </w:tcBorders>
            <w:shd w:val="clear" w:color="auto" w:fill="E2E2E2"/>
          </w:tcPr>
          <w:p w:rsidR="003501A1" w:rsidRPr="00B207E0" w:rsidRDefault="003501A1" w:rsidP="007B71A4">
            <w:pPr>
              <w:rPr>
                <w:b/>
                <w:sz w:val="22"/>
                <w:szCs w:val="22"/>
              </w:rPr>
            </w:pPr>
            <w:r w:rsidRPr="00B207E0">
              <w:rPr>
                <w:b/>
                <w:sz w:val="22"/>
                <w:szCs w:val="22"/>
              </w:rPr>
              <w:lastRenderedPageBreak/>
              <w:t>Vplyvy na rozpočet verejnej správy</w:t>
            </w:r>
          </w:p>
        </w:tc>
        <w:sdt>
          <w:sdtPr>
            <w:rPr>
              <w:b/>
              <w:sz w:val="22"/>
              <w:szCs w:val="22"/>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B207E0" w:rsidRDefault="003501A1" w:rsidP="007B71A4">
                <w:pPr>
                  <w:jc w:val="center"/>
                  <w:rPr>
                    <w:b/>
                    <w:sz w:val="22"/>
                    <w:szCs w:val="22"/>
                  </w:rPr>
                </w:pPr>
                <w:r w:rsidRPr="00B207E0">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rsidR="003501A1" w:rsidRPr="00B207E0" w:rsidRDefault="003501A1" w:rsidP="007B71A4">
            <w:pPr>
              <w:rPr>
                <w:b/>
                <w:sz w:val="22"/>
                <w:szCs w:val="22"/>
              </w:rPr>
            </w:pPr>
            <w:r w:rsidRPr="00B207E0">
              <w:rPr>
                <w:b/>
                <w:sz w:val="22"/>
                <w:szCs w:val="22"/>
              </w:rPr>
              <w:t>Pozitívne</w:t>
            </w:r>
          </w:p>
        </w:tc>
        <w:sdt>
          <w:sdtPr>
            <w:rPr>
              <w:b/>
              <w:sz w:val="22"/>
              <w:szCs w:val="22"/>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B207E0" w:rsidRDefault="00EB62BF" w:rsidP="007B71A4">
                <w:pPr>
                  <w:jc w:val="center"/>
                  <w:rPr>
                    <w:b/>
                    <w:sz w:val="22"/>
                    <w:szCs w:val="22"/>
                  </w:rPr>
                </w:pPr>
                <w:r w:rsidRPr="00B207E0">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rsidR="003501A1" w:rsidRPr="00B207E0" w:rsidRDefault="003501A1" w:rsidP="007B71A4">
            <w:pPr>
              <w:rPr>
                <w:b/>
                <w:sz w:val="22"/>
                <w:szCs w:val="22"/>
              </w:rPr>
            </w:pPr>
            <w:r w:rsidRPr="00B207E0">
              <w:rPr>
                <w:b/>
                <w:sz w:val="22"/>
                <w:szCs w:val="22"/>
              </w:rPr>
              <w:t>Žiadne</w:t>
            </w:r>
          </w:p>
        </w:tc>
        <w:sdt>
          <w:sdtPr>
            <w:rPr>
              <w:b/>
              <w:sz w:val="22"/>
              <w:szCs w:val="22"/>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B207E0" w:rsidRDefault="003501A1" w:rsidP="007B71A4">
                <w:pPr>
                  <w:ind w:left="-107" w:right="-108"/>
                  <w:jc w:val="center"/>
                  <w:rPr>
                    <w:b/>
                    <w:sz w:val="22"/>
                    <w:szCs w:val="22"/>
                  </w:rPr>
                </w:pPr>
                <w:r w:rsidRPr="00B207E0">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rsidR="003501A1" w:rsidRPr="00B207E0" w:rsidRDefault="003501A1" w:rsidP="007B71A4">
            <w:pPr>
              <w:ind w:left="34"/>
              <w:rPr>
                <w:b/>
                <w:sz w:val="22"/>
                <w:szCs w:val="22"/>
              </w:rPr>
            </w:pPr>
            <w:r w:rsidRPr="00B207E0">
              <w:rPr>
                <w:b/>
                <w:sz w:val="22"/>
                <w:szCs w:val="22"/>
              </w:rPr>
              <w:t>Negatívne</w:t>
            </w:r>
          </w:p>
        </w:tc>
      </w:tr>
      <w:tr w:rsidR="003501A1" w:rsidRPr="00B207E0" w:rsidTr="004F6F1F">
        <w:tc>
          <w:tcPr>
            <w:tcW w:w="3812" w:type="dxa"/>
            <w:tcBorders>
              <w:top w:val="nil"/>
              <w:left w:val="single" w:sz="4" w:space="0" w:color="auto"/>
              <w:bottom w:val="single" w:sz="4" w:space="0" w:color="000000" w:themeColor="text1"/>
              <w:right w:val="single" w:sz="4" w:space="0" w:color="auto"/>
            </w:tcBorders>
            <w:shd w:val="clear" w:color="auto" w:fill="E2E2E2"/>
          </w:tcPr>
          <w:p w:rsidR="003501A1" w:rsidRPr="00B207E0" w:rsidRDefault="003501A1" w:rsidP="007B71A4">
            <w:pPr>
              <w:rPr>
                <w:sz w:val="22"/>
                <w:szCs w:val="22"/>
              </w:rPr>
            </w:pPr>
            <w:r w:rsidRPr="00B207E0">
              <w:rPr>
                <w:sz w:val="22"/>
                <w:szCs w:val="22"/>
              </w:rPr>
              <w:t xml:space="preserve">    z toho rozpočtovo zabezpečené vplyvy</w:t>
            </w:r>
          </w:p>
        </w:tc>
        <w:sdt>
          <w:sdtPr>
            <w:rPr>
              <w:sz w:val="22"/>
              <w:szCs w:val="22"/>
            </w:r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B207E0" w:rsidRDefault="003501A1" w:rsidP="007B71A4">
                <w:pPr>
                  <w:jc w:val="center"/>
                  <w:rPr>
                    <w:sz w:val="22"/>
                    <w:szCs w:val="22"/>
                  </w:rPr>
                </w:pPr>
                <w:r w:rsidRPr="00B207E0">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rsidR="003501A1" w:rsidRPr="00B207E0" w:rsidRDefault="003501A1" w:rsidP="007B71A4">
            <w:pPr>
              <w:rPr>
                <w:sz w:val="22"/>
                <w:szCs w:val="22"/>
              </w:rPr>
            </w:pPr>
            <w:r w:rsidRPr="00B207E0">
              <w:rPr>
                <w:sz w:val="22"/>
                <w:szCs w:val="22"/>
              </w:rPr>
              <w:t>Áno</w:t>
            </w:r>
          </w:p>
        </w:tc>
        <w:sdt>
          <w:sdtPr>
            <w:rPr>
              <w:sz w:val="22"/>
              <w:szCs w:val="22"/>
            </w:r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B207E0" w:rsidRDefault="00EB62BF" w:rsidP="007B71A4">
                <w:pPr>
                  <w:jc w:val="center"/>
                  <w:rPr>
                    <w:sz w:val="22"/>
                    <w:szCs w:val="22"/>
                  </w:rPr>
                </w:pPr>
                <w:r w:rsidRPr="00B207E0">
                  <w:rPr>
                    <w:rFonts w:ascii="MS Gothic" w:eastAsia="MS Gothic" w:hAnsi="MS Gothic" w:hint="eastAsia"/>
                    <w:sz w:val="22"/>
                    <w:szCs w:val="22"/>
                  </w:rPr>
                  <w:t>☐</w:t>
                </w:r>
              </w:p>
            </w:tc>
          </w:sdtContent>
        </w:sdt>
        <w:tc>
          <w:tcPr>
            <w:tcW w:w="1133" w:type="dxa"/>
            <w:tcBorders>
              <w:top w:val="single" w:sz="4" w:space="0" w:color="auto"/>
              <w:left w:val="nil"/>
              <w:bottom w:val="single" w:sz="4" w:space="0" w:color="auto"/>
              <w:right w:val="nil"/>
            </w:tcBorders>
          </w:tcPr>
          <w:p w:rsidR="003501A1" w:rsidRPr="00B207E0" w:rsidRDefault="003501A1" w:rsidP="007B71A4">
            <w:pPr>
              <w:rPr>
                <w:sz w:val="22"/>
                <w:szCs w:val="22"/>
              </w:rPr>
            </w:pPr>
            <w:r w:rsidRPr="00B207E0">
              <w:rPr>
                <w:sz w:val="22"/>
                <w:szCs w:val="22"/>
              </w:rPr>
              <w:t>Nie</w:t>
            </w:r>
          </w:p>
        </w:tc>
        <w:sdt>
          <w:sdtPr>
            <w:rPr>
              <w:sz w:val="22"/>
              <w:szCs w:val="22"/>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B207E0" w:rsidRDefault="003501A1" w:rsidP="007B71A4">
                <w:pPr>
                  <w:ind w:left="-107" w:right="-108"/>
                  <w:jc w:val="center"/>
                  <w:rPr>
                    <w:sz w:val="22"/>
                    <w:szCs w:val="22"/>
                  </w:rPr>
                </w:pPr>
                <w:r w:rsidRPr="00B207E0">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rsidR="003501A1" w:rsidRPr="00B207E0" w:rsidRDefault="003501A1" w:rsidP="007B71A4">
            <w:pPr>
              <w:ind w:left="34"/>
              <w:rPr>
                <w:sz w:val="22"/>
                <w:szCs w:val="22"/>
              </w:rPr>
            </w:pPr>
            <w:r w:rsidRPr="00B207E0">
              <w:rPr>
                <w:sz w:val="22"/>
                <w:szCs w:val="22"/>
              </w:rPr>
              <w:t>Čiastočne</w:t>
            </w:r>
          </w:p>
        </w:tc>
      </w:tr>
      <w:tr w:rsidR="003501A1" w:rsidRPr="00B207E0" w:rsidTr="004F6F1F">
        <w:tc>
          <w:tcPr>
            <w:tcW w:w="3812" w:type="dxa"/>
            <w:tcBorders>
              <w:top w:val="single" w:sz="4" w:space="0" w:color="000000" w:themeColor="text1"/>
              <w:left w:val="single" w:sz="4" w:space="0" w:color="auto"/>
              <w:bottom w:val="nil"/>
              <w:right w:val="single" w:sz="4" w:space="0" w:color="auto"/>
            </w:tcBorders>
            <w:shd w:val="clear" w:color="auto" w:fill="E2E2E2"/>
          </w:tcPr>
          <w:p w:rsidR="003501A1" w:rsidRPr="00B207E0" w:rsidRDefault="003501A1" w:rsidP="004C794A">
            <w:pPr>
              <w:rPr>
                <w:b/>
                <w:sz w:val="22"/>
                <w:szCs w:val="22"/>
              </w:rPr>
            </w:pPr>
            <w:r w:rsidRPr="00B207E0">
              <w:rPr>
                <w:b/>
                <w:sz w:val="22"/>
                <w:szCs w:val="22"/>
              </w:rPr>
              <w:t>Vplyvy na podnikateľské prostredie</w:t>
            </w:r>
          </w:p>
        </w:tc>
        <w:sdt>
          <w:sdtPr>
            <w:rPr>
              <w:b/>
              <w:sz w:val="22"/>
              <w:szCs w:val="22"/>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B207E0" w:rsidRDefault="005B0D0A" w:rsidP="007B71A4">
                <w:pPr>
                  <w:jc w:val="center"/>
                  <w:rPr>
                    <w:b/>
                    <w:sz w:val="22"/>
                    <w:szCs w:val="22"/>
                  </w:rPr>
                </w:pPr>
                <w:r>
                  <w:rPr>
                    <w:rFonts w:ascii="MS Gothic" w:eastAsia="MS Gothic" w:hAnsi="MS Gothic" w:hint="eastAsia"/>
                    <w:b/>
                    <w:sz w:val="22"/>
                    <w:szCs w:val="22"/>
                  </w:rPr>
                  <w:t>☐</w:t>
                </w:r>
              </w:p>
            </w:tc>
          </w:sdtContent>
        </w:sdt>
        <w:tc>
          <w:tcPr>
            <w:tcW w:w="1281" w:type="dxa"/>
            <w:gridSpan w:val="2"/>
            <w:tcBorders>
              <w:top w:val="single" w:sz="4" w:space="0" w:color="auto"/>
              <w:left w:val="nil"/>
              <w:bottom w:val="single" w:sz="4" w:space="0" w:color="auto"/>
              <w:right w:val="nil"/>
            </w:tcBorders>
          </w:tcPr>
          <w:p w:rsidR="003501A1" w:rsidRPr="00B207E0" w:rsidRDefault="003501A1" w:rsidP="007B71A4">
            <w:pPr>
              <w:ind w:right="-108"/>
              <w:rPr>
                <w:b/>
                <w:sz w:val="22"/>
                <w:szCs w:val="22"/>
              </w:rPr>
            </w:pPr>
            <w:r w:rsidRPr="00B207E0">
              <w:rPr>
                <w:b/>
                <w:sz w:val="22"/>
                <w:szCs w:val="22"/>
              </w:rPr>
              <w:t>Pozitívne</w:t>
            </w:r>
          </w:p>
        </w:tc>
        <w:sdt>
          <w:sdtPr>
            <w:rPr>
              <w:b/>
              <w:sz w:val="22"/>
              <w:szCs w:val="22"/>
            </w:rPr>
            <w:id w:val="1564608664"/>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B207E0" w:rsidRDefault="005B0D0A" w:rsidP="007B71A4">
                <w:pPr>
                  <w:jc w:val="center"/>
                  <w:rPr>
                    <w:b/>
                    <w:sz w:val="22"/>
                    <w:szCs w:val="22"/>
                  </w:rPr>
                </w:pPr>
                <w:r>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rsidR="003501A1" w:rsidRPr="00B207E0" w:rsidRDefault="003501A1" w:rsidP="007B71A4">
            <w:pPr>
              <w:rPr>
                <w:b/>
                <w:sz w:val="22"/>
                <w:szCs w:val="22"/>
              </w:rPr>
            </w:pPr>
            <w:r w:rsidRPr="00B207E0">
              <w:rPr>
                <w:b/>
                <w:sz w:val="22"/>
                <w:szCs w:val="22"/>
              </w:rPr>
              <w:t>Žiadne</w:t>
            </w:r>
          </w:p>
        </w:tc>
        <w:sdt>
          <w:sdtPr>
            <w:rPr>
              <w:b/>
              <w:sz w:val="22"/>
              <w:szCs w:val="22"/>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B207E0" w:rsidRDefault="005B0D0A" w:rsidP="007B71A4">
                <w:pPr>
                  <w:jc w:val="center"/>
                  <w:rPr>
                    <w:b/>
                    <w:sz w:val="22"/>
                    <w:szCs w:val="22"/>
                  </w:rPr>
                </w:pPr>
                <w:r>
                  <w:rPr>
                    <w:rFonts w:ascii="MS Gothic" w:eastAsia="MS Gothic" w:hAnsi="MS Gothic"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rsidR="003501A1" w:rsidRPr="00B207E0" w:rsidRDefault="003501A1" w:rsidP="007B71A4">
            <w:pPr>
              <w:ind w:left="54"/>
              <w:rPr>
                <w:b/>
                <w:sz w:val="22"/>
                <w:szCs w:val="22"/>
              </w:rPr>
            </w:pPr>
            <w:r w:rsidRPr="00B207E0">
              <w:rPr>
                <w:b/>
                <w:sz w:val="22"/>
                <w:szCs w:val="22"/>
              </w:rPr>
              <w:t>Negatívne</w:t>
            </w:r>
          </w:p>
        </w:tc>
      </w:tr>
      <w:tr w:rsidR="003501A1" w:rsidRPr="00B207E0"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B207E0" w:rsidRDefault="003501A1" w:rsidP="007B71A4">
            <w:pPr>
              <w:rPr>
                <w:sz w:val="22"/>
                <w:szCs w:val="22"/>
              </w:rPr>
            </w:pPr>
            <w:r w:rsidRPr="00B207E0">
              <w:rPr>
                <w:sz w:val="22"/>
                <w:szCs w:val="22"/>
              </w:rPr>
              <w:t xml:space="preserve">    z toho vplyvy na MSP</w:t>
            </w:r>
          </w:p>
        </w:tc>
        <w:sdt>
          <w:sdtPr>
            <w:rPr>
              <w:sz w:val="22"/>
              <w:szCs w:val="22"/>
            </w:r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3501A1" w:rsidRPr="00B207E0" w:rsidRDefault="003501A1" w:rsidP="007B71A4">
                <w:pPr>
                  <w:jc w:val="center"/>
                  <w:rPr>
                    <w:sz w:val="22"/>
                    <w:szCs w:val="22"/>
                  </w:rPr>
                </w:pPr>
                <w:r w:rsidRPr="00B207E0">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rsidR="003501A1" w:rsidRPr="00B207E0" w:rsidRDefault="003501A1" w:rsidP="007B71A4">
            <w:pPr>
              <w:ind w:right="-108"/>
              <w:rPr>
                <w:sz w:val="22"/>
                <w:szCs w:val="22"/>
              </w:rPr>
            </w:pPr>
            <w:r w:rsidRPr="00B207E0">
              <w:rPr>
                <w:sz w:val="22"/>
                <w:szCs w:val="22"/>
              </w:rPr>
              <w:t>Pozitívne</w:t>
            </w:r>
          </w:p>
        </w:tc>
        <w:sdt>
          <w:sdtPr>
            <w:rPr>
              <w:sz w:val="22"/>
              <w:szCs w:val="22"/>
            </w:rPr>
            <w:id w:val="-16960637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B207E0" w:rsidRDefault="00EB62BF" w:rsidP="007B71A4">
                <w:pPr>
                  <w:jc w:val="center"/>
                  <w:rPr>
                    <w:sz w:val="22"/>
                    <w:szCs w:val="22"/>
                  </w:rPr>
                </w:pPr>
                <w:r w:rsidRPr="00B207E0">
                  <w:rPr>
                    <w:rFonts w:ascii="MS Gothic" w:eastAsia="MS Gothic" w:hAnsi="MS Gothic" w:hint="eastAsia"/>
                    <w:sz w:val="22"/>
                    <w:szCs w:val="22"/>
                  </w:rPr>
                  <w:t>☒</w:t>
                </w:r>
              </w:p>
            </w:tc>
          </w:sdtContent>
        </w:sdt>
        <w:tc>
          <w:tcPr>
            <w:tcW w:w="1133" w:type="dxa"/>
            <w:tcBorders>
              <w:top w:val="single" w:sz="4" w:space="0" w:color="auto"/>
              <w:left w:val="nil"/>
              <w:bottom w:val="single" w:sz="4" w:space="0" w:color="auto"/>
              <w:right w:val="nil"/>
            </w:tcBorders>
          </w:tcPr>
          <w:p w:rsidR="003501A1" w:rsidRPr="00B207E0" w:rsidRDefault="003501A1" w:rsidP="007B71A4">
            <w:pPr>
              <w:rPr>
                <w:sz w:val="22"/>
                <w:szCs w:val="22"/>
              </w:rPr>
            </w:pPr>
            <w:r w:rsidRPr="00B207E0">
              <w:rPr>
                <w:sz w:val="22"/>
                <w:szCs w:val="22"/>
              </w:rPr>
              <w:t>Žiadne</w:t>
            </w:r>
          </w:p>
        </w:tc>
        <w:sdt>
          <w:sdtPr>
            <w:rPr>
              <w:sz w:val="22"/>
              <w:szCs w:val="22"/>
            </w:r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B207E0" w:rsidRDefault="003501A1" w:rsidP="007B71A4">
                <w:pPr>
                  <w:jc w:val="center"/>
                  <w:rPr>
                    <w:sz w:val="22"/>
                    <w:szCs w:val="22"/>
                  </w:rPr>
                </w:pPr>
                <w:r w:rsidRPr="00B207E0">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rsidR="003501A1" w:rsidRPr="00B207E0" w:rsidRDefault="003501A1" w:rsidP="007B71A4">
            <w:pPr>
              <w:ind w:left="54"/>
              <w:rPr>
                <w:sz w:val="22"/>
                <w:szCs w:val="22"/>
              </w:rPr>
            </w:pPr>
            <w:r w:rsidRPr="00B207E0">
              <w:rPr>
                <w:sz w:val="22"/>
                <w:szCs w:val="22"/>
              </w:rPr>
              <w:t>Negatívne</w:t>
            </w:r>
          </w:p>
        </w:tc>
      </w:tr>
      <w:tr w:rsidR="003501A1" w:rsidRPr="00B207E0"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3501A1" w:rsidRPr="00B207E0" w:rsidRDefault="003501A1" w:rsidP="004C794A">
            <w:pPr>
              <w:rPr>
                <w:b/>
                <w:sz w:val="22"/>
                <w:szCs w:val="22"/>
              </w:rPr>
            </w:pPr>
            <w:r w:rsidRPr="00B207E0">
              <w:rPr>
                <w:b/>
                <w:sz w:val="22"/>
                <w:szCs w:val="22"/>
              </w:rPr>
              <w:t>Sociálne vplyvy</w:t>
            </w:r>
          </w:p>
        </w:tc>
        <w:sdt>
          <w:sdtPr>
            <w:rPr>
              <w:b/>
              <w:sz w:val="22"/>
              <w:szCs w:val="22"/>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B207E0" w:rsidRDefault="003501A1" w:rsidP="007B71A4">
                <w:pPr>
                  <w:jc w:val="center"/>
                  <w:rPr>
                    <w:b/>
                    <w:sz w:val="22"/>
                    <w:szCs w:val="22"/>
                  </w:rPr>
                </w:pPr>
                <w:r w:rsidRPr="00B207E0">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rsidR="003501A1" w:rsidRPr="00B207E0" w:rsidRDefault="003501A1" w:rsidP="007B71A4">
            <w:pPr>
              <w:ind w:right="-108"/>
              <w:rPr>
                <w:b/>
                <w:sz w:val="22"/>
                <w:szCs w:val="22"/>
              </w:rPr>
            </w:pPr>
            <w:r w:rsidRPr="00B207E0">
              <w:rPr>
                <w:b/>
                <w:sz w:val="22"/>
                <w:szCs w:val="22"/>
              </w:rPr>
              <w:t>Pozitívne</w:t>
            </w:r>
          </w:p>
        </w:tc>
        <w:sdt>
          <w:sdtPr>
            <w:rPr>
              <w:b/>
              <w:sz w:val="22"/>
              <w:szCs w:val="22"/>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B207E0" w:rsidRDefault="00EB62BF" w:rsidP="007B71A4">
                <w:pPr>
                  <w:jc w:val="center"/>
                  <w:rPr>
                    <w:b/>
                    <w:sz w:val="22"/>
                    <w:szCs w:val="22"/>
                  </w:rPr>
                </w:pPr>
                <w:r w:rsidRPr="00B207E0">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rsidR="003501A1" w:rsidRPr="00B207E0" w:rsidRDefault="003501A1" w:rsidP="007B71A4">
            <w:pPr>
              <w:rPr>
                <w:b/>
                <w:sz w:val="22"/>
                <w:szCs w:val="22"/>
              </w:rPr>
            </w:pPr>
            <w:r w:rsidRPr="00B207E0">
              <w:rPr>
                <w:b/>
                <w:sz w:val="22"/>
                <w:szCs w:val="22"/>
              </w:rPr>
              <w:t>Žiadne</w:t>
            </w:r>
          </w:p>
        </w:tc>
        <w:sdt>
          <w:sdtPr>
            <w:rPr>
              <w:b/>
              <w:sz w:val="22"/>
              <w:szCs w:val="22"/>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B207E0" w:rsidRDefault="003501A1" w:rsidP="007B71A4">
                <w:pPr>
                  <w:jc w:val="center"/>
                  <w:rPr>
                    <w:b/>
                    <w:sz w:val="22"/>
                    <w:szCs w:val="22"/>
                  </w:rPr>
                </w:pPr>
                <w:r w:rsidRPr="00B207E0">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rsidR="003501A1" w:rsidRPr="00B207E0" w:rsidRDefault="003501A1" w:rsidP="007B71A4">
            <w:pPr>
              <w:ind w:left="54"/>
              <w:rPr>
                <w:b/>
                <w:sz w:val="22"/>
                <w:szCs w:val="22"/>
              </w:rPr>
            </w:pPr>
            <w:r w:rsidRPr="00B207E0">
              <w:rPr>
                <w:b/>
                <w:sz w:val="22"/>
                <w:szCs w:val="22"/>
              </w:rPr>
              <w:t>Negatívne</w:t>
            </w:r>
          </w:p>
        </w:tc>
      </w:tr>
      <w:tr w:rsidR="003501A1" w:rsidRPr="00B207E0"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B207E0" w:rsidRDefault="003501A1" w:rsidP="004C794A">
            <w:pPr>
              <w:rPr>
                <w:b/>
                <w:sz w:val="22"/>
                <w:szCs w:val="22"/>
              </w:rPr>
            </w:pPr>
            <w:r w:rsidRPr="00B207E0">
              <w:rPr>
                <w:b/>
                <w:sz w:val="22"/>
                <w:szCs w:val="22"/>
              </w:rPr>
              <w:t>Vplyvy na životné prostredie</w:t>
            </w:r>
          </w:p>
        </w:tc>
        <w:sdt>
          <w:sdtPr>
            <w:rPr>
              <w:b/>
              <w:sz w:val="22"/>
              <w:szCs w:val="22"/>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B207E0" w:rsidRDefault="003501A1" w:rsidP="007B71A4">
                <w:pPr>
                  <w:jc w:val="center"/>
                  <w:rPr>
                    <w:b/>
                    <w:sz w:val="22"/>
                    <w:szCs w:val="22"/>
                  </w:rPr>
                </w:pPr>
                <w:r w:rsidRPr="00B207E0">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rsidR="003501A1" w:rsidRPr="00B207E0" w:rsidRDefault="003501A1" w:rsidP="007B71A4">
            <w:pPr>
              <w:ind w:right="-108"/>
              <w:rPr>
                <w:b/>
                <w:sz w:val="22"/>
                <w:szCs w:val="22"/>
              </w:rPr>
            </w:pPr>
            <w:r w:rsidRPr="00B207E0">
              <w:rPr>
                <w:b/>
                <w:sz w:val="22"/>
                <w:szCs w:val="22"/>
              </w:rPr>
              <w:t>Pozitívne</w:t>
            </w:r>
          </w:p>
        </w:tc>
        <w:sdt>
          <w:sdtPr>
            <w:rPr>
              <w:b/>
              <w:sz w:val="22"/>
              <w:szCs w:val="22"/>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B207E0" w:rsidRDefault="00EB62BF" w:rsidP="007B71A4">
                <w:pPr>
                  <w:jc w:val="center"/>
                  <w:rPr>
                    <w:b/>
                    <w:sz w:val="22"/>
                    <w:szCs w:val="22"/>
                  </w:rPr>
                </w:pPr>
                <w:r w:rsidRPr="00B207E0">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rsidR="003501A1" w:rsidRPr="00B207E0" w:rsidRDefault="003501A1" w:rsidP="007B71A4">
            <w:pPr>
              <w:rPr>
                <w:b/>
                <w:sz w:val="22"/>
                <w:szCs w:val="22"/>
              </w:rPr>
            </w:pPr>
            <w:r w:rsidRPr="00B207E0">
              <w:rPr>
                <w:b/>
                <w:sz w:val="22"/>
                <w:szCs w:val="22"/>
              </w:rPr>
              <w:t>Žiadne</w:t>
            </w:r>
          </w:p>
        </w:tc>
        <w:sdt>
          <w:sdtPr>
            <w:rPr>
              <w:b/>
              <w:sz w:val="22"/>
              <w:szCs w:val="22"/>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B207E0" w:rsidRDefault="003501A1" w:rsidP="007B71A4">
                <w:pPr>
                  <w:jc w:val="center"/>
                  <w:rPr>
                    <w:b/>
                    <w:sz w:val="22"/>
                    <w:szCs w:val="22"/>
                  </w:rPr>
                </w:pPr>
                <w:r w:rsidRPr="00B207E0">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rsidR="003501A1" w:rsidRPr="00B207E0" w:rsidRDefault="003501A1" w:rsidP="007B71A4">
            <w:pPr>
              <w:ind w:left="54"/>
              <w:rPr>
                <w:b/>
                <w:sz w:val="22"/>
                <w:szCs w:val="22"/>
              </w:rPr>
            </w:pPr>
            <w:r w:rsidRPr="00B207E0">
              <w:rPr>
                <w:b/>
                <w:sz w:val="22"/>
                <w:szCs w:val="22"/>
              </w:rPr>
              <w:t>Negatívne</w:t>
            </w:r>
          </w:p>
        </w:tc>
      </w:tr>
      <w:tr w:rsidR="003501A1" w:rsidRPr="00B207E0" w:rsidTr="0045465B">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B207E0" w:rsidRDefault="003501A1" w:rsidP="004C794A">
            <w:pPr>
              <w:rPr>
                <w:b/>
                <w:sz w:val="22"/>
                <w:szCs w:val="22"/>
              </w:rPr>
            </w:pPr>
            <w:r w:rsidRPr="00B207E0">
              <w:rPr>
                <w:b/>
                <w:sz w:val="22"/>
                <w:szCs w:val="22"/>
              </w:rPr>
              <w:t>Vplyvy na informatizáciu</w:t>
            </w:r>
          </w:p>
        </w:tc>
        <w:sdt>
          <w:sdtPr>
            <w:rPr>
              <w:b/>
              <w:sz w:val="22"/>
              <w:szCs w:val="22"/>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B207E0" w:rsidRDefault="003501A1" w:rsidP="007B71A4">
                <w:pPr>
                  <w:jc w:val="center"/>
                  <w:rPr>
                    <w:b/>
                    <w:sz w:val="22"/>
                    <w:szCs w:val="22"/>
                  </w:rPr>
                </w:pPr>
                <w:r w:rsidRPr="00B207E0">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rsidR="003501A1" w:rsidRPr="00B207E0" w:rsidRDefault="003501A1" w:rsidP="007B71A4">
            <w:pPr>
              <w:ind w:right="-108"/>
              <w:rPr>
                <w:b/>
                <w:sz w:val="22"/>
                <w:szCs w:val="22"/>
              </w:rPr>
            </w:pPr>
            <w:r w:rsidRPr="00B207E0">
              <w:rPr>
                <w:b/>
                <w:sz w:val="22"/>
                <w:szCs w:val="22"/>
              </w:rPr>
              <w:t>Pozitívne</w:t>
            </w:r>
          </w:p>
        </w:tc>
        <w:sdt>
          <w:sdtPr>
            <w:rPr>
              <w:b/>
              <w:sz w:val="22"/>
              <w:szCs w:val="22"/>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B207E0" w:rsidRDefault="00EB62BF" w:rsidP="007B71A4">
                <w:pPr>
                  <w:jc w:val="center"/>
                  <w:rPr>
                    <w:b/>
                    <w:sz w:val="22"/>
                    <w:szCs w:val="22"/>
                  </w:rPr>
                </w:pPr>
                <w:r w:rsidRPr="00B207E0">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rsidR="003501A1" w:rsidRPr="00B207E0" w:rsidRDefault="003501A1" w:rsidP="007B71A4">
            <w:pPr>
              <w:rPr>
                <w:b/>
                <w:sz w:val="22"/>
                <w:szCs w:val="22"/>
              </w:rPr>
            </w:pPr>
            <w:r w:rsidRPr="00B207E0">
              <w:rPr>
                <w:b/>
                <w:sz w:val="22"/>
                <w:szCs w:val="22"/>
              </w:rPr>
              <w:t>Žiadne</w:t>
            </w:r>
          </w:p>
        </w:tc>
        <w:sdt>
          <w:sdtPr>
            <w:rPr>
              <w:b/>
              <w:sz w:val="22"/>
              <w:szCs w:val="22"/>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B207E0" w:rsidRDefault="003501A1" w:rsidP="007B71A4">
                <w:pPr>
                  <w:jc w:val="center"/>
                  <w:rPr>
                    <w:b/>
                    <w:sz w:val="22"/>
                    <w:szCs w:val="22"/>
                  </w:rPr>
                </w:pPr>
                <w:r w:rsidRPr="00B207E0">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rsidR="003501A1" w:rsidRPr="00B207E0" w:rsidRDefault="003501A1" w:rsidP="007B71A4">
            <w:pPr>
              <w:ind w:left="54"/>
              <w:rPr>
                <w:b/>
                <w:sz w:val="22"/>
                <w:szCs w:val="22"/>
              </w:rPr>
            </w:pPr>
            <w:r w:rsidRPr="00B207E0">
              <w:rPr>
                <w:b/>
                <w:sz w:val="22"/>
                <w:szCs w:val="22"/>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B207E0" w:rsidTr="00B83402">
        <w:tc>
          <w:tcPr>
            <w:tcW w:w="3812" w:type="dxa"/>
            <w:tcBorders>
              <w:top w:val="single" w:sz="4" w:space="0" w:color="auto"/>
              <w:left w:val="single" w:sz="4" w:space="0" w:color="auto"/>
              <w:bottom w:val="nil"/>
              <w:right w:val="single" w:sz="4" w:space="0" w:color="auto"/>
            </w:tcBorders>
            <w:shd w:val="clear" w:color="auto" w:fill="E2E2E2"/>
          </w:tcPr>
          <w:p w:rsidR="0045465B" w:rsidRPr="00B207E0" w:rsidRDefault="0045465B" w:rsidP="00B83402">
            <w:pPr>
              <w:rPr>
                <w:b/>
                <w:sz w:val="22"/>
                <w:szCs w:val="22"/>
              </w:rPr>
            </w:pPr>
            <w:r w:rsidRPr="00B207E0">
              <w:rPr>
                <w:rFonts w:eastAsia="Calibri"/>
                <w:b/>
                <w:sz w:val="22"/>
                <w:szCs w:val="22"/>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45465B" w:rsidRPr="00B207E0" w:rsidRDefault="0045465B" w:rsidP="00B83402">
            <w:pPr>
              <w:jc w:val="center"/>
              <w:rPr>
                <w:rFonts w:eastAsia="MS Mincho"/>
                <w:b/>
                <w:sz w:val="22"/>
                <w:szCs w:val="22"/>
              </w:rPr>
            </w:pPr>
          </w:p>
        </w:tc>
        <w:tc>
          <w:tcPr>
            <w:tcW w:w="1281" w:type="dxa"/>
            <w:tcBorders>
              <w:top w:val="single" w:sz="4" w:space="0" w:color="auto"/>
              <w:left w:val="nil"/>
              <w:bottom w:val="nil"/>
              <w:right w:val="nil"/>
            </w:tcBorders>
            <w:shd w:val="clear" w:color="auto" w:fill="auto"/>
          </w:tcPr>
          <w:p w:rsidR="0045465B" w:rsidRPr="00B207E0" w:rsidRDefault="0045465B" w:rsidP="00B83402">
            <w:pPr>
              <w:ind w:right="-108"/>
              <w:rPr>
                <w:b/>
                <w:sz w:val="22"/>
                <w:szCs w:val="22"/>
              </w:rPr>
            </w:pPr>
          </w:p>
        </w:tc>
        <w:tc>
          <w:tcPr>
            <w:tcW w:w="569" w:type="dxa"/>
            <w:tcBorders>
              <w:top w:val="single" w:sz="4" w:space="0" w:color="auto"/>
              <w:left w:val="nil"/>
              <w:bottom w:val="nil"/>
              <w:right w:val="nil"/>
            </w:tcBorders>
            <w:shd w:val="clear" w:color="auto" w:fill="auto"/>
          </w:tcPr>
          <w:p w:rsidR="0045465B" w:rsidRPr="00B207E0" w:rsidRDefault="0045465B" w:rsidP="00B83402">
            <w:pPr>
              <w:jc w:val="center"/>
              <w:rPr>
                <w:rFonts w:eastAsia="MS Mincho"/>
                <w:b/>
                <w:sz w:val="22"/>
                <w:szCs w:val="22"/>
              </w:rPr>
            </w:pPr>
          </w:p>
        </w:tc>
        <w:tc>
          <w:tcPr>
            <w:tcW w:w="1133" w:type="dxa"/>
            <w:tcBorders>
              <w:top w:val="single" w:sz="4" w:space="0" w:color="auto"/>
              <w:left w:val="nil"/>
              <w:bottom w:val="nil"/>
              <w:right w:val="nil"/>
            </w:tcBorders>
            <w:shd w:val="clear" w:color="auto" w:fill="auto"/>
          </w:tcPr>
          <w:p w:rsidR="0045465B" w:rsidRPr="00B207E0" w:rsidRDefault="0045465B" w:rsidP="00B83402">
            <w:pPr>
              <w:rPr>
                <w:b/>
                <w:sz w:val="22"/>
                <w:szCs w:val="22"/>
              </w:rPr>
            </w:pPr>
          </w:p>
        </w:tc>
        <w:tc>
          <w:tcPr>
            <w:tcW w:w="547" w:type="dxa"/>
            <w:tcBorders>
              <w:top w:val="single" w:sz="4" w:space="0" w:color="auto"/>
              <w:left w:val="nil"/>
              <w:bottom w:val="nil"/>
              <w:right w:val="nil"/>
            </w:tcBorders>
            <w:shd w:val="clear" w:color="auto" w:fill="auto"/>
          </w:tcPr>
          <w:p w:rsidR="0045465B" w:rsidRPr="00B207E0" w:rsidRDefault="0045465B" w:rsidP="00B83402">
            <w:pPr>
              <w:jc w:val="center"/>
              <w:rPr>
                <w:rFonts w:eastAsia="MS Mincho"/>
                <w:b/>
                <w:sz w:val="22"/>
                <w:szCs w:val="22"/>
              </w:rPr>
            </w:pPr>
          </w:p>
        </w:tc>
        <w:tc>
          <w:tcPr>
            <w:tcW w:w="1297" w:type="dxa"/>
            <w:tcBorders>
              <w:top w:val="single" w:sz="4" w:space="0" w:color="auto"/>
              <w:left w:val="nil"/>
              <w:bottom w:val="nil"/>
              <w:right w:val="single" w:sz="4" w:space="0" w:color="auto"/>
            </w:tcBorders>
            <w:shd w:val="clear" w:color="auto" w:fill="auto"/>
          </w:tcPr>
          <w:p w:rsidR="0045465B" w:rsidRPr="00B207E0" w:rsidRDefault="0045465B" w:rsidP="00B83402">
            <w:pPr>
              <w:ind w:left="54"/>
              <w:rPr>
                <w:b/>
                <w:sz w:val="22"/>
                <w:szCs w:val="22"/>
              </w:rPr>
            </w:pPr>
          </w:p>
        </w:tc>
      </w:tr>
      <w:tr w:rsidR="001A1559" w:rsidRPr="00B207E0" w:rsidTr="00B83402">
        <w:tc>
          <w:tcPr>
            <w:tcW w:w="3812" w:type="dxa"/>
            <w:tcBorders>
              <w:top w:val="nil"/>
              <w:left w:val="single" w:sz="4" w:space="0" w:color="auto"/>
              <w:bottom w:val="nil"/>
              <w:right w:val="single" w:sz="4" w:space="0" w:color="auto"/>
            </w:tcBorders>
            <w:shd w:val="clear" w:color="auto" w:fill="E2E2E2"/>
          </w:tcPr>
          <w:p w:rsidR="001A1559" w:rsidRPr="00B207E0" w:rsidRDefault="001A1559" w:rsidP="00B83402">
            <w:pPr>
              <w:ind w:left="196" w:hanging="196"/>
              <w:rPr>
                <w:rFonts w:eastAsia="Calibri"/>
                <w:b/>
                <w:sz w:val="22"/>
                <w:szCs w:val="22"/>
                <w:lang w:eastAsia="en-US"/>
              </w:rPr>
            </w:pPr>
            <w:r w:rsidRPr="00B207E0">
              <w:rPr>
                <w:rFonts w:eastAsia="Calibri"/>
                <w:b/>
                <w:sz w:val="22"/>
                <w:szCs w:val="22"/>
                <w:lang w:eastAsia="en-US"/>
              </w:rPr>
              <w:t xml:space="preserve">    vplyvy služieb verejnej správy na občana</w:t>
            </w:r>
          </w:p>
        </w:tc>
        <w:sdt>
          <w:sdtPr>
            <w:rPr>
              <w:b/>
              <w:sz w:val="22"/>
              <w:szCs w:val="22"/>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rsidR="001A1559" w:rsidRPr="00B207E0" w:rsidRDefault="001A1559" w:rsidP="00EB1608">
                <w:pPr>
                  <w:jc w:val="center"/>
                  <w:rPr>
                    <w:b/>
                    <w:sz w:val="22"/>
                    <w:szCs w:val="22"/>
                  </w:rPr>
                </w:pPr>
                <w:r w:rsidRPr="00B207E0">
                  <w:rPr>
                    <w:rFonts w:ascii="MS Gothic" w:eastAsia="MS Gothic" w:hAnsi="MS Gothic" w:hint="eastAsia"/>
                    <w:b/>
                    <w:sz w:val="22"/>
                    <w:szCs w:val="22"/>
                  </w:rPr>
                  <w:t>☐</w:t>
                </w:r>
              </w:p>
            </w:tc>
          </w:sdtContent>
        </w:sdt>
        <w:tc>
          <w:tcPr>
            <w:tcW w:w="1281" w:type="dxa"/>
            <w:tcBorders>
              <w:top w:val="nil"/>
              <w:left w:val="nil"/>
              <w:bottom w:val="nil"/>
              <w:right w:val="nil"/>
            </w:tcBorders>
            <w:shd w:val="clear" w:color="auto" w:fill="auto"/>
          </w:tcPr>
          <w:p w:rsidR="001A1559" w:rsidRPr="00B207E0" w:rsidRDefault="001A1559" w:rsidP="00EB1608">
            <w:pPr>
              <w:ind w:right="-108"/>
              <w:rPr>
                <w:b/>
                <w:sz w:val="22"/>
                <w:szCs w:val="22"/>
              </w:rPr>
            </w:pPr>
            <w:r w:rsidRPr="00B207E0">
              <w:rPr>
                <w:b/>
                <w:sz w:val="22"/>
                <w:szCs w:val="22"/>
              </w:rPr>
              <w:t>Pozitívne</w:t>
            </w:r>
          </w:p>
        </w:tc>
        <w:sdt>
          <w:sdtPr>
            <w:rPr>
              <w:b/>
              <w:sz w:val="22"/>
              <w:szCs w:val="22"/>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rsidR="001A1559" w:rsidRPr="00B207E0" w:rsidRDefault="00EB62BF" w:rsidP="00EB1608">
                <w:pPr>
                  <w:jc w:val="center"/>
                  <w:rPr>
                    <w:b/>
                    <w:sz w:val="22"/>
                    <w:szCs w:val="22"/>
                  </w:rPr>
                </w:pPr>
                <w:r w:rsidRPr="00B207E0">
                  <w:rPr>
                    <w:rFonts w:ascii="MS Gothic" w:eastAsia="MS Gothic" w:hAnsi="MS Gothic" w:hint="eastAsia"/>
                    <w:b/>
                    <w:sz w:val="22"/>
                    <w:szCs w:val="22"/>
                  </w:rPr>
                  <w:t>☒</w:t>
                </w:r>
              </w:p>
            </w:tc>
          </w:sdtContent>
        </w:sdt>
        <w:tc>
          <w:tcPr>
            <w:tcW w:w="1133" w:type="dxa"/>
            <w:tcBorders>
              <w:top w:val="nil"/>
              <w:left w:val="nil"/>
              <w:bottom w:val="nil"/>
              <w:right w:val="nil"/>
            </w:tcBorders>
            <w:shd w:val="clear" w:color="auto" w:fill="auto"/>
          </w:tcPr>
          <w:p w:rsidR="001A1559" w:rsidRPr="00B207E0" w:rsidRDefault="001A1559" w:rsidP="00EB1608">
            <w:pPr>
              <w:rPr>
                <w:b/>
                <w:sz w:val="22"/>
                <w:szCs w:val="22"/>
              </w:rPr>
            </w:pPr>
            <w:r w:rsidRPr="00B207E0">
              <w:rPr>
                <w:b/>
                <w:sz w:val="22"/>
                <w:szCs w:val="22"/>
              </w:rPr>
              <w:t>Žiadne</w:t>
            </w:r>
          </w:p>
        </w:tc>
        <w:sdt>
          <w:sdtPr>
            <w:rPr>
              <w:b/>
              <w:sz w:val="22"/>
              <w:szCs w:val="22"/>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rsidR="001A1559" w:rsidRPr="00B207E0" w:rsidRDefault="001A1559" w:rsidP="00EB1608">
                <w:pPr>
                  <w:jc w:val="center"/>
                  <w:rPr>
                    <w:b/>
                    <w:sz w:val="22"/>
                    <w:szCs w:val="22"/>
                  </w:rPr>
                </w:pPr>
                <w:r w:rsidRPr="00B207E0">
                  <w:rPr>
                    <w:rFonts w:ascii="MS Mincho" w:eastAsia="MS Mincho" w:hAnsi="MS Mincho" w:cs="MS Mincho" w:hint="eastAsia"/>
                    <w:b/>
                    <w:sz w:val="22"/>
                    <w:szCs w:val="22"/>
                  </w:rPr>
                  <w:t>☐</w:t>
                </w:r>
              </w:p>
            </w:tc>
          </w:sdtContent>
        </w:sdt>
        <w:tc>
          <w:tcPr>
            <w:tcW w:w="1297" w:type="dxa"/>
            <w:tcBorders>
              <w:top w:val="nil"/>
              <w:left w:val="nil"/>
              <w:bottom w:val="nil"/>
              <w:right w:val="single" w:sz="4" w:space="0" w:color="auto"/>
            </w:tcBorders>
            <w:shd w:val="clear" w:color="auto" w:fill="auto"/>
          </w:tcPr>
          <w:p w:rsidR="001A1559" w:rsidRPr="00B207E0" w:rsidRDefault="001A1559" w:rsidP="00EB1608">
            <w:pPr>
              <w:ind w:left="54"/>
              <w:rPr>
                <w:b/>
                <w:sz w:val="22"/>
                <w:szCs w:val="22"/>
              </w:rPr>
            </w:pPr>
            <w:r w:rsidRPr="00B207E0">
              <w:rPr>
                <w:b/>
                <w:sz w:val="22"/>
                <w:szCs w:val="22"/>
              </w:rPr>
              <w:t>Negatívne</w:t>
            </w:r>
          </w:p>
        </w:tc>
      </w:tr>
      <w:tr w:rsidR="001A1559" w:rsidRPr="00B207E0" w:rsidTr="009B79FD">
        <w:tc>
          <w:tcPr>
            <w:tcW w:w="3812" w:type="dxa"/>
            <w:tcBorders>
              <w:top w:val="nil"/>
              <w:left w:val="single" w:sz="4" w:space="0" w:color="auto"/>
              <w:bottom w:val="nil"/>
              <w:right w:val="single" w:sz="4" w:space="0" w:color="auto"/>
            </w:tcBorders>
            <w:shd w:val="clear" w:color="auto" w:fill="E2E2E2"/>
          </w:tcPr>
          <w:p w:rsidR="001A1559" w:rsidRPr="00B207E0" w:rsidRDefault="001A1559" w:rsidP="00B83402">
            <w:pPr>
              <w:ind w:left="168" w:hanging="168"/>
              <w:rPr>
                <w:rFonts w:eastAsia="Calibri"/>
                <w:b/>
                <w:sz w:val="22"/>
                <w:szCs w:val="22"/>
                <w:lang w:eastAsia="en-US"/>
              </w:rPr>
            </w:pPr>
            <w:r w:rsidRPr="00B207E0">
              <w:rPr>
                <w:rFonts w:eastAsia="Calibri"/>
                <w:b/>
                <w:sz w:val="22"/>
                <w:szCs w:val="22"/>
                <w:lang w:eastAsia="en-US"/>
              </w:rPr>
              <w:t xml:space="preserve">    vplyvy na procesy služieb vo verejnej správe</w:t>
            </w:r>
          </w:p>
        </w:tc>
        <w:sdt>
          <w:sdtPr>
            <w:rPr>
              <w:b/>
              <w:sz w:val="22"/>
              <w:szCs w:val="22"/>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rsidR="001A1559" w:rsidRPr="00B207E0" w:rsidRDefault="001A1559" w:rsidP="00EB1608">
                <w:pPr>
                  <w:jc w:val="center"/>
                  <w:rPr>
                    <w:b/>
                    <w:sz w:val="22"/>
                    <w:szCs w:val="22"/>
                  </w:rPr>
                </w:pPr>
                <w:r w:rsidRPr="00B207E0">
                  <w:rPr>
                    <w:rFonts w:ascii="MS Mincho" w:eastAsia="MS Mincho" w:hAnsi="MS Mincho" w:cs="MS Mincho" w:hint="eastAsia"/>
                    <w:b/>
                    <w:sz w:val="22"/>
                    <w:szCs w:val="22"/>
                  </w:rPr>
                  <w:t>☐</w:t>
                </w:r>
              </w:p>
            </w:tc>
          </w:sdtContent>
        </w:sdt>
        <w:tc>
          <w:tcPr>
            <w:tcW w:w="1281" w:type="dxa"/>
            <w:tcBorders>
              <w:top w:val="nil"/>
              <w:left w:val="nil"/>
              <w:bottom w:val="nil"/>
              <w:right w:val="nil"/>
            </w:tcBorders>
            <w:shd w:val="clear" w:color="auto" w:fill="auto"/>
          </w:tcPr>
          <w:p w:rsidR="001A1559" w:rsidRPr="00B207E0" w:rsidRDefault="001A1559" w:rsidP="00EB1608">
            <w:pPr>
              <w:ind w:right="-108"/>
              <w:rPr>
                <w:b/>
                <w:sz w:val="22"/>
                <w:szCs w:val="22"/>
              </w:rPr>
            </w:pPr>
            <w:r w:rsidRPr="00B207E0">
              <w:rPr>
                <w:b/>
                <w:sz w:val="22"/>
                <w:szCs w:val="22"/>
              </w:rPr>
              <w:t>Pozitívne</w:t>
            </w:r>
          </w:p>
        </w:tc>
        <w:sdt>
          <w:sdtPr>
            <w:rPr>
              <w:b/>
              <w:sz w:val="22"/>
              <w:szCs w:val="22"/>
            </w:rPr>
            <w:id w:val="-1325040833"/>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rsidR="001A1559" w:rsidRPr="00B207E0" w:rsidRDefault="00EB62BF" w:rsidP="00EB1608">
                <w:pPr>
                  <w:jc w:val="center"/>
                  <w:rPr>
                    <w:b/>
                    <w:sz w:val="22"/>
                    <w:szCs w:val="22"/>
                  </w:rPr>
                </w:pPr>
                <w:r w:rsidRPr="00B207E0">
                  <w:rPr>
                    <w:rFonts w:ascii="MS Gothic" w:eastAsia="MS Gothic" w:hAnsi="MS Gothic" w:hint="eastAsia"/>
                    <w:b/>
                    <w:sz w:val="22"/>
                    <w:szCs w:val="22"/>
                  </w:rPr>
                  <w:t>☒</w:t>
                </w:r>
              </w:p>
            </w:tc>
          </w:sdtContent>
        </w:sdt>
        <w:tc>
          <w:tcPr>
            <w:tcW w:w="1133" w:type="dxa"/>
            <w:tcBorders>
              <w:top w:val="nil"/>
              <w:left w:val="nil"/>
              <w:bottom w:val="nil"/>
              <w:right w:val="nil"/>
            </w:tcBorders>
            <w:shd w:val="clear" w:color="auto" w:fill="auto"/>
          </w:tcPr>
          <w:p w:rsidR="001A1559" w:rsidRPr="00B207E0" w:rsidRDefault="001A1559" w:rsidP="00EB1608">
            <w:pPr>
              <w:rPr>
                <w:b/>
                <w:sz w:val="22"/>
                <w:szCs w:val="22"/>
              </w:rPr>
            </w:pPr>
            <w:r w:rsidRPr="00B207E0">
              <w:rPr>
                <w:b/>
                <w:sz w:val="22"/>
                <w:szCs w:val="22"/>
              </w:rPr>
              <w:t>Žiadne</w:t>
            </w:r>
          </w:p>
        </w:tc>
        <w:sdt>
          <w:sdtPr>
            <w:rPr>
              <w:b/>
              <w:sz w:val="22"/>
              <w:szCs w:val="22"/>
            </w:rPr>
            <w:id w:val="2018029189"/>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rsidR="001A1559" w:rsidRPr="00B207E0" w:rsidRDefault="001A1559" w:rsidP="00EB1608">
                <w:pPr>
                  <w:jc w:val="center"/>
                  <w:rPr>
                    <w:b/>
                    <w:sz w:val="22"/>
                    <w:szCs w:val="22"/>
                  </w:rPr>
                </w:pPr>
                <w:r w:rsidRPr="00B207E0">
                  <w:rPr>
                    <w:rFonts w:ascii="MS Mincho" w:eastAsia="MS Mincho" w:hAnsi="MS Mincho" w:cs="MS Mincho" w:hint="eastAsia"/>
                    <w:b/>
                    <w:sz w:val="22"/>
                    <w:szCs w:val="22"/>
                  </w:rPr>
                  <w:t>☐</w:t>
                </w:r>
              </w:p>
            </w:tc>
          </w:sdtContent>
        </w:sdt>
        <w:tc>
          <w:tcPr>
            <w:tcW w:w="1297" w:type="dxa"/>
            <w:tcBorders>
              <w:top w:val="nil"/>
              <w:left w:val="nil"/>
              <w:bottom w:val="nil"/>
              <w:right w:val="single" w:sz="4" w:space="0" w:color="auto"/>
            </w:tcBorders>
            <w:shd w:val="clear" w:color="auto" w:fill="auto"/>
          </w:tcPr>
          <w:p w:rsidR="001A1559" w:rsidRPr="00B207E0" w:rsidRDefault="001A1559" w:rsidP="00EB1608">
            <w:pPr>
              <w:ind w:left="54"/>
              <w:rPr>
                <w:b/>
                <w:sz w:val="22"/>
                <w:szCs w:val="22"/>
              </w:rPr>
            </w:pPr>
            <w:r w:rsidRPr="00B207E0">
              <w:rPr>
                <w:b/>
                <w:sz w:val="22"/>
                <w:szCs w:val="22"/>
              </w:rPr>
              <w:t>Negatívne</w:t>
            </w:r>
          </w:p>
        </w:tc>
      </w:tr>
    </w:tbl>
    <w:tbl>
      <w:tblPr>
        <w:tblStyle w:val="Mriekatabuky"/>
        <w:tblW w:w="9180" w:type="dxa"/>
        <w:tblLayout w:type="fixed"/>
        <w:tblLook w:val="04A0" w:firstRow="1" w:lastRow="0" w:firstColumn="1" w:lastColumn="0" w:noHBand="0" w:noVBand="1"/>
      </w:tblPr>
      <w:tblGrid>
        <w:gridCol w:w="3812"/>
        <w:gridCol w:w="541"/>
        <w:gridCol w:w="1281"/>
        <w:gridCol w:w="569"/>
        <w:gridCol w:w="1133"/>
        <w:gridCol w:w="547"/>
        <w:gridCol w:w="1297"/>
      </w:tblGrid>
      <w:tr w:rsidR="009B79FD" w:rsidRPr="00B207E0" w:rsidTr="0045109C">
        <w:tc>
          <w:tcPr>
            <w:tcW w:w="3812" w:type="dxa"/>
            <w:tcBorders>
              <w:top w:val="single" w:sz="4" w:space="0" w:color="auto"/>
              <w:left w:val="single" w:sz="4" w:space="0" w:color="auto"/>
              <w:bottom w:val="single" w:sz="4" w:space="0" w:color="auto"/>
              <w:right w:val="single" w:sz="4" w:space="0" w:color="auto"/>
            </w:tcBorders>
            <w:shd w:val="clear" w:color="auto" w:fill="E2E2E2"/>
          </w:tcPr>
          <w:p w:rsidR="009B79FD" w:rsidRPr="00B207E0" w:rsidRDefault="009B79FD" w:rsidP="009B79FD">
            <w:pPr>
              <w:rPr>
                <w:b/>
                <w:sz w:val="22"/>
                <w:szCs w:val="22"/>
              </w:rPr>
            </w:pPr>
            <w:r w:rsidRPr="00B207E0">
              <w:rPr>
                <w:b/>
                <w:sz w:val="22"/>
                <w:szCs w:val="22"/>
              </w:rPr>
              <w:t xml:space="preserve">Vplyvy na </w:t>
            </w:r>
            <w:r>
              <w:rPr>
                <w:b/>
                <w:sz w:val="22"/>
                <w:szCs w:val="22"/>
              </w:rPr>
              <w:t>manželstvo a rodičovstvo a rodinu</w:t>
            </w:r>
          </w:p>
        </w:tc>
        <w:sdt>
          <w:sdtPr>
            <w:rPr>
              <w:b/>
              <w:sz w:val="22"/>
              <w:szCs w:val="22"/>
            </w:rPr>
            <w:id w:val="-134785794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9B79FD" w:rsidRPr="00B207E0" w:rsidRDefault="009B79FD" w:rsidP="0045109C">
                <w:pPr>
                  <w:jc w:val="center"/>
                  <w:rPr>
                    <w:b/>
                    <w:sz w:val="22"/>
                    <w:szCs w:val="22"/>
                  </w:rPr>
                </w:pPr>
                <w:r w:rsidRPr="00B207E0">
                  <w:rPr>
                    <w:rFonts w:ascii="Segoe UI Symbol" w:eastAsia="MS Mincho" w:hAnsi="Segoe UI Symbol" w:cs="Segoe UI Symbol"/>
                    <w:b/>
                    <w:sz w:val="22"/>
                    <w:szCs w:val="22"/>
                  </w:rPr>
                  <w:t>☐</w:t>
                </w:r>
              </w:p>
            </w:tc>
          </w:sdtContent>
        </w:sdt>
        <w:tc>
          <w:tcPr>
            <w:tcW w:w="1281" w:type="dxa"/>
            <w:tcBorders>
              <w:top w:val="single" w:sz="4" w:space="0" w:color="auto"/>
              <w:left w:val="nil"/>
              <w:bottom w:val="single" w:sz="4" w:space="0" w:color="auto"/>
              <w:right w:val="nil"/>
            </w:tcBorders>
          </w:tcPr>
          <w:p w:rsidR="009B79FD" w:rsidRPr="00B207E0" w:rsidRDefault="009B79FD" w:rsidP="0045109C">
            <w:pPr>
              <w:ind w:right="-108"/>
              <w:rPr>
                <w:b/>
                <w:sz w:val="22"/>
                <w:szCs w:val="22"/>
              </w:rPr>
            </w:pPr>
            <w:r w:rsidRPr="00B207E0">
              <w:rPr>
                <w:b/>
                <w:sz w:val="22"/>
                <w:szCs w:val="22"/>
              </w:rPr>
              <w:t>Pozitívne</w:t>
            </w:r>
          </w:p>
        </w:tc>
        <w:sdt>
          <w:sdtPr>
            <w:rPr>
              <w:b/>
              <w:sz w:val="22"/>
              <w:szCs w:val="22"/>
            </w:rPr>
            <w:id w:val="1447504279"/>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B79FD" w:rsidRPr="00B207E0" w:rsidRDefault="009B79FD" w:rsidP="0045109C">
                <w:pPr>
                  <w:jc w:val="center"/>
                  <w:rPr>
                    <w:b/>
                    <w:sz w:val="22"/>
                    <w:szCs w:val="22"/>
                  </w:rPr>
                </w:pPr>
                <w:r w:rsidRPr="00B207E0">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rsidR="009B79FD" w:rsidRPr="00B207E0" w:rsidRDefault="009B79FD" w:rsidP="0045109C">
            <w:pPr>
              <w:rPr>
                <w:b/>
                <w:sz w:val="22"/>
                <w:szCs w:val="22"/>
              </w:rPr>
            </w:pPr>
            <w:r w:rsidRPr="00B207E0">
              <w:rPr>
                <w:b/>
                <w:sz w:val="22"/>
                <w:szCs w:val="22"/>
              </w:rPr>
              <w:t>Žiadne</w:t>
            </w:r>
          </w:p>
        </w:tc>
        <w:sdt>
          <w:sdtPr>
            <w:rPr>
              <w:b/>
              <w:sz w:val="22"/>
              <w:szCs w:val="22"/>
            </w:rPr>
            <w:id w:val="-618371541"/>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9B79FD" w:rsidRPr="00B207E0" w:rsidRDefault="009B79FD" w:rsidP="0045109C">
                <w:pPr>
                  <w:jc w:val="center"/>
                  <w:rPr>
                    <w:b/>
                    <w:sz w:val="22"/>
                    <w:szCs w:val="22"/>
                  </w:rPr>
                </w:pPr>
                <w:r w:rsidRPr="00B207E0">
                  <w:rPr>
                    <w:rFonts w:ascii="Segoe UI Symbol" w:eastAsia="MS Mincho" w:hAnsi="Segoe UI Symbol" w:cs="Segoe UI Symbol"/>
                    <w:b/>
                    <w:sz w:val="22"/>
                    <w:szCs w:val="22"/>
                  </w:rPr>
                  <w:t>☐</w:t>
                </w:r>
              </w:p>
            </w:tc>
          </w:sdtContent>
        </w:sdt>
        <w:tc>
          <w:tcPr>
            <w:tcW w:w="1297" w:type="dxa"/>
            <w:tcBorders>
              <w:top w:val="single" w:sz="4" w:space="0" w:color="auto"/>
              <w:left w:val="nil"/>
              <w:bottom w:val="single" w:sz="4" w:space="0" w:color="auto"/>
              <w:right w:val="single" w:sz="4" w:space="0" w:color="auto"/>
            </w:tcBorders>
          </w:tcPr>
          <w:p w:rsidR="009B79FD" w:rsidRPr="00B207E0" w:rsidRDefault="009B79FD" w:rsidP="0045109C">
            <w:pPr>
              <w:ind w:left="54"/>
              <w:rPr>
                <w:b/>
                <w:sz w:val="22"/>
                <w:szCs w:val="22"/>
              </w:rPr>
            </w:pPr>
            <w:r w:rsidRPr="00B207E0">
              <w:rPr>
                <w:b/>
                <w:sz w:val="22"/>
                <w:szCs w:val="22"/>
              </w:rPr>
              <w:t>Negatívne</w:t>
            </w:r>
          </w:p>
        </w:tc>
      </w:tr>
    </w:tbl>
    <w:p w:rsidR="003501A1" w:rsidRDefault="003501A1" w:rsidP="003501A1">
      <w:pPr>
        <w:ind w:right="141"/>
        <w:rPr>
          <w:b/>
          <w:sz w:val="22"/>
          <w:szCs w:val="22"/>
        </w:rPr>
      </w:pPr>
    </w:p>
    <w:p w:rsidR="00B207E0" w:rsidRDefault="00B207E0" w:rsidP="003501A1">
      <w:pPr>
        <w:ind w:right="141"/>
        <w:rPr>
          <w:b/>
          <w:sz w:val="22"/>
          <w:szCs w:val="22"/>
        </w:rPr>
      </w:pPr>
    </w:p>
    <w:p w:rsidR="00B207E0" w:rsidRDefault="00B207E0" w:rsidP="003501A1">
      <w:pPr>
        <w:ind w:right="141"/>
        <w:rPr>
          <w:b/>
          <w:sz w:val="22"/>
          <w:szCs w:val="22"/>
        </w:rPr>
      </w:pPr>
    </w:p>
    <w:p w:rsidR="00B207E0" w:rsidRDefault="00B207E0" w:rsidP="003501A1">
      <w:pPr>
        <w:ind w:right="141"/>
        <w:rPr>
          <w:b/>
          <w:sz w:val="22"/>
          <w:szCs w:val="22"/>
        </w:rPr>
      </w:pPr>
    </w:p>
    <w:tbl>
      <w:tblPr>
        <w:tblStyle w:val="Mriekatabuky"/>
        <w:tblW w:w="9176" w:type="dxa"/>
        <w:tblLayout w:type="fixed"/>
        <w:tblLook w:val="04A0" w:firstRow="1" w:lastRow="0" w:firstColumn="1" w:lastColumn="0" w:noHBand="0" w:noVBand="1"/>
      </w:tblPr>
      <w:tblGrid>
        <w:gridCol w:w="9176"/>
      </w:tblGrid>
      <w:tr w:rsidR="004F6F1F" w:rsidRPr="00B207E0" w:rsidTr="004F6F1F">
        <w:tc>
          <w:tcPr>
            <w:tcW w:w="9176" w:type="dxa"/>
            <w:tcBorders>
              <w:top w:val="single" w:sz="4" w:space="0" w:color="auto"/>
              <w:left w:val="single" w:sz="4" w:space="0" w:color="auto"/>
              <w:bottom w:val="nil"/>
              <w:right w:val="single" w:sz="4" w:space="0" w:color="auto"/>
            </w:tcBorders>
            <w:shd w:val="clear" w:color="auto" w:fill="E2E2E2"/>
          </w:tcPr>
          <w:p w:rsidR="004F6F1F" w:rsidRPr="00B207E0" w:rsidRDefault="004F6F1F"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Poznámky</w:t>
            </w:r>
          </w:p>
        </w:tc>
      </w:tr>
      <w:tr w:rsidR="004F6F1F" w:rsidRPr="00B207E0"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4F6F1F" w:rsidRPr="00461E66" w:rsidRDefault="004F6F1F" w:rsidP="004F6F1F">
            <w:pPr>
              <w:rPr>
                <w:i/>
                <w:sz w:val="22"/>
                <w:szCs w:val="22"/>
              </w:rPr>
            </w:pPr>
            <w:r w:rsidRPr="00461E66">
              <w:rPr>
                <w:i/>
                <w:sz w:val="22"/>
                <w:szCs w:val="22"/>
              </w:rPr>
              <w:t>V prípade potreby uveďte doplňujúce informácie k návrhu.</w:t>
            </w:r>
          </w:p>
          <w:p w:rsidR="004F6F1F" w:rsidRPr="00461E66" w:rsidRDefault="004F6F1F" w:rsidP="00165319">
            <w:pPr>
              <w:rPr>
                <w:sz w:val="22"/>
                <w:szCs w:val="22"/>
              </w:rPr>
            </w:pPr>
          </w:p>
          <w:p w:rsidR="00944B60" w:rsidRDefault="00805427" w:rsidP="005B0D0A">
            <w:pPr>
              <w:jc w:val="both"/>
              <w:rPr>
                <w:color w:val="000000"/>
                <w:sz w:val="22"/>
                <w:szCs w:val="22"/>
              </w:rPr>
            </w:pPr>
            <w:r w:rsidRPr="00805427">
              <w:rPr>
                <w:color w:val="000000"/>
                <w:sz w:val="22"/>
                <w:szCs w:val="22"/>
              </w:rPr>
              <w:t>Táto dohoda je súčasťou balíka zmien týkajúcich sa prehlbovania Hospodárskej a menovej únie a podpis jej finálneho znenia sa očakáva v januári 2021 s následnou ratifikáciou do konca roka 2021.</w:t>
            </w:r>
          </w:p>
          <w:p w:rsidR="00944B60" w:rsidRDefault="00944B60" w:rsidP="005B0D0A">
            <w:pPr>
              <w:jc w:val="both"/>
              <w:rPr>
                <w:color w:val="000000"/>
                <w:sz w:val="22"/>
                <w:szCs w:val="22"/>
              </w:rPr>
            </w:pPr>
          </w:p>
          <w:p w:rsidR="008E345E" w:rsidRDefault="008E345E" w:rsidP="005B0D0A">
            <w:pPr>
              <w:spacing w:line="276" w:lineRule="auto"/>
              <w:jc w:val="both"/>
              <w:rPr>
                <w:color w:val="000000"/>
                <w:sz w:val="22"/>
                <w:szCs w:val="22"/>
              </w:rPr>
            </w:pPr>
            <w:r w:rsidRPr="00461E66">
              <w:rPr>
                <w:color w:val="000000"/>
                <w:sz w:val="22"/>
                <w:szCs w:val="22"/>
              </w:rPr>
              <w:t xml:space="preserve">Zmena technických podmienok mutualizácie mimoriadnych ex-post príspevkov do SRF bola odsúhlasená na inkluzívnom formáte Euroskupine 4. decembra 2019.  Dohoda, ktorou sa mení Dohoda o prevode a mutualizácii príspevkov do jednotného fondu na riešenie krízových situácií je prezidentskou zmluvou. Podpisom Dohody nevznikajú Slovenskej republike žiadne dodatočné záväzky. </w:t>
            </w:r>
          </w:p>
          <w:p w:rsidR="007F0057" w:rsidRDefault="007F0057" w:rsidP="005B0D0A">
            <w:pPr>
              <w:spacing w:line="276" w:lineRule="auto"/>
              <w:jc w:val="both"/>
              <w:rPr>
                <w:color w:val="000000"/>
                <w:sz w:val="22"/>
                <w:szCs w:val="22"/>
              </w:rPr>
            </w:pPr>
          </w:p>
          <w:p w:rsidR="00165319" w:rsidRPr="00461E66" w:rsidRDefault="007F0057" w:rsidP="00065789">
            <w:pPr>
              <w:pStyle w:val="Bezriadkovania"/>
              <w:spacing w:before="0" w:after="0" w:line="240" w:lineRule="auto"/>
              <w:rPr>
                <w:rFonts w:ascii="Times New Roman" w:hAnsi="Times New Roman"/>
                <w:b/>
              </w:rPr>
            </w:pPr>
            <w:r w:rsidRPr="007F0057">
              <w:rPr>
                <w:rFonts w:ascii="Times New Roman" w:eastAsia="Times New Roman" w:hAnsi="Times New Roman"/>
                <w:color w:val="000000"/>
                <w:lang w:val="sk-SK" w:eastAsia="sk-SK"/>
              </w:rPr>
              <w:t>Dohoda nemá prednosť pred zákonmi podľa článku 7 odsek</w:t>
            </w:r>
            <w:r>
              <w:rPr>
                <w:rFonts w:ascii="Times New Roman" w:eastAsia="Times New Roman" w:hAnsi="Times New Roman"/>
                <w:color w:val="000000"/>
                <w:lang w:val="sk-SK" w:eastAsia="sk-SK"/>
              </w:rPr>
              <w:t>u 5 Ústavy Slovenskej republiky a preto nepredkladáme doložku prednosti pred zákonmi Slovenskej republiky.</w:t>
            </w:r>
            <w:bookmarkStart w:id="0" w:name="_GoBack"/>
            <w:bookmarkEnd w:id="0"/>
          </w:p>
        </w:tc>
      </w:tr>
      <w:tr w:rsidR="003501A1" w:rsidRPr="00B207E0"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Kontakt na spracovateľa</w:t>
            </w:r>
          </w:p>
        </w:tc>
      </w:tr>
      <w:tr w:rsidR="003501A1" w:rsidRPr="00B207E0"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B207E0" w:rsidRDefault="00D13B6F">
            <w:pPr>
              <w:rPr>
                <w:i/>
                <w:sz w:val="22"/>
                <w:szCs w:val="22"/>
              </w:rPr>
            </w:pPr>
            <w:r w:rsidRPr="00B207E0">
              <w:rPr>
                <w:i/>
                <w:sz w:val="22"/>
                <w:szCs w:val="22"/>
              </w:rPr>
              <w:t>Uveďte údaje na kontaktnú osobu, ktorú je možné kontaktovať v súvislosti s posúdením vybraných vplyvov</w:t>
            </w:r>
          </w:p>
          <w:p w:rsidR="00EB62BF" w:rsidRPr="00B207E0" w:rsidRDefault="00EB62BF">
            <w:pPr>
              <w:rPr>
                <w:i/>
                <w:sz w:val="22"/>
                <w:szCs w:val="22"/>
              </w:rPr>
            </w:pPr>
          </w:p>
          <w:p w:rsidR="00AE44A7" w:rsidRPr="00B207E0" w:rsidRDefault="00AE44A7" w:rsidP="00AE44A7">
            <w:pPr>
              <w:rPr>
                <w:sz w:val="22"/>
                <w:szCs w:val="22"/>
              </w:rPr>
            </w:pPr>
            <w:r w:rsidRPr="00B207E0">
              <w:rPr>
                <w:sz w:val="22"/>
                <w:szCs w:val="22"/>
              </w:rPr>
              <w:t xml:space="preserve">Ing. </w:t>
            </w:r>
            <w:r w:rsidR="00934050">
              <w:rPr>
                <w:sz w:val="22"/>
                <w:szCs w:val="22"/>
              </w:rPr>
              <w:t>Roman Chandoga, PhD.</w:t>
            </w:r>
          </w:p>
          <w:p w:rsidR="00AE44A7" w:rsidRPr="00B207E0" w:rsidRDefault="00AE44A7" w:rsidP="00AE44A7">
            <w:pPr>
              <w:rPr>
                <w:sz w:val="22"/>
                <w:szCs w:val="22"/>
              </w:rPr>
            </w:pPr>
            <w:r w:rsidRPr="00B207E0">
              <w:rPr>
                <w:sz w:val="22"/>
                <w:szCs w:val="22"/>
              </w:rPr>
              <w:t>02/5958 25</w:t>
            </w:r>
            <w:r w:rsidR="00934050">
              <w:rPr>
                <w:sz w:val="22"/>
                <w:szCs w:val="22"/>
              </w:rPr>
              <w:t>17</w:t>
            </w:r>
            <w:r w:rsidRPr="00B207E0">
              <w:rPr>
                <w:sz w:val="22"/>
                <w:szCs w:val="22"/>
              </w:rPr>
              <w:t xml:space="preserve">, </w:t>
            </w:r>
            <w:hyperlink r:id="rId8" w:history="1">
              <w:r w:rsidR="00934050" w:rsidRPr="008A6A46">
                <w:rPr>
                  <w:rStyle w:val="Hypertextovprepojenie"/>
                  <w:sz w:val="22"/>
                  <w:szCs w:val="22"/>
                </w:rPr>
                <w:t>roman.chandoga@mfsr.sk</w:t>
              </w:r>
            </w:hyperlink>
          </w:p>
          <w:p w:rsidR="00AE44A7" w:rsidRPr="00B207E0" w:rsidRDefault="00AE44A7" w:rsidP="00AE44A7">
            <w:pPr>
              <w:rPr>
                <w:sz w:val="22"/>
                <w:szCs w:val="22"/>
              </w:rPr>
            </w:pPr>
            <w:r w:rsidRPr="00B207E0">
              <w:rPr>
                <w:sz w:val="22"/>
                <w:szCs w:val="22"/>
              </w:rPr>
              <w:t>Ministerstvo financií Slovenskej republiky</w:t>
            </w:r>
          </w:p>
          <w:p w:rsidR="00EB62BF" w:rsidRPr="00B207E0" w:rsidRDefault="00EB62BF">
            <w:pPr>
              <w:rPr>
                <w:i/>
                <w:sz w:val="22"/>
                <w:szCs w:val="22"/>
              </w:rPr>
            </w:pPr>
          </w:p>
        </w:tc>
      </w:tr>
      <w:tr w:rsidR="003501A1" w:rsidRPr="00B207E0"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t>Zdroje</w:t>
            </w:r>
          </w:p>
        </w:tc>
      </w:tr>
      <w:tr w:rsidR="003501A1" w:rsidRPr="00B207E0" w:rsidTr="007B71A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Default="003501A1" w:rsidP="007B71A4">
            <w:pPr>
              <w:rPr>
                <w:i/>
                <w:sz w:val="22"/>
                <w:szCs w:val="22"/>
              </w:rPr>
            </w:pPr>
            <w:r w:rsidRPr="00B207E0">
              <w:rPr>
                <w:i/>
                <w:sz w:val="22"/>
                <w:szCs w:val="22"/>
              </w:rPr>
              <w:t>Uveďte zdroje</w:t>
            </w:r>
            <w:r w:rsidR="00EB59E3" w:rsidRPr="00B207E0">
              <w:rPr>
                <w:i/>
                <w:sz w:val="22"/>
                <w:szCs w:val="22"/>
              </w:rPr>
              <w:t xml:space="preserve"> </w:t>
            </w:r>
            <w:r w:rsidR="00D75D35" w:rsidRPr="00B207E0">
              <w:rPr>
                <w:i/>
                <w:sz w:val="22"/>
                <w:szCs w:val="22"/>
              </w:rPr>
              <w:t>(štatistiky, prieskumy, spoluprácu s odborníkmi a iné)</w:t>
            </w:r>
            <w:r w:rsidRPr="00B207E0">
              <w:rPr>
                <w:i/>
                <w:sz w:val="22"/>
                <w:szCs w:val="22"/>
              </w:rPr>
              <w:t>, z ktorých ste pri vypracovávaní doložky, príp. analýz vplyvov vychádzali.</w:t>
            </w:r>
          </w:p>
          <w:p w:rsidR="00C52AAB" w:rsidRDefault="00C52AAB" w:rsidP="00C52AAB">
            <w:pPr>
              <w:rPr>
                <w:sz w:val="22"/>
              </w:rPr>
            </w:pPr>
          </w:p>
          <w:p w:rsidR="00C52AAB" w:rsidRDefault="00C52AAB" w:rsidP="00C52AAB">
            <w:pPr>
              <w:rPr>
                <w:rStyle w:val="Hypertextovprepojenie"/>
                <w:sz w:val="22"/>
              </w:rPr>
            </w:pPr>
            <w:r>
              <w:rPr>
                <w:sz w:val="22"/>
              </w:rPr>
              <w:t xml:space="preserve">Vyhlásenie schválené na samite eurozóny v decembri 2018: </w:t>
            </w:r>
            <w:hyperlink r:id="rId9" w:history="1">
              <w:r>
                <w:rPr>
                  <w:rStyle w:val="Hypertextovprepojenie"/>
                  <w:sz w:val="22"/>
                </w:rPr>
                <w:t>https://www.consilium.europa.eu/media/37610/14-eurosummit-statement-sk.pdf</w:t>
              </w:r>
            </w:hyperlink>
          </w:p>
          <w:p w:rsidR="00C52AAB" w:rsidRDefault="00C52AAB" w:rsidP="00C52AAB"/>
          <w:p w:rsidR="00C52AAB" w:rsidRDefault="00C52AAB" w:rsidP="00C52AAB">
            <w:pPr>
              <w:rPr>
                <w:sz w:val="22"/>
              </w:rPr>
            </w:pPr>
            <w:r>
              <w:rPr>
                <w:sz w:val="22"/>
              </w:rPr>
              <w:t>Vyhlásenie lídrov EÚ na samite eurozóny v decembri 2019:</w:t>
            </w:r>
          </w:p>
          <w:p w:rsidR="00C52AAB" w:rsidRDefault="000D6154" w:rsidP="00C52AAB">
            <w:pPr>
              <w:rPr>
                <w:sz w:val="22"/>
              </w:rPr>
            </w:pPr>
            <w:hyperlink r:id="rId10" w:history="1">
              <w:r w:rsidR="00C52AAB">
                <w:rPr>
                  <w:rStyle w:val="Hypertextovprepojenie"/>
                  <w:sz w:val="22"/>
                </w:rPr>
                <w:t>https://www.consilium.europa.eu/media/41841/20191213-euro-summit-statement-sk.pdf</w:t>
              </w:r>
            </w:hyperlink>
          </w:p>
          <w:p w:rsidR="00C52AAB" w:rsidRDefault="00C52AAB" w:rsidP="00C52AAB">
            <w:pPr>
              <w:rPr>
                <w:sz w:val="22"/>
              </w:rPr>
            </w:pPr>
          </w:p>
          <w:p w:rsidR="00C52AAB" w:rsidRDefault="00C52AAB" w:rsidP="00C52AAB">
            <w:pPr>
              <w:rPr>
                <w:sz w:val="22"/>
              </w:rPr>
            </w:pPr>
            <w:r>
              <w:rPr>
                <w:sz w:val="22"/>
              </w:rPr>
              <w:lastRenderedPageBreak/>
              <w:t xml:space="preserve">Informácie ohľadom medzivládnej dohody IGA : </w:t>
            </w:r>
          </w:p>
          <w:p w:rsidR="00C52AAB" w:rsidRPr="00186B89" w:rsidRDefault="00C52AAB" w:rsidP="00C52AAB">
            <w:pPr>
              <w:rPr>
                <w:rStyle w:val="Hypertextovprepojenie"/>
                <w:sz w:val="22"/>
                <w:szCs w:val="22"/>
              </w:rPr>
            </w:pPr>
            <w:r w:rsidRPr="00186B89">
              <w:rPr>
                <w:rStyle w:val="Hypertextovprepojenie"/>
                <w:sz w:val="22"/>
                <w:szCs w:val="22"/>
              </w:rPr>
              <w:t>https://www.consilium.europa.eu/en/documents-publications/public-register/public-register-search/results/?AllLanguagesSearch=False&amp;OnlyPublicDocuments=False&amp;DocumentNumber=8457%2F14&amp;DocumentLanguage=en#</w:t>
            </w:r>
          </w:p>
          <w:p w:rsidR="00C52AAB" w:rsidRDefault="00C52AAB" w:rsidP="00C52AAB">
            <w:pPr>
              <w:rPr>
                <w:sz w:val="22"/>
              </w:rPr>
            </w:pPr>
          </w:p>
          <w:p w:rsidR="00C52AAB" w:rsidRDefault="00C52AAB" w:rsidP="00C52AAB">
            <w:pPr>
              <w:rPr>
                <w:sz w:val="22"/>
              </w:rPr>
            </w:pPr>
          </w:p>
          <w:p w:rsidR="00C52AAB" w:rsidRDefault="00C52AAB" w:rsidP="00C52AAB">
            <w:pPr>
              <w:rPr>
                <w:sz w:val="22"/>
              </w:rPr>
            </w:pPr>
            <w:r>
              <w:rPr>
                <w:sz w:val="22"/>
              </w:rPr>
              <w:t xml:space="preserve">Informácie ohľadom Jednotného mechanizmu riešenia krízových situácií: </w:t>
            </w:r>
            <w:hyperlink r:id="rId11" w:history="1">
              <w:r>
                <w:rPr>
                  <w:rStyle w:val="Hypertextovprepojenie"/>
                  <w:sz w:val="22"/>
                </w:rPr>
                <w:t>https://srb.europa.eu/</w:t>
              </w:r>
            </w:hyperlink>
          </w:p>
          <w:p w:rsidR="00C52AAB" w:rsidRDefault="00C52AAB" w:rsidP="007B71A4">
            <w:pPr>
              <w:rPr>
                <w:i/>
                <w:sz w:val="22"/>
                <w:szCs w:val="22"/>
              </w:rPr>
            </w:pPr>
          </w:p>
          <w:p w:rsidR="003501A1" w:rsidRPr="00B207E0" w:rsidRDefault="003501A1" w:rsidP="00C52AAB">
            <w:pPr>
              <w:rPr>
                <w:b/>
                <w:sz w:val="22"/>
                <w:szCs w:val="22"/>
              </w:rPr>
            </w:pPr>
          </w:p>
        </w:tc>
      </w:tr>
      <w:tr w:rsidR="003501A1" w:rsidRPr="00B207E0"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B207E0" w:rsidRDefault="003501A1" w:rsidP="003501A1">
            <w:pPr>
              <w:pStyle w:val="Odsekzoznamu"/>
              <w:numPr>
                <w:ilvl w:val="0"/>
                <w:numId w:val="1"/>
              </w:numPr>
              <w:spacing w:after="0" w:line="240" w:lineRule="auto"/>
              <w:ind w:left="426"/>
              <w:rPr>
                <w:rFonts w:ascii="Times New Roman" w:hAnsi="Times New Roman" w:cs="Times New Roman"/>
                <w:b/>
              </w:rPr>
            </w:pPr>
            <w:r w:rsidRPr="00B207E0">
              <w:rPr>
                <w:rFonts w:ascii="Times New Roman" w:hAnsi="Times New Roman" w:cs="Times New Roman"/>
                <w:b/>
              </w:rPr>
              <w:lastRenderedPageBreak/>
              <w:t>Stanovisko Komisie pre posudzovanie vybraných vplyvov z PPK</w:t>
            </w:r>
          </w:p>
        </w:tc>
      </w:tr>
      <w:tr w:rsidR="003501A1" w:rsidRPr="00B207E0" w:rsidTr="007B71A4">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5B0D0A" w:rsidRDefault="005B0D0A" w:rsidP="007B71A4">
            <w:pPr>
              <w:rPr>
                <w:b/>
                <w:sz w:val="22"/>
                <w:szCs w:val="22"/>
              </w:rPr>
            </w:pPr>
            <w:r w:rsidRPr="005B0D0A">
              <w:rPr>
                <w:sz w:val="22"/>
                <w:szCs w:val="22"/>
              </w:rPr>
              <w:t>Predkladateľ neidentifikoval žiaden z vybraných vplyvov, k uskutočneniu PPK preto nedochádza</w:t>
            </w:r>
          </w:p>
          <w:p w:rsidR="00065789" w:rsidRPr="005B0D0A" w:rsidRDefault="00065789" w:rsidP="007B71A4">
            <w:pPr>
              <w:rPr>
                <w:b/>
                <w:sz w:val="22"/>
                <w:szCs w:val="22"/>
              </w:rPr>
            </w:pPr>
          </w:p>
        </w:tc>
      </w:tr>
    </w:tbl>
    <w:p w:rsidR="00CB3623" w:rsidRPr="00B207E0" w:rsidRDefault="00CB3623">
      <w:pPr>
        <w:rPr>
          <w:sz w:val="22"/>
          <w:szCs w:val="22"/>
        </w:rPr>
      </w:pPr>
    </w:p>
    <w:sectPr w:rsidR="00CB3623" w:rsidRPr="00B207E0" w:rsidSect="004C60B8">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154" w:rsidRDefault="000D6154" w:rsidP="003501A1">
      <w:r>
        <w:separator/>
      </w:r>
    </w:p>
  </w:endnote>
  <w:endnote w:type="continuationSeparator" w:id="0">
    <w:p w:rsidR="000D6154" w:rsidRDefault="000D6154"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23708"/>
      <w:docPartObj>
        <w:docPartGallery w:val="Page Numbers (Bottom of Page)"/>
        <w:docPartUnique/>
      </w:docPartObj>
    </w:sdtPr>
    <w:sdtEndPr/>
    <w:sdtContent>
      <w:p w:rsidR="00A05921" w:rsidRDefault="00A05921">
        <w:pPr>
          <w:pStyle w:val="Pta"/>
          <w:jc w:val="right"/>
        </w:pPr>
        <w:r w:rsidRPr="00C8544E">
          <w:rPr>
            <w:sz w:val="22"/>
            <w:szCs w:val="22"/>
          </w:rPr>
          <w:fldChar w:fldCharType="begin"/>
        </w:r>
        <w:r w:rsidRPr="00C8544E">
          <w:rPr>
            <w:sz w:val="22"/>
            <w:szCs w:val="22"/>
          </w:rPr>
          <w:instrText>PAGE   \* MERGEFORMAT</w:instrText>
        </w:r>
        <w:r w:rsidRPr="00C8544E">
          <w:rPr>
            <w:sz w:val="22"/>
            <w:szCs w:val="22"/>
          </w:rPr>
          <w:fldChar w:fldCharType="separate"/>
        </w:r>
        <w:r w:rsidR="007F0057">
          <w:rPr>
            <w:noProof/>
            <w:sz w:val="22"/>
            <w:szCs w:val="22"/>
          </w:rPr>
          <w:t>3</w:t>
        </w:r>
        <w:r w:rsidRPr="00C8544E">
          <w:rPr>
            <w:sz w:val="22"/>
            <w:szCs w:val="22"/>
          </w:rPr>
          <w:fldChar w:fldCharType="end"/>
        </w:r>
      </w:p>
    </w:sdtContent>
  </w:sdt>
  <w:p w:rsidR="00A05921" w:rsidRDefault="00A059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154" w:rsidRDefault="000D6154" w:rsidP="003501A1">
      <w:r>
        <w:separator/>
      </w:r>
    </w:p>
  </w:footnote>
  <w:footnote w:type="continuationSeparator" w:id="0">
    <w:p w:rsidR="000D6154" w:rsidRDefault="000D6154" w:rsidP="0035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08D0"/>
    <w:multiLevelType w:val="hybridMultilevel"/>
    <w:tmpl w:val="2DEE6A72"/>
    <w:lvl w:ilvl="0" w:tplc="3FDE8B80">
      <w:start w:val="4"/>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459932EC"/>
    <w:multiLevelType w:val="hybridMultilevel"/>
    <w:tmpl w:val="81B452CC"/>
    <w:lvl w:ilvl="0" w:tplc="DBE8CE16">
      <w:start w:val="8"/>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E512E5"/>
    <w:multiLevelType w:val="hybridMultilevel"/>
    <w:tmpl w:val="04102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86"/>
    <w:rsid w:val="00036A60"/>
    <w:rsid w:val="00056393"/>
    <w:rsid w:val="00060320"/>
    <w:rsid w:val="00063660"/>
    <w:rsid w:val="00065789"/>
    <w:rsid w:val="00094F53"/>
    <w:rsid w:val="000A3A7B"/>
    <w:rsid w:val="000A40BA"/>
    <w:rsid w:val="000C1326"/>
    <w:rsid w:val="000D6154"/>
    <w:rsid w:val="000F6252"/>
    <w:rsid w:val="00165319"/>
    <w:rsid w:val="00175FD8"/>
    <w:rsid w:val="00186B89"/>
    <w:rsid w:val="001A1559"/>
    <w:rsid w:val="001B7137"/>
    <w:rsid w:val="001E3688"/>
    <w:rsid w:val="002B2668"/>
    <w:rsid w:val="00324B3E"/>
    <w:rsid w:val="00344EB6"/>
    <w:rsid w:val="003501A1"/>
    <w:rsid w:val="00354D26"/>
    <w:rsid w:val="00387FB6"/>
    <w:rsid w:val="0039174D"/>
    <w:rsid w:val="00395098"/>
    <w:rsid w:val="003A03A1"/>
    <w:rsid w:val="003B7E18"/>
    <w:rsid w:val="003D4B1C"/>
    <w:rsid w:val="00410D95"/>
    <w:rsid w:val="0045465B"/>
    <w:rsid w:val="00461E66"/>
    <w:rsid w:val="004A38B3"/>
    <w:rsid w:val="004A4E24"/>
    <w:rsid w:val="004C2458"/>
    <w:rsid w:val="004C5793"/>
    <w:rsid w:val="004C60B8"/>
    <w:rsid w:val="004C794A"/>
    <w:rsid w:val="004E5804"/>
    <w:rsid w:val="004F6F1F"/>
    <w:rsid w:val="004F7D6F"/>
    <w:rsid w:val="00554AC0"/>
    <w:rsid w:val="00570B48"/>
    <w:rsid w:val="005B0D0A"/>
    <w:rsid w:val="005B7A8D"/>
    <w:rsid w:val="005C0D45"/>
    <w:rsid w:val="005C18C8"/>
    <w:rsid w:val="00676EF0"/>
    <w:rsid w:val="006C3B7D"/>
    <w:rsid w:val="00713CA2"/>
    <w:rsid w:val="00721336"/>
    <w:rsid w:val="007D4059"/>
    <w:rsid w:val="007F0057"/>
    <w:rsid w:val="00805427"/>
    <w:rsid w:val="008446F7"/>
    <w:rsid w:val="008706AB"/>
    <w:rsid w:val="008A41BF"/>
    <w:rsid w:val="008D008E"/>
    <w:rsid w:val="008E345E"/>
    <w:rsid w:val="00934050"/>
    <w:rsid w:val="00944B60"/>
    <w:rsid w:val="009A6E3D"/>
    <w:rsid w:val="009B79FD"/>
    <w:rsid w:val="009D1CA8"/>
    <w:rsid w:val="00A05921"/>
    <w:rsid w:val="00A10329"/>
    <w:rsid w:val="00A33689"/>
    <w:rsid w:val="00A52482"/>
    <w:rsid w:val="00A82F63"/>
    <w:rsid w:val="00AC2477"/>
    <w:rsid w:val="00AE44A7"/>
    <w:rsid w:val="00B207E0"/>
    <w:rsid w:val="00B65A86"/>
    <w:rsid w:val="00BB1D0F"/>
    <w:rsid w:val="00C52AAB"/>
    <w:rsid w:val="00C63A86"/>
    <w:rsid w:val="00C8544E"/>
    <w:rsid w:val="00C900E4"/>
    <w:rsid w:val="00CB3623"/>
    <w:rsid w:val="00D13B6F"/>
    <w:rsid w:val="00D217E1"/>
    <w:rsid w:val="00D46171"/>
    <w:rsid w:val="00D73B4E"/>
    <w:rsid w:val="00D75D35"/>
    <w:rsid w:val="00D8098B"/>
    <w:rsid w:val="00D86674"/>
    <w:rsid w:val="00D9546C"/>
    <w:rsid w:val="00DE2A12"/>
    <w:rsid w:val="00DF6F26"/>
    <w:rsid w:val="00E029AE"/>
    <w:rsid w:val="00E47012"/>
    <w:rsid w:val="00E67737"/>
    <w:rsid w:val="00E86F17"/>
    <w:rsid w:val="00EA6146"/>
    <w:rsid w:val="00EB59E3"/>
    <w:rsid w:val="00EB5C66"/>
    <w:rsid w:val="00EB62BF"/>
    <w:rsid w:val="00F22831"/>
    <w:rsid w:val="00F62771"/>
    <w:rsid w:val="00FA554E"/>
    <w:rsid w:val="00FC0B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B3B1"/>
  <w15:docId w15:val="{EB249CD1-B86E-4677-A25A-24FB7DA6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
    <w:basedOn w:val="Normlny"/>
    <w:link w:val="OdsekzoznamuChar"/>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Siln">
    <w:name w:val="Strong"/>
    <w:basedOn w:val="Predvolenpsmoodseku"/>
    <w:uiPriority w:val="99"/>
    <w:qFormat/>
    <w:rsid w:val="00C63A86"/>
    <w:rPr>
      <w:rFonts w:cs="Times New Roman"/>
      <w:b/>
      <w:bCs/>
    </w:rPr>
  </w:style>
  <w:style w:type="character" w:styleId="Hypertextovprepojenie">
    <w:name w:val="Hyperlink"/>
    <w:basedOn w:val="Predvolenpsmoodseku"/>
    <w:uiPriority w:val="99"/>
    <w:unhideWhenUsed/>
    <w:rsid w:val="00AE44A7"/>
    <w:rPr>
      <w:rFonts w:cs="Times New Roman"/>
      <w:color w:val="0000FF" w:themeColor="hyperlink"/>
      <w:u w:val="single"/>
    </w:rPr>
  </w:style>
  <w:style w:type="character" w:customStyle="1" w:styleId="OdsekzoznamuChar">
    <w:name w:val="Odsek zoznamu Char"/>
    <w:aliases w:val="Odstavec cíl se seznamem Char,Odstavec se seznamem1 Char"/>
    <w:basedOn w:val="Predvolenpsmoodseku"/>
    <w:link w:val="Odsekzoznamu"/>
    <w:uiPriority w:val="34"/>
    <w:locked/>
    <w:rsid w:val="00721336"/>
  </w:style>
  <w:style w:type="paragraph" w:styleId="Bezriadkovania">
    <w:name w:val="No Spacing"/>
    <w:aliases w:val="Hlavní písmo"/>
    <w:basedOn w:val="Normlny"/>
    <w:link w:val="BezriadkovaniaChar"/>
    <w:uiPriority w:val="1"/>
    <w:qFormat/>
    <w:rsid w:val="00721336"/>
    <w:pPr>
      <w:suppressAutoHyphens/>
      <w:spacing w:before="80" w:after="200" w:line="276" w:lineRule="auto"/>
      <w:jc w:val="both"/>
    </w:pPr>
    <w:rPr>
      <w:rFonts w:ascii="Calibri" w:eastAsia="Droid Sans Fallback" w:hAnsi="Calibri"/>
      <w:sz w:val="22"/>
      <w:szCs w:val="22"/>
      <w:lang w:val="cs-CZ" w:eastAsia="en-US"/>
    </w:rPr>
  </w:style>
  <w:style w:type="character" w:customStyle="1" w:styleId="BezriadkovaniaChar">
    <w:name w:val="Bez riadkovania Char"/>
    <w:aliases w:val="Hlavní písmo Char"/>
    <w:link w:val="Bezriadkovania"/>
    <w:uiPriority w:val="1"/>
    <w:rsid w:val="00721336"/>
    <w:rPr>
      <w:rFonts w:ascii="Calibri" w:eastAsia="Droid Sans Fallback" w:hAnsi="Calibri" w:cs="Times New Roman"/>
      <w:lang w:val="cs-CZ"/>
    </w:rPr>
  </w:style>
  <w:style w:type="character" w:styleId="PouitHypertextovPrepojenie">
    <w:name w:val="FollowedHyperlink"/>
    <w:basedOn w:val="Predvolenpsmoodseku"/>
    <w:uiPriority w:val="99"/>
    <w:semiHidden/>
    <w:unhideWhenUsed/>
    <w:rsid w:val="00C52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520637">
      <w:bodyDiv w:val="1"/>
      <w:marLeft w:val="0"/>
      <w:marRight w:val="0"/>
      <w:marTop w:val="0"/>
      <w:marBottom w:val="0"/>
      <w:divBdr>
        <w:top w:val="none" w:sz="0" w:space="0" w:color="auto"/>
        <w:left w:val="none" w:sz="0" w:space="0" w:color="auto"/>
        <w:bottom w:val="none" w:sz="0" w:space="0" w:color="auto"/>
        <w:right w:val="none" w:sz="0" w:space="0" w:color="auto"/>
      </w:divBdr>
    </w:div>
    <w:div w:id="15329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chandoga@mf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b.europa.eu/" TargetMode="External"/><Relationship Id="rId5" Type="http://schemas.openxmlformats.org/officeDocument/2006/relationships/webSettings" Target="webSettings.xml"/><Relationship Id="rId10" Type="http://schemas.openxmlformats.org/officeDocument/2006/relationships/hyperlink" Target="https://www.consilium.europa.eu/media/41841/20191213-euro-summit-statement-sk.pdf" TargetMode="External"/><Relationship Id="rId4" Type="http://schemas.openxmlformats.org/officeDocument/2006/relationships/settings" Target="settings.xml"/><Relationship Id="rId9" Type="http://schemas.openxmlformats.org/officeDocument/2006/relationships/hyperlink" Target="https://www.consilium.europa.eu/media/37610/14-eurosummit-statement-sk.pdf"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9DD4-8257-403D-BAEB-120AD1EA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6942</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worknbde</dc:creator>
  <cp:lastModifiedBy>Chandoga Roman</cp:lastModifiedBy>
  <cp:revision>2</cp:revision>
  <cp:lastPrinted>2020-08-18T11:29:00Z</cp:lastPrinted>
  <dcterms:created xsi:type="dcterms:W3CDTF">2021-02-10T13:10:00Z</dcterms:created>
  <dcterms:modified xsi:type="dcterms:W3CDTF">2021-02-10T13:10:00Z</dcterms:modified>
</cp:coreProperties>
</file>