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EEF77" w14:textId="2518A31A" w:rsidR="00C100D2" w:rsidRPr="00660B5C" w:rsidRDefault="00320C74" w:rsidP="00246F0F">
      <w:pPr>
        <w:spacing w:after="360"/>
        <w:jc w:val="center"/>
        <w:rPr>
          <w:b/>
          <w:sz w:val="28"/>
        </w:rPr>
      </w:pPr>
      <w:r w:rsidRPr="00660B5C">
        <w:rPr>
          <w:b/>
          <w:sz w:val="28"/>
        </w:rPr>
        <w:t>DÔVODOVÁ SPRÁVA</w:t>
      </w:r>
    </w:p>
    <w:p w14:paraId="128432B9" w14:textId="1F17ED3E" w:rsidR="00E55865" w:rsidRPr="00660B5C" w:rsidRDefault="00320C74" w:rsidP="00246F0F">
      <w:pPr>
        <w:ind w:firstLine="0"/>
        <w:rPr>
          <w:b/>
        </w:rPr>
      </w:pPr>
      <w:r w:rsidRPr="00660B5C">
        <w:rPr>
          <w:b/>
        </w:rPr>
        <w:t xml:space="preserve">A. </w:t>
      </w:r>
      <w:r w:rsidR="00E55865" w:rsidRPr="00660B5C">
        <w:rPr>
          <w:b/>
        </w:rPr>
        <w:t>Všeobecná časť</w:t>
      </w:r>
    </w:p>
    <w:p w14:paraId="7C8FBA01" w14:textId="33CD1EFE" w:rsidR="00272B1C" w:rsidRPr="00660B5C" w:rsidRDefault="00272B1C" w:rsidP="009006E7">
      <w:r w:rsidRPr="00660B5C">
        <w:t xml:space="preserve">Návrh zákona, ktorým sa mení a dopĺňa zákon č. </w:t>
      </w:r>
      <w:r w:rsidR="009006E7">
        <w:t>223</w:t>
      </w:r>
      <w:r w:rsidRPr="00660B5C">
        <w:t>/20</w:t>
      </w:r>
      <w:r w:rsidR="009006E7">
        <w:t>19</w:t>
      </w:r>
      <w:r w:rsidRPr="00660B5C">
        <w:t xml:space="preserve"> Z. z. o</w:t>
      </w:r>
      <w:r w:rsidR="009006E7">
        <w:t xml:space="preserve"> sčítaní obyvateľov, domov a bytov v roku </w:t>
      </w:r>
      <w:r w:rsidR="009006E7" w:rsidRPr="009006E7">
        <w:rPr>
          <w:rFonts w:ascii="Times" w:hAnsi="Times" w:cs="Times"/>
          <w:szCs w:val="20"/>
        </w:rPr>
        <w:t>2021</w:t>
      </w:r>
      <w:r w:rsidR="009006E7">
        <w:t xml:space="preserve"> a o zmene a doplnení niektorých zákonov p</w:t>
      </w:r>
      <w:r w:rsidRPr="00660B5C">
        <w:t xml:space="preserve">redkladá </w:t>
      </w:r>
      <w:r w:rsidR="00BC60DE" w:rsidRPr="00660B5C">
        <w:t xml:space="preserve">Štatistický úrad </w:t>
      </w:r>
      <w:r w:rsidR="009D3D95" w:rsidRPr="00660B5C">
        <w:t>Slovenskej republiky (ďalej len </w:t>
      </w:r>
      <w:r w:rsidR="00BC60DE" w:rsidRPr="00660B5C">
        <w:t xml:space="preserve">„štatistický úrad“) </w:t>
      </w:r>
      <w:r w:rsidR="009006E7">
        <w:t>ako iniciatívny materiál</w:t>
      </w:r>
      <w:r w:rsidRPr="00660B5C">
        <w:t>.</w:t>
      </w:r>
    </w:p>
    <w:p w14:paraId="33B5A23F" w14:textId="0C00E3C3" w:rsidR="009006E7" w:rsidRDefault="009006E7" w:rsidP="009006E7">
      <w:pPr>
        <w:rPr>
          <w:rFonts w:ascii="Times" w:hAnsi="Times" w:cs="Times"/>
        </w:rPr>
      </w:pPr>
      <w:r w:rsidRPr="00A3699B">
        <w:rPr>
          <w:rFonts w:ascii="Times" w:hAnsi="Times" w:cs="Times"/>
          <w:szCs w:val="20"/>
        </w:rPr>
        <w:t xml:space="preserve">Sčítanie obyvateľov, domov a bytov v roku 2021 </w:t>
      </w:r>
      <w:r>
        <w:rPr>
          <w:rFonts w:ascii="Times" w:hAnsi="Times" w:cs="Times"/>
        </w:rPr>
        <w:t xml:space="preserve">(ďalej len „SODB 2021“) </w:t>
      </w:r>
      <w:r w:rsidRPr="00A3699B">
        <w:rPr>
          <w:rFonts w:ascii="Times" w:hAnsi="Times" w:cs="Times"/>
          <w:szCs w:val="20"/>
        </w:rPr>
        <w:t>je jedinečnou možnosťou ako získať vzájomne prepojené, spoľahlivé, porovnateľné údaje a informácie o</w:t>
      </w:r>
      <w:r w:rsidR="00ED5F92">
        <w:rPr>
          <w:rFonts w:ascii="Times" w:hAnsi="Times" w:cs="Times"/>
          <w:szCs w:val="20"/>
        </w:rPr>
        <w:t> </w:t>
      </w:r>
      <w:r w:rsidRPr="00A3699B">
        <w:rPr>
          <w:rFonts w:ascii="Times" w:hAnsi="Times" w:cs="Times"/>
          <w:szCs w:val="20"/>
        </w:rPr>
        <w:t>stave spoločnosti, o jej demografických, sociálno-ekonomických a kultúrnych štruktúrach, o</w:t>
      </w:r>
      <w:r w:rsidR="00ED5F92">
        <w:rPr>
          <w:rFonts w:ascii="Times" w:hAnsi="Times" w:cs="Times"/>
          <w:szCs w:val="20"/>
        </w:rPr>
        <w:t> </w:t>
      </w:r>
      <w:r w:rsidRPr="00A3699B">
        <w:rPr>
          <w:rFonts w:ascii="Times" w:hAnsi="Times" w:cs="Times"/>
          <w:szCs w:val="20"/>
        </w:rPr>
        <w:t>životných podmienkach obyvateľov a</w:t>
      </w:r>
      <w:r>
        <w:rPr>
          <w:rFonts w:ascii="Times" w:hAnsi="Times" w:cs="Times"/>
        </w:rPr>
        <w:t> </w:t>
      </w:r>
      <w:r w:rsidRPr="00A3699B">
        <w:rPr>
          <w:rFonts w:ascii="Times" w:hAnsi="Times" w:cs="Times"/>
          <w:szCs w:val="20"/>
        </w:rPr>
        <w:t>bývaní</w:t>
      </w:r>
      <w:r>
        <w:rPr>
          <w:rFonts w:ascii="Times" w:hAnsi="Times" w:cs="Times"/>
        </w:rPr>
        <w:t xml:space="preserve"> pre potreby vlády</w:t>
      </w:r>
      <w:r w:rsidRPr="00A3699B">
        <w:rPr>
          <w:rFonts w:ascii="Times" w:hAnsi="Times" w:cs="Times"/>
          <w:szCs w:val="20"/>
        </w:rPr>
        <w:t>, podnikate</w:t>
      </w:r>
      <w:r>
        <w:rPr>
          <w:rFonts w:ascii="Times" w:hAnsi="Times" w:cs="Times"/>
        </w:rPr>
        <w:t>ľov</w:t>
      </w:r>
      <w:r w:rsidRPr="00A3699B">
        <w:rPr>
          <w:rFonts w:ascii="Times" w:hAnsi="Times" w:cs="Times"/>
          <w:szCs w:val="20"/>
        </w:rPr>
        <w:t>, tvorcov politík na štátnej a lokálnej úrovni</w:t>
      </w:r>
      <w:r>
        <w:rPr>
          <w:rFonts w:ascii="Times" w:hAnsi="Times" w:cs="Times"/>
        </w:rPr>
        <w:t>, najmä pre</w:t>
      </w:r>
      <w:r w:rsidRPr="00A3699B">
        <w:rPr>
          <w:rFonts w:ascii="Times" w:hAnsi="Times" w:cs="Times"/>
          <w:szCs w:val="20"/>
        </w:rPr>
        <w:t xml:space="preserve"> plánovanie a rozdeľovanie služieb</w:t>
      </w:r>
      <w:r>
        <w:rPr>
          <w:rFonts w:ascii="Times" w:hAnsi="Times" w:cs="Times"/>
        </w:rPr>
        <w:t>, financií a</w:t>
      </w:r>
      <w:r w:rsidR="00ED5F92">
        <w:rPr>
          <w:rFonts w:ascii="Times" w:hAnsi="Times" w:cs="Times"/>
        </w:rPr>
        <w:t> </w:t>
      </w:r>
      <w:r>
        <w:rPr>
          <w:rFonts w:ascii="Times" w:hAnsi="Times" w:cs="Times"/>
        </w:rPr>
        <w:t xml:space="preserve">iných prostriedkov, rozvoj politík a vyhodnocovanie </w:t>
      </w:r>
      <w:r w:rsidRPr="00A3699B">
        <w:rPr>
          <w:rFonts w:ascii="Times" w:hAnsi="Times" w:cs="Times"/>
          <w:szCs w:val="20"/>
        </w:rPr>
        <w:t>aktivít.</w:t>
      </w:r>
    </w:p>
    <w:p w14:paraId="5A1E0A46" w14:textId="1BC45643" w:rsidR="009006E7" w:rsidRDefault="009006E7" w:rsidP="009006E7">
      <w:pPr>
        <w:rPr>
          <w:rFonts w:ascii="Times" w:hAnsi="Times" w:cs="Times"/>
        </w:rPr>
      </w:pPr>
      <w:r>
        <w:rPr>
          <w:rFonts w:ascii="Times" w:hAnsi="Times" w:cs="Times"/>
        </w:rPr>
        <w:t>Podľa</w:t>
      </w:r>
      <w:r w:rsidRPr="00A3699B">
        <w:rPr>
          <w:rFonts w:ascii="Times" w:hAnsi="Times" w:cs="Times"/>
          <w:szCs w:val="20"/>
        </w:rPr>
        <w:t xml:space="preserve"> nariadenia Európskeho parlamentu a Rady (ES) č. 763/2008 z 9. júna 2008 o</w:t>
      </w:r>
      <w:r w:rsidR="00ED5F92">
        <w:rPr>
          <w:rFonts w:ascii="Times" w:hAnsi="Times" w:cs="Times"/>
          <w:szCs w:val="20"/>
        </w:rPr>
        <w:t> </w:t>
      </w:r>
      <w:r w:rsidRPr="00A3699B">
        <w:rPr>
          <w:rFonts w:ascii="Times" w:hAnsi="Times" w:cs="Times"/>
          <w:szCs w:val="20"/>
        </w:rPr>
        <w:t>sčítaní obyvateľov, domov a byt</w:t>
      </w:r>
      <w:r>
        <w:rPr>
          <w:rFonts w:ascii="Times" w:hAnsi="Times" w:cs="Times"/>
        </w:rPr>
        <w:t xml:space="preserve">ov (Ú. v. EÚ L 218, 13.8.2008) </w:t>
      </w:r>
      <w:r w:rsidRPr="00A3699B">
        <w:rPr>
          <w:rFonts w:ascii="Times" w:hAnsi="Times" w:cs="Times"/>
          <w:szCs w:val="20"/>
        </w:rPr>
        <w:t xml:space="preserve">členským štátom EÚ vyplýva povinnosť uskutočniť sčítanie v tom istom roku (2021) a zisťovať v ňom údaje podľa rovnakých, </w:t>
      </w:r>
      <w:r>
        <w:rPr>
          <w:rFonts w:ascii="Times" w:hAnsi="Times" w:cs="Times"/>
        </w:rPr>
        <w:t>resp. porovnateľných definícií.</w:t>
      </w:r>
    </w:p>
    <w:p w14:paraId="6034B17D" w14:textId="56537AF2" w:rsidR="001A7741" w:rsidRDefault="009006E7" w:rsidP="009006E7">
      <w:pPr>
        <w:rPr>
          <w:bCs/>
        </w:rPr>
      </w:pPr>
      <w:r w:rsidRPr="0047203E">
        <w:rPr>
          <w:rFonts w:ascii="Times" w:hAnsi="Times" w:cs="Times"/>
        </w:rPr>
        <w:t xml:space="preserve">Z dôvodu </w:t>
      </w:r>
      <w:r w:rsidRPr="0047203E">
        <w:rPr>
          <w:bCs/>
          <w:lang w:eastAsia="sk-SK"/>
        </w:rPr>
        <w:t>závažnej  epidemiologickej situácie spôsobenej pretrvávajúcim šírením nového koronavírusu (ďalej len „ochorenie COVID-19“)</w:t>
      </w:r>
      <w:r w:rsidRPr="0047203E">
        <w:rPr>
          <w:bCs/>
        </w:rPr>
        <w:t xml:space="preserve"> v Slovenskej republike </w:t>
      </w:r>
      <w:r>
        <w:rPr>
          <w:bCs/>
        </w:rPr>
        <w:t xml:space="preserve">vláda </w:t>
      </w:r>
      <w:r w:rsidRPr="0047203E">
        <w:rPr>
          <w:bCs/>
        </w:rPr>
        <w:t>SR a Úrad verejného zdravotníctva SR prijímajú opatrenia na ochranu verejného zdravia s cieľom znížiť riziko počtu postihnutých ochorením COVID</w:t>
      </w:r>
      <w:r w:rsidR="002B6715">
        <w:rPr>
          <w:bCs/>
        </w:rPr>
        <w:t>-</w:t>
      </w:r>
      <w:r w:rsidRPr="0047203E">
        <w:rPr>
          <w:bCs/>
        </w:rPr>
        <w:t xml:space="preserve">19. </w:t>
      </w:r>
    </w:p>
    <w:p w14:paraId="581EAE53" w14:textId="4D6EC795" w:rsidR="009006E7" w:rsidRDefault="009006E7" w:rsidP="009006E7">
      <w:pPr>
        <w:rPr>
          <w:bCs/>
        </w:rPr>
      </w:pPr>
      <w:r>
        <w:rPr>
          <w:bCs/>
        </w:rPr>
        <w:t>Počas doby</w:t>
      </w:r>
      <w:r w:rsidRPr="0047203E">
        <w:rPr>
          <w:bCs/>
        </w:rPr>
        <w:t xml:space="preserve"> sčítania obyvateľov od 15. februára 2021 do 31. marca 2021 bude obyvateľ plniť svoju sčítaciu povinnosť </w:t>
      </w:r>
      <w:r>
        <w:rPr>
          <w:bCs/>
        </w:rPr>
        <w:t>vyplnením</w:t>
      </w:r>
      <w:r w:rsidRPr="0047203E">
        <w:rPr>
          <w:bCs/>
        </w:rPr>
        <w:t xml:space="preserve"> elektronického formulára </w:t>
      </w:r>
      <w:r w:rsidRPr="0047203E">
        <w:rPr>
          <w:bCs/>
          <w:lang w:eastAsia="sk-SK"/>
        </w:rPr>
        <w:t>na sčítanie obyvateľov</w:t>
      </w:r>
      <w:r>
        <w:rPr>
          <w:bCs/>
        </w:rPr>
        <w:t xml:space="preserve"> a podľa účinného</w:t>
      </w:r>
      <w:r w:rsidRPr="0047203E">
        <w:rPr>
          <w:bCs/>
        </w:rPr>
        <w:t xml:space="preserve"> znenia zákona č. 223/2019 Z. z. </w:t>
      </w:r>
      <w:r>
        <w:rPr>
          <w:bCs/>
        </w:rPr>
        <w:t xml:space="preserve">majú obce v súčinnosti so </w:t>
      </w:r>
      <w:r w:rsidR="00914BE1">
        <w:rPr>
          <w:bCs/>
        </w:rPr>
        <w:t>Š</w:t>
      </w:r>
      <w:r>
        <w:rPr>
          <w:bCs/>
        </w:rPr>
        <w:t xml:space="preserve">tatistickým úradom </w:t>
      </w:r>
      <w:r w:rsidR="00914BE1">
        <w:rPr>
          <w:bCs/>
        </w:rPr>
        <w:t xml:space="preserve">SR </w:t>
      </w:r>
      <w:r>
        <w:rPr>
          <w:bCs/>
        </w:rPr>
        <w:t>poskytovať aj službu</w:t>
      </w:r>
      <w:r w:rsidRPr="0047203E">
        <w:rPr>
          <w:bCs/>
        </w:rPr>
        <w:t xml:space="preserve"> asistovaného sčítania </w:t>
      </w:r>
      <w:r>
        <w:rPr>
          <w:bCs/>
        </w:rPr>
        <w:t xml:space="preserve">tým </w:t>
      </w:r>
      <w:r w:rsidRPr="0047203E">
        <w:rPr>
          <w:bCs/>
        </w:rPr>
        <w:t xml:space="preserve">obyvateľom, </w:t>
      </w:r>
      <w:r w:rsidRPr="0047203E">
        <w:rPr>
          <w:bCs/>
          <w:lang w:eastAsia="sk-SK"/>
        </w:rPr>
        <w:t>ktorí sa nedokážu sčítať prostredníctvom elektronických formulárov sami a ani s pomocou blízkych osôb alebo iných osôb, s ktorými žijú v jednej bytovej domácnosti</w:t>
      </w:r>
      <w:r>
        <w:rPr>
          <w:bCs/>
        </w:rPr>
        <w:t>.</w:t>
      </w:r>
      <w:r w:rsidRPr="0047203E">
        <w:rPr>
          <w:bCs/>
        </w:rPr>
        <w:t xml:space="preserve"> </w:t>
      </w:r>
    </w:p>
    <w:p w14:paraId="516EA4D8" w14:textId="78C0135C" w:rsidR="009006E7" w:rsidRDefault="009006E7" w:rsidP="009006E7">
      <w:r>
        <w:rPr>
          <w:bCs/>
        </w:rPr>
        <w:t>Obyvateľmi</w:t>
      </w:r>
      <w:r>
        <w:rPr>
          <w:bCs/>
          <w:lang w:eastAsia="sk-SK"/>
        </w:rPr>
        <w:t>, o ktorých sa predpokladá, že využijú službu asistovaného sčítania</w:t>
      </w:r>
      <w:r>
        <w:rPr>
          <w:bCs/>
        </w:rPr>
        <w:t>,</w:t>
      </w:r>
      <w:r>
        <w:rPr>
          <w:bCs/>
          <w:lang w:eastAsia="sk-SK"/>
        </w:rPr>
        <w:t xml:space="preserve"> sú</w:t>
      </w:r>
      <w:r w:rsidRPr="00F052C5">
        <w:rPr>
          <w:bCs/>
          <w:lang w:eastAsia="sk-SK"/>
        </w:rPr>
        <w:t xml:space="preserve"> prevažne poberate</w:t>
      </w:r>
      <w:r>
        <w:rPr>
          <w:bCs/>
          <w:lang w:eastAsia="sk-SK"/>
        </w:rPr>
        <w:t>lia</w:t>
      </w:r>
      <w:r w:rsidRPr="00F052C5">
        <w:rPr>
          <w:bCs/>
          <w:lang w:eastAsia="sk-SK"/>
        </w:rPr>
        <w:t xml:space="preserve"> starobných dôchodkov,  osob</w:t>
      </w:r>
      <w:r>
        <w:rPr>
          <w:bCs/>
          <w:lang w:eastAsia="sk-SK"/>
        </w:rPr>
        <w:t>y</w:t>
      </w:r>
      <w:r w:rsidRPr="00F052C5">
        <w:rPr>
          <w:bCs/>
          <w:lang w:eastAsia="sk-SK"/>
        </w:rPr>
        <w:t xml:space="preserve"> so zdravotným postihnutím alebo </w:t>
      </w:r>
      <w:r>
        <w:rPr>
          <w:bCs/>
          <w:lang w:eastAsia="sk-SK"/>
        </w:rPr>
        <w:t>osoby</w:t>
      </w:r>
      <w:r w:rsidRPr="00F052C5">
        <w:rPr>
          <w:bCs/>
          <w:lang w:eastAsia="sk-SK"/>
        </w:rPr>
        <w:t xml:space="preserve"> s minimálnymi digitálnymi zručnosťami, pre ktoré by kontakt s asistentmi sčítania počas blížiacej sa doby sčítania predstavoval zvýšené riziko ochorenia COVID</w:t>
      </w:r>
      <w:r w:rsidR="002B6715">
        <w:rPr>
          <w:bCs/>
          <w:lang w:eastAsia="sk-SK"/>
        </w:rPr>
        <w:t>-</w:t>
      </w:r>
      <w:r w:rsidRPr="00F052C5">
        <w:rPr>
          <w:bCs/>
          <w:lang w:eastAsia="sk-SK"/>
        </w:rPr>
        <w:t>19 resp. by si z dôvodu obavy o svoje zdravie alebo z dôvodu, že by asistenti sčítania mali zakázané nariadenými opatreniami kontaktovať týchto obyvateľov, nes</w:t>
      </w:r>
      <w:r>
        <w:rPr>
          <w:bCs/>
        </w:rPr>
        <w:t xml:space="preserve">plnili svoju sčítaciu povinnosť, následkom čoho by došlo k </w:t>
      </w:r>
      <w:r w:rsidRPr="00EF094D">
        <w:t>zníženiu kvality a komplexnosti výsledkov sčítania obyvateľov v Slovenskej republike v roku 2021 a tým aj k čiastočnému znehodnoteni</w:t>
      </w:r>
      <w:r>
        <w:t>u celkových výsledkov SODB 2021</w:t>
      </w:r>
      <w:r w:rsidR="001A7741">
        <w:t>.</w:t>
      </w:r>
    </w:p>
    <w:p w14:paraId="65F356A0" w14:textId="58C9539B" w:rsidR="001A7741" w:rsidRPr="00252EA9" w:rsidRDefault="001A7741" w:rsidP="001A7741">
      <w:r>
        <w:t>Plnenie sčítacej povinnosti obyvateľov podľa § 8 zákona č. 223/2019 Z. z. pomocou služby asistovaného sčítania poskytovanej asistentmi sčítania v obci, by</w:t>
      </w:r>
      <w:r w:rsidRPr="00252EA9">
        <w:t xml:space="preserve"> predstavovalo zvýšenie rizika infikovania sa ochorením COVID</w:t>
      </w:r>
      <w:r w:rsidR="002B6715">
        <w:t>-</w:t>
      </w:r>
      <w:r w:rsidRPr="00252EA9">
        <w:t>19</w:t>
      </w:r>
      <w:r>
        <w:t xml:space="preserve"> obyvateľov využívajúcich službu asistovaného sčítania a aj všeobecné zvýšenie rizika ďalšieho šírenia nákazy</w:t>
      </w:r>
      <w:r w:rsidRPr="00252EA9">
        <w:t xml:space="preserve">. Zároveň </w:t>
      </w:r>
      <w:r>
        <w:t xml:space="preserve">je vysoko pravdepodobné, že v zákonom ustanovenej dobe sčítania obyvateľov </w:t>
      </w:r>
      <w:r w:rsidR="00553EAA">
        <w:t xml:space="preserve">bude </w:t>
      </w:r>
      <w:r w:rsidRPr="00252EA9">
        <w:t xml:space="preserve">potrebné dodržiavať opatrenia Úradu verejného zdravotníctva Slovenskej republiky nariadené na </w:t>
      </w:r>
      <w:r w:rsidRPr="00252EA9">
        <w:lastRenderedPageBreak/>
        <w:t>ochranu verejného zdravia, ktoré môžu spočívať v obmedzení pohybu a pobytu dotknutých obyvat</w:t>
      </w:r>
      <w:r>
        <w:t>eľov ako aj asistentov sčítania, a preto by vykonávanie asistovaného sčítania v blížiacej sa dobe sčítania obyvateľov zmenšila efekt nariadených opatrení.</w:t>
      </w:r>
    </w:p>
    <w:p w14:paraId="584CD206" w14:textId="4017D163" w:rsidR="00C77FE5" w:rsidRPr="0058290B" w:rsidRDefault="00C77FE5" w:rsidP="00C77FE5">
      <w:r>
        <w:t>Nízka účasť obyvateľov, pre ktorých sa služba asistovaného sčítania, na sčítaní obyvateľov v dobe sčítania obyvateľov, môže vzhľadom na ich vysoké zastúpenie v populácii obyvateľstva znížiť kvalitu a komplexnosť</w:t>
      </w:r>
      <w:r w:rsidRPr="0058290B">
        <w:t xml:space="preserve"> výsledkov sčítania obyvateľov v Slovenskej republike v roku 2021 a tým aj k čiastočnému znehodnoteni</w:t>
      </w:r>
      <w:r>
        <w:t>u celkových výsledkov SODB 2021.</w:t>
      </w:r>
    </w:p>
    <w:p w14:paraId="4D09FB9C" w14:textId="3D2A7796" w:rsidR="00AF78A6" w:rsidRDefault="009006E7" w:rsidP="00AF78A6">
      <w:pPr>
        <w:rPr>
          <w:bCs/>
        </w:rPr>
      </w:pPr>
      <w:r w:rsidRPr="00AF78A6">
        <w:rPr>
          <w:bCs/>
        </w:rPr>
        <w:t>Z týchto dôvodov bude potrebné</w:t>
      </w:r>
      <w:r w:rsidRPr="00AF78A6">
        <w:rPr>
          <w:bCs/>
          <w:lang w:eastAsia="sk-SK"/>
        </w:rPr>
        <w:t xml:space="preserve"> vykonať asistované sčítanie obyvateľov v neskoršom období</w:t>
      </w:r>
      <w:r w:rsidRPr="00AF78A6" w:rsidDel="00167F55">
        <w:rPr>
          <w:bCs/>
          <w:lang w:eastAsia="sk-SK"/>
        </w:rPr>
        <w:t xml:space="preserve"> </w:t>
      </w:r>
      <w:r w:rsidRPr="00AF78A6">
        <w:rPr>
          <w:bCs/>
          <w:lang w:eastAsia="sk-SK"/>
        </w:rPr>
        <w:t xml:space="preserve">ako počas doby sčítania obyvateľov. </w:t>
      </w:r>
      <w:r w:rsidRPr="00AF78A6">
        <w:rPr>
          <w:bCs/>
        </w:rPr>
        <w:t xml:space="preserve">Zmenu priebehu sčítania obyvateľov je potrebné prijať novelou zákona č. 223/2019 Z. z., keďže ide o úpravu sčítacej povinnosti a úloh orgánov podieľajúcich sa na zabezpečení sčítania obyvateľov zberom údajov z elektronických formulárov na sčítanie upravených v tomto zákone. </w:t>
      </w:r>
      <w:r w:rsidR="00AF78A6">
        <w:rPr>
          <w:bCs/>
        </w:rPr>
        <w:t>V nadväznosti na to,</w:t>
      </w:r>
      <w:r w:rsidRPr="00AF78A6">
        <w:rPr>
          <w:bCs/>
        </w:rPr>
        <w:t xml:space="preserve"> </w:t>
      </w:r>
      <w:r w:rsidR="00AF78A6">
        <w:rPr>
          <w:bCs/>
        </w:rPr>
        <w:t xml:space="preserve">štatistický úrad vykoná novelizáciu </w:t>
      </w:r>
      <w:r w:rsidR="00AF78A6" w:rsidRPr="00AF78A6">
        <w:rPr>
          <w:bCs/>
        </w:rPr>
        <w:t>príslušných vykonávacích predpisov</w:t>
      </w:r>
      <w:r w:rsidR="00AF78A6">
        <w:rPr>
          <w:bCs/>
        </w:rPr>
        <w:t>, ktoré budú predstavovať</w:t>
      </w:r>
      <w:r w:rsidRPr="00AF78A6">
        <w:rPr>
          <w:bCs/>
        </w:rPr>
        <w:t xml:space="preserve"> </w:t>
      </w:r>
      <w:r w:rsidR="00AF78A6" w:rsidRPr="00AF78A6">
        <w:rPr>
          <w:bCs/>
        </w:rPr>
        <w:t>rozsahom malé legislatívno-technické úpravy:</w:t>
      </w:r>
      <w:r w:rsidR="00AF78A6">
        <w:rPr>
          <w:bCs/>
        </w:rPr>
        <w:t xml:space="preserve"> </w:t>
      </w:r>
    </w:p>
    <w:p w14:paraId="50A93E3E" w14:textId="5E72B472" w:rsidR="00AF78A6" w:rsidRPr="00AF78A6" w:rsidRDefault="00AF78A6" w:rsidP="00AF78A6">
      <w:pPr>
        <w:pStyle w:val="Odsekzoznamu"/>
        <w:numPr>
          <w:ilvl w:val="0"/>
          <w:numId w:val="26"/>
        </w:numPr>
        <w:ind w:left="643"/>
        <w:contextualSpacing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AF78A6">
        <w:rPr>
          <w:rFonts w:ascii="Times New Roman" w:hAnsi="Times New Roman" w:cs="Times New Roman"/>
          <w:bCs/>
        </w:rPr>
        <w:t>patrenia Štatistického úradu Slovenskej republiky č. 403/2019</w:t>
      </w:r>
      <w:r>
        <w:rPr>
          <w:rFonts w:ascii="Times New Roman" w:hAnsi="Times New Roman" w:cs="Times New Roman"/>
          <w:bCs/>
        </w:rPr>
        <w:t xml:space="preserve"> o preukaze asistenta sčítania,</w:t>
      </w:r>
    </w:p>
    <w:p w14:paraId="143FD6BB" w14:textId="56010149" w:rsidR="00AF78A6" w:rsidRDefault="00AF78A6" w:rsidP="00AF78A6">
      <w:pPr>
        <w:pStyle w:val="Odsekzoznamu"/>
        <w:numPr>
          <w:ilvl w:val="0"/>
          <w:numId w:val="26"/>
        </w:numPr>
        <w:ind w:left="643"/>
        <w:contextualSpacing w:val="0"/>
        <w:rPr>
          <w:rFonts w:ascii="Times New Roman" w:hAnsi="Times New Roman" w:cs="Times New Roman"/>
          <w:bCs/>
        </w:rPr>
      </w:pPr>
      <w:r w:rsidRPr="00AF78A6">
        <w:rPr>
          <w:rFonts w:ascii="Times New Roman" w:hAnsi="Times New Roman" w:cs="Times New Roman"/>
          <w:bCs/>
        </w:rPr>
        <w:t>Opatrenia Štatistického úradu Slovenskej republiky č. 435/2019 Z. z., ktorým sa ustanovujú podrobnosti o systéme identifikácie elektronickej identity obyvateľa a</w:t>
      </w:r>
      <w:r>
        <w:rPr>
          <w:rFonts w:ascii="Times New Roman" w:hAnsi="Times New Roman" w:cs="Times New Roman"/>
          <w:bCs/>
        </w:rPr>
        <w:t> </w:t>
      </w:r>
      <w:r w:rsidRPr="00AF78A6">
        <w:rPr>
          <w:rFonts w:ascii="Times New Roman" w:hAnsi="Times New Roman" w:cs="Times New Roman"/>
          <w:bCs/>
        </w:rPr>
        <w:t>systéme overenia elektronickej identity obyvateľa pros</w:t>
      </w:r>
      <w:r>
        <w:rPr>
          <w:rFonts w:ascii="Times New Roman" w:hAnsi="Times New Roman" w:cs="Times New Roman"/>
          <w:bCs/>
        </w:rPr>
        <w:t>tredníctvom jeho autentifikácie,</w:t>
      </w:r>
    </w:p>
    <w:p w14:paraId="485B9E78" w14:textId="42125D7F" w:rsidR="00AF78A6" w:rsidRPr="00AF78A6" w:rsidRDefault="00AF78A6" w:rsidP="00AF78A6">
      <w:pPr>
        <w:pStyle w:val="Odsekzoznamu"/>
        <w:numPr>
          <w:ilvl w:val="0"/>
          <w:numId w:val="26"/>
        </w:numPr>
        <w:ind w:left="643"/>
        <w:contextualSpacing w:val="0"/>
        <w:rPr>
          <w:rFonts w:ascii="Times New Roman" w:hAnsi="Times New Roman" w:cs="Times New Roman"/>
          <w:bCs/>
        </w:rPr>
      </w:pPr>
      <w:r w:rsidRPr="00AF78A6">
        <w:rPr>
          <w:rFonts w:ascii="Times New Roman" w:hAnsi="Times New Roman" w:cs="Times New Roman"/>
          <w:bCs/>
        </w:rPr>
        <w:t>Opatrenia Štatistického úradu Slovenskej republiky č. 307/2020 Z. z. o poskytnutí dotácie zo štátneho rozpočtu na úhradu nákladov preneseného výkonu štátnej správy pri príprave, priebehu a vykonaní sčítania obyvateľov, domov a bytov v roku 2021, ktoré vzniknú pri sčítaní obyvateľov, a o odmene</w:t>
      </w:r>
      <w:r>
        <w:rPr>
          <w:rFonts w:ascii="Times New Roman" w:hAnsi="Times New Roman" w:cs="Times New Roman"/>
          <w:bCs/>
        </w:rPr>
        <w:t xml:space="preserve"> niektorých asistentov sčítania.</w:t>
      </w:r>
    </w:p>
    <w:p w14:paraId="250C04BE" w14:textId="4A4FF5D7" w:rsidR="007670A0" w:rsidRPr="00AF78A6" w:rsidRDefault="00AF78A6" w:rsidP="00AF78A6">
      <w:pPr>
        <w:rPr>
          <w:bCs/>
          <w:lang w:eastAsia="sk-SK"/>
        </w:rPr>
      </w:pPr>
      <w:r w:rsidRPr="00AF78A6">
        <w:rPr>
          <w:bCs/>
        </w:rPr>
        <w:tab/>
      </w:r>
      <w:r w:rsidR="007670A0" w:rsidRPr="00AF78A6">
        <w:rPr>
          <w:bCs/>
          <w:lang w:eastAsia="sk-SK"/>
        </w:rPr>
        <w:t xml:space="preserve">Návrh zákona je v súlade s Ústavou Slovenskej republiky, ústavnými zákonmi, nálezmi </w:t>
      </w:r>
      <w:r w:rsidR="007670A0" w:rsidRPr="00AF78A6">
        <w:t>Ústavného</w:t>
      </w:r>
      <w:r w:rsidR="007670A0" w:rsidRPr="00AF78A6">
        <w:rPr>
          <w:bCs/>
          <w:lang w:eastAsia="sk-SK"/>
        </w:rPr>
        <w:t xml:space="preserve"> súdu Slovenskej republiky, inými zákonmi, medzinárodnými zmluvami a inými medzinárodnými dokumentmi, ktorými je Slovenská republika viazaná, a je v súlade s právom Európskej únie.</w:t>
      </w:r>
    </w:p>
    <w:p w14:paraId="5C56441D" w14:textId="0809FB86" w:rsidR="002B15D0" w:rsidRDefault="00A4134F" w:rsidP="004D07F4">
      <w:r>
        <w:rPr>
          <w:bCs/>
          <w:lang w:eastAsia="sk-SK"/>
        </w:rPr>
        <w:t>Návrh</w:t>
      </w:r>
      <w:r w:rsidR="00572A77" w:rsidRPr="00660B5C">
        <w:t xml:space="preserve"> zákona</w:t>
      </w:r>
      <w:r w:rsidR="00EC0326" w:rsidRPr="00660B5C">
        <w:t xml:space="preserve"> </w:t>
      </w:r>
      <w:r>
        <w:t>má</w:t>
      </w:r>
      <w:r w:rsidR="00EC0326" w:rsidRPr="00660B5C">
        <w:t xml:space="preserve"> negatívny </w:t>
      </w:r>
      <w:r w:rsidR="00572A77" w:rsidRPr="00660B5C">
        <w:t xml:space="preserve">rozpočtovo krytý </w:t>
      </w:r>
      <w:r w:rsidR="00EC0326" w:rsidRPr="00660B5C">
        <w:t>vplyv na rozpočet verejnej správy</w:t>
      </w:r>
      <w:r w:rsidR="005B79F5" w:rsidRPr="00660B5C">
        <w:t xml:space="preserve">, </w:t>
      </w:r>
      <w:r w:rsidR="009006E7">
        <w:t>ne</w:t>
      </w:r>
      <w:r>
        <w:t>má</w:t>
      </w:r>
      <w:r w:rsidR="009006E7">
        <w:t xml:space="preserve"> </w:t>
      </w:r>
      <w:r w:rsidR="009006E7" w:rsidRPr="00660B5C">
        <w:t>vplyv</w:t>
      </w:r>
      <w:r w:rsidR="009006E7">
        <w:t>y</w:t>
      </w:r>
      <w:r w:rsidR="009006E7" w:rsidRPr="00660B5C">
        <w:t xml:space="preserve"> na podnikateľské prostredie</w:t>
      </w:r>
      <w:r w:rsidR="009006E7">
        <w:t xml:space="preserve">, </w:t>
      </w:r>
      <w:r>
        <w:t xml:space="preserve">nemá </w:t>
      </w:r>
      <w:r w:rsidR="009006E7">
        <w:t xml:space="preserve">sociálne vplyvy, </w:t>
      </w:r>
      <w:r>
        <w:t xml:space="preserve">nemá </w:t>
      </w:r>
      <w:r w:rsidR="009006E7">
        <w:t>vplyvy</w:t>
      </w:r>
      <w:r w:rsidR="0019116F" w:rsidRPr="00660B5C">
        <w:t xml:space="preserve"> na </w:t>
      </w:r>
      <w:r w:rsidR="00EC0326" w:rsidRPr="00660B5C">
        <w:t>informa</w:t>
      </w:r>
      <w:r w:rsidR="00F86D85" w:rsidRPr="00660B5C">
        <w:t>tizáciu spoločnosti</w:t>
      </w:r>
      <w:r w:rsidR="009006E7">
        <w:t xml:space="preserve">, </w:t>
      </w:r>
      <w:r>
        <w:t xml:space="preserve">nemá </w:t>
      </w:r>
      <w:r w:rsidR="00EC0326" w:rsidRPr="00660B5C">
        <w:t xml:space="preserve">vplyvy na životné prostredie, </w:t>
      </w:r>
      <w:r>
        <w:t xml:space="preserve">nemá </w:t>
      </w:r>
      <w:r w:rsidR="00EC0326" w:rsidRPr="00660B5C">
        <w:t>vplyvy na služby v</w:t>
      </w:r>
      <w:r>
        <w:t xml:space="preserve">erejnej správy pre občana a nemá </w:t>
      </w:r>
      <w:r w:rsidR="00EC0326" w:rsidRPr="00660B5C">
        <w:t>vplyvy na manželstvo</w:t>
      </w:r>
      <w:r w:rsidR="00EC0326" w:rsidRPr="00660B5C">
        <w:rPr>
          <w:szCs w:val="22"/>
        </w:rPr>
        <w:t>, rodičovstvo a rodinu</w:t>
      </w:r>
      <w:r w:rsidR="00272B1C" w:rsidRPr="00660B5C">
        <w:t>.</w:t>
      </w:r>
    </w:p>
    <w:p w14:paraId="0202FA15" w14:textId="77777777" w:rsidR="002B15D0" w:rsidRDefault="002B15D0">
      <w:r>
        <w:br w:type="page"/>
      </w:r>
    </w:p>
    <w:p w14:paraId="4F3770AF" w14:textId="77777777" w:rsidR="002B15D0" w:rsidRPr="002B15D0" w:rsidRDefault="002B15D0" w:rsidP="002B15D0">
      <w:pPr>
        <w:spacing w:after="0" w:line="240" w:lineRule="auto"/>
        <w:ind w:firstLine="0"/>
        <w:jc w:val="center"/>
        <w:rPr>
          <w:b/>
          <w:bCs/>
          <w:sz w:val="28"/>
          <w:szCs w:val="28"/>
          <w:lang w:eastAsia="sk-SK"/>
        </w:rPr>
      </w:pPr>
      <w:r w:rsidRPr="002B15D0">
        <w:rPr>
          <w:b/>
          <w:bCs/>
          <w:sz w:val="28"/>
          <w:szCs w:val="28"/>
          <w:lang w:eastAsia="sk-SK"/>
        </w:rPr>
        <w:lastRenderedPageBreak/>
        <w:t>Doložka vybraných vplyvov</w:t>
      </w:r>
    </w:p>
    <w:p w14:paraId="1CEAB794" w14:textId="77777777" w:rsidR="002B15D0" w:rsidRPr="002B15D0" w:rsidRDefault="002B15D0" w:rsidP="002B15D0">
      <w:pPr>
        <w:spacing w:after="200"/>
        <w:ind w:left="426" w:firstLine="0"/>
        <w:contextualSpacing/>
        <w:jc w:val="left"/>
        <w:rPr>
          <w:rFonts w:ascii="Calibri" w:eastAsia="Calibri" w:hAnsi="Calibri"/>
          <w:b/>
          <w:sz w:val="22"/>
          <w:szCs w:val="22"/>
        </w:rPr>
      </w:pPr>
    </w:p>
    <w:tbl>
      <w:tblPr>
        <w:tblStyle w:val="Mriekatabuky2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2B15D0" w:rsidRPr="002B15D0" w14:paraId="2B0DE261" w14:textId="77777777" w:rsidTr="002B15D0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14:paraId="73915F9C" w14:textId="77777777" w:rsidR="002B15D0" w:rsidRPr="002B15D0" w:rsidRDefault="002B15D0" w:rsidP="002B15D0">
            <w:pPr>
              <w:numPr>
                <w:ilvl w:val="0"/>
                <w:numId w:val="30"/>
              </w:numPr>
              <w:ind w:left="426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Základné údaje</w:t>
            </w:r>
          </w:p>
        </w:tc>
      </w:tr>
      <w:tr w:rsidR="002B15D0" w:rsidRPr="002B15D0" w14:paraId="2B9B71CF" w14:textId="77777777" w:rsidTr="002B15D0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14:paraId="4EB25CB5" w14:textId="77777777" w:rsidR="002B15D0" w:rsidRPr="002B15D0" w:rsidRDefault="002B15D0" w:rsidP="002B15D0">
            <w:pPr>
              <w:spacing w:after="200"/>
              <w:ind w:left="142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Názov materiálu</w:t>
            </w:r>
          </w:p>
        </w:tc>
      </w:tr>
      <w:tr w:rsidR="002B15D0" w:rsidRPr="002B15D0" w14:paraId="4815F565" w14:textId="77777777" w:rsidTr="002B15D0">
        <w:tc>
          <w:tcPr>
            <w:tcW w:w="9180" w:type="dxa"/>
            <w:gridSpan w:val="10"/>
            <w:tcBorders>
              <w:top w:val="single" w:sz="4" w:space="0" w:color="FFFFFF"/>
              <w:bottom w:val="single" w:sz="4" w:space="0" w:color="auto"/>
            </w:tcBorders>
          </w:tcPr>
          <w:p w14:paraId="0569D4D0" w14:textId="77777777" w:rsidR="002B15D0" w:rsidRPr="002B15D0" w:rsidRDefault="002B15D0" w:rsidP="002B15D0">
            <w:pPr>
              <w:rPr>
                <w:sz w:val="20"/>
                <w:szCs w:val="20"/>
                <w:lang w:eastAsia="sk-SK"/>
              </w:rPr>
            </w:pPr>
            <w:r w:rsidRPr="002B15D0">
              <w:rPr>
                <w:szCs w:val="20"/>
                <w:lang w:eastAsia="sk-SK"/>
              </w:rPr>
              <w:t>Návrh zákona, ktorým sa mení a dopĺňa zákon č. 223/2019 Z. z. o sčítaní obyvateľov, domov a bytov v roku 2021 a o zmene a doplnení niektorých zákonov</w:t>
            </w:r>
          </w:p>
        </w:tc>
      </w:tr>
      <w:tr w:rsidR="002B15D0" w:rsidRPr="002B15D0" w14:paraId="377B88F0" w14:textId="77777777" w:rsidTr="002B15D0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D7408A0" w14:textId="77777777" w:rsidR="002B15D0" w:rsidRPr="002B15D0" w:rsidRDefault="002B15D0" w:rsidP="002B15D0">
            <w:pPr>
              <w:spacing w:after="200"/>
              <w:ind w:left="142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Predkladateľ (a spolupredkladateľ)</w:t>
            </w:r>
          </w:p>
        </w:tc>
      </w:tr>
      <w:tr w:rsidR="002B15D0" w:rsidRPr="002B15D0" w14:paraId="76B9CD43" w14:textId="77777777" w:rsidTr="002B15D0"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13C7A" w14:textId="77777777" w:rsidR="002B15D0" w:rsidRPr="002B15D0" w:rsidRDefault="002B15D0" w:rsidP="002B15D0">
            <w:pPr>
              <w:rPr>
                <w:sz w:val="20"/>
                <w:szCs w:val="20"/>
                <w:lang w:eastAsia="sk-SK"/>
              </w:rPr>
            </w:pPr>
            <w:r w:rsidRPr="002B15D0">
              <w:rPr>
                <w:lang w:eastAsia="sk-SK"/>
              </w:rPr>
              <w:t>Štatistický úrad Slovenskej republiky</w:t>
            </w:r>
          </w:p>
        </w:tc>
      </w:tr>
      <w:tr w:rsidR="002B15D0" w:rsidRPr="002B15D0" w14:paraId="1F075413" w14:textId="77777777" w:rsidTr="002B15D0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51048557" w14:textId="77777777" w:rsidR="002B15D0" w:rsidRPr="002B15D0" w:rsidRDefault="002B15D0" w:rsidP="002B15D0">
            <w:pPr>
              <w:spacing w:after="200"/>
              <w:ind w:left="142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Charakter predkladaného materiálu</w:t>
            </w:r>
          </w:p>
        </w:tc>
        <w:sdt>
          <w:sdtPr>
            <w:rPr>
              <w:sz w:val="20"/>
              <w:szCs w:val="20"/>
              <w:lang w:eastAsia="sk-SK"/>
            </w:r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57C3A24" w14:textId="77777777" w:rsidR="002B15D0" w:rsidRPr="002B15D0" w:rsidRDefault="002B15D0" w:rsidP="002B15D0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ascii="Segoe UI Symbol" w:eastAsia="MS Mincho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F4141" w14:textId="77777777" w:rsidR="002B15D0" w:rsidRPr="002B15D0" w:rsidRDefault="002B15D0" w:rsidP="002B15D0">
            <w:pPr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2B15D0" w:rsidRPr="002B15D0" w14:paraId="74402351" w14:textId="77777777" w:rsidTr="002B15D0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731214F" w14:textId="77777777" w:rsidR="002B15D0" w:rsidRPr="002B15D0" w:rsidRDefault="002B15D0" w:rsidP="002B15D0">
            <w:pPr>
              <w:rPr>
                <w:sz w:val="20"/>
                <w:szCs w:val="20"/>
                <w:lang w:eastAsia="sk-SK"/>
              </w:rPr>
            </w:pPr>
          </w:p>
        </w:tc>
        <w:sdt>
          <w:sdtPr>
            <w:rPr>
              <w:sz w:val="20"/>
              <w:szCs w:val="20"/>
              <w:lang w:eastAsia="sk-SK"/>
            </w:r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2D7CDAF" w14:textId="77777777" w:rsidR="002B15D0" w:rsidRPr="002B15D0" w:rsidRDefault="002B15D0" w:rsidP="002B15D0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BFA8154" w14:textId="77777777" w:rsidR="002B15D0" w:rsidRPr="002B15D0" w:rsidRDefault="002B15D0" w:rsidP="002B15D0">
            <w:pPr>
              <w:ind w:left="175" w:hanging="175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2B15D0" w:rsidRPr="002B15D0" w14:paraId="30A186E0" w14:textId="77777777" w:rsidTr="002B15D0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5B97D648" w14:textId="77777777" w:rsidR="002B15D0" w:rsidRPr="002B15D0" w:rsidRDefault="002B15D0" w:rsidP="002B15D0">
            <w:pPr>
              <w:rPr>
                <w:sz w:val="20"/>
                <w:szCs w:val="20"/>
                <w:lang w:eastAsia="sk-SK"/>
              </w:rPr>
            </w:pPr>
          </w:p>
        </w:tc>
        <w:sdt>
          <w:sdtPr>
            <w:rPr>
              <w:sz w:val="20"/>
              <w:szCs w:val="20"/>
              <w:lang w:eastAsia="sk-SK"/>
            </w:r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B046BBC" w14:textId="77777777" w:rsidR="002B15D0" w:rsidRPr="002B15D0" w:rsidRDefault="002B15D0" w:rsidP="002B15D0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ascii="Segoe UI Symbol" w:eastAsia="MS Mincho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3A5F480" w14:textId="77777777" w:rsidR="002B15D0" w:rsidRPr="002B15D0" w:rsidRDefault="002B15D0" w:rsidP="002B15D0">
            <w:pPr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2B15D0" w:rsidRPr="002B15D0" w14:paraId="46A1EBEB" w14:textId="77777777" w:rsidTr="002B15D0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3FC017F1" w14:textId="77777777" w:rsidR="002B15D0" w:rsidRPr="002B15D0" w:rsidRDefault="002B15D0" w:rsidP="002B15D0">
            <w:pPr>
              <w:rPr>
                <w:i/>
                <w:sz w:val="20"/>
                <w:szCs w:val="20"/>
                <w:lang w:eastAsia="sk-SK"/>
              </w:rPr>
            </w:pPr>
            <w:r w:rsidRPr="002B15D0">
              <w:rPr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14:paraId="476346DA" w14:textId="77777777" w:rsidR="002B15D0" w:rsidRPr="002B15D0" w:rsidRDefault="002B15D0" w:rsidP="002B15D0">
            <w:pPr>
              <w:rPr>
                <w:sz w:val="20"/>
                <w:szCs w:val="20"/>
                <w:lang w:eastAsia="sk-SK"/>
              </w:rPr>
            </w:pPr>
            <w:r w:rsidRPr="002B15D0">
              <w:rPr>
                <w:szCs w:val="20"/>
                <w:lang w:eastAsia="sk-SK"/>
              </w:rPr>
              <w:t>Nejde o transpozíciu smerníc Európskej únie.</w:t>
            </w:r>
          </w:p>
        </w:tc>
      </w:tr>
      <w:tr w:rsidR="002B15D0" w:rsidRPr="002B15D0" w14:paraId="404F3F83" w14:textId="77777777" w:rsidTr="002B15D0"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CE45E3A" w14:textId="77777777" w:rsidR="002B15D0" w:rsidRPr="002B15D0" w:rsidRDefault="002B15D0" w:rsidP="002B15D0">
            <w:pPr>
              <w:spacing w:after="200"/>
              <w:ind w:left="142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B853" w14:textId="77777777" w:rsidR="002B15D0" w:rsidRPr="002B15D0" w:rsidRDefault="002B15D0" w:rsidP="002B15D0">
            <w:pPr>
              <w:rPr>
                <w:sz w:val="20"/>
                <w:szCs w:val="20"/>
                <w:lang w:eastAsia="sk-SK"/>
              </w:rPr>
            </w:pPr>
          </w:p>
        </w:tc>
      </w:tr>
      <w:tr w:rsidR="002B15D0" w:rsidRPr="002B15D0" w14:paraId="585B2F57" w14:textId="77777777" w:rsidTr="002B15D0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B446C11" w14:textId="77777777" w:rsidR="002B15D0" w:rsidRPr="002B15D0" w:rsidRDefault="002B15D0" w:rsidP="002B15D0">
            <w:pPr>
              <w:spacing w:after="200"/>
              <w:ind w:left="142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9C18" w14:textId="77777777" w:rsidR="002B15D0" w:rsidRPr="002B15D0" w:rsidRDefault="002B15D0" w:rsidP="002B15D0">
            <w:pPr>
              <w:rPr>
                <w:szCs w:val="20"/>
                <w:lang w:eastAsia="sk-SK"/>
              </w:rPr>
            </w:pPr>
          </w:p>
        </w:tc>
      </w:tr>
      <w:tr w:rsidR="002B15D0" w:rsidRPr="002B15D0" w14:paraId="0677B9D1" w14:textId="77777777" w:rsidTr="002B15D0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D3408A7" w14:textId="77777777" w:rsidR="002B15D0" w:rsidRPr="002B15D0" w:rsidRDefault="002B15D0" w:rsidP="002B15D0">
            <w:pPr>
              <w:spacing w:after="200"/>
              <w:ind w:left="142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C5AA" w14:textId="77777777" w:rsidR="002B15D0" w:rsidRPr="002B15D0" w:rsidRDefault="002B15D0" w:rsidP="002B15D0">
            <w:pPr>
              <w:rPr>
                <w:szCs w:val="20"/>
                <w:lang w:eastAsia="sk-SK"/>
              </w:rPr>
            </w:pPr>
          </w:p>
        </w:tc>
      </w:tr>
      <w:tr w:rsidR="002B15D0" w:rsidRPr="002B15D0" w14:paraId="01D4CE70" w14:textId="77777777" w:rsidTr="002B15D0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203D1A" w14:textId="77777777" w:rsidR="002B15D0" w:rsidRPr="002B15D0" w:rsidRDefault="002B15D0" w:rsidP="002B15D0">
            <w:pPr>
              <w:rPr>
                <w:sz w:val="20"/>
                <w:szCs w:val="20"/>
                <w:lang w:eastAsia="sk-SK"/>
              </w:rPr>
            </w:pPr>
          </w:p>
        </w:tc>
      </w:tr>
      <w:tr w:rsidR="002B15D0" w:rsidRPr="002B15D0" w14:paraId="140F1EEB" w14:textId="77777777" w:rsidTr="00CC2D9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C0056CF" w14:textId="77777777" w:rsidR="002B15D0" w:rsidRPr="002B15D0" w:rsidRDefault="002B15D0" w:rsidP="002B15D0">
            <w:pPr>
              <w:numPr>
                <w:ilvl w:val="0"/>
                <w:numId w:val="30"/>
              </w:numPr>
              <w:ind w:left="426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Definovanie problému</w:t>
            </w:r>
          </w:p>
        </w:tc>
      </w:tr>
      <w:tr w:rsidR="002B15D0" w:rsidRPr="002B15D0" w14:paraId="4EC009D3" w14:textId="77777777" w:rsidTr="00CC2D92">
        <w:trPr>
          <w:trHeight w:val="794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1CE14" w14:textId="77777777" w:rsidR="002B15D0" w:rsidRPr="002B15D0" w:rsidRDefault="002B15D0" w:rsidP="002B15D0">
            <w:pPr>
              <w:spacing w:before="120"/>
              <w:rPr>
                <w:i/>
                <w:sz w:val="20"/>
                <w:szCs w:val="20"/>
                <w:lang w:eastAsia="sk-SK"/>
              </w:rPr>
            </w:pPr>
            <w:r w:rsidRPr="002B15D0">
              <w:rPr>
                <w:i/>
                <w:sz w:val="20"/>
                <w:szCs w:val="20"/>
                <w:lang w:eastAsia="sk-SK"/>
              </w:rPr>
              <w:t>Uveďte základné problémy, na ktoré navrhovaná regulácia reaguje.</w:t>
            </w:r>
          </w:p>
          <w:p w14:paraId="62EB8B4A" w14:textId="77777777" w:rsidR="002B15D0" w:rsidRPr="002B15D0" w:rsidRDefault="002B15D0" w:rsidP="002B15D0">
            <w:pPr>
              <w:jc w:val="both"/>
              <w:rPr>
                <w:rFonts w:ascii="Times" w:hAnsi="Times" w:cs="Times"/>
                <w:szCs w:val="20"/>
                <w:lang w:eastAsia="sk-SK"/>
              </w:rPr>
            </w:pPr>
            <w:r w:rsidRPr="002B15D0">
              <w:rPr>
                <w:rFonts w:ascii="Times" w:hAnsi="Times" w:cs="Times"/>
                <w:szCs w:val="20"/>
                <w:lang w:eastAsia="sk-SK"/>
              </w:rPr>
              <w:t>Sčítanie obyvateľov, domov a bytov v roku 2021 (ďalej len „SODB 2021“) je jedinečnou možnosťou ako získať vzájomne prepojené, spoľahlivé, porovnateľné údaje a informácie o stave spoločnosti, o jej demografických, sociálno-ekonomických a kultúrnych štruktúrach, o životných podmienkach obyvateľov a bývaní pre potreby vlády, podnikateľov, tvorcov politík na štátnej a lokálnej úrovni, najmä pre plánovanie a rozdeľovanie služieb, financií a iných prostriedkov, rozvoj politík a vyhodnocovanie aktivít.</w:t>
            </w:r>
          </w:p>
          <w:p w14:paraId="014B6E4D" w14:textId="77777777" w:rsidR="002B15D0" w:rsidRPr="002B15D0" w:rsidRDefault="002B15D0" w:rsidP="002B15D0">
            <w:pPr>
              <w:jc w:val="both"/>
              <w:rPr>
                <w:rFonts w:ascii="Times" w:hAnsi="Times" w:cs="Times"/>
                <w:szCs w:val="20"/>
                <w:lang w:eastAsia="sk-SK"/>
              </w:rPr>
            </w:pPr>
            <w:r w:rsidRPr="002B15D0">
              <w:rPr>
                <w:rFonts w:ascii="Times" w:hAnsi="Times" w:cs="Times"/>
                <w:szCs w:val="20"/>
                <w:lang w:eastAsia="sk-SK"/>
              </w:rPr>
              <w:t>Podľa nariadenia Európskeho parlamentu a Rady (ES) č. 763/2008 z 9. júna 2008 o sčítaní obyvateľov, domov a bytov (Ú. v. EÚ L 218, 13.8.2008) členským štátom EÚ vyplýva povinnosť uskutočniť sčítanie v tom istom roku (2021) a zisťovať v ňom údaje podľa rovnakých, resp. porovnateľných definícií.</w:t>
            </w:r>
          </w:p>
          <w:p w14:paraId="45D34056" w14:textId="77777777" w:rsidR="002B15D0" w:rsidRPr="002B15D0" w:rsidRDefault="002B15D0" w:rsidP="002B15D0">
            <w:pPr>
              <w:jc w:val="both"/>
              <w:rPr>
                <w:bCs/>
                <w:lang w:eastAsia="sk-SK"/>
              </w:rPr>
            </w:pPr>
            <w:r w:rsidRPr="002B15D0">
              <w:rPr>
                <w:rFonts w:ascii="Times" w:hAnsi="Times" w:cs="Times"/>
                <w:szCs w:val="20"/>
                <w:lang w:eastAsia="sk-SK"/>
              </w:rPr>
              <w:t xml:space="preserve">Z dôvodu </w:t>
            </w:r>
            <w:r w:rsidRPr="002B15D0">
              <w:rPr>
                <w:bCs/>
                <w:lang w:eastAsia="sk-SK"/>
              </w:rPr>
              <w:t>závažnej  epidemiologickej situácie spôsobenej pretrvávajúcim šírením nového koronavírusu (ďalej len „ochorenie COVID-19“) v Slovenskej republike vláda a SR a Úrad verejného zdravotníctva SR prijímajú opatrenia na ochranu verejného zdravia s cieľom znížiť riziko počtu postihnutých ochorením COVID-19. Počas doby sčítania obyvateľov od 15. februára 2021 do 31. marca 2021 bude obyvateľ plniť svoju sčítaciu povinnosť vyplnením elektronického formulára na sčítanie obyvateľov a podľa účinného znenia zákona č. 223/2019 Z. z. majú obce v súčinnosti so Štatistickým úradom SR poskytovať aj službu asistovaného sčítania tým obyvateľom, ktorí sa nedokážu sčítať prostredníctvom elektronických formulárov sami a ani s pomocou blízkych osôb alebo iných osôb, s ktorými žijú v jednej bytovej domácnosti. Keďže existuje predpoklad pretrvávania závažnej epidemiologickej situácie aj počas blížiacej sa doby sčítania obyvateľov, predstavovalo by vykonávanie asistovaného sčítania všeobecné zvýšenie rizika infikovania sa ochorením COVID-19. Zároveň bude  potrebné dodržiavať opatrenia Úradu verejného zdravotníctva Slovenskej republiky nariadené na ochranu verejného zdravia, ktoré môžu spočívať v obmedzení pohybu a pobytu dotknutých obyvateľov ako aj asistentov sčítania. Z týchto dôvodov bude potrebné vykonať asistované sčítanie obyvateľov v neskoršom období</w:t>
            </w:r>
            <w:r w:rsidRPr="002B15D0" w:rsidDel="00167F55">
              <w:rPr>
                <w:bCs/>
                <w:lang w:eastAsia="sk-SK"/>
              </w:rPr>
              <w:t xml:space="preserve"> </w:t>
            </w:r>
            <w:r w:rsidRPr="002B15D0">
              <w:rPr>
                <w:bCs/>
                <w:lang w:eastAsia="sk-SK"/>
              </w:rPr>
              <w:t>ako počas doby sčítania obyvateľov. Zmenu priebehu sčítania obyvateľov je potrebné prijať novelou zákona č. 223/2019 Z. z., keďže ide o úpravu sčítacej povinnosti a úloh orgánov podieľajúcich sa na zabezpečení sčítania obyvateľov zberom údajov z elektronických formulárov na sčítanie upravených v tomto zákone. Sekundárne bude potrebné novelizovať príslušné vykonávacie predpisy – opatrenia Štatistického úradu SR.</w:t>
            </w:r>
          </w:p>
          <w:p w14:paraId="5457FE35" w14:textId="77777777" w:rsidR="002B15D0" w:rsidRPr="002B15D0" w:rsidRDefault="002B15D0" w:rsidP="002B15D0">
            <w:pPr>
              <w:jc w:val="both"/>
              <w:rPr>
                <w:bCs/>
                <w:lang w:eastAsia="sk-SK"/>
              </w:rPr>
            </w:pPr>
            <w:r w:rsidRPr="002B15D0">
              <w:rPr>
                <w:bCs/>
                <w:lang w:eastAsia="sk-SK"/>
              </w:rPr>
              <w:lastRenderedPageBreak/>
              <w:t>Obyvateľmi, o ktorých sa predpokladá, že využijú službu asistovaného sčítania, sú prevažne seniori,  osoby so zdravotným postihnutím alebo osoby s minimálnymi digitálnymi zručnosťami, pre ktoré by kontakt s asistentmi sčítania počas blížiacej sa doby sčítania predstavoval zvýšené riziko ochorenia COVID-19 resp. by si z dôvodu obavy o svoje zdravie al</w:t>
            </w:r>
            <w:bookmarkStart w:id="0" w:name="_GoBack"/>
            <w:bookmarkEnd w:id="0"/>
            <w:r w:rsidRPr="002B15D0">
              <w:rPr>
                <w:bCs/>
                <w:lang w:eastAsia="sk-SK"/>
              </w:rPr>
              <w:t xml:space="preserve">ebo z dôvodu, že by asistenti sčítania mali zakázané nariadenými opatreniami kontaktovať týchto obyvateľov, nesplnili svoju sčítaciu povinnosť, následkom čoho by došlo k </w:t>
            </w:r>
            <w:r w:rsidRPr="002B15D0">
              <w:rPr>
                <w:lang w:eastAsia="sk-SK"/>
              </w:rPr>
              <w:t>zníženiu kvality a komplexnosti výsledkov sčítania obyvateľov v Slovenskej republike v roku 2021 a tým aj k čiastočnému znehodnoteniu celkových výsledkov SODB 2021.</w:t>
            </w:r>
          </w:p>
        </w:tc>
      </w:tr>
      <w:tr w:rsidR="002B15D0" w:rsidRPr="002B15D0" w14:paraId="677A9152" w14:textId="77777777" w:rsidTr="001B1E9E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845C3F0" w14:textId="77777777" w:rsidR="002B15D0" w:rsidRPr="002B15D0" w:rsidRDefault="002B15D0" w:rsidP="002B15D0">
            <w:pPr>
              <w:numPr>
                <w:ilvl w:val="0"/>
                <w:numId w:val="30"/>
              </w:numPr>
              <w:ind w:left="426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lastRenderedPageBreak/>
              <w:t>Ciele a výsledný stav</w:t>
            </w:r>
          </w:p>
        </w:tc>
      </w:tr>
      <w:tr w:rsidR="002B15D0" w:rsidRPr="002B15D0" w14:paraId="080776D6" w14:textId="77777777" w:rsidTr="002B15D0">
        <w:trPr>
          <w:trHeight w:val="567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5ED66" w14:textId="77777777" w:rsidR="002B15D0" w:rsidRPr="002B15D0" w:rsidRDefault="002B15D0" w:rsidP="002B15D0">
            <w:pPr>
              <w:spacing w:before="120"/>
              <w:rPr>
                <w:i/>
                <w:sz w:val="20"/>
                <w:szCs w:val="20"/>
                <w:lang w:eastAsia="sk-SK"/>
              </w:rPr>
            </w:pPr>
            <w:r w:rsidRPr="002B15D0">
              <w:rPr>
                <w:i/>
                <w:sz w:val="20"/>
                <w:szCs w:val="20"/>
                <w:lang w:eastAsia="sk-SK"/>
              </w:rPr>
              <w:t>Uveďte hlavné ciele navrhovaného predpisu (aký výsledný stav chcete reguláciou dosiahnuť).</w:t>
            </w:r>
          </w:p>
          <w:p w14:paraId="1E115080" w14:textId="77777777" w:rsidR="002B15D0" w:rsidRPr="002B15D0" w:rsidRDefault="002B15D0" w:rsidP="002B15D0">
            <w:pPr>
              <w:numPr>
                <w:ilvl w:val="0"/>
                <w:numId w:val="31"/>
              </w:numPr>
              <w:spacing w:after="200"/>
              <w:jc w:val="both"/>
              <w:rPr>
                <w:rFonts w:eastAsia="Calibri"/>
              </w:rPr>
            </w:pPr>
            <w:r w:rsidRPr="002B15D0">
              <w:rPr>
                <w:rFonts w:eastAsia="Calibri"/>
              </w:rPr>
              <w:t>Nezvyšovať riziko ohrozenia zdravia najzraniteľnejšej časti obyvateľov ochorením COVID-19;</w:t>
            </w:r>
          </w:p>
          <w:p w14:paraId="194A0E4D" w14:textId="77777777" w:rsidR="002B15D0" w:rsidRPr="002B15D0" w:rsidRDefault="002B15D0" w:rsidP="002B15D0">
            <w:pPr>
              <w:numPr>
                <w:ilvl w:val="0"/>
                <w:numId w:val="31"/>
              </w:numPr>
              <w:spacing w:after="200"/>
              <w:jc w:val="both"/>
              <w:rPr>
                <w:rFonts w:eastAsia="Calibri"/>
              </w:rPr>
            </w:pPr>
            <w:r w:rsidRPr="002B15D0">
              <w:rPr>
                <w:rFonts w:eastAsia="Calibri"/>
              </w:rPr>
              <w:t>zabrániť zníženiu kvality a komplexnosti výsledkov sčítania obyvateľov v Slovenskej republike v roku 2021 a tým aj k čiastočnému znehodnoteniu celkových výsledkov SODB 2021;</w:t>
            </w:r>
          </w:p>
          <w:p w14:paraId="4913649B" w14:textId="77777777" w:rsidR="002B15D0" w:rsidRPr="002B15D0" w:rsidRDefault="002B15D0" w:rsidP="002B15D0">
            <w:pPr>
              <w:numPr>
                <w:ilvl w:val="0"/>
                <w:numId w:val="31"/>
              </w:numPr>
              <w:spacing w:after="200"/>
              <w:jc w:val="both"/>
              <w:rPr>
                <w:rFonts w:ascii="Calibri" w:eastAsia="Calibri" w:hAnsi="Calibri"/>
              </w:rPr>
            </w:pPr>
            <w:r w:rsidRPr="002B15D0">
              <w:rPr>
                <w:rFonts w:eastAsia="Calibri"/>
              </w:rPr>
              <w:t>zabrániť zníženiu efektivity celkových vynaložených rozpočtových prostriedkov na SODB 2021 zo štátneho rozpočtu, čo by bolo v priamom  rozpore s princípom dosahovania čo najvyššej hodnoty za vynaložené peniaze.</w:t>
            </w:r>
          </w:p>
        </w:tc>
      </w:tr>
      <w:tr w:rsidR="002B15D0" w:rsidRPr="002B15D0" w14:paraId="7BCC7347" w14:textId="77777777" w:rsidTr="001B1E9E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166B221" w14:textId="77777777" w:rsidR="002B15D0" w:rsidRPr="002B15D0" w:rsidRDefault="002B15D0" w:rsidP="002B15D0">
            <w:pPr>
              <w:numPr>
                <w:ilvl w:val="0"/>
                <w:numId w:val="30"/>
              </w:numPr>
              <w:ind w:left="426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Dotknuté subjekty</w:t>
            </w:r>
          </w:p>
        </w:tc>
      </w:tr>
      <w:tr w:rsidR="002B15D0" w:rsidRPr="002B15D0" w14:paraId="069E23C9" w14:textId="77777777" w:rsidTr="002B15D0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F5C15" w14:textId="77777777" w:rsidR="002B15D0" w:rsidRPr="002B15D0" w:rsidRDefault="002B15D0" w:rsidP="002B15D0">
            <w:pPr>
              <w:spacing w:before="120"/>
              <w:rPr>
                <w:i/>
                <w:sz w:val="20"/>
                <w:szCs w:val="20"/>
                <w:lang w:eastAsia="sk-SK"/>
              </w:rPr>
            </w:pPr>
            <w:r w:rsidRPr="002B15D0">
              <w:rPr>
                <w:i/>
                <w:sz w:val="20"/>
                <w:szCs w:val="20"/>
                <w:lang w:eastAsia="sk-SK"/>
              </w:rPr>
              <w:t>Uveďte subjekty, ktorých sa zmeny návrhu dotknú priamo aj nepriamo:</w:t>
            </w:r>
          </w:p>
          <w:p w14:paraId="642C840B" w14:textId="77777777" w:rsidR="002B15D0" w:rsidRPr="002B15D0" w:rsidRDefault="002B15D0" w:rsidP="002B15D0">
            <w:pPr>
              <w:rPr>
                <w:szCs w:val="20"/>
                <w:u w:val="single"/>
                <w:lang w:eastAsia="sk-SK"/>
              </w:rPr>
            </w:pPr>
            <w:r w:rsidRPr="002B15D0">
              <w:rPr>
                <w:szCs w:val="20"/>
                <w:u w:val="single"/>
                <w:lang w:eastAsia="sk-SK"/>
              </w:rPr>
              <w:t>Priamy dopad:</w:t>
            </w:r>
          </w:p>
          <w:p w14:paraId="1AD281ED" w14:textId="77777777" w:rsidR="002B15D0" w:rsidRPr="002B15D0" w:rsidRDefault="002B15D0" w:rsidP="002B15D0">
            <w:pPr>
              <w:jc w:val="both"/>
              <w:rPr>
                <w:szCs w:val="20"/>
                <w:lang w:eastAsia="sk-SK"/>
              </w:rPr>
            </w:pPr>
            <w:r w:rsidRPr="002B15D0">
              <w:rPr>
                <w:szCs w:val="20"/>
                <w:lang w:eastAsia="sk-SK"/>
              </w:rPr>
              <w:t>Fyzické osoby – obyvatelia Slovenskej republiky, ktorí využijú službu asistovaného sčítania z dôvodu zdravotných obmedzení, veku alebo chýbajúcich digitálnych zručností</w:t>
            </w:r>
          </w:p>
          <w:p w14:paraId="18CF121A" w14:textId="77777777" w:rsidR="002B15D0" w:rsidRPr="002B15D0" w:rsidRDefault="002B15D0" w:rsidP="002B15D0">
            <w:pPr>
              <w:jc w:val="both"/>
              <w:rPr>
                <w:szCs w:val="20"/>
                <w:lang w:eastAsia="sk-SK"/>
              </w:rPr>
            </w:pPr>
            <w:r w:rsidRPr="002B15D0">
              <w:rPr>
                <w:szCs w:val="20"/>
                <w:lang w:eastAsia="sk-SK"/>
              </w:rPr>
              <w:t>Obce pri plnení úloh v rámci preneseného výkonu štátnej správy v oblasti SODB 2021</w:t>
            </w:r>
          </w:p>
          <w:p w14:paraId="5AF64157" w14:textId="77777777" w:rsidR="002B15D0" w:rsidRPr="002B15D0" w:rsidRDefault="002B15D0" w:rsidP="002B15D0">
            <w:pPr>
              <w:jc w:val="both"/>
              <w:rPr>
                <w:szCs w:val="20"/>
                <w:lang w:eastAsia="sk-SK"/>
              </w:rPr>
            </w:pPr>
            <w:r w:rsidRPr="002B15D0">
              <w:rPr>
                <w:szCs w:val="20"/>
                <w:lang w:eastAsia="sk-SK"/>
              </w:rPr>
              <w:t>Vymenovaní asistenti sčítania</w:t>
            </w:r>
          </w:p>
          <w:p w14:paraId="343594E7" w14:textId="77777777" w:rsidR="002B15D0" w:rsidRPr="002B15D0" w:rsidRDefault="002B15D0" w:rsidP="002B15D0">
            <w:pPr>
              <w:jc w:val="both"/>
              <w:rPr>
                <w:szCs w:val="20"/>
                <w:lang w:eastAsia="sk-SK"/>
              </w:rPr>
            </w:pPr>
            <w:r w:rsidRPr="002B15D0">
              <w:rPr>
                <w:szCs w:val="20"/>
                <w:lang w:eastAsia="sk-SK"/>
              </w:rPr>
              <w:t>Kontaktné osoby určené starostami obcí</w:t>
            </w:r>
          </w:p>
        </w:tc>
      </w:tr>
      <w:tr w:rsidR="002B15D0" w:rsidRPr="002B15D0" w14:paraId="61E9552E" w14:textId="77777777" w:rsidTr="001B1E9E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BCF7C88" w14:textId="77777777" w:rsidR="002B15D0" w:rsidRPr="002B15D0" w:rsidRDefault="002B15D0" w:rsidP="002B15D0">
            <w:pPr>
              <w:numPr>
                <w:ilvl w:val="0"/>
                <w:numId w:val="30"/>
              </w:numPr>
              <w:ind w:left="426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Alternatívne riešenia</w:t>
            </w:r>
          </w:p>
        </w:tc>
      </w:tr>
      <w:tr w:rsidR="002B15D0" w:rsidRPr="002B15D0" w14:paraId="2EFA9D0B" w14:textId="77777777" w:rsidTr="002B15D0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5B594" w14:textId="77777777" w:rsidR="002B15D0" w:rsidRPr="002B15D0" w:rsidRDefault="002B15D0" w:rsidP="002B15D0">
            <w:pPr>
              <w:spacing w:before="120"/>
              <w:rPr>
                <w:i/>
                <w:sz w:val="20"/>
                <w:szCs w:val="20"/>
                <w:lang w:eastAsia="sk-SK"/>
              </w:rPr>
            </w:pPr>
            <w:r w:rsidRPr="002B15D0">
              <w:rPr>
                <w:i/>
                <w:sz w:val="20"/>
                <w:szCs w:val="20"/>
                <w:lang w:eastAsia="sk-SK"/>
              </w:rPr>
              <w:t>Aké alternatívne riešenia boli posudzované?</w:t>
            </w:r>
          </w:p>
          <w:p w14:paraId="71C3CFDF" w14:textId="77777777" w:rsidR="002B15D0" w:rsidRPr="002B15D0" w:rsidRDefault="002B15D0" w:rsidP="002B15D0">
            <w:pPr>
              <w:rPr>
                <w:i/>
                <w:szCs w:val="20"/>
                <w:lang w:eastAsia="sk-SK"/>
              </w:rPr>
            </w:pPr>
            <w:r w:rsidRPr="002B15D0">
              <w:rPr>
                <w:i/>
                <w:szCs w:val="20"/>
                <w:lang w:eastAsia="sk-SK"/>
              </w:rPr>
              <w:t>Uveďte, aké alternatívne spôsoby na odstránenie definovaného problému boli identifikované a posudzované.</w:t>
            </w:r>
          </w:p>
          <w:p w14:paraId="000A8771" w14:textId="77777777" w:rsidR="002B15D0" w:rsidRPr="002B15D0" w:rsidRDefault="002B15D0" w:rsidP="002B15D0">
            <w:pPr>
              <w:spacing w:after="240"/>
              <w:rPr>
                <w:sz w:val="20"/>
                <w:szCs w:val="20"/>
                <w:lang w:eastAsia="sk-SK"/>
              </w:rPr>
            </w:pPr>
            <w:r w:rsidRPr="002B15D0">
              <w:rPr>
                <w:szCs w:val="20"/>
                <w:lang w:eastAsia="sk-SK"/>
              </w:rPr>
              <w:t>Neboli identifikované žiadne alternatívne spôsoby riešenia.</w:t>
            </w:r>
          </w:p>
        </w:tc>
      </w:tr>
      <w:tr w:rsidR="002B15D0" w:rsidRPr="002B15D0" w14:paraId="20F98490" w14:textId="77777777" w:rsidTr="002B15D0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F67822B" w14:textId="77777777" w:rsidR="002B15D0" w:rsidRPr="002B15D0" w:rsidRDefault="002B15D0" w:rsidP="002B15D0">
            <w:pPr>
              <w:numPr>
                <w:ilvl w:val="0"/>
                <w:numId w:val="30"/>
              </w:numPr>
              <w:ind w:left="426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Vykonávacie predpisy</w:t>
            </w:r>
          </w:p>
        </w:tc>
      </w:tr>
      <w:tr w:rsidR="002B15D0" w:rsidRPr="002B15D0" w14:paraId="1AF2A59C" w14:textId="77777777" w:rsidTr="002B15D0"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5F5318" w14:textId="77777777" w:rsidR="002B15D0" w:rsidRPr="002B15D0" w:rsidRDefault="002B15D0" w:rsidP="002B15D0">
            <w:pPr>
              <w:spacing w:before="120"/>
              <w:rPr>
                <w:i/>
                <w:sz w:val="20"/>
                <w:szCs w:val="20"/>
                <w:lang w:eastAsia="sk-SK"/>
              </w:rPr>
            </w:pPr>
            <w:r w:rsidRPr="002B15D0">
              <w:rPr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27037DD6" w14:textId="77777777" w:rsidR="002B15D0" w:rsidRPr="002B15D0" w:rsidRDefault="00CE2DC1" w:rsidP="002B15D0">
            <w:pPr>
              <w:jc w:val="center"/>
              <w:rPr>
                <w:sz w:val="20"/>
                <w:szCs w:val="20"/>
                <w:lang w:eastAsia="sk-SK"/>
              </w:rPr>
            </w:pPr>
            <w:sdt>
              <w:sdtPr>
                <w:rPr>
                  <w:sz w:val="20"/>
                  <w:szCs w:val="20"/>
                  <w:lang w:eastAsia="sk-SK"/>
                </w:rPr>
                <w:id w:val="-1407611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5D0" w:rsidRPr="002B15D0">
                  <w:rPr>
                    <w:rFonts w:eastAsia="MS Gothic" w:hint="eastAsia"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2B15D0" w:rsidRPr="002B15D0">
              <w:rPr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BFF4479" w14:textId="77777777" w:rsidR="002B15D0" w:rsidRPr="002B15D0" w:rsidRDefault="00CE2DC1" w:rsidP="002B15D0">
            <w:pPr>
              <w:jc w:val="center"/>
              <w:rPr>
                <w:sz w:val="20"/>
                <w:szCs w:val="20"/>
                <w:lang w:eastAsia="sk-SK"/>
              </w:rPr>
            </w:pPr>
            <w:sdt>
              <w:sdtPr>
                <w:rPr>
                  <w:sz w:val="20"/>
                  <w:szCs w:val="20"/>
                  <w:lang w:eastAsia="sk-SK"/>
                </w:rPr>
                <w:id w:val="-162584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5D0" w:rsidRPr="002B15D0">
                  <w:rPr>
                    <w:rFonts w:eastAsia="MS Gothic" w:hint="eastAsia"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2B15D0" w:rsidRPr="002B15D0">
              <w:rPr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2B15D0" w:rsidRPr="002B15D0" w14:paraId="34FEAAA1" w14:textId="77777777" w:rsidTr="002B15D0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8085E" w14:textId="77777777" w:rsidR="002B15D0" w:rsidRPr="002B15D0" w:rsidRDefault="002B15D0" w:rsidP="002B15D0">
            <w:pPr>
              <w:rPr>
                <w:i/>
                <w:sz w:val="20"/>
                <w:szCs w:val="20"/>
                <w:lang w:eastAsia="sk-SK"/>
              </w:rPr>
            </w:pPr>
            <w:r w:rsidRPr="002B15D0">
              <w:rPr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39F5EEEB" w14:textId="77777777" w:rsidR="002B15D0" w:rsidRPr="002B15D0" w:rsidRDefault="002B15D0" w:rsidP="002B15D0">
            <w:pPr>
              <w:jc w:val="both"/>
              <w:rPr>
                <w:szCs w:val="20"/>
                <w:lang w:eastAsia="sk-SK"/>
              </w:rPr>
            </w:pPr>
            <w:r w:rsidRPr="002B15D0">
              <w:rPr>
                <w:szCs w:val="20"/>
                <w:lang w:eastAsia="sk-SK"/>
              </w:rPr>
              <w:t>Schválený návrh zákona si vyžiada zmenu alebo doplnenie opatrení Štatistického úradu SR, ktorými sa vykonávajú príslušné ustanovenia zákona č. 223/2019 Z. z., konkrétne:</w:t>
            </w:r>
          </w:p>
          <w:p w14:paraId="2ADB6F03" w14:textId="77777777" w:rsidR="002B15D0" w:rsidRPr="002B15D0" w:rsidRDefault="002B15D0" w:rsidP="002B15D0">
            <w:pPr>
              <w:numPr>
                <w:ilvl w:val="0"/>
                <w:numId w:val="32"/>
              </w:numPr>
              <w:spacing w:line="259" w:lineRule="auto"/>
              <w:ind w:left="357"/>
              <w:jc w:val="both"/>
              <w:rPr>
                <w:rFonts w:eastAsia="Calibri"/>
              </w:rPr>
            </w:pPr>
            <w:r w:rsidRPr="002B15D0">
              <w:rPr>
                <w:rFonts w:eastAsia="Calibri"/>
              </w:rPr>
              <w:t xml:space="preserve">Opatrenia Štatistického úradu Slovenskej republiky č. 403/2019 o preukaze asistenta sčítania: </w:t>
            </w:r>
          </w:p>
          <w:p w14:paraId="3F3E7E10" w14:textId="1B260B6F" w:rsidR="002B15D0" w:rsidRPr="002B15D0" w:rsidRDefault="002B15D0" w:rsidP="002B15D0">
            <w:pPr>
              <w:numPr>
                <w:ilvl w:val="0"/>
                <w:numId w:val="33"/>
              </w:numPr>
              <w:spacing w:line="259" w:lineRule="auto"/>
              <w:jc w:val="both"/>
              <w:rPr>
                <w:rFonts w:eastAsia="Calibri"/>
              </w:rPr>
            </w:pPr>
            <w:r w:rsidRPr="002B15D0">
              <w:rPr>
                <w:rFonts w:eastAsia="Calibri"/>
              </w:rPr>
              <w:t>ustanoví sa, že preukaz asistenta sčítania obsahuje údaj, že asistent sčítania je oprávnený vykonávať asistované sčítanie počas dosčítavania podľa § 5</w:t>
            </w:r>
            <w:r w:rsidR="00F330B3">
              <w:rPr>
                <w:rFonts w:eastAsia="Calibri"/>
              </w:rPr>
              <w:t>a</w:t>
            </w:r>
            <w:r w:rsidRPr="002B15D0">
              <w:rPr>
                <w:rFonts w:eastAsia="Calibri"/>
              </w:rPr>
              <w:t xml:space="preserve"> zákona č. 223/2019 Z. z. v znení schváleného návrhu zákona,</w:t>
            </w:r>
          </w:p>
          <w:p w14:paraId="5B76F996" w14:textId="77777777" w:rsidR="002B15D0" w:rsidRPr="002B15D0" w:rsidRDefault="002B15D0" w:rsidP="002B15D0">
            <w:pPr>
              <w:numPr>
                <w:ilvl w:val="0"/>
                <w:numId w:val="32"/>
              </w:numPr>
              <w:spacing w:line="259" w:lineRule="auto"/>
              <w:ind w:left="357"/>
              <w:jc w:val="both"/>
              <w:rPr>
                <w:rFonts w:eastAsia="Calibri"/>
              </w:rPr>
            </w:pPr>
            <w:r w:rsidRPr="002B15D0">
              <w:rPr>
                <w:rFonts w:eastAsia="Calibri"/>
              </w:rPr>
              <w:t>Opatrenia Štatistického úradu Slovenskej republiky č. 307/2020 Z. z. o poskytnutí dotácie zo štátneho rozpočtu na úhradu nákladov preneseného výkonu štátnej správy pri príprave, priebehu a vykonaní sčítania obyvateľov, domov a bytov v roku 2021, ktoré vzniknú pri sčítaní obyvateľov, a o odmene niektorých asistentov sčítania:</w:t>
            </w:r>
          </w:p>
          <w:p w14:paraId="7E51DE28" w14:textId="528993DF" w:rsidR="002B15D0" w:rsidRPr="002B15D0" w:rsidRDefault="002B15D0" w:rsidP="002B15D0">
            <w:pPr>
              <w:numPr>
                <w:ilvl w:val="0"/>
                <w:numId w:val="33"/>
              </w:numPr>
              <w:spacing w:line="259" w:lineRule="auto"/>
              <w:jc w:val="both"/>
              <w:rPr>
                <w:rFonts w:eastAsia="Calibri"/>
              </w:rPr>
            </w:pPr>
            <w:r w:rsidRPr="002B15D0">
              <w:rPr>
                <w:rFonts w:eastAsia="Calibri"/>
              </w:rPr>
              <w:t>zmení sa § 5 ods. 3 opatrenia vzhľadom na zavedenie dosčíta</w:t>
            </w:r>
            <w:r w:rsidR="007C4590">
              <w:rPr>
                <w:rFonts w:eastAsia="Calibri"/>
              </w:rPr>
              <w:t>va</w:t>
            </w:r>
            <w:r w:rsidRPr="002B15D0">
              <w:rPr>
                <w:rFonts w:eastAsia="Calibri"/>
              </w:rPr>
              <w:t>nia podľa § 5</w:t>
            </w:r>
            <w:r w:rsidR="00F330B3">
              <w:rPr>
                <w:rFonts w:eastAsia="Calibri"/>
              </w:rPr>
              <w:t>a</w:t>
            </w:r>
            <w:r w:rsidRPr="002B15D0">
              <w:rPr>
                <w:rFonts w:eastAsia="Calibri"/>
              </w:rPr>
              <w:t xml:space="preserve"> zákona č. 223/2019 Z. z. v znení schváleného návrhu zákona,</w:t>
            </w:r>
          </w:p>
          <w:p w14:paraId="25C4AF9A" w14:textId="77777777" w:rsidR="002B15D0" w:rsidRPr="002B15D0" w:rsidRDefault="002B15D0" w:rsidP="002B15D0">
            <w:pPr>
              <w:numPr>
                <w:ilvl w:val="0"/>
                <w:numId w:val="32"/>
              </w:numPr>
              <w:spacing w:line="259" w:lineRule="auto"/>
              <w:ind w:left="357"/>
              <w:jc w:val="both"/>
              <w:rPr>
                <w:rFonts w:eastAsia="Calibri"/>
              </w:rPr>
            </w:pPr>
            <w:r w:rsidRPr="002B15D0">
              <w:rPr>
                <w:rFonts w:eastAsia="Calibri"/>
              </w:rPr>
              <w:t>Opatrenia Štatistického úradu Slovenskej republiky č. 435/2019 Z. z., ktorým sa ustanovujú podrobnosti o systéme identifikácie elektronickej identity obyvateľa a systéme overenia elektronickej identity obyvateľa prostredníctvom jeho autentifikácie:</w:t>
            </w:r>
          </w:p>
          <w:p w14:paraId="05915F38" w14:textId="77777777" w:rsidR="002B15D0" w:rsidRPr="002B15D0" w:rsidRDefault="002B15D0" w:rsidP="002B15D0">
            <w:pPr>
              <w:numPr>
                <w:ilvl w:val="0"/>
                <w:numId w:val="33"/>
              </w:numPr>
              <w:spacing w:after="160" w:line="259" w:lineRule="auto"/>
              <w:jc w:val="both"/>
              <w:rPr>
                <w:rFonts w:eastAsia="Calibri"/>
              </w:rPr>
            </w:pPr>
            <w:r w:rsidRPr="002B15D0">
              <w:rPr>
                <w:rFonts w:eastAsia="Calibri"/>
              </w:rPr>
              <w:lastRenderedPageBreak/>
              <w:t>vykoná sa legislatívno-technická úprava odkazu na ustanovenie zákona č. 223/2019 Z. z. v znení schváleného návrhu zákona.</w:t>
            </w:r>
          </w:p>
        </w:tc>
      </w:tr>
      <w:tr w:rsidR="002B15D0" w:rsidRPr="002B15D0" w14:paraId="6AC06CAF" w14:textId="77777777" w:rsidTr="002B15D0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8E4C0AD" w14:textId="77777777" w:rsidR="002B15D0" w:rsidRPr="002B15D0" w:rsidRDefault="002B15D0" w:rsidP="002B15D0">
            <w:pPr>
              <w:numPr>
                <w:ilvl w:val="0"/>
                <w:numId w:val="30"/>
              </w:numPr>
              <w:ind w:left="426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lastRenderedPageBreak/>
              <w:t xml:space="preserve">Transpozícia práva EÚ </w:t>
            </w:r>
          </w:p>
        </w:tc>
      </w:tr>
      <w:tr w:rsidR="002B15D0" w:rsidRPr="002B15D0" w14:paraId="3E4CB500" w14:textId="77777777" w:rsidTr="002B15D0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73166C7C" w14:textId="77777777" w:rsidR="002B15D0" w:rsidRPr="002B15D0" w:rsidRDefault="002B15D0" w:rsidP="002B15D0">
            <w:pPr>
              <w:spacing w:before="120"/>
              <w:rPr>
                <w:sz w:val="20"/>
                <w:szCs w:val="20"/>
                <w:lang w:eastAsia="sk-SK"/>
              </w:rPr>
            </w:pPr>
            <w:r w:rsidRPr="002B15D0">
              <w:rPr>
                <w:szCs w:val="20"/>
                <w:lang w:eastAsia="sk-SK"/>
              </w:rPr>
              <w:t>Nejde o transpozíciu práva EÚ.</w:t>
            </w:r>
          </w:p>
        </w:tc>
      </w:tr>
      <w:tr w:rsidR="002B15D0" w:rsidRPr="002B15D0" w14:paraId="6FB4E715" w14:textId="77777777" w:rsidTr="002B15D0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8A6D4" w14:textId="77777777" w:rsidR="002B15D0" w:rsidRPr="002B15D0" w:rsidRDefault="002B15D0" w:rsidP="002B15D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</w:tr>
      <w:tr w:rsidR="002B15D0" w:rsidRPr="002B15D0" w14:paraId="70F75A50" w14:textId="77777777" w:rsidTr="002B15D0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A120931" w14:textId="77777777" w:rsidR="002B15D0" w:rsidRPr="002B15D0" w:rsidRDefault="002B15D0" w:rsidP="002B15D0">
            <w:pPr>
              <w:numPr>
                <w:ilvl w:val="0"/>
                <w:numId w:val="30"/>
              </w:numPr>
              <w:ind w:left="426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Preskúmanie účelnosti**</w:t>
            </w:r>
          </w:p>
        </w:tc>
      </w:tr>
      <w:tr w:rsidR="002B15D0" w:rsidRPr="002B15D0" w14:paraId="1F1B6CF9" w14:textId="77777777" w:rsidTr="002B15D0"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0B422" w14:textId="77777777" w:rsidR="002B15D0" w:rsidRPr="002B15D0" w:rsidRDefault="002B15D0" w:rsidP="002B15D0">
            <w:pPr>
              <w:spacing w:after="360"/>
              <w:rPr>
                <w:i/>
                <w:sz w:val="20"/>
                <w:szCs w:val="20"/>
                <w:lang w:eastAsia="sk-SK"/>
              </w:rPr>
            </w:pPr>
          </w:p>
        </w:tc>
      </w:tr>
      <w:tr w:rsidR="002B15D0" w:rsidRPr="002B15D0" w14:paraId="0E0E7047" w14:textId="77777777" w:rsidTr="002B15D0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A304028" w14:textId="77777777" w:rsidR="002B15D0" w:rsidRPr="002B15D0" w:rsidRDefault="002B15D0" w:rsidP="002B15D0">
            <w:pPr>
              <w:ind w:left="142" w:hanging="142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281A251C" w14:textId="77777777" w:rsidR="002B15D0" w:rsidRPr="002B15D0" w:rsidRDefault="002B15D0" w:rsidP="002B15D0">
            <w:pPr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** nepovinné</w:t>
            </w:r>
          </w:p>
        </w:tc>
      </w:tr>
      <w:tr w:rsidR="002B15D0" w:rsidRPr="002B15D0" w14:paraId="2AFA99D1" w14:textId="77777777" w:rsidTr="002B15D0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F603BF" w14:textId="77777777" w:rsidR="002B15D0" w:rsidRPr="002B15D0" w:rsidRDefault="002B15D0" w:rsidP="002B15D0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2B15D0" w:rsidRPr="002B15D0" w14:paraId="71858E6A" w14:textId="77777777" w:rsidTr="002B15D0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6AEBC230" w14:textId="77777777" w:rsidR="002B15D0" w:rsidRPr="002B15D0" w:rsidRDefault="002B15D0" w:rsidP="002B15D0">
            <w:pPr>
              <w:numPr>
                <w:ilvl w:val="0"/>
                <w:numId w:val="30"/>
              </w:numPr>
              <w:ind w:left="426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Vplyvy navrhovaného materiálu</w:t>
            </w:r>
          </w:p>
        </w:tc>
      </w:tr>
      <w:tr w:rsidR="002B15D0" w:rsidRPr="002B15D0" w14:paraId="4C906E7D" w14:textId="77777777" w:rsidTr="001B1E9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BB576C3" w14:textId="77777777" w:rsidR="002B15D0" w:rsidRPr="002B15D0" w:rsidRDefault="002B15D0" w:rsidP="002B15D0">
            <w:pPr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B99F339" w14:textId="77777777" w:rsidR="002B15D0" w:rsidRPr="002B15D0" w:rsidRDefault="002B15D0" w:rsidP="002B15D0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4D07D" w14:textId="77777777" w:rsidR="002B15D0" w:rsidRPr="002B15D0" w:rsidRDefault="002B15D0" w:rsidP="002B15D0">
            <w:pPr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58F0BC7" w14:textId="77777777" w:rsidR="002B15D0" w:rsidRPr="002B15D0" w:rsidRDefault="002B15D0" w:rsidP="002B15D0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ascii="Segoe UI Symbol" w:eastAsia="MS Mincho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385E5" w14:textId="77777777" w:rsidR="002B15D0" w:rsidRPr="002B15D0" w:rsidRDefault="002B15D0" w:rsidP="002B15D0">
            <w:pPr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6F4694D" w14:textId="77777777" w:rsidR="002B15D0" w:rsidRPr="002B15D0" w:rsidRDefault="002B15D0" w:rsidP="002B15D0">
                <w:pPr>
                  <w:ind w:left="-107" w:right="-108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870E8" w14:textId="77777777" w:rsidR="002B15D0" w:rsidRPr="002B15D0" w:rsidRDefault="002B15D0" w:rsidP="002B15D0">
            <w:pPr>
              <w:ind w:left="34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B15D0" w:rsidRPr="002B15D0" w14:paraId="608D26C9" w14:textId="77777777" w:rsidTr="002B15D0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5BEB9510" w14:textId="77777777" w:rsidR="002B15D0" w:rsidRPr="002B15D0" w:rsidRDefault="002B15D0" w:rsidP="002B15D0">
            <w:pPr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 xml:space="preserve">    z toho rozpočtovo zabezpečené vplyvy</w:t>
            </w:r>
          </w:p>
        </w:tc>
        <w:sdt>
          <w:sdtPr>
            <w:rPr>
              <w:sz w:val="20"/>
              <w:szCs w:val="20"/>
              <w:lang w:eastAsia="sk-SK"/>
            </w:rPr>
            <w:id w:val="-20737291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7C276FA" w14:textId="77777777" w:rsidR="002B15D0" w:rsidRPr="002B15D0" w:rsidRDefault="002B15D0" w:rsidP="002B15D0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B51CC" w14:textId="77777777" w:rsidR="002B15D0" w:rsidRPr="002B15D0" w:rsidRDefault="002B15D0" w:rsidP="002B15D0">
            <w:pPr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sz w:val="20"/>
              <w:szCs w:val="20"/>
              <w:lang w:eastAsia="sk-SK"/>
            </w:r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C5DFE6A" w14:textId="77777777" w:rsidR="002B15D0" w:rsidRPr="002B15D0" w:rsidRDefault="002B15D0" w:rsidP="002B15D0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ascii="Segoe UI Symbol" w:eastAsia="MS Mincho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5F35C" w14:textId="77777777" w:rsidR="002B15D0" w:rsidRPr="002B15D0" w:rsidRDefault="002B15D0" w:rsidP="002B15D0">
            <w:pPr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sz w:val="20"/>
              <w:szCs w:val="20"/>
              <w:lang w:eastAsia="sk-SK"/>
            </w:r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285FBDE" w14:textId="77777777" w:rsidR="002B15D0" w:rsidRPr="002B15D0" w:rsidRDefault="002B15D0" w:rsidP="002B15D0">
                <w:pPr>
                  <w:ind w:left="-107" w:right="-108"/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C5F9F" w14:textId="77777777" w:rsidR="002B15D0" w:rsidRPr="002B15D0" w:rsidRDefault="002B15D0" w:rsidP="002B15D0">
            <w:pPr>
              <w:ind w:left="34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Čiastočne</w:t>
            </w:r>
          </w:p>
        </w:tc>
      </w:tr>
      <w:tr w:rsidR="002B15D0" w:rsidRPr="002B15D0" w14:paraId="5BD8ADC2" w14:textId="77777777" w:rsidTr="002B15D0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15C690" w14:textId="77777777" w:rsidR="002B15D0" w:rsidRPr="002B15D0" w:rsidRDefault="002B15D0" w:rsidP="002B15D0">
            <w:pPr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86F381D" w14:textId="77777777" w:rsidR="002B15D0" w:rsidRPr="002B15D0" w:rsidRDefault="002B15D0" w:rsidP="002B15D0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8740C" w14:textId="77777777" w:rsidR="002B15D0" w:rsidRPr="002B15D0" w:rsidRDefault="002B15D0" w:rsidP="002B15D0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E18BD16" w14:textId="77777777" w:rsidR="002B15D0" w:rsidRPr="002B15D0" w:rsidRDefault="002B15D0" w:rsidP="002B15D0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ACED6" w14:textId="77777777" w:rsidR="002B15D0" w:rsidRPr="002B15D0" w:rsidRDefault="002B15D0" w:rsidP="002B15D0">
            <w:pPr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D7D930D" w14:textId="77777777" w:rsidR="002B15D0" w:rsidRPr="002B15D0" w:rsidRDefault="002B15D0" w:rsidP="002B15D0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F331C" w14:textId="77777777" w:rsidR="002B15D0" w:rsidRPr="002B15D0" w:rsidRDefault="002B15D0" w:rsidP="002B15D0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B15D0" w:rsidRPr="002B15D0" w14:paraId="5FE13722" w14:textId="77777777" w:rsidTr="002B15D0"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14:paraId="228EDD98" w14:textId="77777777" w:rsidR="002B15D0" w:rsidRPr="002B15D0" w:rsidRDefault="002B15D0" w:rsidP="002B15D0">
            <w:pPr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 xml:space="preserve">    z toho vplyvy na MSP</w:t>
            </w:r>
          </w:p>
        </w:tc>
        <w:sdt>
          <w:sdtPr>
            <w:rPr>
              <w:sz w:val="20"/>
              <w:szCs w:val="20"/>
              <w:lang w:eastAsia="sk-SK"/>
            </w:r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nil"/>
                </w:tcBorders>
              </w:tcPr>
              <w:p w14:paraId="5DD7DC32" w14:textId="77777777" w:rsidR="002B15D0" w:rsidRPr="002B15D0" w:rsidRDefault="002B15D0" w:rsidP="002B15D0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74B0C" w14:textId="77777777" w:rsidR="002B15D0" w:rsidRPr="002B15D0" w:rsidRDefault="002B15D0" w:rsidP="002B15D0">
            <w:pPr>
              <w:ind w:right="-108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sz w:val="20"/>
              <w:szCs w:val="20"/>
              <w:lang w:eastAsia="sk-SK"/>
            </w:rPr>
            <w:id w:val="-1696063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776DFE1" w14:textId="77777777" w:rsidR="002B15D0" w:rsidRPr="002B15D0" w:rsidRDefault="002B15D0" w:rsidP="002B15D0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79062" w14:textId="77777777" w:rsidR="002B15D0" w:rsidRPr="002B15D0" w:rsidRDefault="002B15D0" w:rsidP="002B15D0">
            <w:pPr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sz w:val="20"/>
              <w:szCs w:val="20"/>
              <w:lang w:eastAsia="sk-SK"/>
            </w:r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3EACAAF" w14:textId="77777777" w:rsidR="002B15D0" w:rsidRPr="002B15D0" w:rsidRDefault="002B15D0" w:rsidP="002B15D0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E4F33" w14:textId="77777777" w:rsidR="002B15D0" w:rsidRPr="002B15D0" w:rsidRDefault="002B15D0" w:rsidP="002B15D0">
            <w:pPr>
              <w:ind w:left="54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Negatívne</w:t>
            </w:r>
          </w:p>
        </w:tc>
      </w:tr>
      <w:tr w:rsidR="002B15D0" w:rsidRPr="002B15D0" w14:paraId="1BF13EFA" w14:textId="77777777" w:rsidTr="002B15D0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E0D0ADC" w14:textId="77777777" w:rsidR="002B15D0" w:rsidRPr="002B15D0" w:rsidRDefault="002B15D0" w:rsidP="002B15D0">
            <w:pPr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5668F43" w14:textId="77777777" w:rsidR="002B15D0" w:rsidRPr="002B15D0" w:rsidRDefault="002B15D0" w:rsidP="002B15D0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ascii="Segoe UI Symbol" w:eastAsia="MS Mincho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2C20D" w14:textId="77777777" w:rsidR="002B15D0" w:rsidRPr="002B15D0" w:rsidRDefault="002B15D0" w:rsidP="002B15D0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B2B35DB" w14:textId="77777777" w:rsidR="002B15D0" w:rsidRPr="002B15D0" w:rsidRDefault="002B15D0" w:rsidP="002B15D0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DD0D3" w14:textId="77777777" w:rsidR="002B15D0" w:rsidRPr="002B15D0" w:rsidRDefault="002B15D0" w:rsidP="002B15D0">
            <w:pPr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4010652" w14:textId="77777777" w:rsidR="002B15D0" w:rsidRPr="002B15D0" w:rsidRDefault="002B15D0" w:rsidP="002B15D0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ascii="Segoe UI Symbol" w:eastAsia="MS Mincho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C3F33" w14:textId="77777777" w:rsidR="002B15D0" w:rsidRPr="002B15D0" w:rsidRDefault="002B15D0" w:rsidP="002B15D0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B15D0" w:rsidRPr="002B15D0" w14:paraId="381E4B57" w14:textId="77777777" w:rsidTr="001B1E9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109C02F" w14:textId="77777777" w:rsidR="002B15D0" w:rsidRPr="002B15D0" w:rsidRDefault="002B15D0" w:rsidP="002B15D0">
            <w:pPr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E1E89DD" w14:textId="77777777" w:rsidR="002B15D0" w:rsidRPr="002B15D0" w:rsidRDefault="002B15D0" w:rsidP="002B15D0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ascii="Segoe UI Symbol" w:eastAsia="MS Mincho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BC55E" w14:textId="77777777" w:rsidR="002B15D0" w:rsidRPr="002B15D0" w:rsidRDefault="002B15D0" w:rsidP="002B15D0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6EF7812" w14:textId="77777777" w:rsidR="002B15D0" w:rsidRPr="002B15D0" w:rsidRDefault="002B15D0" w:rsidP="002B15D0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E2AF9" w14:textId="77777777" w:rsidR="002B15D0" w:rsidRPr="002B15D0" w:rsidRDefault="002B15D0" w:rsidP="002B15D0">
            <w:pPr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5236387" w14:textId="77777777" w:rsidR="002B15D0" w:rsidRPr="002B15D0" w:rsidRDefault="002B15D0" w:rsidP="002B15D0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ascii="Segoe UI Symbol" w:eastAsia="MS Mincho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E2069" w14:textId="77777777" w:rsidR="002B15D0" w:rsidRPr="002B15D0" w:rsidRDefault="002B15D0" w:rsidP="002B15D0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B15D0" w:rsidRPr="002B15D0" w14:paraId="2F6BB21B" w14:textId="77777777" w:rsidTr="001B1E9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D3D115C" w14:textId="77777777" w:rsidR="002B15D0" w:rsidRPr="002B15D0" w:rsidRDefault="002B15D0" w:rsidP="002B15D0">
            <w:pPr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Vplyvy na informatizáciu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ACFDE93" w14:textId="77777777" w:rsidR="002B15D0" w:rsidRPr="002B15D0" w:rsidRDefault="002B15D0" w:rsidP="002B15D0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A7377" w14:textId="77777777" w:rsidR="002B15D0" w:rsidRPr="002B15D0" w:rsidRDefault="002B15D0" w:rsidP="002B15D0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4C4956" w14:textId="77777777" w:rsidR="002B15D0" w:rsidRPr="002B15D0" w:rsidRDefault="002B15D0" w:rsidP="002B15D0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64F6C" w14:textId="77777777" w:rsidR="002B15D0" w:rsidRPr="002B15D0" w:rsidRDefault="002B15D0" w:rsidP="002B15D0">
            <w:pPr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B419A49" w14:textId="77777777" w:rsidR="002B15D0" w:rsidRPr="002B15D0" w:rsidRDefault="002B15D0" w:rsidP="002B15D0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ascii="Segoe UI Symbol" w:eastAsia="MS Mincho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890E7" w14:textId="77777777" w:rsidR="002B15D0" w:rsidRPr="002B15D0" w:rsidRDefault="002B15D0" w:rsidP="002B15D0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2B15D0" w:rsidRPr="002B15D0" w14:paraId="2ADED16F" w14:textId="77777777" w:rsidTr="001B1E9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19C7486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rFonts w:eastAsia="Calibri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2F13CA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1727C9" w14:textId="77777777" w:rsidR="002B15D0" w:rsidRPr="002B15D0" w:rsidRDefault="002B15D0" w:rsidP="002B15D0">
            <w:pPr>
              <w:spacing w:after="0" w:line="240" w:lineRule="auto"/>
              <w:ind w:right="-108" w:firstLine="0"/>
              <w:jc w:val="left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5E5084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43B397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4D8751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4CF1A3" w14:textId="77777777" w:rsidR="002B15D0" w:rsidRPr="002B15D0" w:rsidRDefault="002B15D0" w:rsidP="002B15D0">
            <w:pPr>
              <w:spacing w:after="0" w:line="240" w:lineRule="auto"/>
              <w:ind w:left="54" w:firstLine="0"/>
              <w:jc w:val="left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2B15D0" w:rsidRPr="002B15D0" w14:paraId="7D4A460B" w14:textId="77777777" w:rsidTr="001B1E9E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1155349" w14:textId="77777777" w:rsidR="002B15D0" w:rsidRPr="002B15D0" w:rsidRDefault="002B15D0" w:rsidP="002B15D0">
            <w:pPr>
              <w:spacing w:after="0" w:line="240" w:lineRule="auto"/>
              <w:ind w:left="196" w:hanging="196"/>
              <w:jc w:val="left"/>
              <w:rPr>
                <w:rFonts w:eastAsia="Calibri"/>
                <w:b/>
                <w:sz w:val="20"/>
                <w:szCs w:val="20"/>
              </w:rPr>
            </w:pPr>
            <w:r w:rsidRPr="002B15D0">
              <w:rPr>
                <w:rFonts w:eastAsia="Calibri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6A28E7B1" w14:textId="77777777" w:rsidR="002B15D0" w:rsidRPr="002B15D0" w:rsidRDefault="002B15D0" w:rsidP="002B15D0">
                <w:pPr>
                  <w:spacing w:after="0" w:line="240" w:lineRule="auto"/>
                  <w:ind w:firstLine="0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D58C7" w14:textId="77777777" w:rsidR="002B15D0" w:rsidRPr="002B15D0" w:rsidRDefault="002B15D0" w:rsidP="002B15D0">
            <w:pPr>
              <w:spacing w:after="0" w:line="240" w:lineRule="auto"/>
              <w:ind w:right="-108" w:firstLine="0"/>
              <w:jc w:val="left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8539E37" w14:textId="77777777" w:rsidR="002B15D0" w:rsidRPr="002B15D0" w:rsidRDefault="002B15D0" w:rsidP="002B15D0">
                <w:pPr>
                  <w:spacing w:after="0" w:line="240" w:lineRule="auto"/>
                  <w:ind w:firstLine="0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9683D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750D834" w14:textId="77777777" w:rsidR="002B15D0" w:rsidRPr="002B15D0" w:rsidRDefault="002B15D0" w:rsidP="002B15D0">
                <w:pPr>
                  <w:spacing w:after="0" w:line="240" w:lineRule="auto"/>
                  <w:ind w:firstLine="0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ascii="Segoe UI Symbol" w:eastAsia="MS Mincho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834066" w14:textId="77777777" w:rsidR="002B15D0" w:rsidRPr="002B15D0" w:rsidRDefault="002B15D0" w:rsidP="002B15D0">
            <w:pPr>
              <w:spacing w:after="0" w:line="240" w:lineRule="auto"/>
              <w:ind w:left="54" w:firstLine="0"/>
              <w:jc w:val="left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B15D0" w:rsidRPr="002B15D0" w14:paraId="7143364D" w14:textId="77777777" w:rsidTr="001B1E9E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56E0EA8" w14:textId="77777777" w:rsidR="002B15D0" w:rsidRPr="002B15D0" w:rsidRDefault="002B15D0" w:rsidP="002B15D0">
            <w:pPr>
              <w:spacing w:after="0" w:line="240" w:lineRule="auto"/>
              <w:ind w:left="168" w:hanging="168"/>
              <w:jc w:val="left"/>
              <w:rPr>
                <w:rFonts w:eastAsia="Calibri"/>
                <w:b/>
                <w:sz w:val="20"/>
                <w:szCs w:val="20"/>
              </w:rPr>
            </w:pPr>
            <w:r w:rsidRPr="002B15D0">
              <w:rPr>
                <w:rFonts w:eastAsia="Calibri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A3503D9" w14:textId="77777777" w:rsidR="002B15D0" w:rsidRPr="002B15D0" w:rsidRDefault="002B15D0" w:rsidP="002B15D0">
                <w:pPr>
                  <w:spacing w:after="0" w:line="240" w:lineRule="auto"/>
                  <w:ind w:firstLine="0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ascii="Segoe UI Symbol" w:eastAsia="MS Mincho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153E1" w14:textId="77777777" w:rsidR="002B15D0" w:rsidRPr="002B15D0" w:rsidRDefault="002B15D0" w:rsidP="002B15D0">
            <w:pPr>
              <w:spacing w:after="0" w:line="240" w:lineRule="auto"/>
              <w:ind w:right="-108" w:firstLine="0"/>
              <w:jc w:val="left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32504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155BB37C" w14:textId="77777777" w:rsidR="002B15D0" w:rsidRPr="002B15D0" w:rsidRDefault="002B15D0" w:rsidP="002B15D0">
                <w:pPr>
                  <w:spacing w:after="0" w:line="240" w:lineRule="auto"/>
                  <w:ind w:firstLine="0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eastAsia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01603A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21D59C84" w14:textId="77777777" w:rsidR="002B15D0" w:rsidRPr="002B15D0" w:rsidRDefault="002B15D0" w:rsidP="002B15D0">
                <w:pPr>
                  <w:spacing w:after="0" w:line="240" w:lineRule="auto"/>
                  <w:ind w:firstLine="0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2B15D0">
                  <w:rPr>
                    <w:rFonts w:ascii="Segoe UI Symbol" w:eastAsia="MS Mincho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28C8" w14:textId="77777777" w:rsidR="002B15D0" w:rsidRPr="002B15D0" w:rsidRDefault="002B15D0" w:rsidP="002B15D0">
            <w:pPr>
              <w:spacing w:after="0" w:line="240" w:lineRule="auto"/>
              <w:ind w:left="54" w:firstLine="0"/>
              <w:jc w:val="left"/>
              <w:rPr>
                <w:b/>
                <w:sz w:val="20"/>
                <w:szCs w:val="20"/>
                <w:lang w:eastAsia="sk-SK"/>
              </w:rPr>
            </w:pPr>
            <w:r w:rsidRPr="002B15D0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3A872A46" w14:textId="77777777" w:rsidR="002B15D0" w:rsidRPr="002B15D0" w:rsidRDefault="002B15D0" w:rsidP="002B15D0">
      <w:pPr>
        <w:spacing w:after="0" w:line="240" w:lineRule="auto"/>
        <w:ind w:right="141" w:firstLine="0"/>
        <w:jc w:val="left"/>
        <w:rPr>
          <w:b/>
          <w:sz w:val="20"/>
          <w:szCs w:val="20"/>
          <w:lang w:eastAsia="sk-SK"/>
        </w:rPr>
      </w:pPr>
    </w:p>
    <w:tbl>
      <w:tblPr>
        <w:tblStyle w:val="Mriekatabuky2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2B15D0" w:rsidRPr="002B15D0" w14:paraId="5ADFD4C9" w14:textId="77777777" w:rsidTr="001B1E9E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5EA5C33" w14:textId="77777777" w:rsidR="002B15D0" w:rsidRPr="002B15D0" w:rsidRDefault="002B15D0" w:rsidP="002B15D0">
            <w:pPr>
              <w:numPr>
                <w:ilvl w:val="0"/>
                <w:numId w:val="30"/>
              </w:numPr>
              <w:ind w:left="426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Poznámky</w:t>
            </w:r>
          </w:p>
        </w:tc>
      </w:tr>
      <w:tr w:rsidR="002B15D0" w:rsidRPr="002B15D0" w14:paraId="3E3C2D2B" w14:textId="77777777" w:rsidTr="002B15D0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7F30F11" w14:textId="77777777" w:rsidR="002B15D0" w:rsidRPr="002B15D0" w:rsidRDefault="002B15D0" w:rsidP="002B15D0">
            <w:pPr>
              <w:spacing w:before="120"/>
              <w:jc w:val="both"/>
              <w:rPr>
                <w:szCs w:val="20"/>
                <w:lang w:eastAsia="sk-SK"/>
              </w:rPr>
            </w:pPr>
            <w:r w:rsidRPr="002B15D0">
              <w:rPr>
                <w:szCs w:val="20"/>
                <w:lang w:eastAsia="sk-SK"/>
              </w:rPr>
              <w:t xml:space="preserve">Návrh zákona má negatívny rozpočtovo zabezpečený vplyv na rozpočet verejnej správy. </w:t>
            </w:r>
          </w:p>
          <w:p w14:paraId="2295D62B" w14:textId="77777777" w:rsidR="002B15D0" w:rsidRPr="002B15D0" w:rsidRDefault="002B15D0" w:rsidP="002B15D0">
            <w:pPr>
              <w:spacing w:before="120"/>
              <w:jc w:val="both"/>
              <w:rPr>
                <w:szCs w:val="20"/>
                <w:lang w:eastAsia="sk-SK"/>
              </w:rPr>
            </w:pPr>
            <w:r w:rsidRPr="002B15D0">
              <w:rPr>
                <w:szCs w:val="20"/>
                <w:lang w:eastAsia="sk-SK"/>
              </w:rPr>
              <w:t xml:space="preserve">Podrobnosti o zvýšených výdavkoch štátneho rozpočtu a ich finančnom zabezpečení je uvedený v priloženej analýze. </w:t>
            </w:r>
          </w:p>
          <w:p w14:paraId="6946050A" w14:textId="77777777" w:rsidR="002B15D0" w:rsidRPr="002B15D0" w:rsidRDefault="002B15D0" w:rsidP="002B15D0">
            <w:pPr>
              <w:spacing w:before="120"/>
              <w:jc w:val="both"/>
              <w:rPr>
                <w:szCs w:val="20"/>
                <w:lang w:eastAsia="sk-SK"/>
              </w:rPr>
            </w:pPr>
            <w:r w:rsidRPr="002B15D0">
              <w:rPr>
                <w:szCs w:val="20"/>
                <w:lang w:eastAsia="sk-SK"/>
              </w:rPr>
              <w:t>Identifikuje sa aj pozitívny vplyv na rozpočet verejnej správy, ktorý je možné v čase predloženia návrhu zákona na rokovanie vlády SR len hrubo odhadnúť a nespočíva v dodatočných príjmoch štátneho rozpočtu ale v zmenšení finančnej straty štátneho rozpočtu realizáciou návrhu zákona. Z tohto dôvodu nie je uvedený pozitívny vplyv vyznačený medzi vplyvmi navrhovaného materiálu.</w:t>
            </w:r>
          </w:p>
        </w:tc>
      </w:tr>
      <w:tr w:rsidR="002B15D0" w:rsidRPr="002B15D0" w14:paraId="2D9B1EF1" w14:textId="77777777" w:rsidTr="002B15D0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59DB0FA" w14:textId="77777777" w:rsidR="002B15D0" w:rsidRPr="002B15D0" w:rsidRDefault="002B15D0" w:rsidP="002B15D0">
            <w:pPr>
              <w:numPr>
                <w:ilvl w:val="0"/>
                <w:numId w:val="30"/>
              </w:numPr>
              <w:ind w:left="426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Kontakt na spracovateľa</w:t>
            </w:r>
          </w:p>
        </w:tc>
      </w:tr>
      <w:tr w:rsidR="002B15D0" w:rsidRPr="002B15D0" w14:paraId="76C7F3C4" w14:textId="77777777" w:rsidTr="002B15D0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EDF44" w14:textId="77777777" w:rsidR="002B15D0" w:rsidRPr="002B15D0" w:rsidRDefault="002B15D0" w:rsidP="002B15D0">
            <w:pPr>
              <w:rPr>
                <w:szCs w:val="20"/>
                <w:lang w:eastAsia="sk-SK"/>
              </w:rPr>
            </w:pPr>
            <w:r w:rsidRPr="002B15D0">
              <w:rPr>
                <w:szCs w:val="20"/>
                <w:lang w:eastAsia="sk-SK"/>
              </w:rPr>
              <w:t xml:space="preserve">Ing. Ján Papol, odbor ekonomický, </w:t>
            </w:r>
            <w:hyperlink r:id="rId8" w:history="1">
              <w:r w:rsidRPr="002B15D0">
                <w:rPr>
                  <w:color w:val="0563C1"/>
                  <w:szCs w:val="20"/>
                  <w:u w:val="single"/>
                  <w:lang w:eastAsia="sk-SK"/>
                </w:rPr>
                <w:t>jan.papol@statistics.sk</w:t>
              </w:r>
            </w:hyperlink>
            <w:r w:rsidRPr="002B15D0">
              <w:rPr>
                <w:szCs w:val="20"/>
                <w:lang w:eastAsia="sk-SK"/>
              </w:rPr>
              <w:t xml:space="preserve"> – vplyvy na rozpočet verejnej správy</w:t>
            </w:r>
          </w:p>
        </w:tc>
      </w:tr>
      <w:tr w:rsidR="002B15D0" w:rsidRPr="002B15D0" w14:paraId="6DFD83C5" w14:textId="77777777" w:rsidTr="002B15D0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FDF8BA7" w14:textId="77777777" w:rsidR="002B15D0" w:rsidRPr="002B15D0" w:rsidRDefault="002B15D0" w:rsidP="002B15D0">
            <w:pPr>
              <w:numPr>
                <w:ilvl w:val="0"/>
                <w:numId w:val="30"/>
              </w:numPr>
              <w:ind w:left="426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Zdroje</w:t>
            </w:r>
          </w:p>
        </w:tc>
      </w:tr>
      <w:tr w:rsidR="002B15D0" w:rsidRPr="002B15D0" w14:paraId="38867E85" w14:textId="77777777" w:rsidTr="002B15D0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51161" w14:textId="77777777" w:rsidR="002B15D0" w:rsidRPr="002B15D0" w:rsidRDefault="002B15D0" w:rsidP="002B15D0">
            <w:pPr>
              <w:spacing w:before="120"/>
              <w:rPr>
                <w:i/>
                <w:sz w:val="20"/>
                <w:szCs w:val="20"/>
                <w:lang w:eastAsia="sk-SK"/>
              </w:rPr>
            </w:pPr>
            <w:r w:rsidRPr="002B15D0">
              <w:rPr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vypracovávaní doložky, príp. analýz vplyvov vychádzali.</w:t>
            </w:r>
          </w:p>
          <w:p w14:paraId="0A6896F9" w14:textId="77777777" w:rsidR="002B15D0" w:rsidRPr="002B15D0" w:rsidRDefault="002B15D0" w:rsidP="002B15D0">
            <w:pPr>
              <w:rPr>
                <w:i/>
                <w:sz w:val="20"/>
                <w:szCs w:val="20"/>
                <w:lang w:eastAsia="sk-SK"/>
              </w:rPr>
            </w:pPr>
          </w:p>
          <w:p w14:paraId="6974950A" w14:textId="77777777" w:rsidR="002B15D0" w:rsidRPr="002B15D0" w:rsidRDefault="002B15D0" w:rsidP="002B15D0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2B15D0" w:rsidRPr="002B15D0" w14:paraId="7FF760F8" w14:textId="77777777" w:rsidTr="001B1E9E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AB07EA6" w14:textId="77777777" w:rsidR="002B15D0" w:rsidRPr="002B15D0" w:rsidRDefault="002B15D0" w:rsidP="002B15D0">
            <w:pPr>
              <w:numPr>
                <w:ilvl w:val="0"/>
                <w:numId w:val="30"/>
              </w:numPr>
              <w:ind w:left="426"/>
              <w:rPr>
                <w:rFonts w:eastAsia="Calibri"/>
                <w:b/>
              </w:rPr>
            </w:pPr>
            <w:r w:rsidRPr="002B15D0">
              <w:rPr>
                <w:rFonts w:eastAsia="Calibri"/>
                <w:b/>
              </w:rPr>
              <w:t>Stanovisko Komisie pre posudzovanie vybraných vplyvov z PPK</w:t>
            </w:r>
          </w:p>
        </w:tc>
      </w:tr>
      <w:tr w:rsidR="002B15D0" w:rsidRPr="002B15D0" w14:paraId="30A20FB7" w14:textId="77777777" w:rsidTr="002B15D0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012EA" w14:textId="77777777" w:rsidR="002B15D0" w:rsidRPr="002B15D0" w:rsidRDefault="002B15D0" w:rsidP="002B15D0">
            <w:pPr>
              <w:spacing w:before="120"/>
              <w:rPr>
                <w:i/>
                <w:sz w:val="20"/>
                <w:szCs w:val="20"/>
                <w:lang w:eastAsia="sk-SK"/>
              </w:rPr>
            </w:pPr>
            <w:r w:rsidRPr="002B15D0">
              <w:rPr>
                <w:i/>
                <w:sz w:val="20"/>
                <w:szCs w:val="20"/>
                <w:lang w:eastAsia="sk-SK"/>
              </w:rPr>
              <w:t>Uveďte stanovisko Komisie pre posudzovanie vybraných vplyvov, ktoré Vám bolo zaslané v rámci predbežného pripomienkového konania</w:t>
            </w:r>
          </w:p>
          <w:p w14:paraId="2AF2688F" w14:textId="77777777" w:rsidR="002B15D0" w:rsidRPr="002B15D0" w:rsidRDefault="002B15D0" w:rsidP="002B15D0">
            <w:pPr>
              <w:spacing w:after="240"/>
              <w:rPr>
                <w:b/>
                <w:sz w:val="20"/>
                <w:szCs w:val="20"/>
                <w:lang w:eastAsia="sk-SK"/>
              </w:rPr>
            </w:pPr>
          </w:p>
        </w:tc>
      </w:tr>
    </w:tbl>
    <w:p w14:paraId="5441AA2F" w14:textId="77777777" w:rsidR="002B15D0" w:rsidRPr="002B15D0" w:rsidRDefault="002B15D0" w:rsidP="002B15D0">
      <w:pPr>
        <w:spacing w:after="0" w:line="240" w:lineRule="auto"/>
        <w:ind w:firstLine="0"/>
        <w:jc w:val="left"/>
        <w:rPr>
          <w:sz w:val="20"/>
          <w:szCs w:val="20"/>
          <w:lang w:eastAsia="sk-SK"/>
        </w:rPr>
      </w:pPr>
    </w:p>
    <w:p w14:paraId="2A157FB7" w14:textId="77777777" w:rsidR="002B15D0" w:rsidRDefault="002B15D0">
      <w:pPr>
        <w:rPr>
          <w:b/>
          <w:caps/>
          <w:spacing w:val="30"/>
          <w:sz w:val="25"/>
          <w:szCs w:val="25"/>
          <w:lang w:eastAsia="sk-SK"/>
        </w:rPr>
      </w:pPr>
      <w:r>
        <w:rPr>
          <w:b/>
          <w:caps/>
          <w:spacing w:val="30"/>
          <w:sz w:val="25"/>
          <w:szCs w:val="25"/>
          <w:lang w:eastAsia="sk-SK"/>
        </w:rPr>
        <w:br w:type="page"/>
      </w:r>
    </w:p>
    <w:p w14:paraId="4ED23C93" w14:textId="77777777" w:rsidR="002B15D0" w:rsidRPr="00C6390F" w:rsidRDefault="002B15D0" w:rsidP="002B15D0">
      <w:pPr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 w:rsidRPr="00C6390F">
        <w:rPr>
          <w:b/>
          <w:bCs/>
          <w:sz w:val="28"/>
          <w:szCs w:val="28"/>
          <w:lang w:eastAsia="sk-SK"/>
        </w:rPr>
        <w:lastRenderedPageBreak/>
        <w:t>Analýza vplyvov na rozpočet verejnej správy,</w:t>
      </w:r>
    </w:p>
    <w:p w14:paraId="726ABA6D" w14:textId="77777777" w:rsidR="002B15D0" w:rsidRPr="00C6390F" w:rsidRDefault="002B15D0" w:rsidP="002B15D0">
      <w:pPr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 w:rsidRPr="00C6390F">
        <w:rPr>
          <w:b/>
          <w:bCs/>
          <w:sz w:val="28"/>
          <w:szCs w:val="28"/>
          <w:lang w:eastAsia="sk-SK"/>
        </w:rPr>
        <w:t>na zamestnanosť vo verejnej správe a financovanie návrhu</w:t>
      </w:r>
    </w:p>
    <w:p w14:paraId="037EDE70" w14:textId="77777777" w:rsidR="002B15D0" w:rsidRPr="00C6390F" w:rsidRDefault="002B15D0" w:rsidP="002B15D0">
      <w:pPr>
        <w:spacing w:after="0" w:line="240" w:lineRule="auto"/>
        <w:jc w:val="right"/>
        <w:rPr>
          <w:b/>
          <w:bCs/>
          <w:lang w:eastAsia="sk-SK"/>
        </w:rPr>
      </w:pPr>
    </w:p>
    <w:p w14:paraId="35282576" w14:textId="77777777" w:rsidR="002B15D0" w:rsidRPr="00C6390F" w:rsidRDefault="002B15D0" w:rsidP="002B15D0">
      <w:pPr>
        <w:spacing w:after="0" w:line="240" w:lineRule="auto"/>
        <w:rPr>
          <w:b/>
          <w:bCs/>
          <w:lang w:eastAsia="sk-SK"/>
        </w:rPr>
      </w:pPr>
    </w:p>
    <w:p w14:paraId="6031F13D" w14:textId="77777777" w:rsidR="002B15D0" w:rsidRPr="00C6390F" w:rsidRDefault="002B15D0" w:rsidP="002B15D0">
      <w:pPr>
        <w:spacing w:after="0" w:line="240" w:lineRule="auto"/>
        <w:rPr>
          <w:b/>
          <w:bCs/>
          <w:lang w:eastAsia="sk-SK"/>
        </w:rPr>
      </w:pPr>
      <w:r w:rsidRPr="00C6390F">
        <w:rPr>
          <w:b/>
          <w:bCs/>
          <w:lang w:eastAsia="sk-SK"/>
        </w:rPr>
        <w:t>2.1 Zhrnutie vplyvov na rozpočet verejnej správy v návrhu</w:t>
      </w:r>
    </w:p>
    <w:p w14:paraId="77009509" w14:textId="77777777" w:rsidR="002B15D0" w:rsidRPr="00C6390F" w:rsidRDefault="002B15D0" w:rsidP="002B15D0">
      <w:pPr>
        <w:spacing w:after="0" w:line="240" w:lineRule="auto"/>
        <w:jc w:val="right"/>
        <w:rPr>
          <w:sz w:val="20"/>
          <w:szCs w:val="20"/>
          <w:lang w:eastAsia="sk-SK"/>
        </w:rPr>
      </w:pPr>
    </w:p>
    <w:p w14:paraId="6C627F57" w14:textId="77777777" w:rsidR="002B15D0" w:rsidRPr="00C6390F" w:rsidRDefault="002B15D0" w:rsidP="002B15D0">
      <w:pPr>
        <w:spacing w:after="0" w:line="240" w:lineRule="auto"/>
        <w:jc w:val="right"/>
        <w:rPr>
          <w:sz w:val="20"/>
          <w:szCs w:val="20"/>
          <w:lang w:eastAsia="sk-SK"/>
        </w:rPr>
      </w:pPr>
      <w:r w:rsidRPr="00C6390F">
        <w:rPr>
          <w:sz w:val="20"/>
          <w:szCs w:val="20"/>
          <w:lang w:eastAsia="sk-SK"/>
        </w:rPr>
        <w:t xml:space="preserve">Tabuľka č. 1 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347"/>
        <w:gridCol w:w="1250"/>
        <w:gridCol w:w="1437"/>
      </w:tblGrid>
      <w:tr w:rsidR="001B1E9E" w:rsidRPr="001B1E9E" w14:paraId="48D675E3" w14:textId="77777777" w:rsidTr="001B1E9E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/>
            <w:vAlign w:val="center"/>
          </w:tcPr>
          <w:p w14:paraId="1F03869D" w14:textId="77777777" w:rsidR="001B1E9E" w:rsidRPr="001B1E9E" w:rsidRDefault="001B1E9E" w:rsidP="001B1E9E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bookmarkStart w:id="1" w:name="OLE_LINK1"/>
            <w:r w:rsidRPr="001B1E9E">
              <w:rPr>
                <w:b/>
                <w:bCs/>
                <w:lang w:eastAsia="sk-SK"/>
              </w:rPr>
              <w:t>Vplyvy na rozpočet verejnej správy</w:t>
            </w:r>
          </w:p>
        </w:tc>
        <w:tc>
          <w:tcPr>
            <w:tcW w:w="5301" w:type="dxa"/>
            <w:gridSpan w:val="4"/>
            <w:shd w:val="clear" w:color="auto" w:fill="BFBFBF"/>
            <w:vAlign w:val="center"/>
          </w:tcPr>
          <w:p w14:paraId="654FFE2A" w14:textId="77777777" w:rsidR="001B1E9E" w:rsidRPr="001B1E9E" w:rsidRDefault="001B1E9E" w:rsidP="001B1E9E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Vplyv na rozpočet verejnej správy (v eurách)</w:t>
            </w:r>
          </w:p>
        </w:tc>
      </w:tr>
      <w:tr w:rsidR="001B1E9E" w:rsidRPr="001B1E9E" w14:paraId="4B70E3EE" w14:textId="77777777" w:rsidTr="001B1E9E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/>
            <w:vAlign w:val="center"/>
          </w:tcPr>
          <w:p w14:paraId="66755D21" w14:textId="77777777" w:rsidR="001B1E9E" w:rsidRPr="001B1E9E" w:rsidRDefault="001B1E9E" w:rsidP="001B1E9E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267" w:type="dxa"/>
            <w:shd w:val="clear" w:color="auto" w:fill="BFBFBF"/>
            <w:vAlign w:val="center"/>
          </w:tcPr>
          <w:p w14:paraId="3F82A8C2" w14:textId="77777777" w:rsidR="001B1E9E" w:rsidRPr="001B1E9E" w:rsidRDefault="001B1E9E" w:rsidP="001B1E9E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2021</w:t>
            </w:r>
          </w:p>
        </w:tc>
        <w:tc>
          <w:tcPr>
            <w:tcW w:w="1347" w:type="dxa"/>
            <w:shd w:val="clear" w:color="auto" w:fill="BFBFBF"/>
            <w:vAlign w:val="center"/>
          </w:tcPr>
          <w:p w14:paraId="1290F84A" w14:textId="77777777" w:rsidR="001B1E9E" w:rsidRPr="001B1E9E" w:rsidRDefault="001B1E9E" w:rsidP="001B1E9E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2022</w:t>
            </w:r>
          </w:p>
        </w:tc>
        <w:tc>
          <w:tcPr>
            <w:tcW w:w="1250" w:type="dxa"/>
            <w:shd w:val="clear" w:color="auto" w:fill="BFBFBF"/>
            <w:vAlign w:val="center"/>
          </w:tcPr>
          <w:p w14:paraId="5E91F23E" w14:textId="77777777" w:rsidR="001B1E9E" w:rsidRPr="001B1E9E" w:rsidRDefault="001B1E9E" w:rsidP="001B1E9E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2023</w:t>
            </w:r>
          </w:p>
        </w:tc>
        <w:tc>
          <w:tcPr>
            <w:tcW w:w="1437" w:type="dxa"/>
            <w:shd w:val="clear" w:color="auto" w:fill="BFBFBF"/>
            <w:vAlign w:val="center"/>
          </w:tcPr>
          <w:p w14:paraId="200719AE" w14:textId="77777777" w:rsidR="001B1E9E" w:rsidRPr="001B1E9E" w:rsidRDefault="001B1E9E" w:rsidP="001B1E9E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2024</w:t>
            </w:r>
          </w:p>
        </w:tc>
      </w:tr>
      <w:tr w:rsidR="001B1E9E" w:rsidRPr="001B1E9E" w14:paraId="01B20D6D" w14:textId="77777777" w:rsidTr="001B1E9E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44E4F262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1E337A09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347" w:type="dxa"/>
            <w:shd w:val="clear" w:color="auto" w:fill="C0C0C0"/>
            <w:vAlign w:val="center"/>
          </w:tcPr>
          <w:p w14:paraId="37DD7C58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50" w:type="dxa"/>
            <w:shd w:val="clear" w:color="auto" w:fill="C0C0C0"/>
            <w:vAlign w:val="center"/>
          </w:tcPr>
          <w:p w14:paraId="46F803FA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437" w:type="dxa"/>
            <w:shd w:val="clear" w:color="auto" w:fill="C0C0C0"/>
            <w:vAlign w:val="center"/>
          </w:tcPr>
          <w:p w14:paraId="33BD56A7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</w:tr>
      <w:tr w:rsidR="001B1E9E" w:rsidRPr="001B1E9E" w14:paraId="5694ADF9" w14:textId="77777777" w:rsidTr="001B1E9E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26B9D063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1B1E9E">
              <w:rPr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14:paraId="417C2BE0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53AC0CE9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0A782D00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3F63111F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</w:tr>
      <w:tr w:rsidR="001B1E9E" w:rsidRPr="001B1E9E" w14:paraId="12B5BAA6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0E30FE3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41E5368E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347" w:type="dxa"/>
            <w:noWrap/>
            <w:vAlign w:val="center"/>
          </w:tcPr>
          <w:p w14:paraId="116ABD2E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250" w:type="dxa"/>
            <w:noWrap/>
            <w:vAlign w:val="center"/>
          </w:tcPr>
          <w:p w14:paraId="46E84E2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437" w:type="dxa"/>
            <w:noWrap/>
            <w:vAlign w:val="center"/>
          </w:tcPr>
          <w:p w14:paraId="590AE9BC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</w:p>
        </w:tc>
      </w:tr>
      <w:tr w:rsidR="001B1E9E" w:rsidRPr="001B1E9E" w14:paraId="6D994E60" w14:textId="77777777" w:rsidTr="001B1E9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0C6349D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2EDD61B9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7DFAC541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186E40A8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58B33230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33BE374B" w14:textId="77777777" w:rsidTr="001B1E9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D60AB24" w14:textId="77777777" w:rsidR="001B1E9E" w:rsidRPr="001B1E9E" w:rsidRDefault="001B1E9E" w:rsidP="001B1E9E">
            <w:pPr>
              <w:spacing w:after="0" w:line="240" w:lineRule="auto"/>
              <w:ind w:left="259"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70925E10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3A2F91C9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4DF89D2B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55B24998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06C3731C" w14:textId="77777777" w:rsidTr="001B1E9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35C0161" w14:textId="77777777" w:rsidR="001B1E9E" w:rsidRPr="001B1E9E" w:rsidRDefault="001B1E9E" w:rsidP="001B1E9E">
            <w:pPr>
              <w:spacing w:after="0" w:line="240" w:lineRule="auto"/>
              <w:ind w:left="259" w:firstLine="0"/>
              <w:jc w:val="left"/>
              <w:rPr>
                <w:bCs/>
                <w:i/>
                <w:iCs/>
                <w:lang w:eastAsia="sk-SK"/>
              </w:rPr>
            </w:pPr>
            <w:r w:rsidRPr="001B1E9E">
              <w:rPr>
                <w:bCs/>
                <w:i/>
                <w:iCs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1BADA482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6F8CC087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05C2E8D1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216A5173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</w:tr>
      <w:tr w:rsidR="001B1E9E" w:rsidRPr="001B1E9E" w14:paraId="6D59C9B3" w14:textId="77777777" w:rsidTr="001B1E9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1323B3D8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5BB7218F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1B8F5EB7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66315E4E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0EFBCFA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37CC0F52" w14:textId="77777777" w:rsidTr="001B1E9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89BD349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7D0569B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53B57549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73614942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76445DB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01336A2A" w14:textId="77777777" w:rsidTr="001B1E9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A748E8A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548CFE20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3FFE0218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0EA31ED9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22E3334A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25F6796D" w14:textId="77777777" w:rsidTr="001B1E9E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2C7C7D4A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EDF43EB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1 800 000</w:t>
            </w:r>
          </w:p>
        </w:tc>
        <w:tc>
          <w:tcPr>
            <w:tcW w:w="1347" w:type="dxa"/>
            <w:shd w:val="clear" w:color="auto" w:fill="C0C0C0"/>
            <w:noWrap/>
            <w:vAlign w:val="center"/>
          </w:tcPr>
          <w:p w14:paraId="163D7104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50" w:type="dxa"/>
            <w:shd w:val="clear" w:color="auto" w:fill="C0C0C0"/>
            <w:noWrap/>
            <w:vAlign w:val="center"/>
          </w:tcPr>
          <w:p w14:paraId="4E257221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437" w:type="dxa"/>
            <w:shd w:val="clear" w:color="auto" w:fill="C0C0C0"/>
            <w:noWrap/>
            <w:vAlign w:val="center"/>
          </w:tcPr>
          <w:p w14:paraId="0D98475D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 xml:space="preserve">0   </w:t>
            </w:r>
          </w:p>
        </w:tc>
      </w:tr>
      <w:tr w:rsidR="001B1E9E" w:rsidRPr="001B1E9E" w14:paraId="70F5B435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B9D1EBD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1B1E9E">
              <w:rPr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14:paraId="55B13830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0AC5694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5264621E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701501DF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</w:tr>
      <w:tr w:rsidR="001B1E9E" w:rsidRPr="001B1E9E" w14:paraId="439C8787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D0F3A2F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1B1E9E">
              <w:rPr>
                <w:i/>
                <w:lang w:eastAsia="sk-SK"/>
              </w:rPr>
              <w:t>Rozpočtové prostriedky</w:t>
            </w:r>
            <w:r w:rsidRPr="001B1E9E">
              <w:rPr>
                <w:lang w:eastAsia="sk-SK"/>
              </w:rPr>
              <w:t xml:space="preserve"> – kapitola Štatistického úradu SR – z toho:</w:t>
            </w:r>
          </w:p>
        </w:tc>
        <w:tc>
          <w:tcPr>
            <w:tcW w:w="1267" w:type="dxa"/>
            <w:noWrap/>
            <w:vAlign w:val="center"/>
          </w:tcPr>
          <w:p w14:paraId="6C37EA53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1 800 000</w:t>
            </w:r>
          </w:p>
        </w:tc>
        <w:tc>
          <w:tcPr>
            <w:tcW w:w="1347" w:type="dxa"/>
            <w:noWrap/>
            <w:vAlign w:val="center"/>
          </w:tcPr>
          <w:p w14:paraId="38255668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0B70AF1F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7CFAFBD8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 xml:space="preserve">0   </w:t>
            </w:r>
          </w:p>
        </w:tc>
      </w:tr>
      <w:tr w:rsidR="001B1E9E" w:rsidRPr="001B1E9E" w14:paraId="7F555448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7081BD5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1B1E9E">
              <w:rPr>
                <w:lang w:eastAsia="sk-SK"/>
              </w:rPr>
              <w:t xml:space="preserve">- program 07V – Štatistické zisťovania </w:t>
            </w:r>
          </w:p>
        </w:tc>
        <w:tc>
          <w:tcPr>
            <w:tcW w:w="1267" w:type="dxa"/>
            <w:noWrap/>
            <w:vAlign w:val="center"/>
          </w:tcPr>
          <w:p w14:paraId="3D20B9C2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1 200 000</w:t>
            </w:r>
          </w:p>
        </w:tc>
        <w:tc>
          <w:tcPr>
            <w:tcW w:w="1347" w:type="dxa"/>
            <w:noWrap/>
            <w:vAlign w:val="center"/>
          </w:tcPr>
          <w:p w14:paraId="2B83193A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5F6B8010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 xml:space="preserve">0 </w:t>
            </w:r>
          </w:p>
        </w:tc>
        <w:tc>
          <w:tcPr>
            <w:tcW w:w="1437" w:type="dxa"/>
            <w:noWrap/>
            <w:vAlign w:val="center"/>
          </w:tcPr>
          <w:p w14:paraId="3A1CD648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</w:tr>
      <w:tr w:rsidR="001B1E9E" w:rsidRPr="001B1E9E" w14:paraId="230F4541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78F3CFB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1B1E9E">
              <w:rPr>
                <w:lang w:eastAsia="sk-SK"/>
              </w:rPr>
              <w:t>- program 0EK0N - Informačné technológie financované zo štátneho rozpočtu – Štatistický úrad SR</w:t>
            </w:r>
          </w:p>
        </w:tc>
        <w:tc>
          <w:tcPr>
            <w:tcW w:w="1267" w:type="dxa"/>
            <w:noWrap/>
            <w:vAlign w:val="center"/>
          </w:tcPr>
          <w:p w14:paraId="1D230F2D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600 000</w:t>
            </w:r>
          </w:p>
        </w:tc>
        <w:tc>
          <w:tcPr>
            <w:tcW w:w="1347" w:type="dxa"/>
            <w:noWrap/>
            <w:vAlign w:val="center"/>
          </w:tcPr>
          <w:p w14:paraId="6509E858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48235E3F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0FE36E68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 xml:space="preserve">0 </w:t>
            </w:r>
          </w:p>
        </w:tc>
      </w:tr>
      <w:tr w:rsidR="001B1E9E" w:rsidRPr="001B1E9E" w14:paraId="677BE20C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BE08E4E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10C008F3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347" w:type="dxa"/>
            <w:noWrap/>
            <w:vAlign w:val="center"/>
          </w:tcPr>
          <w:p w14:paraId="3224181D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250" w:type="dxa"/>
            <w:noWrap/>
            <w:vAlign w:val="center"/>
          </w:tcPr>
          <w:p w14:paraId="2DBDCF1A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437" w:type="dxa"/>
            <w:noWrap/>
            <w:vAlign w:val="center"/>
          </w:tcPr>
          <w:p w14:paraId="65BEE59F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</w:p>
        </w:tc>
      </w:tr>
      <w:tr w:rsidR="001B1E9E" w:rsidRPr="001B1E9E" w14:paraId="4412402C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69BC5AC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70FB0CC1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1 800 000</w:t>
            </w:r>
          </w:p>
        </w:tc>
        <w:tc>
          <w:tcPr>
            <w:tcW w:w="1347" w:type="dxa"/>
            <w:noWrap/>
            <w:vAlign w:val="center"/>
          </w:tcPr>
          <w:p w14:paraId="6A254DEF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342BB38D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0B93E704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15294343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B34A8E9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i/>
                <w:lang w:eastAsia="sk-SK"/>
              </w:rPr>
              <w:t>Rozpočtové prostriedky</w:t>
            </w:r>
            <w:r w:rsidRPr="001B1E9E">
              <w:rPr>
                <w:lang w:eastAsia="sk-SK"/>
              </w:rPr>
              <w:t xml:space="preserve"> – kapitola Štatistického úradu SR – z toho:</w:t>
            </w:r>
          </w:p>
        </w:tc>
        <w:tc>
          <w:tcPr>
            <w:tcW w:w="1267" w:type="dxa"/>
            <w:noWrap/>
            <w:vAlign w:val="center"/>
          </w:tcPr>
          <w:p w14:paraId="7E40ACB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1 800 000</w:t>
            </w:r>
          </w:p>
        </w:tc>
        <w:tc>
          <w:tcPr>
            <w:tcW w:w="1347" w:type="dxa"/>
            <w:noWrap/>
            <w:vAlign w:val="center"/>
          </w:tcPr>
          <w:p w14:paraId="122EB98E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259144BE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510703CA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 xml:space="preserve">0   </w:t>
            </w:r>
          </w:p>
        </w:tc>
      </w:tr>
      <w:tr w:rsidR="001B1E9E" w:rsidRPr="001B1E9E" w14:paraId="7BEB8EE3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B0623E0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1B1E9E">
              <w:rPr>
                <w:lang w:eastAsia="sk-SK"/>
              </w:rPr>
              <w:t>- program 07V – Štatistické zisťovania</w:t>
            </w:r>
          </w:p>
        </w:tc>
        <w:tc>
          <w:tcPr>
            <w:tcW w:w="1267" w:type="dxa"/>
            <w:noWrap/>
            <w:vAlign w:val="center"/>
          </w:tcPr>
          <w:p w14:paraId="659B2D9A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1 200 000</w:t>
            </w:r>
          </w:p>
        </w:tc>
        <w:tc>
          <w:tcPr>
            <w:tcW w:w="1347" w:type="dxa"/>
            <w:noWrap/>
            <w:vAlign w:val="center"/>
          </w:tcPr>
          <w:p w14:paraId="0D315613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38BFC44F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2FDAE763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</w:tr>
      <w:tr w:rsidR="001B1E9E" w:rsidRPr="001B1E9E" w14:paraId="47B34E70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6D59713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1B1E9E">
              <w:rPr>
                <w:lang w:eastAsia="sk-SK"/>
              </w:rPr>
              <w:t>- program 0EK0N - Informačné technológie financované zo štátneho rozpočtu – Štatistický úrad SR</w:t>
            </w:r>
          </w:p>
        </w:tc>
        <w:tc>
          <w:tcPr>
            <w:tcW w:w="1267" w:type="dxa"/>
            <w:noWrap/>
            <w:vAlign w:val="center"/>
          </w:tcPr>
          <w:p w14:paraId="1B116A14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600 000</w:t>
            </w:r>
          </w:p>
        </w:tc>
        <w:tc>
          <w:tcPr>
            <w:tcW w:w="1347" w:type="dxa"/>
            <w:noWrap/>
            <w:vAlign w:val="center"/>
          </w:tcPr>
          <w:p w14:paraId="061F4142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 xml:space="preserve">0 </w:t>
            </w:r>
          </w:p>
        </w:tc>
        <w:tc>
          <w:tcPr>
            <w:tcW w:w="1250" w:type="dxa"/>
            <w:noWrap/>
            <w:vAlign w:val="center"/>
          </w:tcPr>
          <w:p w14:paraId="78173918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  <w:p w14:paraId="2DF64FCC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437" w:type="dxa"/>
            <w:noWrap/>
            <w:vAlign w:val="center"/>
          </w:tcPr>
          <w:p w14:paraId="5D60052C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</w:tr>
      <w:tr w:rsidR="001B1E9E" w:rsidRPr="001B1E9E" w14:paraId="33CF56CB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4D4F647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Cs/>
                <w:i/>
                <w:iCs/>
                <w:lang w:eastAsia="sk-SK"/>
              </w:rPr>
            </w:pPr>
            <w:r w:rsidRPr="001B1E9E">
              <w:rPr>
                <w:bCs/>
                <w:i/>
                <w:iCs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38F8E898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3FFFF12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58D32827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37B848D8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</w:tr>
      <w:tr w:rsidR="001B1E9E" w:rsidRPr="001B1E9E" w14:paraId="27134C59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44178CC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Cs/>
                <w:i/>
                <w:iCs/>
                <w:lang w:eastAsia="sk-SK"/>
              </w:rPr>
            </w:pPr>
            <w:r w:rsidRPr="001B1E9E">
              <w:rPr>
                <w:bCs/>
                <w:i/>
                <w:iCs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4EC3F5C9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4EB90B64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2BF6E055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3908F10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  <w:r w:rsidRPr="001B1E9E">
              <w:rPr>
                <w:lang w:eastAsia="sk-SK"/>
              </w:rPr>
              <w:t>0</w:t>
            </w:r>
          </w:p>
        </w:tc>
      </w:tr>
      <w:tr w:rsidR="001B1E9E" w:rsidRPr="001B1E9E" w14:paraId="456E463C" w14:textId="77777777" w:rsidTr="001B1E9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A64ABA7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highlight w:val="cyan"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7319FDC8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4729D2DF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2A8BA089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499A7459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75C843AE" w14:textId="77777777" w:rsidTr="001B1E9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28945B6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57442FC2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6DE8FABE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1DE83FFD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71EB9537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7506E284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ED96F36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168C2DFB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1ACCB4FA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3A47968A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6766FD0E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26B6AE98" w14:textId="77777777" w:rsidTr="001B1E9E">
        <w:trPr>
          <w:trHeight w:val="70"/>
          <w:jc w:val="center"/>
        </w:trPr>
        <w:tc>
          <w:tcPr>
            <w:tcW w:w="4661" w:type="dxa"/>
            <w:shd w:val="clear" w:color="auto" w:fill="BFBFBF"/>
            <w:noWrap/>
            <w:vAlign w:val="center"/>
          </w:tcPr>
          <w:p w14:paraId="242CD964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14:paraId="679C997B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347" w:type="dxa"/>
            <w:shd w:val="clear" w:color="auto" w:fill="BFBFBF"/>
            <w:noWrap/>
            <w:vAlign w:val="center"/>
          </w:tcPr>
          <w:p w14:paraId="7DB900CF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50" w:type="dxa"/>
            <w:shd w:val="clear" w:color="auto" w:fill="BFBFBF"/>
            <w:noWrap/>
            <w:vAlign w:val="center"/>
          </w:tcPr>
          <w:p w14:paraId="3D611271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437" w:type="dxa"/>
            <w:shd w:val="clear" w:color="auto" w:fill="BFBFBF"/>
            <w:noWrap/>
            <w:vAlign w:val="center"/>
          </w:tcPr>
          <w:p w14:paraId="500D3BA9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</w:tr>
      <w:tr w:rsidR="001B1E9E" w:rsidRPr="001B1E9E" w14:paraId="18A0EFF3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954BBC9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 xml:space="preserve">- vplyv na ŠR – </w:t>
            </w:r>
            <w:r w:rsidRPr="001B1E9E">
              <w:rPr>
                <w:bCs/>
                <w:iCs/>
                <w:lang w:eastAsia="sk-SK"/>
              </w:rPr>
              <w:t>Štatistický úrad SR</w:t>
            </w:r>
          </w:p>
        </w:tc>
        <w:tc>
          <w:tcPr>
            <w:tcW w:w="1267" w:type="dxa"/>
            <w:noWrap/>
            <w:vAlign w:val="center"/>
          </w:tcPr>
          <w:p w14:paraId="52B4DB32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7F49EA72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51B41D1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05CCB0A2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0EA67609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122007C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407992A1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12FAEE74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3F9A81F3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25782EC1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276E80C4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30AFB88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7760561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45D38759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5EFC36D3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0CD02029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5DD90AD2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54E97B3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431E8638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050FE42B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4DB10695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1B566E7A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3B13ECB0" w14:textId="77777777" w:rsidTr="001B1E9E">
        <w:trPr>
          <w:trHeight w:val="70"/>
          <w:jc w:val="center"/>
        </w:trPr>
        <w:tc>
          <w:tcPr>
            <w:tcW w:w="4661" w:type="dxa"/>
            <w:shd w:val="clear" w:color="auto" w:fill="BFBFBF"/>
            <w:noWrap/>
            <w:vAlign w:val="center"/>
          </w:tcPr>
          <w:p w14:paraId="6A810596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lang w:eastAsia="sk-SK"/>
              </w:rPr>
            </w:pPr>
            <w:r w:rsidRPr="001B1E9E">
              <w:rPr>
                <w:b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14:paraId="72C0298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lang w:eastAsia="sk-SK"/>
              </w:rPr>
            </w:pPr>
            <w:r w:rsidRPr="001B1E9E">
              <w:rPr>
                <w:b/>
                <w:lang w:eastAsia="sk-SK"/>
              </w:rPr>
              <w:t>0</w:t>
            </w:r>
          </w:p>
        </w:tc>
        <w:tc>
          <w:tcPr>
            <w:tcW w:w="1347" w:type="dxa"/>
            <w:shd w:val="clear" w:color="auto" w:fill="BFBFBF"/>
            <w:noWrap/>
            <w:vAlign w:val="center"/>
          </w:tcPr>
          <w:p w14:paraId="5105F84F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lang w:eastAsia="sk-SK"/>
              </w:rPr>
            </w:pPr>
            <w:r w:rsidRPr="001B1E9E">
              <w:rPr>
                <w:b/>
                <w:lang w:eastAsia="sk-SK"/>
              </w:rPr>
              <w:t>0</w:t>
            </w:r>
          </w:p>
        </w:tc>
        <w:tc>
          <w:tcPr>
            <w:tcW w:w="1250" w:type="dxa"/>
            <w:shd w:val="clear" w:color="auto" w:fill="BFBFBF"/>
            <w:noWrap/>
            <w:vAlign w:val="center"/>
          </w:tcPr>
          <w:p w14:paraId="6D13C7A3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lang w:eastAsia="sk-SK"/>
              </w:rPr>
            </w:pPr>
            <w:r w:rsidRPr="001B1E9E">
              <w:rPr>
                <w:b/>
                <w:lang w:eastAsia="sk-SK"/>
              </w:rPr>
              <w:t>0</w:t>
            </w:r>
          </w:p>
        </w:tc>
        <w:tc>
          <w:tcPr>
            <w:tcW w:w="1437" w:type="dxa"/>
            <w:shd w:val="clear" w:color="auto" w:fill="BFBFBF"/>
            <w:noWrap/>
            <w:vAlign w:val="center"/>
          </w:tcPr>
          <w:p w14:paraId="2ADEA95C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lang w:eastAsia="sk-SK"/>
              </w:rPr>
            </w:pPr>
            <w:r w:rsidRPr="001B1E9E">
              <w:rPr>
                <w:b/>
                <w:lang w:eastAsia="sk-SK"/>
              </w:rPr>
              <w:t>0</w:t>
            </w:r>
          </w:p>
        </w:tc>
      </w:tr>
      <w:tr w:rsidR="001B1E9E" w:rsidRPr="001B1E9E" w14:paraId="78790DF2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66BF39C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 xml:space="preserve">- vplyv na ŠR – </w:t>
            </w:r>
            <w:r w:rsidRPr="001B1E9E">
              <w:rPr>
                <w:bCs/>
                <w:iCs/>
                <w:lang w:eastAsia="sk-SK"/>
              </w:rPr>
              <w:t>Štatistický úrad SR</w:t>
            </w:r>
          </w:p>
        </w:tc>
        <w:tc>
          <w:tcPr>
            <w:tcW w:w="1267" w:type="dxa"/>
            <w:noWrap/>
            <w:vAlign w:val="center"/>
          </w:tcPr>
          <w:p w14:paraId="766D48B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598B724A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55AC6A9B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 xml:space="preserve"> 0</w:t>
            </w:r>
          </w:p>
        </w:tc>
        <w:tc>
          <w:tcPr>
            <w:tcW w:w="1437" w:type="dxa"/>
            <w:noWrap/>
            <w:vAlign w:val="center"/>
          </w:tcPr>
          <w:p w14:paraId="5282A17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36C80BB2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718F433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735D28F5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57F93670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0EAA553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3793A90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59A60187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3756E34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i/>
                <w:i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3B117FC2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295EF82A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3B63300F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67379041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388E1853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09571CE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i/>
                <w:iCs/>
                <w:lang w:eastAsia="sk-SK"/>
              </w:rPr>
              <w:lastRenderedPageBreak/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103BDCE8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347" w:type="dxa"/>
            <w:noWrap/>
            <w:vAlign w:val="center"/>
          </w:tcPr>
          <w:p w14:paraId="6396676D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1C0AB4D0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61C75ED6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iCs/>
                <w:lang w:eastAsia="sk-SK"/>
              </w:rPr>
            </w:pPr>
            <w:r w:rsidRPr="001B1E9E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1B1E9E" w:rsidRPr="001B1E9E" w14:paraId="203D317B" w14:textId="77777777" w:rsidTr="001B1E9E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3E480729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6C479605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1 800 000</w:t>
            </w:r>
          </w:p>
        </w:tc>
        <w:tc>
          <w:tcPr>
            <w:tcW w:w="1347" w:type="dxa"/>
            <w:shd w:val="clear" w:color="auto" w:fill="C0C0C0"/>
            <w:noWrap/>
            <w:vAlign w:val="center"/>
          </w:tcPr>
          <w:p w14:paraId="11532DC3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50" w:type="dxa"/>
            <w:shd w:val="clear" w:color="auto" w:fill="C0C0C0"/>
            <w:noWrap/>
            <w:vAlign w:val="center"/>
          </w:tcPr>
          <w:p w14:paraId="3F0F53B4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437" w:type="dxa"/>
            <w:shd w:val="clear" w:color="auto" w:fill="C0C0C0"/>
            <w:noWrap/>
            <w:vAlign w:val="center"/>
          </w:tcPr>
          <w:p w14:paraId="4A0AED44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 xml:space="preserve">0   </w:t>
            </w:r>
          </w:p>
        </w:tc>
      </w:tr>
      <w:tr w:rsidR="001B1E9E" w:rsidRPr="001B1E9E" w14:paraId="26F9ED6C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6A0051C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1B1E9E">
              <w:rPr>
                <w:lang w:eastAsia="sk-SK"/>
              </w:rPr>
              <w:t xml:space="preserve">v tom: za každý subjekt verejnej správy / program zvlášť </w:t>
            </w:r>
          </w:p>
        </w:tc>
        <w:tc>
          <w:tcPr>
            <w:tcW w:w="1267" w:type="dxa"/>
            <w:noWrap/>
            <w:vAlign w:val="center"/>
          </w:tcPr>
          <w:p w14:paraId="23F103AD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lang w:eastAsia="sk-SK"/>
              </w:rPr>
            </w:pPr>
          </w:p>
        </w:tc>
        <w:tc>
          <w:tcPr>
            <w:tcW w:w="1347" w:type="dxa"/>
            <w:noWrap/>
            <w:vAlign w:val="center"/>
          </w:tcPr>
          <w:p w14:paraId="7026CB07" w14:textId="77777777" w:rsidR="001B1E9E" w:rsidRPr="001B1E9E" w:rsidRDefault="001B1E9E" w:rsidP="001B1E9E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250" w:type="dxa"/>
            <w:noWrap/>
            <w:vAlign w:val="center"/>
          </w:tcPr>
          <w:p w14:paraId="1B47BAD0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</w:p>
        </w:tc>
        <w:tc>
          <w:tcPr>
            <w:tcW w:w="1437" w:type="dxa"/>
            <w:noWrap/>
            <w:vAlign w:val="center"/>
          </w:tcPr>
          <w:p w14:paraId="29D68D5D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</w:p>
        </w:tc>
      </w:tr>
      <w:tr w:rsidR="001B1E9E" w:rsidRPr="001B1E9E" w14:paraId="698EDE28" w14:textId="77777777" w:rsidTr="001B1E9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D160A65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1B1E9E">
              <w:rPr>
                <w:lang w:eastAsia="sk-SK"/>
              </w:rPr>
              <w:t>Štatistický úrad SR</w:t>
            </w:r>
          </w:p>
        </w:tc>
        <w:tc>
          <w:tcPr>
            <w:tcW w:w="1267" w:type="dxa"/>
            <w:noWrap/>
            <w:vAlign w:val="center"/>
          </w:tcPr>
          <w:p w14:paraId="3199AD71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 xml:space="preserve"> 1 800 000</w:t>
            </w:r>
          </w:p>
        </w:tc>
        <w:tc>
          <w:tcPr>
            <w:tcW w:w="1347" w:type="dxa"/>
            <w:noWrap/>
            <w:vAlign w:val="center"/>
          </w:tcPr>
          <w:p w14:paraId="6F9F9F57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50" w:type="dxa"/>
            <w:noWrap/>
            <w:vAlign w:val="center"/>
          </w:tcPr>
          <w:p w14:paraId="59B0BDE5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437" w:type="dxa"/>
            <w:noWrap/>
            <w:vAlign w:val="center"/>
          </w:tcPr>
          <w:p w14:paraId="6C71EC9B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</w:tr>
      <w:tr w:rsidR="001B1E9E" w:rsidRPr="001B1E9E" w14:paraId="68971EA7" w14:textId="77777777" w:rsidTr="001B1E9E">
        <w:trPr>
          <w:trHeight w:val="70"/>
          <w:jc w:val="center"/>
        </w:trPr>
        <w:tc>
          <w:tcPr>
            <w:tcW w:w="4661" w:type="dxa"/>
            <w:shd w:val="clear" w:color="auto" w:fill="BFBFBF"/>
            <w:noWrap/>
            <w:vAlign w:val="center"/>
          </w:tcPr>
          <w:p w14:paraId="28ED9B72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lang w:eastAsia="sk-SK"/>
              </w:rPr>
            </w:pPr>
            <w:r w:rsidRPr="001B1E9E">
              <w:rPr>
                <w:b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14:paraId="3E712201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347" w:type="dxa"/>
            <w:shd w:val="clear" w:color="auto" w:fill="BFBFBF"/>
            <w:noWrap/>
            <w:vAlign w:val="center"/>
          </w:tcPr>
          <w:p w14:paraId="1532660B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50" w:type="dxa"/>
            <w:shd w:val="clear" w:color="auto" w:fill="BFBFBF"/>
            <w:noWrap/>
            <w:vAlign w:val="center"/>
          </w:tcPr>
          <w:p w14:paraId="49817A21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437" w:type="dxa"/>
            <w:shd w:val="clear" w:color="auto" w:fill="BFBFBF"/>
            <w:noWrap/>
            <w:vAlign w:val="center"/>
          </w:tcPr>
          <w:p w14:paraId="07371E6E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</w:tr>
      <w:tr w:rsidR="001B1E9E" w:rsidRPr="001B1E9E" w14:paraId="2A2D32ED" w14:textId="77777777" w:rsidTr="001B1E9E">
        <w:trPr>
          <w:trHeight w:val="70"/>
          <w:jc w:val="center"/>
        </w:trPr>
        <w:tc>
          <w:tcPr>
            <w:tcW w:w="4661" w:type="dxa"/>
            <w:shd w:val="clear" w:color="auto" w:fill="A6A6A6"/>
            <w:noWrap/>
            <w:vAlign w:val="center"/>
          </w:tcPr>
          <w:p w14:paraId="087FCB75" w14:textId="77777777" w:rsidR="001B1E9E" w:rsidRPr="001B1E9E" w:rsidRDefault="001B1E9E" w:rsidP="001B1E9E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/>
            <w:noWrap/>
            <w:vAlign w:val="center"/>
          </w:tcPr>
          <w:p w14:paraId="29ACF25D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347" w:type="dxa"/>
            <w:shd w:val="clear" w:color="auto" w:fill="A6A6A6"/>
            <w:noWrap/>
            <w:vAlign w:val="center"/>
          </w:tcPr>
          <w:p w14:paraId="6ADAAFBA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50" w:type="dxa"/>
            <w:shd w:val="clear" w:color="auto" w:fill="A6A6A6"/>
            <w:noWrap/>
            <w:vAlign w:val="center"/>
          </w:tcPr>
          <w:p w14:paraId="62945985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  <w:tc>
          <w:tcPr>
            <w:tcW w:w="1437" w:type="dxa"/>
            <w:shd w:val="clear" w:color="auto" w:fill="A6A6A6"/>
            <w:noWrap/>
            <w:vAlign w:val="center"/>
          </w:tcPr>
          <w:p w14:paraId="703B3355" w14:textId="77777777" w:rsidR="001B1E9E" w:rsidRPr="001B1E9E" w:rsidRDefault="001B1E9E" w:rsidP="001B1E9E">
            <w:pPr>
              <w:spacing w:after="0" w:line="240" w:lineRule="auto"/>
              <w:ind w:firstLine="0"/>
              <w:jc w:val="right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0</w:t>
            </w:r>
          </w:p>
        </w:tc>
      </w:tr>
      <w:bookmarkEnd w:id="1"/>
    </w:tbl>
    <w:p w14:paraId="46653358" w14:textId="77777777" w:rsidR="002B15D0" w:rsidRPr="00C6390F" w:rsidRDefault="002B15D0" w:rsidP="002B15D0">
      <w:pPr>
        <w:rPr>
          <w:b/>
          <w:bCs/>
          <w:lang w:eastAsia="sk-SK"/>
        </w:rPr>
      </w:pPr>
    </w:p>
    <w:p w14:paraId="336F7F6D" w14:textId="77777777" w:rsidR="002B15D0" w:rsidRDefault="002B15D0" w:rsidP="002B15D0">
      <w:pPr>
        <w:rPr>
          <w:b/>
          <w:bCs/>
          <w:lang w:eastAsia="sk-SK"/>
        </w:rPr>
      </w:pPr>
      <w:r w:rsidRPr="006A4BE1">
        <w:rPr>
          <w:b/>
          <w:bCs/>
          <w:lang w:eastAsia="sk-SK"/>
        </w:rPr>
        <w:t xml:space="preserve">Poznámky: </w:t>
      </w:r>
    </w:p>
    <w:p w14:paraId="577844E0" w14:textId="77777777" w:rsidR="002B15D0" w:rsidRDefault="002B15D0" w:rsidP="002B15D0">
      <w:pPr>
        <w:rPr>
          <w:b/>
          <w:bCs/>
          <w:lang w:eastAsia="sk-SK"/>
        </w:rPr>
      </w:pPr>
      <w:r>
        <w:rPr>
          <w:b/>
          <w:bCs/>
          <w:lang w:eastAsia="sk-SK"/>
        </w:rPr>
        <w:t>Potreba dodatočných rozpočtových prostriedkov na rok 2021 vzniká z dôvodu navrhovanej zmeny koncepcie sčítania obyvateľov v rámci SODB 2021  z dôvodu dodržiavania vydaných alebo očakávaných opatrení Úradu verejného zdravotníctva Slovenskej republiky nariadených na ochranu verejného zdravia z dôvodu závažnej  epidemiologickej situácie spôsobenej pretrvávajúcim šírením nového koronavírusu (ďalej len „ochorenie COVID-19“). Táto situácia vyvoláva potrebu vykonať asistované sčítanie obyvateľov, ktorí sa nedokážu sčítať prostredníctvom elektronických formulárov na sčítanie obyvateľov sami a ani s pomocou blízkych osôb alebo iných osôb, s ktorými žijú v jednej bytovej domácnosti, v neskoršom období</w:t>
      </w:r>
      <w:r w:rsidDel="00167F55">
        <w:rPr>
          <w:b/>
          <w:bCs/>
          <w:lang w:eastAsia="sk-SK"/>
        </w:rPr>
        <w:t xml:space="preserve"> </w:t>
      </w:r>
      <w:r>
        <w:rPr>
          <w:b/>
          <w:bCs/>
          <w:lang w:eastAsia="sk-SK"/>
        </w:rPr>
        <w:t xml:space="preserve">ako počas doby sčítania obyvateľov. Dobu sčítania obyvateľov je od 15. februára 2021 do 31. marca 2021 a ustanovuje ju zákon č. 223/2019 Z. z., ktorého novelizácia je predmetom predloženého legislatívneho materiálu. </w:t>
      </w:r>
    </w:p>
    <w:p w14:paraId="3BF71BC5" w14:textId="77777777" w:rsidR="002B15D0" w:rsidRPr="00F052C5" w:rsidRDefault="002B15D0" w:rsidP="002B15D0">
      <w:pPr>
        <w:rPr>
          <w:bCs/>
          <w:lang w:eastAsia="sk-SK"/>
        </w:rPr>
      </w:pPr>
      <w:r>
        <w:rPr>
          <w:bCs/>
          <w:lang w:eastAsia="sk-SK"/>
        </w:rPr>
        <w:t>Obyvatelia, o ktorých sa predpokladá, že využijú službu asistovaného sčítania sú</w:t>
      </w:r>
      <w:r w:rsidRPr="00F052C5">
        <w:rPr>
          <w:bCs/>
          <w:lang w:eastAsia="sk-SK"/>
        </w:rPr>
        <w:t xml:space="preserve"> prevažne </w:t>
      </w:r>
      <w:r>
        <w:rPr>
          <w:bCs/>
          <w:lang w:eastAsia="sk-SK"/>
        </w:rPr>
        <w:t>seniori</w:t>
      </w:r>
      <w:r w:rsidRPr="00F052C5">
        <w:rPr>
          <w:bCs/>
          <w:lang w:eastAsia="sk-SK"/>
        </w:rPr>
        <w:t>,  osob</w:t>
      </w:r>
      <w:r>
        <w:rPr>
          <w:bCs/>
          <w:lang w:eastAsia="sk-SK"/>
        </w:rPr>
        <w:t>y</w:t>
      </w:r>
      <w:r w:rsidRPr="00F052C5">
        <w:rPr>
          <w:bCs/>
          <w:lang w:eastAsia="sk-SK"/>
        </w:rPr>
        <w:t xml:space="preserve"> so zdravotným postihnutím alebo </w:t>
      </w:r>
      <w:r>
        <w:rPr>
          <w:bCs/>
          <w:lang w:eastAsia="sk-SK"/>
        </w:rPr>
        <w:t>osoby</w:t>
      </w:r>
      <w:r w:rsidRPr="00F052C5">
        <w:rPr>
          <w:bCs/>
          <w:lang w:eastAsia="sk-SK"/>
        </w:rPr>
        <w:t xml:space="preserve"> s minimálnymi digitálnymi zručnosťami, pre ktoré by kontakt s asistentmi sčítania počas blížiacej sa doby sčítania predstavoval zvýšené riziko ochorenia COVID-19 resp. by si z dôvodu obavy o svoje zdravie alebo z dôvodu, že by asistenti sčítania mali zakázané nariadenými opatreniami kontaktovať týchto obyvateľov, nesplnili svoju sčítaciu povinnosť.</w:t>
      </w:r>
    </w:p>
    <w:p w14:paraId="11F1189B" w14:textId="77777777" w:rsidR="002B15D0" w:rsidRPr="006A4BE1" w:rsidRDefault="002B15D0" w:rsidP="002B15D0">
      <w:pPr>
        <w:spacing w:after="360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 Realizáciou návrhu zákona sa celkový čas zberu  údajov o obyvateľoch v rámci sčítania obyvateľov prostredníctvom elektronických formulárov na sčítanie obyvateľov predĺži o 7 mesiacov.</w:t>
      </w:r>
    </w:p>
    <w:p w14:paraId="6949A316" w14:textId="77777777" w:rsidR="002B15D0" w:rsidRPr="00C6390F" w:rsidRDefault="002B15D0" w:rsidP="002B15D0">
      <w:pPr>
        <w:spacing w:after="240" w:line="240" w:lineRule="auto"/>
        <w:rPr>
          <w:b/>
          <w:bCs/>
          <w:lang w:eastAsia="sk-SK"/>
        </w:rPr>
      </w:pPr>
      <w:r w:rsidRPr="00C6390F">
        <w:rPr>
          <w:b/>
          <w:bCs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49026659" w14:textId="53164C4E" w:rsidR="002B15D0" w:rsidRPr="00C6390F" w:rsidRDefault="0092757D" w:rsidP="009275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bCs/>
          <w:lang w:eastAsia="sk-SK"/>
        </w:rPr>
      </w:pPr>
      <w:r w:rsidRPr="00C6390F">
        <w:rPr>
          <w:b/>
          <w:bCs/>
          <w:lang w:eastAsia="sk-SK"/>
        </w:rPr>
        <w:t>Financovanie návrhu sa bude realizovať z rozpočtu kapitoly Štatistic</w:t>
      </w:r>
      <w:r>
        <w:rPr>
          <w:b/>
          <w:bCs/>
          <w:lang w:eastAsia="sk-SK"/>
        </w:rPr>
        <w:t>kého úradu SR. V čase predkladania a schvaľovania novely zákona je predmetná suma súčasťou rozpočtu VPS  -  Rezervy na negatívne vplyvy pandémie ochorenia COVID 19</w:t>
      </w:r>
      <w:r w:rsidRPr="00C6390F">
        <w:rPr>
          <w:b/>
          <w:bCs/>
          <w:lang w:eastAsia="sk-SK"/>
        </w:rPr>
        <w:t xml:space="preserve">. </w:t>
      </w:r>
      <w:r>
        <w:rPr>
          <w:b/>
          <w:bCs/>
          <w:lang w:eastAsia="sk-SK"/>
        </w:rPr>
        <w:t>Po schválení návrhu  zákona bude predmetná suma presunutá do rozpočtovej kapitoly Štatistického úradu.</w:t>
      </w:r>
    </w:p>
    <w:p w14:paraId="7C1D389F" w14:textId="77777777" w:rsidR="002B15D0" w:rsidRDefault="002B15D0" w:rsidP="002B15D0">
      <w:pPr>
        <w:rPr>
          <w:b/>
          <w:bCs/>
          <w:lang w:eastAsia="sk-SK"/>
        </w:rPr>
      </w:pPr>
      <w:r>
        <w:rPr>
          <w:b/>
          <w:bCs/>
          <w:lang w:eastAsia="sk-SK"/>
        </w:rPr>
        <w:br w:type="page"/>
      </w:r>
    </w:p>
    <w:p w14:paraId="0812393B" w14:textId="77777777" w:rsidR="002B15D0" w:rsidRPr="00C6390F" w:rsidRDefault="002B15D0" w:rsidP="002B15D0">
      <w:pPr>
        <w:spacing w:before="240" w:after="0" w:line="240" w:lineRule="auto"/>
        <w:rPr>
          <w:b/>
          <w:bCs/>
          <w:lang w:eastAsia="sk-SK"/>
        </w:rPr>
      </w:pPr>
      <w:r w:rsidRPr="00C6390F">
        <w:rPr>
          <w:b/>
          <w:bCs/>
          <w:lang w:eastAsia="sk-SK"/>
        </w:rPr>
        <w:lastRenderedPageBreak/>
        <w:t>2.2. Popis a charakteristika návrhu</w:t>
      </w:r>
    </w:p>
    <w:p w14:paraId="3E2A3D83" w14:textId="77777777" w:rsidR="002B15D0" w:rsidRPr="00C6390F" w:rsidRDefault="002B15D0" w:rsidP="002B15D0">
      <w:pPr>
        <w:spacing w:after="0" w:line="240" w:lineRule="auto"/>
        <w:rPr>
          <w:lang w:eastAsia="sk-SK"/>
        </w:rPr>
      </w:pPr>
    </w:p>
    <w:p w14:paraId="7586A374" w14:textId="77777777" w:rsidR="002B15D0" w:rsidRPr="00C6390F" w:rsidRDefault="002B15D0" w:rsidP="002B15D0">
      <w:pPr>
        <w:spacing w:after="0" w:line="240" w:lineRule="auto"/>
        <w:rPr>
          <w:b/>
          <w:bCs/>
          <w:lang w:eastAsia="sk-SK"/>
        </w:rPr>
      </w:pPr>
      <w:r w:rsidRPr="00C6390F">
        <w:rPr>
          <w:b/>
          <w:bCs/>
          <w:lang w:eastAsia="sk-SK"/>
        </w:rPr>
        <w:t>2.2.1. Popis návrhu:</w:t>
      </w:r>
    </w:p>
    <w:p w14:paraId="49398350" w14:textId="77777777" w:rsidR="002B15D0" w:rsidRPr="00C6390F" w:rsidRDefault="002B15D0" w:rsidP="002B15D0">
      <w:pPr>
        <w:spacing w:after="0" w:line="240" w:lineRule="auto"/>
        <w:rPr>
          <w:b/>
          <w:bCs/>
          <w:lang w:eastAsia="sk-SK"/>
        </w:rPr>
      </w:pPr>
    </w:p>
    <w:p w14:paraId="3E6F7CBD" w14:textId="77777777" w:rsidR="002B15D0" w:rsidRPr="00C6390F" w:rsidRDefault="002B15D0" w:rsidP="002B15D0">
      <w:pPr>
        <w:spacing w:after="0" w:line="240" w:lineRule="auto"/>
        <w:rPr>
          <w:lang w:eastAsia="sk-SK"/>
        </w:rPr>
      </w:pPr>
      <w:r w:rsidRPr="00C6390F">
        <w:rPr>
          <w:lang w:eastAsia="sk-SK"/>
        </w:rPr>
        <w:t>Akú problematiku návrh rieši? Kto bude návrh implementovať? Kde sa budú služby poskytovať?</w:t>
      </w:r>
    </w:p>
    <w:p w14:paraId="56112EFB" w14:textId="77777777" w:rsidR="002B15D0" w:rsidRPr="00C6390F" w:rsidRDefault="002B15D0" w:rsidP="002B15D0">
      <w:r w:rsidRPr="00C6390F">
        <w:t xml:space="preserve">Návrh </w:t>
      </w:r>
      <w:r>
        <w:t>zákona</w:t>
      </w:r>
      <w:r w:rsidRPr="00C6390F">
        <w:t xml:space="preserve"> </w:t>
      </w:r>
      <w:r>
        <w:t xml:space="preserve"> </w:t>
      </w:r>
      <w:r w:rsidRPr="00C6390F">
        <w:t xml:space="preserve">sa predkladá </w:t>
      </w:r>
      <w:r>
        <w:t>iniciatívny materiál</w:t>
      </w:r>
      <w:r w:rsidRPr="00C6390F">
        <w:t>.</w:t>
      </w:r>
    </w:p>
    <w:p w14:paraId="6C444898" w14:textId="77777777" w:rsidR="002B15D0" w:rsidRPr="002E7C97" w:rsidRDefault="002B15D0" w:rsidP="002B15D0">
      <w:pPr>
        <w:adjustRightInd w:val="0"/>
        <w:rPr>
          <w:color w:val="000000"/>
        </w:rPr>
      </w:pPr>
      <w:r w:rsidRPr="00C6390F">
        <w:t xml:space="preserve">Obsahom predkladaného návrhu </w:t>
      </w:r>
      <w:r>
        <w:t xml:space="preserve">novely zákona </w:t>
      </w:r>
      <w:r w:rsidRPr="00C6390F">
        <w:t xml:space="preserve"> sú zmeny vo v</w:t>
      </w:r>
      <w:r>
        <w:t xml:space="preserve">iacerých aspektoch realizácie </w:t>
      </w:r>
      <w:r w:rsidRPr="00C6390F">
        <w:t xml:space="preserve">úloh </w:t>
      </w:r>
      <w:r>
        <w:t>pri zabezpečovaní  sčítania obyvateľov v SR v roku 2021.</w:t>
      </w:r>
    </w:p>
    <w:p w14:paraId="12A1E143" w14:textId="77777777" w:rsidR="002B15D0" w:rsidRPr="00C6390F" w:rsidRDefault="002B15D0" w:rsidP="002B15D0">
      <w:pPr>
        <w:spacing w:after="0" w:line="240" w:lineRule="auto"/>
        <w:rPr>
          <w:b/>
          <w:bCs/>
          <w:lang w:eastAsia="sk-SK"/>
        </w:rPr>
      </w:pPr>
      <w:r w:rsidRPr="00C6390F">
        <w:rPr>
          <w:b/>
          <w:bCs/>
          <w:lang w:eastAsia="sk-SK"/>
        </w:rPr>
        <w:t>2.2.2. Charakteristika návrhu:</w:t>
      </w:r>
    </w:p>
    <w:p w14:paraId="674B8C7F" w14:textId="77777777" w:rsidR="002B15D0" w:rsidRPr="00C6390F" w:rsidRDefault="002B15D0" w:rsidP="002B15D0">
      <w:pPr>
        <w:spacing w:after="0" w:line="240" w:lineRule="auto"/>
        <w:rPr>
          <w:lang w:eastAsia="sk-SK"/>
        </w:rPr>
      </w:pPr>
    </w:p>
    <w:p w14:paraId="5859D713" w14:textId="77777777" w:rsidR="002B15D0" w:rsidRPr="00C6390F" w:rsidRDefault="002B15D0" w:rsidP="002B15D0">
      <w:pPr>
        <w:spacing w:after="0" w:line="240" w:lineRule="auto"/>
        <w:rPr>
          <w:lang w:eastAsia="sk-SK"/>
        </w:rPr>
      </w:pPr>
      <w:r w:rsidRPr="00C6390F">
        <w:rPr>
          <w:b/>
          <w:bdr w:val="single" w:sz="4" w:space="0" w:color="auto"/>
          <w:lang w:eastAsia="sk-SK"/>
        </w:rPr>
        <w:t xml:space="preserve">     </w:t>
      </w:r>
      <w:r w:rsidRPr="00C6390F">
        <w:rPr>
          <w:b/>
          <w:lang w:eastAsia="sk-SK"/>
        </w:rPr>
        <w:t xml:space="preserve">  </w:t>
      </w:r>
      <w:r w:rsidRPr="00C6390F">
        <w:rPr>
          <w:lang w:eastAsia="sk-SK"/>
        </w:rPr>
        <w:t>zmena sadzby</w:t>
      </w:r>
    </w:p>
    <w:p w14:paraId="099CE62C" w14:textId="77777777" w:rsidR="002B15D0" w:rsidRPr="00C6390F" w:rsidRDefault="002B15D0" w:rsidP="002B15D0">
      <w:pPr>
        <w:spacing w:after="0" w:line="240" w:lineRule="auto"/>
        <w:rPr>
          <w:lang w:eastAsia="sk-SK"/>
        </w:rPr>
      </w:pPr>
      <w:r w:rsidRPr="00C6390F">
        <w:rPr>
          <w:bdr w:val="single" w:sz="4" w:space="0" w:color="auto"/>
          <w:lang w:eastAsia="sk-SK"/>
        </w:rPr>
        <w:t xml:space="preserve">     </w:t>
      </w:r>
      <w:r w:rsidRPr="00C6390F">
        <w:rPr>
          <w:lang w:eastAsia="sk-SK"/>
        </w:rPr>
        <w:t xml:space="preserve">  zmena v nároku</w:t>
      </w:r>
    </w:p>
    <w:p w14:paraId="6336D989" w14:textId="77777777" w:rsidR="002B15D0" w:rsidRPr="00C6390F" w:rsidRDefault="002B15D0" w:rsidP="002B15D0">
      <w:pPr>
        <w:spacing w:after="0" w:line="240" w:lineRule="auto"/>
        <w:rPr>
          <w:lang w:eastAsia="sk-SK"/>
        </w:rPr>
      </w:pPr>
      <w:r w:rsidRPr="00C6390F">
        <w:rPr>
          <w:bdr w:val="single" w:sz="4" w:space="0" w:color="auto"/>
          <w:lang w:eastAsia="sk-SK"/>
        </w:rPr>
        <w:t xml:space="preserve">     </w:t>
      </w:r>
      <w:r w:rsidRPr="00C6390F">
        <w:rPr>
          <w:lang w:eastAsia="sk-SK"/>
        </w:rPr>
        <w:t xml:space="preserve">  nová služba alebo nariadenie (alebo ich zrušenie)</w:t>
      </w:r>
    </w:p>
    <w:p w14:paraId="4A443569" w14:textId="77777777" w:rsidR="002B15D0" w:rsidRPr="00C6390F" w:rsidRDefault="002B15D0" w:rsidP="002B15D0">
      <w:pPr>
        <w:spacing w:after="0" w:line="240" w:lineRule="auto"/>
        <w:rPr>
          <w:lang w:eastAsia="sk-SK"/>
        </w:rPr>
      </w:pPr>
      <w:r w:rsidRPr="00C6390F">
        <w:rPr>
          <w:bdr w:val="single" w:sz="4" w:space="0" w:color="auto"/>
          <w:lang w:eastAsia="sk-SK"/>
        </w:rPr>
        <w:t xml:space="preserve">     </w:t>
      </w:r>
      <w:r w:rsidRPr="00C6390F">
        <w:rPr>
          <w:lang w:eastAsia="sk-SK"/>
        </w:rPr>
        <w:t xml:space="preserve">  kombinovaný návrh</w:t>
      </w:r>
    </w:p>
    <w:p w14:paraId="35C1D26A" w14:textId="77777777" w:rsidR="002B15D0" w:rsidRPr="00C6390F" w:rsidRDefault="002B15D0" w:rsidP="002B15D0">
      <w:pPr>
        <w:spacing w:after="0" w:line="240" w:lineRule="auto"/>
        <w:rPr>
          <w:lang w:eastAsia="sk-SK"/>
        </w:rPr>
      </w:pPr>
      <w:r w:rsidRPr="00C6390F">
        <w:rPr>
          <w:bdr w:val="single" w:sz="4" w:space="0" w:color="auto"/>
          <w:lang w:eastAsia="sk-SK"/>
        </w:rPr>
        <w:t xml:space="preserve"> x  </w:t>
      </w:r>
      <w:r w:rsidRPr="00C6390F">
        <w:rPr>
          <w:lang w:eastAsia="sk-SK"/>
        </w:rPr>
        <w:t xml:space="preserve">  iné </w:t>
      </w:r>
    </w:p>
    <w:p w14:paraId="67B1FB1B" w14:textId="77777777" w:rsidR="002B15D0" w:rsidRDefault="002B15D0" w:rsidP="002B15D0">
      <w:pPr>
        <w:spacing w:after="0" w:line="240" w:lineRule="auto"/>
        <w:rPr>
          <w:lang w:eastAsia="sk-SK"/>
        </w:rPr>
      </w:pPr>
    </w:p>
    <w:p w14:paraId="31FB2967" w14:textId="77777777" w:rsidR="002B15D0" w:rsidRDefault="002B15D0" w:rsidP="002B15D0">
      <w:pPr>
        <w:spacing w:after="0" w:line="240" w:lineRule="auto"/>
        <w:rPr>
          <w:lang w:eastAsia="sk-SK"/>
        </w:rPr>
      </w:pPr>
    </w:p>
    <w:p w14:paraId="0B703228" w14:textId="77777777" w:rsidR="002B15D0" w:rsidRPr="00C6390F" w:rsidRDefault="002B15D0" w:rsidP="002B15D0">
      <w:pPr>
        <w:spacing w:after="0" w:line="240" w:lineRule="auto"/>
        <w:rPr>
          <w:lang w:eastAsia="sk-SK"/>
        </w:rPr>
      </w:pPr>
      <w:r w:rsidRPr="00C6390F">
        <w:rPr>
          <w:b/>
          <w:bCs/>
          <w:lang w:eastAsia="sk-SK"/>
        </w:rPr>
        <w:t>2.2.3. Predpoklady vývoja objemu aktivít:</w:t>
      </w:r>
    </w:p>
    <w:p w14:paraId="6A40E4EC" w14:textId="77777777" w:rsidR="002B15D0" w:rsidRPr="00C6390F" w:rsidRDefault="002B15D0" w:rsidP="002B15D0">
      <w:pPr>
        <w:spacing w:after="0" w:line="240" w:lineRule="auto"/>
        <w:rPr>
          <w:lang w:eastAsia="sk-SK"/>
        </w:rPr>
      </w:pPr>
    </w:p>
    <w:p w14:paraId="569B1B02" w14:textId="77777777" w:rsidR="002B15D0" w:rsidRPr="00C6390F" w:rsidRDefault="002B15D0" w:rsidP="002B15D0">
      <w:pPr>
        <w:spacing w:after="0" w:line="240" w:lineRule="auto"/>
        <w:ind w:firstLine="708"/>
        <w:rPr>
          <w:lang w:eastAsia="sk-SK"/>
        </w:rPr>
      </w:pPr>
      <w:r w:rsidRPr="00C6390F">
        <w:rPr>
          <w:lang w:eastAsia="sk-SK"/>
        </w:rPr>
        <w:t>Jasne popíšte, v prípade potreby použite nižšie uvedenú tabuľku. Uveďte aj odhady základov daní a/alebo poplatkov, ak sa ich táto zmena týka.</w:t>
      </w:r>
    </w:p>
    <w:p w14:paraId="1767FD70" w14:textId="77777777" w:rsidR="002B15D0" w:rsidRPr="00C6390F" w:rsidRDefault="002B15D0" w:rsidP="002B15D0">
      <w:pPr>
        <w:spacing w:after="0" w:line="240" w:lineRule="auto"/>
        <w:jc w:val="right"/>
        <w:rPr>
          <w:sz w:val="20"/>
          <w:szCs w:val="20"/>
          <w:lang w:eastAsia="sk-SK"/>
        </w:rPr>
      </w:pPr>
      <w:r w:rsidRPr="00C6390F">
        <w:rPr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1B1E9E" w:rsidRPr="001B1E9E" w14:paraId="731F4421" w14:textId="77777777" w:rsidTr="001B1E9E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/>
            <w:vAlign w:val="center"/>
          </w:tcPr>
          <w:p w14:paraId="1BE7F91E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/>
            <w:vAlign w:val="center"/>
          </w:tcPr>
          <w:p w14:paraId="2D4CB743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Odhadované objemy</w:t>
            </w:r>
          </w:p>
        </w:tc>
      </w:tr>
      <w:tr w:rsidR="001B1E9E" w:rsidRPr="001B1E9E" w14:paraId="787C9358" w14:textId="77777777" w:rsidTr="001B1E9E">
        <w:trPr>
          <w:cantSplit/>
          <w:trHeight w:val="70"/>
        </w:trPr>
        <w:tc>
          <w:tcPr>
            <w:tcW w:w="4530" w:type="dxa"/>
            <w:vMerge/>
            <w:shd w:val="clear" w:color="auto" w:fill="BFBFBF"/>
          </w:tcPr>
          <w:p w14:paraId="11858813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4AC1EB89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C75CE2D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E733AF0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5A8D191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1B1E9E">
              <w:rPr>
                <w:b/>
                <w:bCs/>
                <w:lang w:eastAsia="sk-SK"/>
              </w:rPr>
              <w:t>r + 3</w:t>
            </w:r>
          </w:p>
        </w:tc>
      </w:tr>
      <w:tr w:rsidR="001B1E9E" w:rsidRPr="001B1E9E" w14:paraId="001872C6" w14:textId="77777777" w:rsidTr="001B1E9E">
        <w:trPr>
          <w:trHeight w:val="70"/>
        </w:trPr>
        <w:tc>
          <w:tcPr>
            <w:tcW w:w="4530" w:type="dxa"/>
          </w:tcPr>
          <w:p w14:paraId="5E2D97D8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lang w:eastAsia="sk-SK"/>
              </w:rPr>
            </w:pPr>
            <w:r w:rsidRPr="001B1E9E">
              <w:rPr>
                <w:color w:val="000000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1627237F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134" w:type="dxa"/>
          </w:tcPr>
          <w:p w14:paraId="7689736F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134" w:type="dxa"/>
          </w:tcPr>
          <w:p w14:paraId="121E614A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134" w:type="dxa"/>
          </w:tcPr>
          <w:p w14:paraId="32870004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color w:val="000000"/>
                <w:lang w:eastAsia="sk-SK"/>
              </w:rPr>
            </w:pPr>
          </w:p>
        </w:tc>
      </w:tr>
      <w:tr w:rsidR="001B1E9E" w:rsidRPr="001B1E9E" w14:paraId="1ED0686F" w14:textId="77777777" w:rsidTr="001B1E9E">
        <w:trPr>
          <w:trHeight w:val="70"/>
        </w:trPr>
        <w:tc>
          <w:tcPr>
            <w:tcW w:w="4530" w:type="dxa"/>
          </w:tcPr>
          <w:p w14:paraId="44F7B6D3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lang w:eastAsia="sk-SK"/>
              </w:rPr>
            </w:pPr>
            <w:r w:rsidRPr="001B1E9E">
              <w:rPr>
                <w:color w:val="000000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6E2D8C86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134" w:type="dxa"/>
          </w:tcPr>
          <w:p w14:paraId="6474F048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134" w:type="dxa"/>
          </w:tcPr>
          <w:p w14:paraId="7532E0E1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134" w:type="dxa"/>
          </w:tcPr>
          <w:p w14:paraId="3BEA1911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color w:val="000000"/>
                <w:lang w:eastAsia="sk-SK"/>
              </w:rPr>
            </w:pPr>
          </w:p>
        </w:tc>
      </w:tr>
      <w:tr w:rsidR="001B1E9E" w:rsidRPr="001B1E9E" w14:paraId="6F1C2554" w14:textId="77777777" w:rsidTr="001B1E9E">
        <w:trPr>
          <w:trHeight w:val="70"/>
        </w:trPr>
        <w:tc>
          <w:tcPr>
            <w:tcW w:w="4530" w:type="dxa"/>
          </w:tcPr>
          <w:p w14:paraId="3C433A33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lang w:eastAsia="sk-SK"/>
              </w:rPr>
            </w:pPr>
            <w:r w:rsidRPr="001B1E9E">
              <w:rPr>
                <w:color w:val="000000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7A1C8220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134" w:type="dxa"/>
          </w:tcPr>
          <w:p w14:paraId="32B91065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134" w:type="dxa"/>
          </w:tcPr>
          <w:p w14:paraId="00B6B575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134" w:type="dxa"/>
          </w:tcPr>
          <w:p w14:paraId="7C5BF6E8" w14:textId="77777777"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color w:val="000000"/>
                <w:lang w:eastAsia="sk-SK"/>
              </w:rPr>
            </w:pPr>
          </w:p>
        </w:tc>
      </w:tr>
    </w:tbl>
    <w:p w14:paraId="0E989BD8" w14:textId="77777777" w:rsidR="002B15D0" w:rsidRDefault="002B15D0" w:rsidP="002B15D0">
      <w:pPr>
        <w:spacing w:after="0" w:line="240" w:lineRule="auto"/>
        <w:rPr>
          <w:lang w:eastAsia="sk-SK"/>
        </w:rPr>
      </w:pPr>
    </w:p>
    <w:p w14:paraId="0F9F7507" w14:textId="77777777" w:rsidR="002B15D0" w:rsidRDefault="002B15D0" w:rsidP="002B15D0">
      <w:pPr>
        <w:spacing w:after="0" w:line="240" w:lineRule="auto"/>
        <w:rPr>
          <w:lang w:eastAsia="sk-SK"/>
        </w:rPr>
      </w:pPr>
    </w:p>
    <w:p w14:paraId="735952EC" w14:textId="77777777" w:rsidR="002B15D0" w:rsidRPr="00C6390F" w:rsidRDefault="002B15D0" w:rsidP="002B15D0">
      <w:pPr>
        <w:rPr>
          <w:b/>
          <w:bCs/>
          <w:lang w:eastAsia="sk-SK"/>
        </w:rPr>
      </w:pPr>
      <w:r w:rsidRPr="00C6390F">
        <w:rPr>
          <w:b/>
          <w:bCs/>
          <w:lang w:eastAsia="sk-SK"/>
        </w:rPr>
        <w:t>2.2.4. Výpočty vplyvov na verejné financie</w:t>
      </w:r>
    </w:p>
    <w:p w14:paraId="44CF2F94" w14:textId="77777777" w:rsidR="002B15D0" w:rsidRPr="00C6390F" w:rsidRDefault="002B15D0" w:rsidP="002B15D0">
      <w:pPr>
        <w:spacing w:after="240" w:line="240" w:lineRule="auto"/>
        <w:rPr>
          <w:lang w:eastAsia="sk-SK"/>
        </w:rPr>
      </w:pPr>
      <w:r w:rsidRPr="00C6390F">
        <w:rPr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14:paraId="5B6126BE" w14:textId="77777777" w:rsidR="002B15D0" w:rsidRDefault="002B15D0" w:rsidP="002B15D0">
      <w:pPr>
        <w:pStyle w:val="EYNormal"/>
        <w:spacing w:after="120"/>
        <w:jc w:val="both"/>
        <w:rPr>
          <w:rFonts w:ascii="Times New Roman" w:hAnsi="Times New Roman"/>
          <w:b/>
          <w:kern w:val="0"/>
          <w:sz w:val="24"/>
          <w:lang w:val="sk-SK" w:eastAsia="sk-SK"/>
        </w:rPr>
      </w:pPr>
      <w:r w:rsidRPr="00C6390F">
        <w:rPr>
          <w:rFonts w:ascii="Times New Roman" w:hAnsi="Times New Roman"/>
          <w:b/>
          <w:kern w:val="0"/>
          <w:sz w:val="24"/>
          <w:lang w:val="sk-SK" w:eastAsia="sk-SK"/>
        </w:rPr>
        <w:t>2.2.4</w:t>
      </w:r>
      <w:r>
        <w:rPr>
          <w:rFonts w:ascii="Times New Roman" w:hAnsi="Times New Roman"/>
          <w:b/>
          <w:kern w:val="0"/>
          <w:sz w:val="24"/>
          <w:lang w:val="sk-SK" w:eastAsia="sk-SK"/>
        </w:rPr>
        <w:t>a Dodatočné výdavky na zabezpečenie sčítania obyvateľov v rámci SODB 2021 súvisiace s realizáciou opatrení vyvolaných  epidemiologickou situáciou spôsobenou pandémiou ochorenia COVID-19.</w:t>
      </w:r>
    </w:p>
    <w:p w14:paraId="39182908" w14:textId="77777777" w:rsidR="002B15D0" w:rsidRDefault="002B15D0" w:rsidP="002B15D0">
      <w:pPr>
        <w:pStyle w:val="EYNormal"/>
        <w:spacing w:after="120"/>
        <w:jc w:val="both"/>
        <w:rPr>
          <w:rFonts w:ascii="Times New Roman" w:hAnsi="Times New Roman"/>
          <w:b/>
          <w:kern w:val="0"/>
          <w:sz w:val="24"/>
          <w:lang w:val="sk-SK" w:eastAsia="sk-SK"/>
        </w:rPr>
      </w:pPr>
      <w:r>
        <w:rPr>
          <w:rFonts w:ascii="Times New Roman" w:hAnsi="Times New Roman"/>
          <w:b/>
          <w:kern w:val="0"/>
          <w:sz w:val="24"/>
          <w:lang w:val="sk-SK" w:eastAsia="sk-SK"/>
        </w:rPr>
        <w:t>Dodatočné rozpočtové výdavky sa budú realizovať v nasledovných oblastiach :</w:t>
      </w:r>
    </w:p>
    <w:p w14:paraId="6EEAE1DC" w14:textId="77777777" w:rsidR="002B15D0" w:rsidRDefault="002B15D0" w:rsidP="002B15D0">
      <w:pPr>
        <w:pStyle w:val="EYNormal"/>
        <w:numPr>
          <w:ilvl w:val="0"/>
          <w:numId w:val="35"/>
        </w:numPr>
        <w:spacing w:after="120"/>
        <w:jc w:val="both"/>
        <w:rPr>
          <w:rFonts w:ascii="Times New Roman" w:hAnsi="Times New Roman"/>
          <w:kern w:val="0"/>
          <w:sz w:val="24"/>
          <w:lang w:val="sk-SK" w:eastAsia="sk-SK"/>
        </w:rPr>
      </w:pPr>
      <w:r>
        <w:rPr>
          <w:rFonts w:ascii="Times New Roman" w:hAnsi="Times New Roman"/>
          <w:kern w:val="0"/>
          <w:sz w:val="24"/>
          <w:lang w:val="sk-SK" w:eastAsia="sk-SK"/>
        </w:rPr>
        <w:t>v</w:t>
      </w:r>
      <w:r w:rsidRPr="00C05668">
        <w:rPr>
          <w:rFonts w:ascii="Times New Roman" w:hAnsi="Times New Roman"/>
          <w:kern w:val="0"/>
          <w:sz w:val="24"/>
          <w:lang w:val="sk-SK" w:eastAsia="sk-SK"/>
        </w:rPr>
        <w:t> oblasti zabezpečenia</w:t>
      </w:r>
      <w:r>
        <w:rPr>
          <w:rFonts w:ascii="Times New Roman" w:hAnsi="Times New Roman"/>
          <w:kern w:val="0"/>
          <w:sz w:val="24"/>
          <w:lang w:val="sk-SK" w:eastAsia="sk-SK"/>
        </w:rPr>
        <w:t xml:space="preserve"> informovanosti obyvateľov o zmenách v priebehu sčítania obyvateľov a  predĺženia </w:t>
      </w:r>
      <w:r w:rsidRPr="00C05668">
        <w:rPr>
          <w:rFonts w:ascii="Times New Roman" w:hAnsi="Times New Roman"/>
          <w:kern w:val="0"/>
          <w:sz w:val="24"/>
          <w:lang w:val="sk-SK" w:eastAsia="sk-SK"/>
        </w:rPr>
        <w:t xml:space="preserve"> informačnej  a propagačnej kampane</w:t>
      </w:r>
      <w:r>
        <w:rPr>
          <w:rFonts w:ascii="Times New Roman" w:hAnsi="Times New Roman"/>
          <w:kern w:val="0"/>
          <w:sz w:val="24"/>
          <w:lang w:val="sk-SK" w:eastAsia="sk-SK"/>
        </w:rPr>
        <w:t xml:space="preserve"> –</w:t>
      </w:r>
      <w:r w:rsidRPr="00C05668">
        <w:rPr>
          <w:rFonts w:ascii="Times New Roman" w:hAnsi="Times New Roman"/>
          <w:kern w:val="0"/>
          <w:sz w:val="24"/>
          <w:lang w:val="sk-SK" w:eastAsia="sk-SK"/>
        </w:rPr>
        <w:t xml:space="preserve"> vo výške</w:t>
      </w:r>
      <w:r>
        <w:rPr>
          <w:rFonts w:ascii="Times New Roman" w:hAnsi="Times New Roman"/>
          <w:kern w:val="0"/>
          <w:sz w:val="24"/>
          <w:lang w:val="sk-SK" w:eastAsia="sk-SK"/>
        </w:rPr>
        <w:t xml:space="preserve"> cca 4</w:t>
      </w:r>
      <w:r w:rsidRPr="00C05668">
        <w:rPr>
          <w:rFonts w:ascii="Times New Roman" w:hAnsi="Times New Roman"/>
          <w:kern w:val="0"/>
          <w:sz w:val="24"/>
          <w:lang w:val="sk-SK" w:eastAsia="sk-SK"/>
        </w:rPr>
        <w:t>00 000 eur</w:t>
      </w:r>
      <w:r>
        <w:rPr>
          <w:rFonts w:ascii="Times New Roman" w:hAnsi="Times New Roman"/>
          <w:kern w:val="0"/>
          <w:sz w:val="24"/>
          <w:lang w:val="sk-SK" w:eastAsia="sk-SK"/>
        </w:rPr>
        <w:t>,</w:t>
      </w:r>
    </w:p>
    <w:p w14:paraId="43E7997A" w14:textId="77777777" w:rsidR="002B15D0" w:rsidRDefault="002B15D0" w:rsidP="002B15D0">
      <w:pPr>
        <w:pStyle w:val="EYNormal"/>
        <w:numPr>
          <w:ilvl w:val="0"/>
          <w:numId w:val="35"/>
        </w:numPr>
        <w:spacing w:after="120"/>
        <w:jc w:val="both"/>
        <w:rPr>
          <w:rFonts w:ascii="Times New Roman" w:hAnsi="Times New Roman"/>
          <w:kern w:val="0"/>
          <w:sz w:val="24"/>
          <w:lang w:val="sk-SK" w:eastAsia="sk-SK"/>
        </w:rPr>
      </w:pPr>
      <w:r>
        <w:rPr>
          <w:rFonts w:ascii="Times New Roman" w:hAnsi="Times New Roman"/>
          <w:kern w:val="0"/>
          <w:sz w:val="24"/>
          <w:lang w:val="sk-SK" w:eastAsia="sk-SK"/>
        </w:rPr>
        <w:t>v oblasti vyvolaných dodatočných výdavkov Štatistického úradu SR a </w:t>
      </w:r>
      <w:r w:rsidRPr="005270D2">
        <w:rPr>
          <w:rFonts w:ascii="Times New Roman" w:hAnsi="Times New Roman"/>
          <w:b/>
          <w:kern w:val="0"/>
          <w:sz w:val="24"/>
          <w:lang w:val="sk-SK" w:eastAsia="sk-SK"/>
        </w:rPr>
        <w:t>predovšetkým obcí</w:t>
      </w:r>
      <w:r>
        <w:rPr>
          <w:rFonts w:ascii="Times New Roman" w:hAnsi="Times New Roman"/>
          <w:kern w:val="0"/>
          <w:sz w:val="24"/>
          <w:lang w:val="sk-SK" w:eastAsia="sk-SK"/>
        </w:rPr>
        <w:t>, ktoré pri zabezpečení SODB 2021 vykonávajú prenesený výkon štátnej správy z dôvodu predĺženia celkového trvania zberu údajov o obyvateľoch prostredníctvom elektronických sčítacích formulárov – materiálno technické a  personálne zabezpečenie  – vo výške cca 800 000 eur,</w:t>
      </w:r>
    </w:p>
    <w:p w14:paraId="26F7AE2B" w14:textId="77777777" w:rsidR="002B15D0" w:rsidRPr="00C05668" w:rsidRDefault="002B15D0" w:rsidP="002B15D0">
      <w:pPr>
        <w:pStyle w:val="EYNormal"/>
        <w:numPr>
          <w:ilvl w:val="0"/>
          <w:numId w:val="35"/>
        </w:numPr>
        <w:spacing w:after="360"/>
        <w:jc w:val="both"/>
        <w:rPr>
          <w:rFonts w:ascii="Times New Roman" w:hAnsi="Times New Roman"/>
          <w:kern w:val="0"/>
          <w:sz w:val="24"/>
          <w:lang w:val="sk-SK" w:eastAsia="sk-SK"/>
        </w:rPr>
      </w:pPr>
      <w:r>
        <w:rPr>
          <w:rFonts w:ascii="Times New Roman" w:hAnsi="Times New Roman"/>
          <w:kern w:val="0"/>
          <w:sz w:val="24"/>
          <w:lang w:val="sk-SK" w:eastAsia="sk-SK"/>
        </w:rPr>
        <w:lastRenderedPageBreak/>
        <w:t xml:space="preserve">v oblasti IKT: úpravy softvérového diela, dodatočné náklady na preškolenie a predĺženie podpory e-learningových systémov, dodatočné náklady na zabezpečenie bezpečnosti IKT systémov a na zabezpečenie externého a interného </w:t>
      </w:r>
      <w:proofErr w:type="spellStart"/>
      <w:r>
        <w:rPr>
          <w:rFonts w:ascii="Times New Roman" w:hAnsi="Times New Roman"/>
          <w:kern w:val="0"/>
          <w:sz w:val="24"/>
          <w:lang w:val="sk-SK" w:eastAsia="sk-SK"/>
        </w:rPr>
        <w:t>Call</w:t>
      </w:r>
      <w:proofErr w:type="spellEnd"/>
      <w:r>
        <w:rPr>
          <w:rFonts w:ascii="Times New Roman" w:hAnsi="Times New Roman"/>
          <w:kern w:val="0"/>
          <w:sz w:val="24"/>
          <w:lang w:val="sk-SK" w:eastAsia="sk-SK"/>
        </w:rPr>
        <w:t xml:space="preserve"> centra na dlhšie časové obdobie – celkovo vo výške cca 600 000 eur.</w:t>
      </w:r>
    </w:p>
    <w:p w14:paraId="06E18117" w14:textId="77777777" w:rsidR="002B15D0" w:rsidRPr="00C6390F" w:rsidRDefault="002B15D0" w:rsidP="002B15D0">
      <w:pPr>
        <w:rPr>
          <w:b/>
        </w:rPr>
      </w:pPr>
      <w:r w:rsidRPr="00C6390F">
        <w:rPr>
          <w:b/>
        </w:rPr>
        <w:t>2.</w:t>
      </w:r>
      <w:r>
        <w:rPr>
          <w:b/>
        </w:rPr>
        <w:t>2.4b</w:t>
      </w:r>
      <w:r w:rsidRPr="00C6390F">
        <w:rPr>
          <w:b/>
        </w:rPr>
        <w:t xml:space="preserve"> </w:t>
      </w:r>
      <w:r>
        <w:rPr>
          <w:b/>
        </w:rPr>
        <w:t>Riziká z neprijatia  navrhnutých zmien a b</w:t>
      </w:r>
      <w:r w:rsidRPr="00C6390F">
        <w:rPr>
          <w:b/>
        </w:rPr>
        <w:t>enefit</w:t>
      </w:r>
      <w:r>
        <w:rPr>
          <w:b/>
        </w:rPr>
        <w:t xml:space="preserve">y </w:t>
      </w:r>
      <w:r w:rsidRPr="00C6390F">
        <w:rPr>
          <w:b/>
        </w:rPr>
        <w:t>riešenia</w:t>
      </w:r>
    </w:p>
    <w:p w14:paraId="1421FE30" w14:textId="77777777" w:rsidR="002B15D0" w:rsidRDefault="002B15D0" w:rsidP="002B15D0">
      <w:r>
        <w:t>V prípade neprijatia navrhnutých zmien boli identifikované nasledovné riziká:</w:t>
      </w:r>
    </w:p>
    <w:p w14:paraId="77213F11" w14:textId="77777777" w:rsidR="002B15D0" w:rsidRDefault="002B15D0" w:rsidP="002B15D0">
      <w:pPr>
        <w:pStyle w:val="Odsekzoznamu"/>
        <w:numPr>
          <w:ilvl w:val="0"/>
          <w:numId w:val="34"/>
        </w:numPr>
        <w:spacing w:after="160"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ohrozenie zdravia najzraniteľnejšej  časti obyvateľov ochorením COVID-19,</w:t>
      </w:r>
    </w:p>
    <w:p w14:paraId="517D61E4" w14:textId="77777777" w:rsidR="002B15D0" w:rsidRDefault="002B15D0" w:rsidP="002B15D0">
      <w:pPr>
        <w:pStyle w:val="Odsekzoznamu"/>
        <w:numPr>
          <w:ilvl w:val="0"/>
          <w:numId w:val="34"/>
        </w:numPr>
        <w:spacing w:after="160"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ohrozenie kvality a komplexnosti výsledkov sčítania obyvateľov v Slovenskej republike v roku 2021 a tým aj k čiastočnému znehodnoteniu celkových výsledkov SODB 2021.</w:t>
      </w:r>
    </w:p>
    <w:p w14:paraId="52214543" w14:textId="77777777" w:rsidR="002B15D0" w:rsidRDefault="002B15D0" w:rsidP="002B15D0">
      <w:pPr>
        <w:rPr>
          <w:b/>
        </w:rPr>
      </w:pPr>
      <w:r w:rsidRPr="00C21E95">
        <w:rPr>
          <w:b/>
        </w:rPr>
        <w:t>V tejto súvislosti je potrebné upozorniť taktiež na skutočnosť, že SODB 2021 je mimoriadne náročný a nákladný projekt s celkovým rozpočtom viac ako 60 mil. eur. V prípade zníženia kvality a komplexnosti získ</w:t>
      </w:r>
      <w:r>
        <w:rPr>
          <w:b/>
        </w:rPr>
        <w:t xml:space="preserve">aných výsledkov pri sčítaní obyvateľov by došlo </w:t>
      </w:r>
      <w:r w:rsidRPr="00C21E95">
        <w:rPr>
          <w:b/>
        </w:rPr>
        <w:t>k zníženiu efektivity celkových vynalo</w:t>
      </w:r>
      <w:r>
        <w:rPr>
          <w:b/>
        </w:rPr>
        <w:t>žených rozpočtových prostriedkov zo štátneho rozpočtu. Táto skutočnosť by bola</w:t>
      </w:r>
      <w:r w:rsidRPr="00C21E95">
        <w:rPr>
          <w:b/>
        </w:rPr>
        <w:t xml:space="preserve"> v</w:t>
      </w:r>
      <w:r>
        <w:rPr>
          <w:b/>
        </w:rPr>
        <w:t xml:space="preserve"> priamom </w:t>
      </w:r>
      <w:r w:rsidRPr="00C21E95">
        <w:rPr>
          <w:b/>
        </w:rPr>
        <w:t xml:space="preserve"> rozpore s princípom dosahovania čo najvyššej hodnoty za </w:t>
      </w:r>
      <w:r>
        <w:rPr>
          <w:b/>
        </w:rPr>
        <w:t xml:space="preserve">vynaložené </w:t>
      </w:r>
      <w:r w:rsidRPr="00C21E95">
        <w:rPr>
          <w:b/>
        </w:rPr>
        <w:t>peniaze.</w:t>
      </w:r>
    </w:p>
    <w:p w14:paraId="616B0895" w14:textId="77777777" w:rsidR="002B15D0" w:rsidRPr="00372A3E" w:rsidRDefault="002B15D0" w:rsidP="002B15D0">
      <w:r>
        <w:rPr>
          <w:b/>
        </w:rPr>
        <w:t xml:space="preserve">Vychádzajúc z vyššie uvedených skutočností, benefity navrhnutého riešenia je možné zaznamenať aj v ekonomickej oblasti, a to aj napriek dodatočným výdavkom v predpokladanej výške 1 800 000 eur , ktorá predstavuje cca 2,9 % z celkového rozpočtu SODB 2021. Presne vyčísliť tento efekt je v čase predloženia návrhu zákona na rokovanie vlády SR veľmi náročné. Je však zrejmé, že negatívne dopady z neefektívnosti vykonaného sčítania obyvateľov by boli podstatne vyššie ako sú vyčíslené dodatočné náklady. </w:t>
      </w:r>
      <w:r w:rsidRPr="00372A3E">
        <w:t>(Hrubý odhad  negatívnych ekonomických dopadov v prípade neprijatia návrhu zákona je v súčasnosti v rozpätí 3 mil. až 6 mil. eur – IKT systémy, marketing, náklady obcí ).</w:t>
      </w:r>
    </w:p>
    <w:p w14:paraId="21B8D31E" w14:textId="77777777" w:rsidR="002B15D0" w:rsidRDefault="002B15D0">
      <w:pPr>
        <w:rPr>
          <w:b/>
          <w:caps/>
          <w:spacing w:val="30"/>
          <w:sz w:val="25"/>
          <w:szCs w:val="25"/>
          <w:lang w:eastAsia="sk-SK"/>
        </w:rPr>
        <w:sectPr w:rsidR="002B15D0" w:rsidSect="004D536F">
          <w:footerReference w:type="even" r:id="rId9"/>
          <w:footerReference w:type="default" r:id="rId10"/>
          <w:pgSz w:w="11900" w:h="16840"/>
          <w:pgMar w:top="1417" w:right="1417" w:bottom="1417" w:left="1417" w:header="720" w:footer="720" w:gutter="0"/>
          <w:cols w:space="720"/>
          <w:docGrid w:linePitch="360"/>
        </w:sectPr>
      </w:pPr>
    </w:p>
    <w:p w14:paraId="11C7B011" w14:textId="77777777" w:rsidR="002B15D0" w:rsidRPr="002B15D0" w:rsidRDefault="002B15D0" w:rsidP="002B15D0">
      <w:pPr>
        <w:tabs>
          <w:tab w:val="num" w:pos="1080"/>
        </w:tabs>
        <w:spacing w:after="0" w:line="240" w:lineRule="auto"/>
        <w:ind w:firstLine="0"/>
        <w:rPr>
          <w:bCs/>
          <w:lang w:eastAsia="sk-SK"/>
        </w:rPr>
      </w:pPr>
      <w:r w:rsidRPr="002B15D0">
        <w:rPr>
          <w:bCs/>
          <w:lang w:eastAsia="sk-SK"/>
        </w:rPr>
        <w:lastRenderedPageBreak/>
        <w:t xml:space="preserve">Tabuľka č. 3 </w:t>
      </w:r>
    </w:p>
    <w:p w14:paraId="34BA2490" w14:textId="77777777" w:rsidR="002B15D0" w:rsidRPr="002B15D0" w:rsidRDefault="002B15D0" w:rsidP="002B15D0">
      <w:pPr>
        <w:tabs>
          <w:tab w:val="num" w:pos="1080"/>
        </w:tabs>
        <w:spacing w:after="0" w:line="240" w:lineRule="auto"/>
        <w:ind w:firstLine="0"/>
        <w:rPr>
          <w:rFonts w:eastAsia="Calibri"/>
        </w:rPr>
      </w:pPr>
    </w:p>
    <w:p w14:paraId="64197E7A" w14:textId="77777777" w:rsidR="002B15D0" w:rsidRPr="002B15D0" w:rsidRDefault="002B15D0" w:rsidP="002B15D0">
      <w:pPr>
        <w:tabs>
          <w:tab w:val="num" w:pos="1080"/>
        </w:tabs>
        <w:spacing w:after="0" w:line="240" w:lineRule="auto"/>
        <w:ind w:firstLine="0"/>
        <w:rPr>
          <w:rFonts w:eastAsia="Calibri"/>
        </w:rPr>
      </w:pPr>
    </w:p>
    <w:p w14:paraId="41160A2D" w14:textId="77777777" w:rsidR="002B15D0" w:rsidRPr="002B15D0" w:rsidRDefault="002B15D0" w:rsidP="002B15D0">
      <w:pPr>
        <w:tabs>
          <w:tab w:val="num" w:pos="1080"/>
        </w:tabs>
        <w:spacing w:after="0" w:line="240" w:lineRule="auto"/>
        <w:ind w:firstLine="0"/>
        <w:rPr>
          <w:bCs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2B15D0" w:rsidRPr="002B15D0" w14:paraId="467D48B2" w14:textId="77777777" w:rsidTr="002B15D0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9143DB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E4E46D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81C0875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poznámka</w:t>
            </w:r>
          </w:p>
        </w:tc>
      </w:tr>
      <w:tr w:rsidR="002B15D0" w:rsidRPr="002B15D0" w14:paraId="1CCF9252" w14:textId="77777777" w:rsidTr="002B15D0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A67C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color w:val="FFFFFF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B1CA5F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AD8ADC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B4E66D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F8A888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4772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color w:val="FFFFFF"/>
                <w:lang w:eastAsia="sk-SK"/>
              </w:rPr>
            </w:pPr>
          </w:p>
        </w:tc>
      </w:tr>
      <w:tr w:rsidR="002B15D0" w:rsidRPr="002B15D0" w14:paraId="16A38BBF" w14:textId="77777777" w:rsidTr="001B1E9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0637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vertAlign w:val="superscript"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Daňové príjmy (100)</w:t>
            </w:r>
            <w:r w:rsidRPr="002B15D0">
              <w:rPr>
                <w:b/>
                <w:bCs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44F2F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EAACB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B1D29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AB1EA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8604E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451F23CD" w14:textId="77777777" w:rsidTr="001B1E9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D829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Nedaňové príjmy (200)</w:t>
            </w:r>
            <w:r w:rsidRPr="002B15D0">
              <w:rPr>
                <w:b/>
                <w:bCs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55218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B3B36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B4DF4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A3A1F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47EBE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409A0962" w14:textId="77777777" w:rsidTr="001B1E9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513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Granty a transfery (300)</w:t>
            </w:r>
            <w:r w:rsidRPr="002B15D0">
              <w:rPr>
                <w:b/>
                <w:bCs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59F6E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21D85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35A00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06DF0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69C60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2D341743" w14:textId="77777777" w:rsidTr="001B1E9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DC3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F0B7E3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CB57A8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EEE99DB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2912786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605A9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37FB32F1" w14:textId="77777777" w:rsidTr="001B1E9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A46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0FB9D76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D4B67E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69FF14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36B6D1E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60359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7C7768B6" w14:textId="77777777" w:rsidTr="002B15D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ADE1793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Dopad na príjmy verejnej správy celkom</w:t>
            </w:r>
          </w:p>
        </w:tc>
        <w:tc>
          <w:tcPr>
            <w:tcW w:w="900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/>
          </w:tcPr>
          <w:p w14:paraId="753B3BF0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</w:p>
        </w:tc>
      </w:tr>
      <w:tr w:rsidR="002B15D0" w:rsidRPr="002B15D0" w14:paraId="63B9C57D" w14:textId="77777777" w:rsidTr="002B15D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F8F825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</w:p>
        </w:tc>
        <w:tc>
          <w:tcPr>
            <w:tcW w:w="900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5457D0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</w:tr>
    </w:tbl>
    <w:p w14:paraId="68DA4112" w14:textId="77777777" w:rsidR="002B15D0" w:rsidRPr="002B15D0" w:rsidRDefault="002B15D0" w:rsidP="002B15D0">
      <w:pPr>
        <w:tabs>
          <w:tab w:val="num" w:pos="1080"/>
        </w:tabs>
        <w:spacing w:after="0" w:line="240" w:lineRule="auto"/>
        <w:ind w:firstLine="0"/>
        <w:rPr>
          <w:bCs/>
          <w:sz w:val="20"/>
          <w:szCs w:val="20"/>
          <w:lang w:eastAsia="sk-SK"/>
        </w:rPr>
      </w:pPr>
      <w:r w:rsidRPr="002B15D0">
        <w:rPr>
          <w:bCs/>
          <w:sz w:val="20"/>
          <w:szCs w:val="20"/>
          <w:lang w:eastAsia="sk-SK"/>
        </w:rPr>
        <w:t>1 –  príjmy rozpísať až do položiek platnej ekonomickej klasifikácie</w:t>
      </w:r>
    </w:p>
    <w:p w14:paraId="17FF48A0" w14:textId="77777777" w:rsidR="002B15D0" w:rsidRPr="002B15D0" w:rsidRDefault="002B15D0" w:rsidP="002B15D0">
      <w:pPr>
        <w:tabs>
          <w:tab w:val="num" w:pos="1080"/>
        </w:tabs>
        <w:spacing w:after="0" w:line="240" w:lineRule="auto"/>
        <w:ind w:firstLine="0"/>
        <w:rPr>
          <w:bCs/>
          <w:sz w:val="20"/>
          <w:szCs w:val="20"/>
          <w:lang w:eastAsia="sk-SK"/>
        </w:rPr>
      </w:pPr>
    </w:p>
    <w:p w14:paraId="3791E9FB" w14:textId="77777777" w:rsidR="002B15D0" w:rsidRPr="002B15D0" w:rsidRDefault="002B15D0" w:rsidP="002B15D0">
      <w:pPr>
        <w:tabs>
          <w:tab w:val="num" w:pos="1080"/>
        </w:tabs>
        <w:spacing w:after="0" w:line="240" w:lineRule="auto"/>
        <w:ind w:firstLine="0"/>
        <w:rPr>
          <w:bCs/>
          <w:szCs w:val="20"/>
          <w:lang w:eastAsia="sk-SK"/>
        </w:rPr>
      </w:pPr>
    </w:p>
    <w:p w14:paraId="73CA2370" w14:textId="77777777" w:rsidR="002B15D0" w:rsidRPr="002B15D0" w:rsidRDefault="002B15D0" w:rsidP="002B15D0">
      <w:pPr>
        <w:tabs>
          <w:tab w:val="num" w:pos="1080"/>
        </w:tabs>
        <w:spacing w:after="0" w:line="240" w:lineRule="auto"/>
        <w:ind w:firstLine="0"/>
        <w:rPr>
          <w:b/>
          <w:bCs/>
          <w:szCs w:val="20"/>
          <w:lang w:eastAsia="sk-SK"/>
        </w:rPr>
      </w:pPr>
      <w:r w:rsidRPr="002B15D0">
        <w:rPr>
          <w:b/>
          <w:bCs/>
          <w:szCs w:val="20"/>
          <w:lang w:eastAsia="sk-SK"/>
        </w:rPr>
        <w:t>Poznámka:</w:t>
      </w:r>
    </w:p>
    <w:p w14:paraId="2CBE770D" w14:textId="77777777" w:rsidR="002B15D0" w:rsidRPr="002B15D0" w:rsidRDefault="002B15D0" w:rsidP="002B15D0">
      <w:pPr>
        <w:tabs>
          <w:tab w:val="num" w:pos="1080"/>
        </w:tabs>
        <w:spacing w:after="0" w:line="240" w:lineRule="auto"/>
        <w:ind w:firstLine="0"/>
        <w:rPr>
          <w:bCs/>
          <w:szCs w:val="20"/>
          <w:lang w:eastAsia="sk-SK"/>
        </w:rPr>
      </w:pPr>
      <w:r w:rsidRPr="002B15D0">
        <w:rPr>
          <w:bCs/>
          <w:szCs w:val="20"/>
          <w:lang w:eastAsia="sk-SK"/>
        </w:rPr>
        <w:t>Ak sa vplyv týka viacerých subjektov verejnej správy, vypĺňa sa samostatná tabuľka za každý subjekt.</w:t>
      </w:r>
    </w:p>
    <w:p w14:paraId="21E9EED6" w14:textId="77777777" w:rsidR="002B15D0" w:rsidRPr="002B15D0" w:rsidRDefault="002B15D0" w:rsidP="002B15D0">
      <w:pPr>
        <w:spacing w:after="200"/>
        <w:ind w:firstLine="0"/>
        <w:jc w:val="left"/>
        <w:rPr>
          <w:bCs/>
          <w:szCs w:val="20"/>
          <w:lang w:eastAsia="sk-SK"/>
        </w:rPr>
      </w:pPr>
      <w:r w:rsidRPr="002B15D0">
        <w:rPr>
          <w:bCs/>
          <w:szCs w:val="20"/>
          <w:lang w:eastAsia="sk-SK"/>
        </w:rPr>
        <w:br w:type="page"/>
      </w:r>
    </w:p>
    <w:p w14:paraId="267C5BAA" w14:textId="77777777" w:rsidR="002B15D0" w:rsidRPr="002B15D0" w:rsidRDefault="002B15D0" w:rsidP="002B15D0">
      <w:pPr>
        <w:tabs>
          <w:tab w:val="num" w:pos="1080"/>
        </w:tabs>
        <w:spacing w:after="0" w:line="240" w:lineRule="auto"/>
        <w:ind w:right="-32" w:firstLine="0"/>
        <w:jc w:val="right"/>
        <w:rPr>
          <w:bCs/>
          <w:lang w:eastAsia="sk-SK"/>
        </w:rPr>
      </w:pPr>
      <w:r w:rsidRPr="002B15D0">
        <w:rPr>
          <w:bCs/>
          <w:lang w:eastAsia="sk-SK"/>
        </w:rPr>
        <w:lastRenderedPageBreak/>
        <w:t xml:space="preserve">Tabuľka č. 4 </w:t>
      </w:r>
    </w:p>
    <w:p w14:paraId="0BD54D05" w14:textId="77777777" w:rsidR="002B15D0" w:rsidRPr="002B15D0" w:rsidRDefault="002B15D0" w:rsidP="002B15D0">
      <w:pPr>
        <w:tabs>
          <w:tab w:val="num" w:pos="1080"/>
        </w:tabs>
        <w:spacing w:after="0" w:line="240" w:lineRule="auto"/>
        <w:ind w:left="708" w:firstLine="0"/>
        <w:rPr>
          <w:bCs/>
          <w:szCs w:val="20"/>
          <w:lang w:eastAsia="sk-SK"/>
        </w:rPr>
      </w:pPr>
      <w:r w:rsidRPr="002B15D0">
        <w:rPr>
          <w:bCs/>
          <w:szCs w:val="20"/>
          <w:lang w:eastAsia="sk-SK"/>
        </w:rPr>
        <w:t>Štatistický úrad SR</w:t>
      </w: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2B15D0" w:rsidRPr="002B15D0" w14:paraId="26E31257" w14:textId="77777777" w:rsidTr="002B15D0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10F87E81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19CB7E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0A07632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poznámka</w:t>
            </w:r>
          </w:p>
        </w:tc>
      </w:tr>
      <w:tr w:rsidR="002B15D0" w:rsidRPr="002B15D0" w14:paraId="33DDA43B" w14:textId="77777777" w:rsidTr="002B15D0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35398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EAD834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752D5E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5A26E4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92FE6C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2024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7057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color w:val="FFFFFF"/>
                <w:lang w:eastAsia="sk-SK"/>
              </w:rPr>
            </w:pPr>
          </w:p>
        </w:tc>
      </w:tr>
      <w:tr w:rsidR="002B15D0" w:rsidRPr="002B15D0" w14:paraId="2454C289" w14:textId="77777777" w:rsidTr="001B1E9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11E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322E3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1 600 000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E5A3F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8FF6C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BB897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highlight w:val="yellow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530F9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36600559" w14:textId="77777777" w:rsidTr="001B1E9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C1D5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3EDD5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7DBF8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E9FE5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8F620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6EC9C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37819201" w14:textId="77777777" w:rsidTr="001B1E9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F7A8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vertAlign w:val="superscript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EB715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26C4F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1D7B6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D1FC1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829A0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5B46A339" w14:textId="77777777" w:rsidTr="001B1E9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F0A8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vertAlign w:val="superscript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 xml:space="preserve">  Tovary a služby (630)</w:t>
            </w:r>
            <w:r w:rsidRPr="002B15D0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F0AAB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1 600 000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8E6FD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244F7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CBC7C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7BDBD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013E1F8B" w14:textId="77777777" w:rsidTr="001B1E9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7F4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 xml:space="preserve">  Bežné transfery (640)</w:t>
            </w:r>
            <w:r w:rsidRPr="002B15D0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23021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D1637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A069B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C6537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3C0F3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35F03713" w14:textId="77777777" w:rsidTr="001B1E9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D550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2B15D0">
              <w:rPr>
                <w:rFonts w:eastAsia="Calibri"/>
                <w:sz w:val="22"/>
                <w:szCs w:val="22"/>
              </w:rPr>
              <w:t xml:space="preserve"> </w:t>
            </w:r>
            <w:r w:rsidRPr="002B15D0">
              <w:rPr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2B15D0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03248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5DFC1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5C2A8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9952C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CB9C9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</w:tr>
      <w:tr w:rsidR="002B15D0" w:rsidRPr="002B15D0" w14:paraId="2EBAF2CF" w14:textId="77777777" w:rsidTr="001B1E9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B2D6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29AE8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200 000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D5D9F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D5E1A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FDC47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24AC2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37698EE9" w14:textId="77777777" w:rsidTr="001B1E9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C44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2B15D0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A87F7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200 000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EF1B6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BAAF0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9682A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E0F30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0C087785" w14:textId="77777777" w:rsidTr="001B1E9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ED4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 xml:space="preserve">  Kapitálové transfery (720)</w:t>
            </w:r>
            <w:r w:rsidRPr="002B15D0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ED137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D21E5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A0BDC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5BD34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sk-SK"/>
              </w:rPr>
            </w:pPr>
            <w:r w:rsidRPr="002B15D0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5C43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4B8293CF" w14:textId="77777777" w:rsidTr="001B1E9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E27D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A469F97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26536F4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FF9F2F9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2EB2D79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C4DD4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0A5594E5" w14:textId="77777777" w:rsidTr="002B15D0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6D4536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0520BA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 xml:space="preserve">1 800 000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C56002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00D76F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2B15D0">
              <w:rPr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55ABB2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sz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CA8947F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</w:tbl>
    <w:p w14:paraId="103DD6FB" w14:textId="77777777" w:rsidR="002B15D0" w:rsidRPr="002B15D0" w:rsidRDefault="002B15D0" w:rsidP="002B15D0">
      <w:pPr>
        <w:tabs>
          <w:tab w:val="num" w:pos="1080"/>
        </w:tabs>
        <w:spacing w:after="0" w:line="240" w:lineRule="auto"/>
        <w:ind w:firstLine="0"/>
        <w:rPr>
          <w:bCs/>
          <w:sz w:val="20"/>
          <w:szCs w:val="20"/>
          <w:lang w:eastAsia="sk-SK"/>
        </w:rPr>
      </w:pPr>
      <w:r w:rsidRPr="002B15D0">
        <w:rPr>
          <w:bCs/>
          <w:sz w:val="20"/>
          <w:szCs w:val="20"/>
          <w:lang w:eastAsia="sk-SK"/>
        </w:rPr>
        <w:t xml:space="preserve">Poznámka :* </w:t>
      </w:r>
    </w:p>
    <w:p w14:paraId="2F6D2118" w14:textId="77777777" w:rsidR="002B15D0" w:rsidRPr="002B15D0" w:rsidRDefault="002B15D0" w:rsidP="002B15D0">
      <w:pPr>
        <w:spacing w:after="200"/>
        <w:ind w:firstLine="0"/>
        <w:jc w:val="left"/>
        <w:rPr>
          <w:bCs/>
          <w:lang w:eastAsia="sk-SK"/>
        </w:rPr>
      </w:pPr>
      <w:r w:rsidRPr="002B15D0">
        <w:rPr>
          <w:bCs/>
          <w:lang w:eastAsia="sk-SK"/>
        </w:rPr>
        <w:br w:type="page"/>
      </w:r>
    </w:p>
    <w:p w14:paraId="089B5B42" w14:textId="77777777" w:rsidR="002B15D0" w:rsidRPr="002B15D0" w:rsidRDefault="002B15D0" w:rsidP="002B15D0">
      <w:pPr>
        <w:tabs>
          <w:tab w:val="num" w:pos="1080"/>
        </w:tabs>
        <w:spacing w:after="0" w:line="240" w:lineRule="auto"/>
        <w:ind w:firstLine="0"/>
        <w:jc w:val="right"/>
        <w:rPr>
          <w:bCs/>
          <w:lang w:eastAsia="sk-SK"/>
        </w:rPr>
      </w:pPr>
      <w:r w:rsidRPr="002B15D0">
        <w:rPr>
          <w:bCs/>
          <w:lang w:eastAsia="sk-SK"/>
        </w:rPr>
        <w:lastRenderedPageBreak/>
        <w:t xml:space="preserve">                 Tabuľka č.5</w:t>
      </w: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2B15D0" w:rsidRPr="002B15D0" w14:paraId="4E38EE72" w14:textId="77777777" w:rsidTr="002B15D0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0895AB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629EC9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9723A72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poznámka</w:t>
            </w:r>
          </w:p>
        </w:tc>
      </w:tr>
      <w:tr w:rsidR="002B15D0" w:rsidRPr="002B15D0" w14:paraId="5DAFC9FA" w14:textId="77777777" w:rsidTr="002B15D0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206CBE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F8B35A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2021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056720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2022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5211F6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2023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87F450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2024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B49B1F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color w:val="FFFFFF"/>
                <w:lang w:eastAsia="sk-SK"/>
              </w:rPr>
            </w:pPr>
          </w:p>
        </w:tc>
      </w:tr>
      <w:tr w:rsidR="002B15D0" w:rsidRPr="002B15D0" w14:paraId="6097F4C4" w14:textId="77777777" w:rsidTr="001B1E9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743B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BD14D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956F4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9C2A2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C7B38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0004B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7C7E7D6D" w14:textId="77777777" w:rsidTr="001B1E9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3E5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A7939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9622A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7B2A8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DC939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D62A8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</w:tr>
      <w:tr w:rsidR="002B15D0" w:rsidRPr="002B15D0" w14:paraId="706C3291" w14:textId="77777777" w:rsidTr="001B1E9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B9DC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CE44C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EF401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38D47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F9823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4B29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00A90D72" w14:textId="77777777" w:rsidTr="001B1E9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DA3E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D2FDA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  <w:r w:rsidRPr="002B15D0">
              <w:rPr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181EE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  <w:r w:rsidRPr="002B15D0">
              <w:rPr>
                <w:bCs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28019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  <w:r w:rsidRPr="002B15D0">
              <w:rPr>
                <w:lang w:eastAsia="sk-SK"/>
              </w:rPr>
              <w:t> 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9037F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  <w:r w:rsidRPr="002B15D0">
              <w:rPr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7CC65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40B67602" w14:textId="77777777" w:rsidTr="002B15D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757E37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77FFD6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9EA3DD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011712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DEF9CF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622662C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 </w:t>
            </w:r>
          </w:p>
        </w:tc>
      </w:tr>
      <w:tr w:rsidR="002B15D0" w:rsidRPr="002B15D0" w14:paraId="492199FE" w14:textId="77777777" w:rsidTr="001B1E9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0444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280DD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68829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259B3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7E279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80982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 </w:t>
            </w:r>
          </w:p>
        </w:tc>
      </w:tr>
      <w:tr w:rsidR="002B15D0" w:rsidRPr="002B15D0" w14:paraId="2EAD62E1" w14:textId="77777777" w:rsidTr="001B1E9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FFB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DA754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  <w:r w:rsidRPr="002B15D0">
              <w:rPr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935BB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  <w:r w:rsidRPr="002B15D0">
              <w:rPr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F1635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  <w:r w:rsidRPr="002B15D0">
              <w:rPr>
                <w:bCs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3CFD5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  <w:r w:rsidRPr="002B15D0">
              <w:rPr>
                <w:bCs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923C1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3C716800" w14:textId="77777777" w:rsidTr="001B1E9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B51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FDA81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E45CE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 xml:space="preserve">0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8B97D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0DF73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b/>
                <w:bCs/>
                <w:lang w:eastAsia="sk-SK"/>
              </w:rPr>
            </w:pPr>
            <w:r w:rsidRPr="002B15D0">
              <w:rPr>
                <w:b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94679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> </w:t>
            </w:r>
          </w:p>
        </w:tc>
      </w:tr>
      <w:tr w:rsidR="002B15D0" w:rsidRPr="002B15D0" w14:paraId="576B98FC" w14:textId="77777777" w:rsidTr="001B1E9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8BE2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64CAC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  <w:r w:rsidRPr="002B15D0">
              <w:rPr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827B9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  <w:r w:rsidRPr="002B15D0">
              <w:rPr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89164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  <w:r w:rsidRPr="002B15D0">
              <w:rPr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E711D" w14:textId="77777777" w:rsidR="002B15D0" w:rsidRPr="002B15D0" w:rsidRDefault="002B15D0" w:rsidP="002B15D0">
            <w:pPr>
              <w:spacing w:after="0" w:line="240" w:lineRule="auto"/>
              <w:ind w:firstLine="0"/>
              <w:jc w:val="center"/>
              <w:rPr>
                <w:lang w:eastAsia="sk-SK"/>
              </w:rPr>
            </w:pPr>
            <w:r w:rsidRPr="002B15D0">
              <w:rPr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61976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 </w:t>
            </w:r>
          </w:p>
        </w:tc>
      </w:tr>
      <w:tr w:rsidR="002B15D0" w:rsidRPr="002B15D0" w14:paraId="1D5FBA4E" w14:textId="77777777" w:rsidTr="001B1E9E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8E293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8F1DF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3FB5C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EE24C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C4A56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C9F14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</w:tr>
      <w:tr w:rsidR="002B15D0" w:rsidRPr="002B15D0" w14:paraId="1E6F5997" w14:textId="77777777" w:rsidTr="001B1E9E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7C7AF582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  <w:r w:rsidRPr="002B15D0">
              <w:rPr>
                <w:b/>
                <w:bCs/>
                <w:lang w:eastAsia="sk-SK"/>
              </w:rPr>
              <w:t xml:space="preserve">Poznámky: </w:t>
            </w:r>
          </w:p>
          <w:p w14:paraId="14297EC1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b/>
                <w:bCs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075C7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30798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723D1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5DB59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CB7AD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</w:tr>
      <w:tr w:rsidR="002B15D0" w:rsidRPr="002B15D0" w14:paraId="0D031E19" w14:textId="77777777" w:rsidTr="001B1E9E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0CCC55B" w14:textId="77777777" w:rsidR="002B15D0" w:rsidRPr="002B15D0" w:rsidRDefault="002B15D0" w:rsidP="002B15D0">
            <w:pPr>
              <w:tabs>
                <w:tab w:val="num" w:pos="1080"/>
              </w:tabs>
              <w:spacing w:after="0" w:line="240" w:lineRule="auto"/>
              <w:ind w:firstLine="0"/>
              <w:rPr>
                <w:bCs/>
                <w:szCs w:val="20"/>
                <w:lang w:eastAsia="sk-SK"/>
              </w:rPr>
            </w:pPr>
            <w:r w:rsidRPr="002B15D0">
              <w:rPr>
                <w:bCs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3ABC032F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2F4B8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</w:tr>
      <w:tr w:rsidR="002B15D0" w:rsidRPr="002B15D0" w14:paraId="0EE5B346" w14:textId="77777777" w:rsidTr="001B1E9E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66419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  <w:r w:rsidRPr="002B15D0">
              <w:rPr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AE3B4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E5B50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1ED9E" w14:textId="77777777" w:rsidR="002B15D0" w:rsidRPr="002B15D0" w:rsidRDefault="002B15D0" w:rsidP="002B15D0">
            <w:pPr>
              <w:spacing w:after="0" w:line="240" w:lineRule="auto"/>
              <w:ind w:firstLine="0"/>
              <w:jc w:val="left"/>
              <w:rPr>
                <w:lang w:eastAsia="sk-SK"/>
              </w:rPr>
            </w:pPr>
          </w:p>
        </w:tc>
      </w:tr>
    </w:tbl>
    <w:p w14:paraId="1D1B3510" w14:textId="77777777" w:rsidR="002B15D0" w:rsidRPr="002B15D0" w:rsidRDefault="002B15D0" w:rsidP="002B15D0">
      <w:pPr>
        <w:spacing w:after="0" w:line="240" w:lineRule="auto"/>
        <w:ind w:firstLine="0"/>
        <w:rPr>
          <w:rFonts w:eastAsia="Calibri"/>
          <w:szCs w:val="22"/>
        </w:rPr>
      </w:pPr>
    </w:p>
    <w:p w14:paraId="37CF55DE" w14:textId="77777777" w:rsidR="002B15D0" w:rsidRPr="002B15D0" w:rsidRDefault="002B15D0" w:rsidP="002B15D0">
      <w:pPr>
        <w:spacing w:after="0" w:line="240" w:lineRule="auto"/>
        <w:ind w:firstLine="0"/>
        <w:rPr>
          <w:rFonts w:eastAsia="Calibri"/>
          <w:sz w:val="22"/>
          <w:szCs w:val="22"/>
        </w:rPr>
      </w:pPr>
    </w:p>
    <w:p w14:paraId="392179A0" w14:textId="77777777" w:rsidR="002B15D0" w:rsidRDefault="002B15D0">
      <w:pPr>
        <w:rPr>
          <w:b/>
          <w:caps/>
          <w:spacing w:val="30"/>
          <w:sz w:val="25"/>
          <w:szCs w:val="25"/>
          <w:lang w:eastAsia="sk-SK"/>
        </w:rPr>
        <w:sectPr w:rsidR="002B15D0" w:rsidSect="002B15D0">
          <w:pgSz w:w="16840" w:h="11900" w:orient="landscape"/>
          <w:pgMar w:top="1417" w:right="1417" w:bottom="1417" w:left="1417" w:header="720" w:footer="720" w:gutter="0"/>
          <w:cols w:space="720"/>
          <w:docGrid w:linePitch="360"/>
        </w:sectPr>
      </w:pPr>
    </w:p>
    <w:p w14:paraId="625FAEDE" w14:textId="4BFDB6EC" w:rsidR="002B15D0" w:rsidRPr="002B15D0" w:rsidRDefault="002B15D0" w:rsidP="002B15D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caps/>
          <w:spacing w:val="30"/>
          <w:sz w:val="25"/>
          <w:szCs w:val="25"/>
          <w:lang w:eastAsia="sk-SK"/>
        </w:rPr>
      </w:pPr>
      <w:r w:rsidRPr="002B15D0">
        <w:rPr>
          <w:b/>
          <w:caps/>
          <w:spacing w:val="30"/>
          <w:sz w:val="25"/>
          <w:szCs w:val="25"/>
          <w:lang w:eastAsia="sk-SK"/>
        </w:rPr>
        <w:lastRenderedPageBreak/>
        <w:t>Doložka zlučiteľnosti</w:t>
      </w:r>
    </w:p>
    <w:p w14:paraId="0BC4783B" w14:textId="77777777" w:rsidR="002B15D0" w:rsidRPr="002B15D0" w:rsidRDefault="002B15D0" w:rsidP="002B15D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5"/>
          <w:szCs w:val="25"/>
          <w:lang w:eastAsia="sk-SK"/>
        </w:rPr>
      </w:pPr>
      <w:r w:rsidRPr="002B15D0">
        <w:rPr>
          <w:b/>
          <w:sz w:val="25"/>
          <w:szCs w:val="25"/>
          <w:lang w:eastAsia="sk-SK"/>
        </w:rPr>
        <w:t>návrhu zákona s právom Európskej únie</w:t>
      </w:r>
    </w:p>
    <w:p w14:paraId="0B453366" w14:textId="77777777" w:rsidR="002B15D0" w:rsidRPr="002B15D0" w:rsidRDefault="002B15D0" w:rsidP="002B15D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5"/>
          <w:szCs w:val="25"/>
          <w:lang w:eastAsia="sk-SK"/>
        </w:rPr>
      </w:pPr>
    </w:p>
    <w:p w14:paraId="78D179DD" w14:textId="77777777" w:rsidR="002B15D0" w:rsidRPr="002B15D0" w:rsidRDefault="002B15D0" w:rsidP="002B15D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5"/>
          <w:szCs w:val="25"/>
          <w:lang w:eastAsia="sk-SK"/>
        </w:rPr>
      </w:pPr>
    </w:p>
    <w:tbl>
      <w:tblPr>
        <w:tblStyle w:val="Mriekatabuky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8662"/>
      </w:tblGrid>
      <w:tr w:rsidR="002B15D0" w:rsidRPr="002B15D0" w14:paraId="00AD82F9" w14:textId="77777777" w:rsidTr="001B1E9E">
        <w:tc>
          <w:tcPr>
            <w:tcW w:w="201" w:type="pct"/>
          </w:tcPr>
          <w:p w14:paraId="173CFAC4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5"/>
                <w:szCs w:val="25"/>
              </w:rPr>
            </w:pPr>
            <w:r w:rsidRPr="002B15D0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4799" w:type="pct"/>
          </w:tcPr>
          <w:p w14:paraId="196CDED6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B15D0">
              <w:rPr>
                <w:b/>
                <w:sz w:val="25"/>
                <w:szCs w:val="25"/>
              </w:rPr>
              <w:t>Navrhovateľ zákona:</w:t>
            </w:r>
            <w:r w:rsidRPr="002B15D0">
              <w:rPr>
                <w:sz w:val="25"/>
                <w:szCs w:val="25"/>
              </w:rPr>
              <w:t xml:space="preserve"> </w:t>
            </w:r>
            <w:r w:rsidRPr="002B15D0">
              <w:rPr>
                <w:sz w:val="25"/>
                <w:szCs w:val="25"/>
              </w:rPr>
              <w:fldChar w:fldCharType="begin"/>
            </w:r>
            <w:r w:rsidRPr="002B15D0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2B15D0">
              <w:rPr>
                <w:sz w:val="25"/>
                <w:szCs w:val="25"/>
              </w:rPr>
              <w:fldChar w:fldCharType="separate"/>
            </w:r>
            <w:r w:rsidRPr="002B15D0">
              <w:rPr>
                <w:sz w:val="25"/>
                <w:szCs w:val="25"/>
              </w:rPr>
              <w:t>Štatistický úrad Slovenskej republiky</w:t>
            </w:r>
            <w:r w:rsidRPr="002B15D0">
              <w:rPr>
                <w:sz w:val="25"/>
                <w:szCs w:val="25"/>
              </w:rPr>
              <w:fldChar w:fldCharType="end"/>
            </w:r>
          </w:p>
        </w:tc>
      </w:tr>
      <w:tr w:rsidR="002B15D0" w:rsidRPr="002B15D0" w14:paraId="69FB6F78" w14:textId="77777777" w:rsidTr="001B1E9E">
        <w:tc>
          <w:tcPr>
            <w:tcW w:w="201" w:type="pct"/>
          </w:tcPr>
          <w:p w14:paraId="1B864C06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4799" w:type="pct"/>
          </w:tcPr>
          <w:p w14:paraId="0A1F3330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B15D0" w:rsidRPr="002B15D0" w14:paraId="1AEA98DE" w14:textId="77777777" w:rsidTr="001B1E9E">
        <w:tc>
          <w:tcPr>
            <w:tcW w:w="201" w:type="pct"/>
          </w:tcPr>
          <w:p w14:paraId="6DF04B89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5"/>
                <w:szCs w:val="25"/>
              </w:rPr>
            </w:pPr>
            <w:r w:rsidRPr="002B15D0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4799" w:type="pct"/>
          </w:tcPr>
          <w:p w14:paraId="368EAF5F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B15D0">
              <w:rPr>
                <w:b/>
                <w:sz w:val="25"/>
                <w:szCs w:val="25"/>
              </w:rPr>
              <w:t>Názov návrhu zákona:</w:t>
            </w:r>
            <w:r w:rsidRPr="002B15D0">
              <w:rPr>
                <w:sz w:val="25"/>
                <w:szCs w:val="25"/>
              </w:rPr>
              <w:t xml:space="preserve"> Zákon, ktorým sa mení a dopĺňa zákon č. 223/2019 Z. z. o sčítaní obyvateľov, domov a bytov v roku 2021 a o zmene a doplnení niektorých zákonov</w:t>
            </w:r>
          </w:p>
        </w:tc>
      </w:tr>
      <w:tr w:rsidR="002B15D0" w:rsidRPr="002B15D0" w14:paraId="28A9EDC0" w14:textId="77777777" w:rsidTr="001B1E9E">
        <w:tc>
          <w:tcPr>
            <w:tcW w:w="201" w:type="pct"/>
          </w:tcPr>
          <w:p w14:paraId="34F74FD2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4799" w:type="pct"/>
          </w:tcPr>
          <w:p w14:paraId="0EBDF698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B15D0" w:rsidRPr="002B15D0" w14:paraId="0EFA3CB6" w14:textId="77777777" w:rsidTr="001B1E9E">
        <w:tc>
          <w:tcPr>
            <w:tcW w:w="201" w:type="pct"/>
          </w:tcPr>
          <w:p w14:paraId="1A12B1FF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5"/>
                <w:szCs w:val="25"/>
              </w:rPr>
            </w:pPr>
            <w:r w:rsidRPr="002B15D0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4799" w:type="pct"/>
          </w:tcPr>
          <w:p w14:paraId="5A4355E8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5"/>
                <w:szCs w:val="25"/>
              </w:rPr>
            </w:pPr>
            <w:r w:rsidRPr="002B15D0">
              <w:rPr>
                <w:b/>
                <w:sz w:val="25"/>
                <w:szCs w:val="25"/>
              </w:rPr>
              <w:t>Predmet návrhu zákona je upravený v práve Európskej únie</w:t>
            </w:r>
          </w:p>
          <w:p w14:paraId="6443900D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B15D0" w:rsidRPr="002B15D0" w14:paraId="0173BC26" w14:textId="77777777" w:rsidTr="001B1E9E">
        <w:tc>
          <w:tcPr>
            <w:tcW w:w="201" w:type="pct"/>
          </w:tcPr>
          <w:p w14:paraId="30F7BA81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</w:pPr>
          </w:p>
        </w:tc>
        <w:tc>
          <w:tcPr>
            <w:tcW w:w="4799" w:type="pct"/>
          </w:tcPr>
          <w:p w14:paraId="2ABABD08" w14:textId="77777777" w:rsidR="002B15D0" w:rsidRPr="002B15D0" w:rsidRDefault="002B15D0" w:rsidP="002B15D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rPr>
                <w:rFonts w:ascii="Times" w:hAnsi="Times" w:cs="Times"/>
                <w:iCs/>
                <w:sz w:val="25"/>
                <w:szCs w:val="25"/>
              </w:rPr>
            </w:pPr>
            <w:r w:rsidRPr="002B15D0">
              <w:rPr>
                <w:rFonts w:ascii="Times" w:hAnsi="Times" w:cs="Times"/>
                <w:iCs/>
                <w:sz w:val="25"/>
                <w:szCs w:val="25"/>
              </w:rPr>
              <w:t>v primárnom práve</w:t>
            </w:r>
          </w:p>
          <w:p w14:paraId="58F2B166" w14:textId="77777777" w:rsidR="002B15D0" w:rsidRPr="002B15D0" w:rsidRDefault="002B15D0" w:rsidP="002B15D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contextualSpacing/>
              <w:rPr>
                <w:rFonts w:ascii="Times" w:hAnsi="Times" w:cs="Times"/>
                <w:sz w:val="25"/>
                <w:szCs w:val="25"/>
              </w:rPr>
            </w:pPr>
            <w:r w:rsidRPr="002B15D0">
              <w:rPr>
                <w:rFonts w:ascii="Times" w:hAnsi="Times" w:cs="Times"/>
                <w:sz w:val="25"/>
                <w:szCs w:val="25"/>
              </w:rPr>
              <w:t>čl. 159 a 175 Zmluvy o fungovaní Európskej únie (Ú. v. EÚ C 202, 7. 6. 2016) v platnom znení;</w:t>
            </w:r>
          </w:p>
          <w:p w14:paraId="718C798F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contextualSpacing/>
            </w:pPr>
          </w:p>
          <w:p w14:paraId="3520452E" w14:textId="77777777" w:rsidR="002B15D0" w:rsidRPr="002B15D0" w:rsidRDefault="002B15D0" w:rsidP="002B15D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rPr>
                <w:rFonts w:ascii="Times" w:hAnsi="Times" w:cs="Times"/>
                <w:iCs/>
                <w:sz w:val="25"/>
                <w:szCs w:val="25"/>
              </w:rPr>
            </w:pPr>
            <w:r w:rsidRPr="002B15D0">
              <w:rPr>
                <w:rFonts w:ascii="Times" w:hAnsi="Times" w:cs="Times"/>
                <w:iCs/>
                <w:sz w:val="25"/>
                <w:szCs w:val="25"/>
              </w:rPr>
              <w:t>v sekundárnom práve</w:t>
            </w:r>
          </w:p>
          <w:p w14:paraId="320AD4A5" w14:textId="77777777" w:rsidR="002B15D0" w:rsidRPr="002B15D0" w:rsidRDefault="002B15D0" w:rsidP="002B15D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contextualSpacing/>
              <w:rPr>
                <w:rFonts w:ascii="Times" w:hAnsi="Times" w:cs="Times"/>
                <w:sz w:val="25"/>
                <w:szCs w:val="25"/>
              </w:rPr>
            </w:pPr>
            <w:r w:rsidRPr="002B15D0">
              <w:rPr>
                <w:rFonts w:ascii="Times" w:hAnsi="Times" w:cs="Times"/>
                <w:sz w:val="25"/>
                <w:szCs w:val="25"/>
              </w:rPr>
              <w:t xml:space="preserve">nariadenie Európskeho parlamentu a Rady (ES) č. 763/2008 z 9. júla 2008 o sčítaní obyvateľov, domov a bytov (Ú. v. EÚ L 218, 13.8.2008), gestori: ŠÚ SR, MF SR, MV SR, MŽP SR, ÚGKK SR. </w:t>
            </w:r>
          </w:p>
          <w:p w14:paraId="648C9D19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ind w:left="720"/>
              <w:contextualSpacing/>
            </w:pPr>
          </w:p>
        </w:tc>
      </w:tr>
      <w:tr w:rsidR="002B15D0" w:rsidRPr="002B15D0" w14:paraId="3BC977A4" w14:textId="77777777" w:rsidTr="001B1E9E">
        <w:tc>
          <w:tcPr>
            <w:tcW w:w="201" w:type="pct"/>
          </w:tcPr>
          <w:p w14:paraId="5005BF24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</w:pPr>
          </w:p>
        </w:tc>
        <w:tc>
          <w:tcPr>
            <w:tcW w:w="4799" w:type="pct"/>
          </w:tcPr>
          <w:p w14:paraId="0782B0E8" w14:textId="77777777" w:rsidR="002B15D0" w:rsidRPr="002B15D0" w:rsidRDefault="002B15D0" w:rsidP="002B15D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</w:pPr>
            <w:r w:rsidRPr="002B15D0">
              <w:rPr>
                <w:rFonts w:ascii="Times" w:hAnsi="Times" w:cs="Times"/>
                <w:iCs/>
                <w:sz w:val="25"/>
                <w:szCs w:val="25"/>
              </w:rPr>
              <w:t>nie je upravený v judikatúre Súdneho dvora Európskej únie.</w:t>
            </w:r>
          </w:p>
        </w:tc>
      </w:tr>
      <w:tr w:rsidR="002B15D0" w:rsidRPr="002B15D0" w14:paraId="32443D60" w14:textId="77777777" w:rsidTr="001B1E9E">
        <w:tc>
          <w:tcPr>
            <w:tcW w:w="201" w:type="pct"/>
          </w:tcPr>
          <w:p w14:paraId="3AFFB3BB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799" w:type="pct"/>
          </w:tcPr>
          <w:p w14:paraId="7E9EEF03" w14:textId="77777777" w:rsidR="002B15D0" w:rsidRPr="002B15D0" w:rsidRDefault="002B15D0" w:rsidP="002B15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272"/>
        <w:gridCol w:w="8341"/>
      </w:tblGrid>
      <w:tr w:rsidR="002B15D0" w:rsidRPr="002B15D0" w14:paraId="13C4EB17" w14:textId="77777777" w:rsidTr="001B1E9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F36C4E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" w:hAnsi="Times" w:cs="Times"/>
                <w:b/>
                <w:bCs/>
                <w:sz w:val="25"/>
                <w:szCs w:val="25"/>
                <w:lang w:eastAsia="sk-SK"/>
              </w:rPr>
            </w:pPr>
            <w:r w:rsidRPr="002B15D0">
              <w:rPr>
                <w:rFonts w:ascii="Times" w:hAnsi="Times" w:cs="Times"/>
                <w:b/>
                <w:bCs/>
                <w:sz w:val="25"/>
                <w:szCs w:val="25"/>
                <w:lang w:eastAsia="sk-SK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EE3C5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ind w:firstLine="0"/>
              <w:jc w:val="left"/>
              <w:rPr>
                <w:rFonts w:ascii="Times" w:hAnsi="Times" w:cs="Times"/>
                <w:b/>
                <w:bCs/>
                <w:sz w:val="25"/>
                <w:szCs w:val="25"/>
                <w:lang w:eastAsia="sk-SK"/>
              </w:rPr>
            </w:pPr>
            <w:r w:rsidRPr="002B15D0">
              <w:rPr>
                <w:rFonts w:ascii="Times" w:hAnsi="Times" w:cs="Times"/>
                <w:b/>
                <w:bCs/>
                <w:sz w:val="25"/>
                <w:szCs w:val="25"/>
                <w:lang w:eastAsia="sk-SK"/>
              </w:rPr>
              <w:t>Záväzky Slovenskej republiky vo vzťahu k Európskej únii:</w:t>
            </w:r>
          </w:p>
        </w:tc>
      </w:tr>
      <w:tr w:rsidR="002B15D0" w:rsidRPr="002B15D0" w14:paraId="5CB36372" w14:textId="77777777" w:rsidTr="001B1E9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7B81C3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ind w:firstLine="0"/>
              <w:jc w:val="left"/>
              <w:rPr>
                <w:rFonts w:ascii="Times" w:hAnsi="Times" w:cs="Times"/>
                <w:b/>
                <w:bCs/>
                <w:sz w:val="25"/>
                <w:szCs w:val="25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2DD65B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" w:hAnsi="Times" w:cs="Times"/>
                <w:sz w:val="25"/>
                <w:szCs w:val="25"/>
                <w:lang w:eastAsia="sk-SK"/>
              </w:rPr>
            </w:pPr>
            <w:r w:rsidRPr="002B15D0">
              <w:rPr>
                <w:rFonts w:ascii="Times" w:hAnsi="Times" w:cs="Times"/>
                <w:sz w:val="25"/>
                <w:szCs w:val="25"/>
                <w:lang w:eastAsia="sk-SK"/>
              </w:rPr>
              <w:t>a)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52399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ind w:firstLine="0"/>
              <w:rPr>
                <w:rFonts w:ascii="Times" w:hAnsi="Times" w:cs="Times"/>
                <w:sz w:val="25"/>
                <w:szCs w:val="25"/>
                <w:lang w:eastAsia="sk-SK"/>
              </w:rPr>
            </w:pPr>
            <w:r w:rsidRPr="002B15D0">
              <w:rPr>
                <w:rFonts w:ascii="Times" w:hAnsi="Times" w:cs="Times"/>
                <w:sz w:val="25"/>
                <w:szCs w:val="25"/>
                <w:lang w:eastAsia="sk-SK"/>
              </w:rPr>
              <w:t>uviesť lehotu na prebranie príslušného právneho aktu Európskej únie, príp. aj osobitnú lehotu účinnosti jeho ustanovení,</w:t>
            </w:r>
          </w:p>
        </w:tc>
      </w:tr>
      <w:tr w:rsidR="002B15D0" w:rsidRPr="002B15D0" w14:paraId="09F938AD" w14:textId="77777777" w:rsidTr="001B1E9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FAF576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ind w:firstLine="0"/>
              <w:jc w:val="left"/>
              <w:rPr>
                <w:rFonts w:ascii="Times" w:hAnsi="Times" w:cs="Times"/>
                <w:sz w:val="25"/>
                <w:szCs w:val="25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A7A307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0"/>
                <w:szCs w:val="20"/>
                <w:lang w:eastAsia="sk-SK"/>
              </w:rPr>
            </w:pPr>
          </w:p>
          <w:p w14:paraId="00264AB8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0"/>
                <w:szCs w:val="20"/>
                <w:lang w:eastAsia="sk-SK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D1C08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ind w:firstLine="0"/>
              <w:rPr>
                <w:rFonts w:ascii="Times" w:hAnsi="Times" w:cs="Times"/>
                <w:sz w:val="25"/>
                <w:szCs w:val="25"/>
                <w:lang w:eastAsia="sk-SK"/>
              </w:rPr>
            </w:pPr>
            <w:r w:rsidRPr="002B15D0">
              <w:rPr>
                <w:rFonts w:ascii="Times" w:hAnsi="Times" w:cs="Times"/>
                <w:sz w:val="25"/>
                <w:szCs w:val="25"/>
                <w:lang w:eastAsia="sk-SK"/>
              </w:rPr>
              <w:t>Lehota na implementáciu nariadenia (ES) č. 763/2008 nebola určená.</w:t>
            </w:r>
          </w:p>
        </w:tc>
      </w:tr>
      <w:tr w:rsidR="002B15D0" w:rsidRPr="002B15D0" w14:paraId="5C9BCB31" w14:textId="77777777" w:rsidTr="001B1E9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FFF793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ind w:firstLine="0"/>
              <w:jc w:val="left"/>
              <w:rPr>
                <w:rFonts w:ascii="Times" w:hAnsi="Times" w:cs="Times"/>
                <w:sz w:val="25"/>
                <w:szCs w:val="25"/>
                <w:lang w:eastAsia="sk-SK"/>
              </w:rPr>
            </w:pPr>
            <w:r w:rsidRPr="002B15D0">
              <w:rPr>
                <w:rFonts w:ascii="Times" w:hAnsi="Times" w:cs="Times"/>
                <w:sz w:val="25"/>
                <w:szCs w:val="25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C99B1E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" w:hAnsi="Times" w:cs="Times"/>
                <w:sz w:val="25"/>
                <w:szCs w:val="25"/>
                <w:lang w:eastAsia="sk-SK"/>
              </w:rPr>
            </w:pPr>
            <w:r w:rsidRPr="002B15D0">
              <w:rPr>
                <w:rFonts w:ascii="Times" w:hAnsi="Times" w:cs="Times"/>
                <w:sz w:val="25"/>
                <w:szCs w:val="25"/>
                <w:lang w:eastAsia="sk-SK"/>
              </w:rPr>
              <w:t>b)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0AA23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ind w:firstLine="0"/>
              <w:rPr>
                <w:rFonts w:ascii="Times" w:hAnsi="Times" w:cs="Times"/>
                <w:sz w:val="25"/>
                <w:szCs w:val="25"/>
                <w:lang w:eastAsia="sk-SK"/>
              </w:rPr>
            </w:pPr>
            <w:r w:rsidRPr="002B15D0">
              <w:rPr>
                <w:rFonts w:ascii="Times" w:hAnsi="Times" w:cs="Times"/>
                <w:sz w:val="25"/>
                <w:szCs w:val="25"/>
                <w:lang w:eastAsia="sk-SK"/>
              </w:rPr>
              <w:t xml:space="preserve">uviesť informáciu o začatí konania v rámci „EÚ Pilot“ alebo o začatí postupu Európskej komisie, alebo o konaní Súdneho dvora Európskej únie proti Slovenskej republike podľa čl. 258 a 260 Zmluvy o fungovaní Európskej únie v jej platnom znení, spolu s  uvedením konkrétnych vytýkaných nedostatkov a požiadaviek na zabezpečenie nápravy so zreteľom na </w:t>
            </w:r>
            <w:r w:rsidRPr="002B15D0">
              <w:rPr>
                <w:rFonts w:ascii="Times" w:hAnsi="Times" w:cs="Times"/>
                <w:b/>
                <w:sz w:val="25"/>
                <w:szCs w:val="25"/>
                <w:lang w:eastAsia="sk-SK"/>
              </w:rPr>
              <w:t>n</w:t>
            </w:r>
            <w:r w:rsidRPr="002B15D0">
              <w:rPr>
                <w:rFonts w:ascii="Times" w:hAnsi="Times" w:cs="Times"/>
                <w:b/>
                <w:bCs/>
                <w:sz w:val="25"/>
                <w:szCs w:val="25"/>
                <w:lang w:eastAsia="sk-SK"/>
              </w:rPr>
              <w:t>ariadenie Európskeho parlamentu a Rady (ES) č. 1049/2001 z 30. mája 2001 o prístupe verejnosti k dokumentom Európskeho parlamentu, Rady a Komisie</w:t>
            </w:r>
            <w:r w:rsidRPr="002B15D0">
              <w:rPr>
                <w:rFonts w:ascii="Times" w:hAnsi="Times" w:cs="Times"/>
                <w:sz w:val="25"/>
                <w:szCs w:val="25"/>
                <w:lang w:eastAsia="sk-SK"/>
              </w:rPr>
              <w:t xml:space="preserve">, </w:t>
            </w:r>
          </w:p>
        </w:tc>
      </w:tr>
      <w:tr w:rsidR="002B15D0" w:rsidRPr="002B15D0" w14:paraId="0A7467FD" w14:textId="77777777" w:rsidTr="001B1E9E">
        <w:trPr>
          <w:trHeight w:val="151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CF05C5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ind w:firstLine="0"/>
              <w:jc w:val="left"/>
              <w:rPr>
                <w:rFonts w:ascii="Times" w:hAnsi="Times" w:cs="Times"/>
                <w:sz w:val="25"/>
                <w:szCs w:val="25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1D30C8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0"/>
                <w:szCs w:val="20"/>
                <w:lang w:eastAsia="sk-SK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536CF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ind w:firstLine="0"/>
              <w:rPr>
                <w:rFonts w:ascii="Times" w:hAnsi="Times" w:cs="Times"/>
                <w:sz w:val="25"/>
                <w:szCs w:val="25"/>
                <w:lang w:eastAsia="sk-SK"/>
              </w:rPr>
            </w:pPr>
            <w:r w:rsidRPr="002B15D0">
              <w:rPr>
                <w:rFonts w:ascii="Times" w:hAnsi="Times" w:cs="Times"/>
                <w:sz w:val="25"/>
                <w:szCs w:val="25"/>
                <w:lang w:eastAsia="sk-SK"/>
              </w:rPr>
              <w:t>Proti Slovenskej republike nebolo začaté konanie v rámci „EÚ Pilot“, nebol začatý postup EK ani nebolo začaté konanie Súdneho dvora EÚ proti SR podľa čl. 258 až 260 Zmluvy o fungovaní Európskej únie.</w:t>
            </w:r>
          </w:p>
        </w:tc>
      </w:tr>
      <w:tr w:rsidR="002B15D0" w:rsidRPr="002B15D0" w14:paraId="5771033F" w14:textId="77777777" w:rsidTr="001B1E9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C5FEA6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ind w:firstLine="0"/>
              <w:jc w:val="left"/>
              <w:rPr>
                <w:rFonts w:ascii="Times" w:hAnsi="Times" w:cs="Times"/>
                <w:sz w:val="25"/>
                <w:szCs w:val="25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6E072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" w:hAnsi="Times" w:cs="Times"/>
                <w:sz w:val="25"/>
                <w:szCs w:val="25"/>
                <w:lang w:eastAsia="sk-SK"/>
              </w:rPr>
            </w:pPr>
            <w:r w:rsidRPr="002B15D0">
              <w:rPr>
                <w:rFonts w:ascii="Times" w:hAnsi="Times" w:cs="Times"/>
                <w:sz w:val="25"/>
                <w:szCs w:val="25"/>
                <w:lang w:eastAsia="sk-SK"/>
              </w:rPr>
              <w:t>c)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9D73D1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ind w:firstLine="0"/>
              <w:rPr>
                <w:rFonts w:ascii="Times" w:hAnsi="Times" w:cs="Times"/>
                <w:sz w:val="25"/>
                <w:szCs w:val="25"/>
                <w:lang w:eastAsia="sk-SK"/>
              </w:rPr>
            </w:pPr>
            <w:r w:rsidRPr="002B15D0">
              <w:rPr>
                <w:rFonts w:ascii="Times" w:hAnsi="Times" w:cs="Times"/>
                <w:sz w:val="25"/>
                <w:szCs w:val="25"/>
                <w:lang w:eastAsia="sk-SK"/>
              </w:rPr>
              <w:t>uviesť informáciu o právnych predpisoch, v ktorých sú uvádzané právne akty Európskej únie už prebrané, spolu s uvedením rozsahu ich prebrania, príp. potreby prijatia ďalších úprav,</w:t>
            </w:r>
          </w:p>
        </w:tc>
      </w:tr>
      <w:tr w:rsidR="002B15D0" w:rsidRPr="002B15D0" w14:paraId="453CC218" w14:textId="77777777" w:rsidTr="001B1E9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967E80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ind w:firstLine="0"/>
              <w:jc w:val="left"/>
              <w:rPr>
                <w:rFonts w:ascii="Times" w:hAnsi="Times" w:cs="Times"/>
                <w:sz w:val="25"/>
                <w:szCs w:val="25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7FBC95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0"/>
                <w:szCs w:val="20"/>
                <w:lang w:eastAsia="sk-SK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26FED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" w:hAnsi="Times" w:cs="Times"/>
                <w:sz w:val="25"/>
                <w:szCs w:val="25"/>
                <w:lang w:eastAsia="sk-SK"/>
              </w:rPr>
            </w:pPr>
            <w:r w:rsidRPr="002B15D0">
              <w:rPr>
                <w:rFonts w:ascii="Times" w:hAnsi="Times" w:cs="Times"/>
                <w:bCs/>
                <w:sz w:val="25"/>
                <w:szCs w:val="25"/>
                <w:lang w:eastAsia="sk-SK"/>
              </w:rPr>
              <w:t xml:space="preserve">Zákon č. 223/2001 Z. z. </w:t>
            </w:r>
            <w:r w:rsidRPr="002B15D0">
              <w:rPr>
                <w:sz w:val="25"/>
                <w:szCs w:val="25"/>
                <w:lang w:eastAsia="sk-SK"/>
              </w:rPr>
              <w:t>č. 223/2019 Z. z. o sčítaní obyvateľov, domov a bytov v roku 2021 a o zmene a doplnení niektorých zákonov</w:t>
            </w:r>
            <w:r w:rsidRPr="002B15D0">
              <w:rPr>
                <w:rFonts w:ascii="Times" w:hAnsi="Times" w:cs="Times"/>
                <w:bCs/>
                <w:sz w:val="25"/>
                <w:szCs w:val="25"/>
                <w:lang w:eastAsia="sk-SK"/>
              </w:rPr>
              <w:t xml:space="preserve">, ktorým sa implementuje nariadenie </w:t>
            </w:r>
            <w:r w:rsidRPr="002B15D0">
              <w:rPr>
                <w:rFonts w:ascii="Times" w:hAnsi="Times" w:cs="Times"/>
                <w:sz w:val="25"/>
                <w:szCs w:val="25"/>
                <w:lang w:eastAsia="sk-SK"/>
              </w:rPr>
              <w:t xml:space="preserve">(ES) č. 763/2008 </w:t>
            </w:r>
            <w:r w:rsidRPr="002B15D0">
              <w:rPr>
                <w:rFonts w:ascii="Times" w:hAnsi="Times" w:cs="Times"/>
                <w:bCs/>
                <w:sz w:val="25"/>
                <w:szCs w:val="25"/>
                <w:lang w:eastAsia="sk-SK"/>
              </w:rPr>
              <w:t>v plnom rozsahu.</w:t>
            </w:r>
            <w:r w:rsidRPr="002B15D0">
              <w:rPr>
                <w:rFonts w:ascii="Times" w:hAnsi="Times" w:cs="Times"/>
                <w:sz w:val="25"/>
                <w:szCs w:val="25"/>
                <w:lang w:eastAsia="sk-SK"/>
              </w:rPr>
              <w:t xml:space="preserve"> </w:t>
            </w:r>
          </w:p>
        </w:tc>
      </w:tr>
      <w:tr w:rsidR="002B15D0" w:rsidRPr="002B15D0" w14:paraId="23ABEEB9" w14:textId="77777777" w:rsidTr="001B1E9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EEFB3E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" w:hAnsi="Times" w:cs="Times"/>
                <w:b/>
                <w:bCs/>
                <w:sz w:val="25"/>
                <w:szCs w:val="25"/>
                <w:lang w:eastAsia="sk-SK"/>
              </w:rPr>
            </w:pPr>
            <w:r w:rsidRPr="002B15D0">
              <w:rPr>
                <w:rFonts w:ascii="Times" w:hAnsi="Times" w:cs="Times"/>
                <w:b/>
                <w:bCs/>
                <w:sz w:val="25"/>
                <w:szCs w:val="25"/>
                <w:lang w:eastAsia="sk-SK"/>
              </w:rPr>
              <w:lastRenderedPageBreak/>
              <w:t>5.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296246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ind w:firstLine="0"/>
              <w:jc w:val="left"/>
              <w:rPr>
                <w:rFonts w:ascii="Times" w:hAnsi="Times" w:cs="Times"/>
                <w:b/>
                <w:bCs/>
                <w:sz w:val="25"/>
                <w:szCs w:val="25"/>
                <w:lang w:eastAsia="sk-SK"/>
              </w:rPr>
            </w:pPr>
            <w:r w:rsidRPr="002B15D0">
              <w:rPr>
                <w:rFonts w:ascii="Times" w:hAnsi="Times" w:cs="Times"/>
                <w:b/>
                <w:bCs/>
                <w:sz w:val="25"/>
                <w:szCs w:val="25"/>
                <w:lang w:eastAsia="sk-SK"/>
              </w:rPr>
              <w:t>Návrh zákona je zlučiteľný s právom Európskej únie:</w:t>
            </w:r>
          </w:p>
        </w:tc>
      </w:tr>
      <w:tr w:rsidR="002B15D0" w:rsidRPr="002B15D0" w14:paraId="4F8A70A2" w14:textId="77777777" w:rsidTr="001B1E9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F1FA23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ind w:firstLine="0"/>
              <w:jc w:val="left"/>
              <w:rPr>
                <w:rFonts w:ascii="Times" w:hAnsi="Times" w:cs="Times"/>
                <w:b/>
                <w:bCs/>
                <w:sz w:val="25"/>
                <w:szCs w:val="25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15DCC3" w14:textId="77777777" w:rsidR="002B15D0" w:rsidRPr="002B15D0" w:rsidRDefault="002B15D0" w:rsidP="002B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0"/>
                <w:szCs w:val="20"/>
                <w:lang w:eastAsia="sk-SK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3330F" w14:textId="77777777" w:rsidR="002B15D0" w:rsidRPr="002B15D0" w:rsidRDefault="002B15D0" w:rsidP="002B15D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50" w:line="240" w:lineRule="auto"/>
              <w:contextualSpacing/>
              <w:jc w:val="left"/>
              <w:rPr>
                <w:sz w:val="25"/>
                <w:szCs w:val="25"/>
                <w:lang w:eastAsia="sk-SK"/>
              </w:rPr>
            </w:pPr>
            <w:r w:rsidRPr="002B15D0">
              <w:rPr>
                <w:sz w:val="25"/>
                <w:szCs w:val="25"/>
                <w:lang w:eastAsia="sk-SK"/>
              </w:rPr>
              <w:t>úplne.</w:t>
            </w:r>
          </w:p>
        </w:tc>
      </w:tr>
    </w:tbl>
    <w:p w14:paraId="0D0FDACF" w14:textId="77777777" w:rsidR="002B15D0" w:rsidRPr="002B15D0" w:rsidRDefault="002B15D0" w:rsidP="002B15D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0"/>
        <w:rPr>
          <w:lang w:eastAsia="sk-SK"/>
        </w:rPr>
      </w:pPr>
    </w:p>
    <w:p w14:paraId="2C81BBAF" w14:textId="1A8B6231" w:rsidR="002B15D0" w:rsidRDefault="002B15D0">
      <w:r>
        <w:br w:type="page"/>
      </w:r>
    </w:p>
    <w:p w14:paraId="25192DC5" w14:textId="77777777" w:rsidR="002B15D0" w:rsidRPr="002B15D0" w:rsidRDefault="002B15D0" w:rsidP="002B15D0">
      <w:pPr>
        <w:spacing w:after="360"/>
        <w:ind w:firstLine="0"/>
        <w:rPr>
          <w:b/>
        </w:rPr>
      </w:pPr>
      <w:r w:rsidRPr="002B15D0">
        <w:rPr>
          <w:b/>
        </w:rPr>
        <w:lastRenderedPageBreak/>
        <w:t>B. Osobitná časť</w:t>
      </w:r>
    </w:p>
    <w:p w14:paraId="51FDA7EC" w14:textId="77777777" w:rsidR="002B15D0" w:rsidRPr="002B15D0" w:rsidRDefault="002B15D0" w:rsidP="002B15D0">
      <w:pPr>
        <w:spacing w:after="240"/>
        <w:ind w:firstLine="0"/>
        <w:rPr>
          <w:b/>
        </w:rPr>
      </w:pPr>
      <w:r w:rsidRPr="002B15D0">
        <w:rPr>
          <w:b/>
        </w:rPr>
        <w:t>K čl. I</w:t>
      </w:r>
    </w:p>
    <w:p w14:paraId="0B1FDBE9" w14:textId="77777777" w:rsidR="002B15D0" w:rsidRPr="002B15D0" w:rsidRDefault="002B15D0" w:rsidP="002B15D0">
      <w:pPr>
        <w:ind w:firstLine="0"/>
      </w:pPr>
      <w:r w:rsidRPr="002B15D0">
        <w:t>K bodu 1 [§ 3 písm. g)]</w:t>
      </w:r>
    </w:p>
    <w:p w14:paraId="60441E95" w14:textId="0F04FA8E" w:rsidR="002B15D0" w:rsidRPr="002B15D0" w:rsidRDefault="002B15D0" w:rsidP="002B15D0">
      <w:pPr>
        <w:spacing w:after="240"/>
        <w:ind w:firstLine="0"/>
      </w:pPr>
      <w:r w:rsidRPr="002B15D0">
        <w:t>Legálna definícia kontaktného miesta sa precizuje v nadväznosti na doplnenie legálnej definície asistovaného sčítania, aby bolo jednoznačné, že kontaktné miesto je obyvateľovi na účel splnenia jeho povinnosti sčítať sa prístupné výlučne počas dosčítavania podľa § 5</w:t>
      </w:r>
      <w:r w:rsidR="00F330B3">
        <w:t>a</w:t>
      </w:r>
      <w:r w:rsidRPr="002B15D0">
        <w:t>. Definícia sa zároveň prispôsobuje rozšíreniu definície asistovaného sčítania o formu, ktorou bude aj sčítanie v kontaktnom mieste bez pomoci asistenta sčítania.</w:t>
      </w:r>
    </w:p>
    <w:p w14:paraId="30562906" w14:textId="77777777" w:rsidR="002B15D0" w:rsidRPr="002B15D0" w:rsidRDefault="002B15D0" w:rsidP="002B15D0">
      <w:pPr>
        <w:ind w:firstLine="0"/>
      </w:pPr>
      <w:r w:rsidRPr="002B15D0">
        <w:t>K bodu 2 [§ 3 písm. m)]</w:t>
      </w:r>
    </w:p>
    <w:p w14:paraId="74709E6C" w14:textId="5E3D75A8" w:rsidR="002B15D0" w:rsidRPr="002B15D0" w:rsidRDefault="002B15D0" w:rsidP="002B15D0">
      <w:pPr>
        <w:ind w:firstLine="0"/>
      </w:pPr>
      <w:r w:rsidRPr="002B15D0">
        <w:t>Legálna definícia asistovaného sčítania sa dopĺňa, aby bolo jednoznačné, že služba asistovaného sčítania sa poskytuje výlučne počas dosčítavania podľa § 5</w:t>
      </w:r>
      <w:r w:rsidR="00F330B3">
        <w:t>a</w:t>
      </w:r>
      <w:r w:rsidRPr="002B15D0">
        <w:t>.</w:t>
      </w:r>
      <w:r w:rsidR="001B1E9E">
        <w:t xml:space="preserve"> Zároveň je potrebné upraviť vnútorný odkaz z dôvodu prečíslovania odsekov v § 8 novelizačným bodom 7.</w:t>
      </w:r>
    </w:p>
    <w:p w14:paraId="1F7A8DDF" w14:textId="77777777" w:rsidR="002B15D0" w:rsidRPr="002B15D0" w:rsidRDefault="002B15D0" w:rsidP="002B15D0">
      <w:pPr>
        <w:spacing w:after="240"/>
        <w:ind w:firstLine="0"/>
      </w:pPr>
      <w:proofErr w:type="spellStart"/>
      <w:r w:rsidRPr="002B15D0">
        <w:t>Samosčítanie</w:t>
      </w:r>
      <w:proofErr w:type="spellEnd"/>
      <w:r w:rsidRPr="002B15D0">
        <w:t xml:space="preserve"> obyvateľa nebude počas doby dosčítania možné, okrem prípadu, ak prebehne v prípade priaznivej epidemiologickej situácie pomocou IKT prostriedkov inštalovaných v kontaktnom mieste, čo sa bude považovať za formu poskytnutia služby asistovaného sčítania. V tejto súvislosti je potrebné pripomenúť, že uvedená forma je dostupná pre obyvateľov, ktorý majú digitálne zručnosti ale nedisponujú vlastnými IKT prostriedkami na sčítanie a vzhľadom na nepredvídateľnosť vývoja epidemiologickej situácie, sa obyvateľ nemôže spoliehať, že kontaktné miesto mu bude počas celej doby dosčítania k dispozícii.</w:t>
      </w:r>
    </w:p>
    <w:p w14:paraId="3BA16892" w14:textId="77777777" w:rsidR="002B15D0" w:rsidRPr="002B15D0" w:rsidRDefault="002B15D0" w:rsidP="002B15D0">
      <w:pPr>
        <w:ind w:firstLine="0"/>
      </w:pPr>
      <w:r w:rsidRPr="002B15D0">
        <w:t>K bodu 3 (§ 4 ods. 1)</w:t>
      </w:r>
    </w:p>
    <w:p w14:paraId="3A358A99" w14:textId="1B10780E" w:rsidR="002B15D0" w:rsidRPr="002B15D0" w:rsidRDefault="002B15D0" w:rsidP="002B15D0">
      <w:pPr>
        <w:spacing w:after="240"/>
        <w:ind w:firstLine="0"/>
      </w:pPr>
      <w:r w:rsidRPr="002B15D0">
        <w:t>Ustanovenie sa precizuje z dôvodu, že na základe § 5</w:t>
      </w:r>
      <w:r w:rsidR="007C4590">
        <w:t>a</w:t>
      </w:r>
      <w:r w:rsidRPr="002B15D0">
        <w:t xml:space="preserve"> štatistický úrad bude zisťovať údaje na účely sčítania prostredníctvom sčítacieho formulára na sčítanie obyvateľov nielen v dobe sčítania obyvateľov ale aj v ďalšom období, počas tzv. dosčítavania.</w:t>
      </w:r>
      <w:r w:rsidR="001B1E9E">
        <w:t xml:space="preserve"> Doba</w:t>
      </w:r>
      <w:r w:rsidR="008D3950">
        <w:t>, v ktorej prebehne  dosčítavanie,</w:t>
      </w:r>
      <w:r w:rsidR="001B1E9E">
        <w:t xml:space="preserve"> je </w:t>
      </w:r>
      <w:r w:rsidR="008D3950">
        <w:t>potrebné týmto ustanovením z dôvodu zabezpečenia realizácie úloh a povinností vymedziť ako súčasť</w:t>
      </w:r>
      <w:r w:rsidR="001B1E9E">
        <w:t xml:space="preserve"> celej doby sčítania obyvateľov, domov a bytov v roku 2021.</w:t>
      </w:r>
    </w:p>
    <w:p w14:paraId="3312D617" w14:textId="77777777" w:rsidR="002B15D0" w:rsidRPr="002B15D0" w:rsidRDefault="002B15D0" w:rsidP="002B15D0">
      <w:pPr>
        <w:ind w:firstLine="0"/>
      </w:pPr>
      <w:r w:rsidRPr="002B15D0">
        <w:t>K bodu 4 (§ 5)</w:t>
      </w:r>
    </w:p>
    <w:p w14:paraId="74AC0745" w14:textId="77777777" w:rsidR="002B15D0" w:rsidRPr="002B15D0" w:rsidRDefault="002B15D0" w:rsidP="002B15D0">
      <w:pPr>
        <w:spacing w:after="240"/>
        <w:ind w:firstLine="0"/>
      </w:pPr>
      <w:r w:rsidRPr="002B15D0">
        <w:t>Z dôvodu využitia termínu „dosčítavanie“ pre pomenovanie nového inštitútu v zákone, ktorého zavedenie je ťažiskovým predmetom návrhu novely, a potreby primerane upraviť vzhľadom k predĺženiu celkového trvania sčítania obyvateľov aj čas, v ktorom je možné vykonať zisťovanie po sčítaní “, ktoré sa uskutočňuje krátko po sčítaní na účely posúdenia pokrytia a obsahu podľa čl. 2 bodu 13 vykonávacieho nariadenia Komisie (EÚ) 2017/881 z 23. mája 2017, ktorým sa vykonáva nariadenie Európskeho parlamentu a Rady (ES) č. 763/2008 o sčítaní obyvateľov, domov a bytov, pokiaľ ide o formu a štruktúru správ o kvalite a technický formát na zasielanie údajov, a ktorým sa mení nariadenie (EÚ) č. 1151/2010 (Ú. v. EÚ L 135, 24. 5. 2017), sa navrhuje nové znenie § 5.</w:t>
      </w:r>
    </w:p>
    <w:p w14:paraId="33948871" w14:textId="77777777" w:rsidR="00196E65" w:rsidRDefault="00196E65">
      <w:r>
        <w:br w:type="page"/>
      </w:r>
    </w:p>
    <w:p w14:paraId="069FD6E2" w14:textId="2BC4AFAF" w:rsidR="002B15D0" w:rsidRPr="002B15D0" w:rsidRDefault="002B15D0" w:rsidP="002B15D0">
      <w:pPr>
        <w:ind w:firstLine="0"/>
      </w:pPr>
      <w:r w:rsidRPr="002B15D0">
        <w:lastRenderedPageBreak/>
        <w:t>K bodu 5 (§ 5a)</w:t>
      </w:r>
    </w:p>
    <w:p w14:paraId="3D035679" w14:textId="77777777" w:rsidR="002B15D0" w:rsidRPr="002B15D0" w:rsidRDefault="002B15D0" w:rsidP="002B15D0">
      <w:pPr>
        <w:ind w:firstLine="0"/>
      </w:pPr>
      <w:r w:rsidRPr="002B15D0">
        <w:t xml:space="preserve">§ 5a ods. 1 </w:t>
      </w:r>
    </w:p>
    <w:p w14:paraId="4419268A" w14:textId="77777777" w:rsidR="002B15D0" w:rsidRPr="002B15D0" w:rsidRDefault="002B15D0" w:rsidP="002B15D0">
      <w:pPr>
        <w:spacing w:after="240"/>
        <w:ind w:firstLine="0"/>
      </w:pPr>
      <w:r w:rsidRPr="002B15D0">
        <w:t>Z dôvodu trvania závažnej epidemiologickej situácie spôsobenej šírením ochorenia COVID-19, ktoré sa dá predpokladať v dobe sčítania obyvateľov, sa určuje, že asistované sčítanie sa vykoná až po uplynutí doby sčítania obyvateľov. Obyvateľom, ktorí spadajú do kategórie osôb vymedzenej v § 8 ods. 3 zákona (v navrhovanom znení ide o § 8 ods. 4), sa poskytne možnosť sčítať sa s využitím služby asistovaného sčítania, teda s pomocou stacionárneho asistenta v kontaktnom mieste, stacionárneho asistenta v zariadení podľa § 12 ods. 5 zákona, v ktorom sa obyvateľ zdržiava, s pomocou mobilného asistenta sčítania v mieste, kde sa sčítavaný obyvateľ zdržiava a bez pomoci stacionárneho asistenta sčítania v kontaktnom mieste pomocou IKT inštalovaných v kontaktnom mieste.</w:t>
      </w:r>
    </w:p>
    <w:p w14:paraId="13E85A05" w14:textId="77777777" w:rsidR="002B15D0" w:rsidRPr="002B15D0" w:rsidRDefault="002B15D0" w:rsidP="002B15D0">
      <w:pPr>
        <w:ind w:firstLine="0"/>
      </w:pPr>
      <w:r w:rsidRPr="002B15D0">
        <w:t xml:space="preserve">§ 5a ods. 2 </w:t>
      </w:r>
    </w:p>
    <w:p w14:paraId="53D23C25" w14:textId="77777777" w:rsidR="002B15D0" w:rsidRPr="002B15D0" w:rsidRDefault="002B15D0" w:rsidP="002B15D0">
      <w:pPr>
        <w:ind w:firstLine="0"/>
      </w:pPr>
      <w:r w:rsidRPr="002B15D0">
        <w:t xml:space="preserve">Ustanovenie upravuje rozhodnutie predsedu úradu o začatí dosčítavania a umožňuje začať dosčítavanie na účel poskytnutia služby asistovaného sčítania len na základe rozhodnutia predsedu štatistického úradu, pričom umožňuje vykonať dosčítavanie aj na časti územia Slovenska v závislosti od aktuálnej epidemiologickej situácie. Takáto možnosť je odôvodnená potrebou umožniť sčítať sa každému obyvateľovi SR. </w:t>
      </w:r>
    </w:p>
    <w:p w14:paraId="435A3879" w14:textId="77777777" w:rsidR="002B15D0" w:rsidRPr="002B15D0" w:rsidRDefault="002B15D0" w:rsidP="002B15D0">
      <w:pPr>
        <w:ind w:firstLine="0"/>
      </w:pPr>
      <w:r w:rsidRPr="002B15D0">
        <w:t>Využitie služby asistovaného sčítania bude teda možné len pri splnení podmienky, že jej poskytovanie nebude v rozpore s účinnými opatreniami Úradu verejného zdravotníctva Slovenskej republiky na ochranu verejného zdravia nariadenými z dôvodu, že na celom území SR alebo v územnej pôsobnosti regionálneho úradu verejného zdravotníctva bude pandémia ochorenia COVID-19.</w:t>
      </w:r>
    </w:p>
    <w:p w14:paraId="77355C69" w14:textId="77777777" w:rsidR="002B15D0" w:rsidRPr="002B15D0" w:rsidRDefault="002B15D0" w:rsidP="002B15D0">
      <w:pPr>
        <w:ind w:firstLine="0"/>
      </w:pPr>
      <w:r w:rsidRPr="002B15D0">
        <w:t>§ 5a ods. 3</w:t>
      </w:r>
    </w:p>
    <w:p w14:paraId="55271BE8" w14:textId="77777777" w:rsidR="002B15D0" w:rsidRPr="002B15D0" w:rsidRDefault="002B15D0" w:rsidP="002B15D0">
      <w:pPr>
        <w:ind w:firstLine="0"/>
      </w:pPr>
      <w:r w:rsidRPr="002B15D0">
        <w:t>Ustanovenie upravuje rozhodnutie predsedu úradu o zastavení dosčítavania. Vzhľadom na to, že nariadené opatrenia Úradu verejného zdravotníctva Slovenskej republiky na ochranu verejného zdravia musia reagovať na zmeny v priebehu pandémie, rozhodnutie predsedu úradu o začatí dosčítavania nemôže obsahovať konkrétny dátum jeho dočasného zastavenia v prípade, ak by jeho vykonávanie ohrozovalo verejné zdravie. Ak by sa po vydaní rozhodnutia o začatí dosčítavania pandemická situácia nezmenila (t. j. neboli by vydané ďalšie prísnejšie opatrenia Úradu verejného zdravotníctva Slovenskej republiky), dosčítavanie by pokračovalo až do uplynutia doby ustanovenej v § 5a ods. 1, teda do 31. októbra 2020. V opačnom prípade predseda úradu musí vydať rozhodnutie o zastavení dosčítavania na území Slovenskej republiky alebo jeho časti a príslušné rozhodnutie o začatí dosčítavania ním zruší.</w:t>
      </w:r>
    </w:p>
    <w:p w14:paraId="5866858C" w14:textId="77777777" w:rsidR="002B15D0" w:rsidRPr="002B15D0" w:rsidRDefault="002B15D0" w:rsidP="002B15D0">
      <w:pPr>
        <w:ind w:firstLine="0"/>
      </w:pPr>
      <w:r w:rsidRPr="002B15D0">
        <w:t>§ 5a ods. 4</w:t>
      </w:r>
    </w:p>
    <w:p w14:paraId="701E25C5" w14:textId="77777777" w:rsidR="002B15D0" w:rsidRPr="002B15D0" w:rsidRDefault="002B15D0" w:rsidP="002B15D0">
      <w:pPr>
        <w:ind w:firstLine="0"/>
      </w:pPr>
      <w:r w:rsidRPr="002B15D0">
        <w:t>S ohľadom na časovú a vecnú naliehavosť prijímania oboch druhov rozhodnutí predsedu úradu sa navrhuje vylúčiť jeho prijímanie v rámci všeobecného správneho konania.</w:t>
      </w:r>
    </w:p>
    <w:p w14:paraId="4F9BF592" w14:textId="77777777" w:rsidR="002B15D0" w:rsidRPr="002B15D0" w:rsidRDefault="002B15D0" w:rsidP="002B15D0">
      <w:pPr>
        <w:ind w:firstLine="0"/>
      </w:pPr>
      <w:r w:rsidRPr="002B15D0">
        <w:t xml:space="preserve">Z dôvodu právnej istoty predsedu štatistického úradu pri vydávaní rozhodnutia o začatí dosčítavania a rozhodnutia o zastavení dosčítavania sa viaže tvorba oboch rozhodnutí na podklad, ktorým je stanovisko Úradu verejného zdravotníctva Slovenskej republiky o tom, aké účinné opatrenia na ochranu verejného zdravia, ktoré majú priamy vplyv na možnosť a </w:t>
      </w:r>
      <w:r w:rsidRPr="002B15D0">
        <w:lastRenderedPageBreak/>
        <w:t>podmienky začatia dočasného zastavenia dosčítavania, vydal na celoslovenskej alebo regionálnej úrovni. Stanovisko by malo obsahovať odpoveď na otázku, či asistované sčítanie bude možné vykonať alebo v ňom pokračovať, t. j. nemá ísť len o zoznam prijatých opatrení. Stanovisko Úradu verejného zdravotníctva sa týka aj nariadených opatrení na regionálnej úrovni.</w:t>
      </w:r>
    </w:p>
    <w:p w14:paraId="2D28B762" w14:textId="77777777" w:rsidR="002B15D0" w:rsidRPr="002B15D0" w:rsidRDefault="002B15D0" w:rsidP="002B15D0">
      <w:pPr>
        <w:spacing w:after="240"/>
        <w:ind w:firstLine="0"/>
      </w:pPr>
      <w:r w:rsidRPr="002B15D0">
        <w:t>V nadväznosti na toto stanovisko sa definujú obsahové náležitosti výrokov oboch druhov rozhodnutí vrátane dostupnosti každej z foriem asistovaného sčítania.</w:t>
      </w:r>
    </w:p>
    <w:p w14:paraId="0E10002C" w14:textId="77777777" w:rsidR="002B15D0" w:rsidRPr="002B15D0" w:rsidRDefault="002B15D0" w:rsidP="002B15D0">
      <w:pPr>
        <w:ind w:firstLine="0"/>
      </w:pPr>
      <w:r w:rsidRPr="002B15D0">
        <w:t>§ 5a ods. 5</w:t>
      </w:r>
    </w:p>
    <w:p w14:paraId="16E35C19" w14:textId="1BE4CFF0" w:rsidR="002B15D0" w:rsidRPr="002B15D0" w:rsidRDefault="002B15D0" w:rsidP="002B15D0">
      <w:pPr>
        <w:spacing w:after="240"/>
        <w:ind w:firstLine="0"/>
      </w:pPr>
      <w:r w:rsidRPr="002B15D0">
        <w:t xml:space="preserve">Vzhľadom na vylúčenie správneho poriadku pri rozhodovaní predsedu úradu je potrebné ustanoviť osobitne aj opravný prostriedok proti vydaným rozhodnutiam. S ohľadom na časovú a vecnú naliehavosť prijímania oboch druhov rozhodnutí predsedu úradu sa možnosť revízie rozhodnutí </w:t>
      </w:r>
      <w:r w:rsidR="008D3950">
        <w:t xml:space="preserve">obmedzuje </w:t>
      </w:r>
      <w:r w:rsidRPr="002B15D0">
        <w:t>na súdny prieskum</w:t>
      </w:r>
      <w:r w:rsidR="008D3950">
        <w:t>, čo vyplýva z pôsobnosti Správneho súdneho poriadku</w:t>
      </w:r>
      <w:r w:rsidRPr="002B15D0">
        <w:t>. V súlade s § 184 Správneho súdneho poriadku nemá podanie správnej žaloby odkladný účinok.</w:t>
      </w:r>
    </w:p>
    <w:p w14:paraId="2B50E2D5" w14:textId="77777777" w:rsidR="002B15D0" w:rsidRPr="002B15D0" w:rsidRDefault="002B15D0" w:rsidP="002B15D0">
      <w:pPr>
        <w:ind w:firstLine="0"/>
      </w:pPr>
      <w:r w:rsidRPr="002B15D0">
        <w:t>§ 5a ods. 6</w:t>
      </w:r>
    </w:p>
    <w:p w14:paraId="591ABE40" w14:textId="77777777" w:rsidR="002B15D0" w:rsidRPr="002B15D0" w:rsidRDefault="002B15D0" w:rsidP="002B15D0">
      <w:pPr>
        <w:spacing w:after="240"/>
        <w:ind w:firstLine="0"/>
      </w:pPr>
      <w:r w:rsidRPr="002B15D0">
        <w:t>Vzhľadom na vylúčenie správneho poriadku pri rozhodovaní predsedu úradu sa ustanovujú formálne náležitosti oboch druhov rozhodnutí a spôsob ich oznámenia adresátom. Zároveň sa upravuje zabezpečenie včasného informovania obyvateľov o vydaní rozhodnutí aj ďalšími prostriedkami, a to vzhľadom na časovú naliehavosť zabezpečenia plnenia povinnosti sčítať sa.</w:t>
      </w:r>
    </w:p>
    <w:p w14:paraId="720171EB" w14:textId="77777777" w:rsidR="002B15D0" w:rsidRPr="002B15D0" w:rsidRDefault="002B15D0" w:rsidP="002B15D0">
      <w:pPr>
        <w:ind w:firstLine="0"/>
      </w:pPr>
      <w:r w:rsidRPr="002B15D0">
        <w:t>K bodom 6 a 7 (§ 8 ods. 1 a 2)</w:t>
      </w:r>
    </w:p>
    <w:p w14:paraId="3C7C27F4" w14:textId="098A2B33" w:rsidR="002B15D0" w:rsidRPr="002B15D0" w:rsidRDefault="009067EA" w:rsidP="002B15D0">
      <w:pPr>
        <w:spacing w:after="240"/>
        <w:ind w:firstLine="0"/>
      </w:pPr>
      <w:r w:rsidRPr="009067EA">
        <w:t>Skutočnosť, že všeobecne sa povinnosť obyvateľa a jeho zákonného zástupcu [§ 7 ods.. 1 písm. a) a b)] sčítať sa môže realizovať nielen v dobe sčítania obyvateľov ale v prípade využitia asistovaného sčítania aj počas dosčítavania, je potrebné zohľadniť v ustanovení obsahu tejto zákonnej povinnosti. Vzhľadom na potrebnú legislatívno-technickú úpravu súvisiacich ustanovení zákona [najmä súčasný § 3 písm. m) a § 8 ods. 3 upravujúci spôsob poskytnutia služby asistovaného sčítania] je z hľadiska legislatívnej techniky vhodné časový aspekt plnenia povinnosti sčítať sa vyčleniť do nového odseku z dôvodu použiteľnosti vnútorných odkazov v zákone a zrozumiteľnosti zákona.</w:t>
      </w:r>
    </w:p>
    <w:p w14:paraId="02157E8E" w14:textId="77777777" w:rsidR="002B15D0" w:rsidRPr="002B15D0" w:rsidRDefault="002B15D0" w:rsidP="002B15D0">
      <w:pPr>
        <w:ind w:firstLine="0"/>
      </w:pPr>
      <w:r w:rsidRPr="002B15D0">
        <w:t>K bodu 8 (§ 8 ods. 4)</w:t>
      </w:r>
    </w:p>
    <w:p w14:paraId="0DA4C8EF" w14:textId="262DF72A" w:rsidR="002B15D0" w:rsidRPr="002B15D0" w:rsidRDefault="002B15D0" w:rsidP="002B15D0">
      <w:pPr>
        <w:ind w:firstLine="0"/>
      </w:pPr>
      <w:r w:rsidRPr="002B15D0">
        <w:t>Precizuje sa spôsob poskytovania služby asistovaného sčítania. Keďže asistované sčítanie sa bude vykonávať výlučne v rámci dosčítavania v dobe ustanovenej v § 5</w:t>
      </w:r>
      <w:r w:rsidR="00F330B3">
        <w:t>a</w:t>
      </w:r>
      <w:r w:rsidRPr="002B15D0">
        <w:t xml:space="preserve"> ods. 1, počas doby sčítania obyvateľov (§ 4 ods. 2 zákona) bude činnosť asistentov vylúčená, t. j. nebudú pôsobiť. Medzi formy poskytovania služby asistovaného sčítania sa dopĺňa aj </w:t>
      </w:r>
      <w:proofErr w:type="spellStart"/>
      <w:r w:rsidRPr="002B15D0">
        <w:t>samosčítanie</w:t>
      </w:r>
      <w:proofErr w:type="spellEnd"/>
      <w:r w:rsidRPr="002B15D0">
        <w:t xml:space="preserve"> obyvateľa v kontaktnom mieste s pomocou v ňom nainštalovaných IKT prostriedkov. </w:t>
      </w:r>
    </w:p>
    <w:p w14:paraId="05BD26E9" w14:textId="77777777" w:rsidR="002B15D0" w:rsidRPr="002B15D0" w:rsidRDefault="002B15D0" w:rsidP="002B15D0">
      <w:pPr>
        <w:spacing w:after="240"/>
        <w:ind w:firstLine="0"/>
      </w:pPr>
      <w:r w:rsidRPr="002B15D0">
        <w:t xml:space="preserve">V dobe sčítania obyvateľov sa sčítajú obyvatelia, ktorí sú digitálne zruční ale aj ich maloleté deti. Nie je však vylúčené, aby sa v dobe sčítania obyvateľov sčítali aj osoby, ktoré sa samé sčítať nedokážu, pretože naďalej platí, že ich môžu v dobe sčítania obyvateľov sčítať ich blízke osoby alebo iné osoby, s ktorými žijú v jednej bytovej domácnosti. </w:t>
      </w:r>
    </w:p>
    <w:p w14:paraId="448A77F6" w14:textId="77777777" w:rsidR="002B15D0" w:rsidRPr="002B15D0" w:rsidRDefault="002B15D0" w:rsidP="002B15D0">
      <w:pPr>
        <w:ind w:firstLine="0"/>
      </w:pPr>
      <w:r w:rsidRPr="002B15D0">
        <w:lastRenderedPageBreak/>
        <w:t>K bodu 9 [§ 8 ods. 5 písm. a)]</w:t>
      </w:r>
    </w:p>
    <w:p w14:paraId="0F28DE81" w14:textId="5A09426B" w:rsidR="002B15D0" w:rsidRPr="002B15D0" w:rsidRDefault="002B15D0" w:rsidP="002B15D0">
      <w:pPr>
        <w:spacing w:after="240"/>
        <w:ind w:firstLine="0"/>
      </w:pPr>
      <w:r w:rsidRPr="002B15D0">
        <w:t xml:space="preserve">Vypúšťa sa </w:t>
      </w:r>
      <w:r w:rsidR="00F330B3">
        <w:t xml:space="preserve">už v súčasnosti </w:t>
      </w:r>
      <w:r w:rsidRPr="002B15D0">
        <w:t xml:space="preserve">nadbytočný odkaz, ktorý </w:t>
      </w:r>
      <w:r w:rsidR="00F330B3">
        <w:t>by popri legislatívno-technickej úprave v novelizačnom bode 2</w:t>
      </w:r>
      <w:r w:rsidR="00C71333">
        <w:t>5</w:t>
      </w:r>
      <w:r w:rsidR="00F330B3">
        <w:t xml:space="preserve"> komplikoval</w:t>
      </w:r>
      <w:r w:rsidRPr="002B15D0">
        <w:t xml:space="preserve"> porozumenie textu ustanovenia.</w:t>
      </w:r>
    </w:p>
    <w:p w14:paraId="2DECAEF1" w14:textId="77777777" w:rsidR="002B15D0" w:rsidRPr="002B15D0" w:rsidRDefault="002B15D0" w:rsidP="002B15D0">
      <w:pPr>
        <w:ind w:firstLine="0"/>
      </w:pPr>
      <w:r w:rsidRPr="002B15D0">
        <w:t>K bodom 10 a 11 [§ 8 ods. 5 písm. b) a d) a ods. 6]</w:t>
      </w:r>
    </w:p>
    <w:p w14:paraId="6C00103E" w14:textId="77777777" w:rsidR="002B15D0" w:rsidRPr="002B15D0" w:rsidRDefault="002B15D0" w:rsidP="002B15D0">
      <w:pPr>
        <w:spacing w:after="240"/>
        <w:ind w:firstLine="0"/>
      </w:pPr>
      <w:r w:rsidRPr="002B15D0">
        <w:t>Legislatívno-technická úprava vzhľadom na prečíslovanie odsekov v § 8.</w:t>
      </w:r>
    </w:p>
    <w:p w14:paraId="597BF94E" w14:textId="77777777" w:rsidR="002B15D0" w:rsidRPr="002B15D0" w:rsidRDefault="002B15D0" w:rsidP="002B15D0">
      <w:pPr>
        <w:ind w:firstLine="0"/>
      </w:pPr>
      <w:r w:rsidRPr="002B15D0">
        <w:t>K bodu 12 (§ 12 ods. 3)</w:t>
      </w:r>
    </w:p>
    <w:p w14:paraId="04181D00" w14:textId="77777777" w:rsidR="002B15D0" w:rsidRPr="002B15D0" w:rsidRDefault="002B15D0" w:rsidP="002B15D0">
      <w:pPr>
        <w:spacing w:after="240"/>
        <w:ind w:firstLine="0"/>
      </w:pPr>
      <w:r w:rsidRPr="002B15D0">
        <w:t>Úprava súvisí s potrebou zaistiť, že ak asistent sčítania pôsobiaci v zariadení skončí s vykonávaním svojej funkcie pred dosčítavaním alebo počas neho, v záujme eventuálne nesplnenej povinnosti zariadenia podľa § 8 ods. 5, treba vymenovať nového asistenta sčítania. Úprava reflektuje na skutočnosť, že sa na základe novely zákona odďaľuje čas, v ktorom budú už vymenovaní asistenti môcť vykonávať asistované sčítanie a môžu existovať v súčasnej epidemiologickej a ekonomickej situácii väčšia incidencia vyčiarnutia asistenta sčítania zo zoznamu asistentov sčítania.</w:t>
      </w:r>
    </w:p>
    <w:p w14:paraId="2C1D3F8D" w14:textId="4EE430BA" w:rsidR="002B15D0" w:rsidRPr="002B15D0" w:rsidRDefault="002B15D0" w:rsidP="002B15D0">
      <w:pPr>
        <w:spacing w:after="240"/>
        <w:ind w:firstLine="0"/>
      </w:pPr>
      <w:r w:rsidRPr="002B15D0">
        <w:t xml:space="preserve">K bodu 13 (§ 16 ods. </w:t>
      </w:r>
      <w:r w:rsidR="00F330B3">
        <w:t>4</w:t>
      </w:r>
      <w:r w:rsidRPr="002B15D0">
        <w:t xml:space="preserve"> a </w:t>
      </w:r>
      <w:r w:rsidR="00F330B3">
        <w:t>5</w:t>
      </w:r>
      <w:r w:rsidRPr="002B15D0">
        <w:t>)</w:t>
      </w:r>
    </w:p>
    <w:p w14:paraId="791BC0B0" w14:textId="77777777" w:rsidR="002B15D0" w:rsidRPr="002B15D0" w:rsidRDefault="002B15D0" w:rsidP="002B15D0">
      <w:pPr>
        <w:spacing w:after="240"/>
        <w:ind w:firstLine="0"/>
      </w:pPr>
      <w:r w:rsidRPr="002B15D0">
        <w:t>Z dôvodu, že asistenti sčítania budú pôsobiť až počas dosčítavania, je potrebné zmeniť termín vyplácania náhrady mzdy alebo platu a odmien tých asistentov sčítania, ktorí nie sú zamestnancami obcí.</w:t>
      </w:r>
    </w:p>
    <w:p w14:paraId="38BC102E" w14:textId="77777777" w:rsidR="002B15D0" w:rsidRPr="002B15D0" w:rsidRDefault="002B15D0" w:rsidP="002B15D0">
      <w:pPr>
        <w:ind w:firstLine="0"/>
      </w:pPr>
      <w:r w:rsidRPr="002B15D0">
        <w:t>K bodu 14 (§ 18 ods. 1)</w:t>
      </w:r>
    </w:p>
    <w:p w14:paraId="21C59273" w14:textId="77777777" w:rsidR="002B15D0" w:rsidRPr="002B15D0" w:rsidRDefault="002B15D0" w:rsidP="002B15D0">
      <w:pPr>
        <w:spacing w:after="240"/>
        <w:ind w:firstLine="0"/>
      </w:pPr>
      <w:r w:rsidRPr="002B15D0">
        <w:t>Vzhľadom na presun poskytovania služby asistovaného sčítania z doby sčítania je potrebné túto skutočnosť zohľadniť v danom ustanovení, pričom je vhodné uviesť, že prevádzka kontaktného miesta je možná len pri dodržaní opatrení Úradu verejného zdravotníctva SR a regionálnych úradov verejného zdravotníctva aktuálne nariadených na ochranu verejného zdravia, ktoré musia byť rešpektované už pri vyhlásení začatia dosčítavania rozhodnutím predsedu štatistického úradu.</w:t>
      </w:r>
    </w:p>
    <w:p w14:paraId="3390022C" w14:textId="77777777" w:rsidR="002B15D0" w:rsidRPr="002B15D0" w:rsidRDefault="002B15D0" w:rsidP="002B15D0">
      <w:pPr>
        <w:ind w:firstLine="0"/>
      </w:pPr>
      <w:r w:rsidRPr="002B15D0">
        <w:t>K bodu 15 (§ 19 ods. 1)</w:t>
      </w:r>
    </w:p>
    <w:p w14:paraId="36B014E5" w14:textId="0B2AACF8" w:rsidR="002B15D0" w:rsidRDefault="002B15D0" w:rsidP="002B15D0">
      <w:pPr>
        <w:spacing w:after="240"/>
        <w:ind w:firstLine="0"/>
      </w:pPr>
      <w:r w:rsidRPr="002B15D0">
        <w:t>Povinnosť prevádzkovania kontaktného miesta je potrebné vzhľadom na povahu a dôvod zmien v priebehu sčítania obyvateľov viazať na prevádzkovanie len počas priaznivej epidemiologickej situácie, teda čas, kedy prebieha dosčítavanie.</w:t>
      </w:r>
    </w:p>
    <w:p w14:paraId="7F3A5898" w14:textId="055A7A51" w:rsidR="00865972" w:rsidRDefault="00865972" w:rsidP="009067EA">
      <w:pPr>
        <w:ind w:firstLine="0"/>
      </w:pPr>
      <w:r>
        <w:t>K bodu 16</w:t>
      </w:r>
      <w:r w:rsidR="00196E65">
        <w:t xml:space="preserve"> [§ 20 ods. 1 písm. b)]</w:t>
      </w:r>
    </w:p>
    <w:p w14:paraId="42949F66" w14:textId="50E3FFA3" w:rsidR="00865972" w:rsidRDefault="009067EA" w:rsidP="002B15D0">
      <w:pPr>
        <w:spacing w:after="240"/>
        <w:ind w:firstLine="0"/>
      </w:pPr>
      <w:r>
        <w:t>Ide o nutnú legislatívno-technickú úpravu, pretože termín, ktorý doteraz ako legislatívna skratka označoval inštitút zisťovania po sčítaní, sa v zákone použije na pomenovanie procesu vymedzeného § 5a zákona.</w:t>
      </w:r>
    </w:p>
    <w:p w14:paraId="0522E191" w14:textId="6E3B6270" w:rsidR="00865972" w:rsidRDefault="00865972" w:rsidP="00196E65">
      <w:pPr>
        <w:ind w:firstLine="0"/>
      </w:pPr>
      <w:r>
        <w:t>K bodu 17</w:t>
      </w:r>
      <w:r w:rsidR="00196E65">
        <w:t xml:space="preserve"> [§ 25 ods. 4 písm. b)]</w:t>
      </w:r>
    </w:p>
    <w:p w14:paraId="7D956EC3" w14:textId="74C74290" w:rsidR="00865972" w:rsidRPr="002B15D0" w:rsidRDefault="009067EA" w:rsidP="002B15D0">
      <w:pPr>
        <w:spacing w:after="240"/>
        <w:ind w:firstLine="0"/>
      </w:pPr>
      <w:r>
        <w:t xml:space="preserve">Ide o precizovanie </w:t>
      </w:r>
      <w:r w:rsidR="00196E65">
        <w:t xml:space="preserve">vymedzenia osoby nachádzajúcej sa v zariadení sociálnych služieb, ktorej bude potrebné poskytnúť službu asistovaného sčítania vzhľadom na zmeny v § 8, pričom </w:t>
      </w:r>
      <w:r w:rsidR="00196E65">
        <w:lastRenderedPageBreak/>
        <w:t xml:space="preserve">zároveň sa vypustí z dôvodu zostručnenia nadbytočný odkaz na § 8 ods. 2 (v novelizovanom znení ide o odsek 3). </w:t>
      </w:r>
    </w:p>
    <w:p w14:paraId="1C1E76E7" w14:textId="3A2CC75A" w:rsidR="002B15D0" w:rsidRPr="002B15D0" w:rsidRDefault="002B15D0" w:rsidP="002B15D0">
      <w:pPr>
        <w:ind w:firstLine="0"/>
      </w:pPr>
      <w:r w:rsidRPr="002B15D0">
        <w:t>K bodu 1</w:t>
      </w:r>
      <w:r w:rsidR="00865972">
        <w:t>8</w:t>
      </w:r>
      <w:r w:rsidRPr="002B15D0">
        <w:t xml:space="preserve"> [§ 27 ods. 2 písm. i)]</w:t>
      </w:r>
    </w:p>
    <w:p w14:paraId="57C429FF" w14:textId="77777777" w:rsidR="002B15D0" w:rsidRPr="002B15D0" w:rsidRDefault="002B15D0" w:rsidP="002B15D0">
      <w:pPr>
        <w:spacing w:after="240"/>
        <w:ind w:firstLine="0"/>
      </w:pPr>
      <w:r w:rsidRPr="002B15D0">
        <w:t>Vzhľadom na presun poskytovania služby asistovaného sčítania z doby sčítania je potrebné upraviť čas, do ktorého je možné zriadiť kontaktné miesta. Kontaktné miesta obce už zriadili, čiže v praxi pôjde o prípady, ak bude  z rôznych dôvodov zriadiť nové kontaktné miesto.</w:t>
      </w:r>
    </w:p>
    <w:p w14:paraId="1B8C10AD" w14:textId="5753BC5D" w:rsidR="002B15D0" w:rsidRPr="002B15D0" w:rsidRDefault="002B15D0" w:rsidP="002B15D0">
      <w:pPr>
        <w:ind w:firstLine="0"/>
      </w:pPr>
      <w:r w:rsidRPr="002B15D0">
        <w:t>K bodu 1</w:t>
      </w:r>
      <w:r w:rsidR="00865972">
        <w:t>9</w:t>
      </w:r>
      <w:r w:rsidRPr="002B15D0">
        <w:t xml:space="preserve"> [§ 27 ods. 2 písm. n)]</w:t>
      </w:r>
    </w:p>
    <w:p w14:paraId="67688C0B" w14:textId="40FB4539" w:rsidR="002B15D0" w:rsidRPr="002B15D0" w:rsidRDefault="002B15D0" w:rsidP="002B15D0">
      <w:pPr>
        <w:ind w:firstLine="0"/>
      </w:pPr>
      <w:r w:rsidRPr="002B15D0">
        <w:t xml:space="preserve">Úprava súvisí s možnosťou vzniku nových kontaktných miest zriadených obcami, pretože na základe novelizačného bodu </w:t>
      </w:r>
      <w:r w:rsidR="00C71333">
        <w:t>18</w:t>
      </w:r>
      <w:r w:rsidRPr="002B15D0">
        <w:t xml:space="preserve"> sa predĺži možnosť ich vzniku až do 15-teho dňa pred začatím doby dosčítavania. S tým súvisí plnenie rovnakých povinností ako v súčasnom znení § 27 ods. 2 písm. n), ale v dodatočne predĺženej lehote.</w:t>
      </w:r>
    </w:p>
    <w:p w14:paraId="30D181FA" w14:textId="77777777" w:rsidR="002B15D0" w:rsidRPr="002B15D0" w:rsidRDefault="002B15D0" w:rsidP="002B15D0">
      <w:pPr>
        <w:spacing w:after="240"/>
        <w:ind w:firstLine="0"/>
      </w:pPr>
      <w:r w:rsidRPr="002B15D0">
        <w:t>Tieto úpravy reagujú na skutočnosť, že sa na základe novely zákona odďaľuje čas, v ktorom budú kontaktné  miesta prevádzkované a môže dôjsť k ich zániku z ekonomických dôvodov.</w:t>
      </w:r>
    </w:p>
    <w:p w14:paraId="70741096" w14:textId="66E61770" w:rsidR="002B15D0" w:rsidRPr="002B15D0" w:rsidRDefault="002B15D0" w:rsidP="002B15D0">
      <w:pPr>
        <w:ind w:firstLine="0"/>
      </w:pPr>
      <w:r w:rsidRPr="002B15D0">
        <w:t xml:space="preserve">K bodu </w:t>
      </w:r>
      <w:r w:rsidR="00865972">
        <w:t>20</w:t>
      </w:r>
      <w:r w:rsidRPr="002B15D0">
        <w:t xml:space="preserve"> [§ 27 ods. 2 písm. o)]</w:t>
      </w:r>
    </w:p>
    <w:p w14:paraId="2FAD303F" w14:textId="77777777" w:rsidR="002B15D0" w:rsidRPr="002B15D0" w:rsidRDefault="002B15D0" w:rsidP="002B15D0">
      <w:pPr>
        <w:spacing w:after="240"/>
        <w:ind w:firstLine="0"/>
      </w:pPr>
      <w:r w:rsidRPr="002B15D0">
        <w:t>Úprava reaguje na skutočnosť, že sa na základe novely zákona odďaľuje čas, v ktorom budú už vymenovaní asistenti môcť vykonávať asistované sčítanie a môžu existovať v súčasnej epidemiologickej a ekonomickej situácii väčšia incidencia vyčiarnutia asistenta sčítania zo zoznamu asistentov sčítania. Ak by bol odliv asistentov sčítania markantný, obci by chýbal zákonom dané oprávnenie vykonávať výber a nábor asistentov sčítania, čo napríklad súvisí aj s jej postavením prevádzkovateľa pri spracúvaní osobných údajov kandidátov.</w:t>
      </w:r>
    </w:p>
    <w:p w14:paraId="2220AE24" w14:textId="74C528A2" w:rsidR="002B15D0" w:rsidRPr="002B15D0" w:rsidRDefault="002B15D0" w:rsidP="002B15D0">
      <w:pPr>
        <w:ind w:firstLine="0"/>
      </w:pPr>
      <w:r w:rsidRPr="002B15D0">
        <w:t xml:space="preserve">K bodu </w:t>
      </w:r>
      <w:r w:rsidR="00865972">
        <w:t>21</w:t>
      </w:r>
      <w:r w:rsidRPr="002B15D0">
        <w:t xml:space="preserve"> a 2</w:t>
      </w:r>
      <w:r w:rsidR="00865972">
        <w:t>2</w:t>
      </w:r>
      <w:r w:rsidRPr="002B15D0">
        <w:t xml:space="preserve"> [§ 29 ods. 1 písm. a), b) a d)]</w:t>
      </w:r>
    </w:p>
    <w:p w14:paraId="5AC558F8" w14:textId="77777777" w:rsidR="002B15D0" w:rsidRPr="002B15D0" w:rsidRDefault="002B15D0" w:rsidP="002B15D0">
      <w:pPr>
        <w:spacing w:after="240"/>
        <w:ind w:firstLine="0"/>
      </w:pPr>
      <w:r w:rsidRPr="002B15D0">
        <w:t>Legislatívno-technická úprava vzhľadom na prečíslovanie odsekov v § 8. Mechanizmus ukladania sankcií sa nemení.</w:t>
      </w:r>
    </w:p>
    <w:p w14:paraId="5FF2FD48" w14:textId="70AD9C04" w:rsidR="002B15D0" w:rsidRPr="002B15D0" w:rsidRDefault="002B15D0" w:rsidP="002B15D0">
      <w:pPr>
        <w:ind w:firstLine="0"/>
      </w:pPr>
      <w:r w:rsidRPr="002B15D0">
        <w:t xml:space="preserve">K bodu </w:t>
      </w:r>
      <w:r w:rsidR="009067EA">
        <w:t>23</w:t>
      </w:r>
      <w:r w:rsidRPr="002B15D0">
        <w:t xml:space="preserve"> (§ 37 ods. 2)</w:t>
      </w:r>
    </w:p>
    <w:p w14:paraId="07EB8F2C" w14:textId="77777777" w:rsidR="002B15D0" w:rsidRPr="002B15D0" w:rsidRDefault="002B15D0" w:rsidP="002B15D0">
      <w:pPr>
        <w:spacing w:after="240"/>
        <w:ind w:firstLine="0"/>
      </w:pPr>
      <w:r w:rsidRPr="002B15D0">
        <w:t>Úprava súvisí s predĺžením doby sčítania obyvateľova potrebou zabezpečiť, aby obec nakladala s majetkom financovaným so štátneho rozpočtu a určeným na plnenie úloh obce podľa § 27 ods. 2 zákona až do uplynutia posledného dňa doby, v rámci ktorej môže byť vykonané dosčítavanie.</w:t>
      </w:r>
    </w:p>
    <w:p w14:paraId="72E0408E" w14:textId="6B1AA679" w:rsidR="002B15D0" w:rsidRPr="002B15D0" w:rsidRDefault="002B15D0" w:rsidP="002B15D0">
      <w:pPr>
        <w:ind w:firstLine="0"/>
      </w:pPr>
      <w:r w:rsidRPr="002B15D0">
        <w:t xml:space="preserve">K bodu </w:t>
      </w:r>
      <w:r w:rsidR="009067EA">
        <w:t>24</w:t>
      </w:r>
      <w:r w:rsidRPr="002B15D0">
        <w:t xml:space="preserve"> (§ 39a)</w:t>
      </w:r>
    </w:p>
    <w:p w14:paraId="201982EC" w14:textId="77777777" w:rsidR="002B15D0" w:rsidRPr="002B15D0" w:rsidRDefault="002B15D0" w:rsidP="002B15D0">
      <w:pPr>
        <w:spacing w:after="240"/>
        <w:ind w:firstLine="0"/>
      </w:pPr>
      <w:r w:rsidRPr="002B15D0">
        <w:t>Legislatívne zmeny sa týkajú aj úloh a vymenovania asistenta sčítania (§ 10 a § 12) a povinnosti obce prevádzkovať kontaktné miesto [§ 18, 19 a § 27 ods. 2 písm. i) a n)]. Podstatou legislatívnych zmien je ustanoviť, že povinnosti asistenta sčítania a príslušné povinnosti obce sa plnia počas dosčítania, t. j. v inom čase, ako doterajší zákon ustanovoval. Preto je potrebné prechodnými ustanoveniami zabezpečiť, aby boli vybraní a vymenovaní asistenti sčítania a zriadené kontaktné miesta obcí považované za asistentov sčítania resp. kontaktné miesta podľa zákona v znení účinnom dňom vyhlásenia.</w:t>
      </w:r>
    </w:p>
    <w:p w14:paraId="0DC04A9D" w14:textId="6CC2765D" w:rsidR="002B15D0" w:rsidRPr="002B15D0" w:rsidRDefault="002B15D0" w:rsidP="002B15D0">
      <w:pPr>
        <w:ind w:firstLine="0"/>
      </w:pPr>
      <w:r w:rsidRPr="002B15D0">
        <w:lastRenderedPageBreak/>
        <w:t xml:space="preserve">K bodu </w:t>
      </w:r>
      <w:r w:rsidR="009067EA">
        <w:t>25</w:t>
      </w:r>
      <w:r w:rsidRPr="002B15D0">
        <w:t xml:space="preserve"> [§ 8 ods. 5, § 10 ods. 2 a 3, § 14 ods. 3 písm. d) a § 27 ods. 2 písm. i)]</w:t>
      </w:r>
    </w:p>
    <w:p w14:paraId="24FB2953" w14:textId="77777777" w:rsidR="002B15D0" w:rsidRPr="002B15D0" w:rsidRDefault="002B15D0" w:rsidP="002B15D0">
      <w:pPr>
        <w:spacing w:after="360"/>
        <w:ind w:firstLine="0"/>
      </w:pPr>
      <w:r w:rsidRPr="002B15D0">
        <w:t>Ide o legislatívno-technickú úpravu ustanovení, v ktorých bolo vykonávanie asistovaného sčítania doteraz viazané na dobu sčítania obyvateľov.</w:t>
      </w:r>
    </w:p>
    <w:p w14:paraId="526D2925" w14:textId="77777777" w:rsidR="002B15D0" w:rsidRPr="002B15D0" w:rsidRDefault="002B15D0" w:rsidP="002B15D0">
      <w:pPr>
        <w:ind w:firstLine="0"/>
        <w:rPr>
          <w:b/>
        </w:rPr>
      </w:pPr>
      <w:r w:rsidRPr="002B15D0">
        <w:rPr>
          <w:b/>
        </w:rPr>
        <w:t>K čl. II</w:t>
      </w:r>
    </w:p>
    <w:p w14:paraId="40D06208" w14:textId="77777777" w:rsidR="002B15D0" w:rsidRPr="002B15D0" w:rsidRDefault="002B15D0" w:rsidP="002B15D0">
      <w:pPr>
        <w:ind w:firstLine="0"/>
      </w:pPr>
      <w:r w:rsidRPr="002B15D0">
        <w:t>Účinnosť zákona sa navrhuje s ohľadom na potrebu presunúť poskytovanie služby asistovaného sčítania z doby sčítania obyvateľov (15. februára 2021 do 31. marca 2021), na neskorší čas (na dobu určenú na dosčítavanie), pretože vykonávanie asistovaného sčítania počas závažnej epidemiologickej situácie v Slovenskej republike spôsobenej šírením ochorenia COVID-19 by ohrozovalo verejné zdravie zraniteľných skupín (najmä seniorov] resp. by bolo v rozpore s opatreniami Úradu verejného zdravotníctva SR a uzneseniami vlády o vyhlásení mimoriadnej situácie a o predĺžení núdzového stavu z dôvodu ohrozenia života a zdravia osôb v príčinnej súvislosti so vznikom pandémie.</w:t>
      </w:r>
    </w:p>
    <w:p w14:paraId="154DB4D6" w14:textId="43B8F013" w:rsidR="002B15D0" w:rsidRDefault="002B15D0" w:rsidP="002B15D0">
      <w:pPr>
        <w:spacing w:after="0"/>
        <w:ind w:firstLine="0"/>
      </w:pPr>
      <w:r w:rsidRPr="002B15D0">
        <w:t>Z tohto dôvodu je legisvakačná lehota skrátená na minimum.</w:t>
      </w:r>
    </w:p>
    <w:p w14:paraId="28DEE225" w14:textId="45FB3BE6" w:rsidR="00297BB2" w:rsidRDefault="00297BB2" w:rsidP="002B15D0">
      <w:pPr>
        <w:spacing w:after="0"/>
        <w:ind w:firstLine="0"/>
      </w:pPr>
    </w:p>
    <w:p w14:paraId="0E254D59" w14:textId="78031340" w:rsidR="00297BB2" w:rsidRPr="00D86762" w:rsidRDefault="00297BB2" w:rsidP="00297BB2">
      <w:pPr>
        <w:spacing w:after="1680" w:line="240" w:lineRule="auto"/>
        <w:ind w:firstLine="0"/>
        <w:rPr>
          <w:lang w:eastAsia="sk-SK"/>
        </w:rPr>
      </w:pPr>
      <w:r w:rsidRPr="00D86762">
        <w:rPr>
          <w:lang w:eastAsia="sk-SK"/>
        </w:rPr>
        <w:t xml:space="preserve">Bratislava </w:t>
      </w:r>
      <w:r>
        <w:rPr>
          <w:lang w:eastAsia="sk-SK"/>
        </w:rPr>
        <w:t>20</w:t>
      </w:r>
      <w:r w:rsidRPr="00D86762">
        <w:rPr>
          <w:lang w:eastAsia="sk-SK"/>
        </w:rPr>
        <w:t xml:space="preserve">. </w:t>
      </w:r>
      <w:r>
        <w:rPr>
          <w:lang w:eastAsia="sk-SK"/>
        </w:rPr>
        <w:t>januára 2021</w:t>
      </w:r>
    </w:p>
    <w:p w14:paraId="48150F78" w14:textId="77777777" w:rsidR="00297BB2" w:rsidRPr="00D86762" w:rsidRDefault="00297BB2" w:rsidP="00297BB2">
      <w:pPr>
        <w:spacing w:after="0" w:line="259" w:lineRule="auto"/>
        <w:ind w:firstLine="0"/>
        <w:jc w:val="center"/>
        <w:rPr>
          <w:rFonts w:eastAsia="Calibri"/>
          <w:b/>
          <w:bCs/>
          <w:szCs w:val="22"/>
        </w:rPr>
      </w:pPr>
      <w:r w:rsidRPr="00D86762">
        <w:rPr>
          <w:rFonts w:eastAsia="Calibri"/>
          <w:b/>
          <w:bCs/>
          <w:szCs w:val="22"/>
        </w:rPr>
        <w:t>Igor Matovič</w:t>
      </w:r>
      <w:r>
        <w:rPr>
          <w:rFonts w:eastAsia="Calibri"/>
          <w:b/>
          <w:bCs/>
          <w:szCs w:val="22"/>
        </w:rPr>
        <w:t xml:space="preserve"> v. r.</w:t>
      </w:r>
    </w:p>
    <w:p w14:paraId="6AFF5B03" w14:textId="77777777" w:rsidR="00297BB2" w:rsidRPr="00D86762" w:rsidRDefault="00297BB2" w:rsidP="00297BB2">
      <w:pPr>
        <w:spacing w:after="0" w:line="259" w:lineRule="auto"/>
        <w:ind w:firstLine="0"/>
        <w:jc w:val="center"/>
        <w:rPr>
          <w:rFonts w:eastAsia="Calibri"/>
          <w:szCs w:val="22"/>
        </w:rPr>
      </w:pPr>
      <w:r w:rsidRPr="00D86762">
        <w:rPr>
          <w:rFonts w:eastAsia="Calibri"/>
          <w:szCs w:val="22"/>
        </w:rPr>
        <w:t>predseda vlády</w:t>
      </w:r>
    </w:p>
    <w:p w14:paraId="61537BEC" w14:textId="77777777" w:rsidR="00297BB2" w:rsidRPr="00D86762" w:rsidRDefault="00297BB2" w:rsidP="00297BB2">
      <w:pPr>
        <w:spacing w:after="1680" w:line="259" w:lineRule="auto"/>
        <w:ind w:firstLine="0"/>
        <w:jc w:val="center"/>
        <w:rPr>
          <w:rFonts w:eastAsia="Calibri"/>
          <w:szCs w:val="22"/>
        </w:rPr>
      </w:pPr>
      <w:r w:rsidRPr="00D86762">
        <w:rPr>
          <w:rFonts w:eastAsia="Calibri"/>
          <w:szCs w:val="22"/>
        </w:rPr>
        <w:t>Slovenskej republiky</w:t>
      </w:r>
    </w:p>
    <w:p w14:paraId="5AC5F40F" w14:textId="77777777" w:rsidR="00297BB2" w:rsidRPr="00D86762" w:rsidRDefault="00297BB2" w:rsidP="00297BB2">
      <w:pPr>
        <w:spacing w:after="0" w:line="259" w:lineRule="auto"/>
        <w:ind w:firstLine="0"/>
        <w:jc w:val="center"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>Alexander Ballek v. r.</w:t>
      </w:r>
    </w:p>
    <w:p w14:paraId="7730CFCB" w14:textId="77777777" w:rsidR="00297BB2" w:rsidRPr="00D86762" w:rsidRDefault="00297BB2" w:rsidP="00297BB2">
      <w:pPr>
        <w:spacing w:after="0" w:line="259" w:lineRule="auto"/>
        <w:ind w:firstLine="0"/>
        <w:jc w:val="center"/>
        <w:rPr>
          <w:rFonts w:eastAsia="Calibri"/>
          <w:szCs w:val="22"/>
        </w:rPr>
      </w:pPr>
      <w:r w:rsidRPr="00D86762">
        <w:rPr>
          <w:rFonts w:eastAsia="Calibri"/>
          <w:szCs w:val="22"/>
        </w:rPr>
        <w:t xml:space="preserve">predseda </w:t>
      </w:r>
      <w:r>
        <w:rPr>
          <w:rFonts w:eastAsia="Calibri"/>
          <w:szCs w:val="22"/>
        </w:rPr>
        <w:t>Štatistického úradu</w:t>
      </w:r>
    </w:p>
    <w:p w14:paraId="26A0919D" w14:textId="77777777" w:rsidR="00297BB2" w:rsidRPr="008676A8" w:rsidRDefault="00297BB2" w:rsidP="00297BB2">
      <w:pPr>
        <w:spacing w:after="0" w:line="259" w:lineRule="auto"/>
        <w:ind w:firstLine="0"/>
        <w:jc w:val="center"/>
      </w:pPr>
      <w:r w:rsidRPr="00D86762">
        <w:rPr>
          <w:rFonts w:eastAsia="Calibri"/>
          <w:szCs w:val="22"/>
        </w:rPr>
        <w:t>Slovenskej republiky</w:t>
      </w:r>
    </w:p>
    <w:p w14:paraId="5235C3B1" w14:textId="77777777" w:rsidR="00297BB2" w:rsidRPr="002B15D0" w:rsidRDefault="00297BB2" w:rsidP="002B15D0">
      <w:pPr>
        <w:spacing w:after="0"/>
        <w:ind w:firstLine="0"/>
      </w:pPr>
    </w:p>
    <w:sectPr w:rsidR="00297BB2" w:rsidRPr="002B15D0" w:rsidSect="002B15D0">
      <w:pgSz w:w="11900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BAB83" w14:textId="77777777" w:rsidR="00CE2DC1" w:rsidRDefault="00CE2DC1" w:rsidP="00670FEB">
      <w:r>
        <w:separator/>
      </w:r>
    </w:p>
  </w:endnote>
  <w:endnote w:type="continuationSeparator" w:id="0">
    <w:p w14:paraId="7180CCAD" w14:textId="77777777" w:rsidR="00CE2DC1" w:rsidRDefault="00CE2DC1" w:rsidP="0067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YInterstate Light">
    <w:altName w:val="Times New Roman"/>
    <w:charset w:val="EE"/>
    <w:family w:val="auto"/>
    <w:pitch w:val="variable"/>
    <w:sig w:usb0="00000001" w:usb1="5000206A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-2047791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4E7BDFC" w14:textId="77777777" w:rsidR="001B1E9E" w:rsidRDefault="001B1E9E" w:rsidP="008A25F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9702737" w14:textId="77777777" w:rsidR="001B1E9E" w:rsidRDefault="001B1E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285315342"/>
      <w:docPartObj>
        <w:docPartGallery w:val="Page Numbers (Bottom of Page)"/>
        <w:docPartUnique/>
      </w:docPartObj>
    </w:sdtPr>
    <w:sdtEndPr>
      <w:rPr>
        <w:rStyle w:val="slostrany"/>
        <w:sz w:val="40"/>
      </w:rPr>
    </w:sdtEndPr>
    <w:sdtContent>
      <w:p w14:paraId="4363D517" w14:textId="782B4600" w:rsidR="001B1E9E" w:rsidRPr="00246F0F" w:rsidRDefault="001B1E9E" w:rsidP="008A25F6">
        <w:pPr>
          <w:pStyle w:val="Pta"/>
          <w:framePr w:wrap="none" w:vAnchor="text" w:hAnchor="margin" w:xAlign="center" w:y="1"/>
          <w:rPr>
            <w:rStyle w:val="slostrany"/>
            <w:sz w:val="40"/>
          </w:rPr>
        </w:pPr>
        <w:r w:rsidRPr="00246F0F">
          <w:rPr>
            <w:rStyle w:val="slostrany"/>
            <w:szCs w:val="16"/>
          </w:rPr>
          <w:fldChar w:fldCharType="begin"/>
        </w:r>
        <w:r w:rsidRPr="00246F0F">
          <w:rPr>
            <w:rStyle w:val="slostrany"/>
            <w:szCs w:val="16"/>
          </w:rPr>
          <w:instrText xml:space="preserve"> PAGE </w:instrText>
        </w:r>
        <w:r w:rsidRPr="00246F0F">
          <w:rPr>
            <w:rStyle w:val="slostrany"/>
            <w:szCs w:val="16"/>
          </w:rPr>
          <w:fldChar w:fldCharType="separate"/>
        </w:r>
        <w:r w:rsidR="00CC2D92">
          <w:rPr>
            <w:rStyle w:val="slostrany"/>
            <w:noProof/>
            <w:szCs w:val="16"/>
          </w:rPr>
          <w:t>20</w:t>
        </w:r>
        <w:r w:rsidRPr="00246F0F">
          <w:rPr>
            <w:rStyle w:val="slostrany"/>
            <w:szCs w:val="16"/>
          </w:rPr>
          <w:fldChar w:fldCharType="end"/>
        </w:r>
      </w:p>
    </w:sdtContent>
  </w:sdt>
  <w:p w14:paraId="67F29F2E" w14:textId="77777777" w:rsidR="001B1E9E" w:rsidRPr="00246F0F" w:rsidRDefault="001B1E9E" w:rsidP="00246F0F">
    <w:pPr>
      <w:pStyle w:val="Pta"/>
      <w:ind w:firstLine="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BD422" w14:textId="77777777" w:rsidR="00CE2DC1" w:rsidRDefault="00CE2DC1" w:rsidP="00670FEB">
      <w:r>
        <w:separator/>
      </w:r>
    </w:p>
  </w:footnote>
  <w:footnote w:type="continuationSeparator" w:id="0">
    <w:p w14:paraId="14D81D9B" w14:textId="77777777" w:rsidR="00CE2DC1" w:rsidRDefault="00CE2DC1" w:rsidP="0067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1048"/>
    <w:multiLevelType w:val="hybridMultilevel"/>
    <w:tmpl w:val="B956BA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1B000F">
      <w:start w:val="1"/>
      <w:numFmt w:val="decimal"/>
      <w:lvlText w:val="%3."/>
      <w:lvlJc w:val="lef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5773E6"/>
    <w:multiLevelType w:val="hybridMultilevel"/>
    <w:tmpl w:val="40FC5E9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E413A4"/>
    <w:multiLevelType w:val="hybridMultilevel"/>
    <w:tmpl w:val="64044342"/>
    <w:lvl w:ilvl="0" w:tplc="A20AD3C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B25DB"/>
    <w:multiLevelType w:val="hybridMultilevel"/>
    <w:tmpl w:val="E7C0446A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FB3E24"/>
    <w:multiLevelType w:val="hybridMultilevel"/>
    <w:tmpl w:val="71EAA534"/>
    <w:lvl w:ilvl="0" w:tplc="7FE29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DE40A2A">
      <w:start w:val="67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9C6A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661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F40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8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E44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C7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E6C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9F56FF"/>
    <w:multiLevelType w:val="hybridMultilevel"/>
    <w:tmpl w:val="B5F29038"/>
    <w:lvl w:ilvl="0" w:tplc="041B000F">
      <w:start w:val="1"/>
      <w:numFmt w:val="decimal"/>
      <w:lvlText w:val="%1."/>
      <w:lvlJc w:val="left"/>
      <w:pPr>
        <w:ind w:left="718" w:hanging="360"/>
      </w:pPr>
    </w:lvl>
    <w:lvl w:ilvl="1" w:tplc="3AFAF640">
      <w:numFmt w:val="bullet"/>
      <w:lvlText w:val="−"/>
      <w:lvlJc w:val="left"/>
      <w:pPr>
        <w:ind w:left="1438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58" w:hanging="180"/>
      </w:pPr>
    </w:lvl>
    <w:lvl w:ilvl="3" w:tplc="041B000F" w:tentative="1">
      <w:start w:val="1"/>
      <w:numFmt w:val="decimal"/>
      <w:lvlText w:val="%4."/>
      <w:lvlJc w:val="left"/>
      <w:pPr>
        <w:ind w:left="2878" w:hanging="360"/>
      </w:pPr>
    </w:lvl>
    <w:lvl w:ilvl="4" w:tplc="041B0019" w:tentative="1">
      <w:start w:val="1"/>
      <w:numFmt w:val="lowerLetter"/>
      <w:lvlText w:val="%5."/>
      <w:lvlJc w:val="left"/>
      <w:pPr>
        <w:ind w:left="3598" w:hanging="360"/>
      </w:pPr>
    </w:lvl>
    <w:lvl w:ilvl="5" w:tplc="041B001B" w:tentative="1">
      <w:start w:val="1"/>
      <w:numFmt w:val="lowerRoman"/>
      <w:lvlText w:val="%6."/>
      <w:lvlJc w:val="right"/>
      <w:pPr>
        <w:ind w:left="4318" w:hanging="180"/>
      </w:pPr>
    </w:lvl>
    <w:lvl w:ilvl="6" w:tplc="041B000F" w:tentative="1">
      <w:start w:val="1"/>
      <w:numFmt w:val="decimal"/>
      <w:lvlText w:val="%7."/>
      <w:lvlJc w:val="left"/>
      <w:pPr>
        <w:ind w:left="5038" w:hanging="360"/>
      </w:pPr>
    </w:lvl>
    <w:lvl w:ilvl="7" w:tplc="041B0019" w:tentative="1">
      <w:start w:val="1"/>
      <w:numFmt w:val="lowerLetter"/>
      <w:lvlText w:val="%8."/>
      <w:lvlJc w:val="left"/>
      <w:pPr>
        <w:ind w:left="5758" w:hanging="360"/>
      </w:pPr>
    </w:lvl>
    <w:lvl w:ilvl="8" w:tplc="041B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1A0A340D"/>
    <w:multiLevelType w:val="hybridMultilevel"/>
    <w:tmpl w:val="37286B2E"/>
    <w:lvl w:ilvl="0" w:tplc="041B000F">
      <w:start w:val="1"/>
      <w:numFmt w:val="decimal"/>
      <w:lvlText w:val="%1."/>
      <w:lvlJc w:val="left"/>
      <w:pPr>
        <w:ind w:left="1370" w:hanging="360"/>
      </w:pPr>
    </w:lvl>
    <w:lvl w:ilvl="1" w:tplc="041B0019" w:tentative="1">
      <w:start w:val="1"/>
      <w:numFmt w:val="lowerLetter"/>
      <w:lvlText w:val="%2."/>
      <w:lvlJc w:val="left"/>
      <w:pPr>
        <w:ind w:left="2090" w:hanging="360"/>
      </w:pPr>
    </w:lvl>
    <w:lvl w:ilvl="2" w:tplc="041B001B" w:tentative="1">
      <w:start w:val="1"/>
      <w:numFmt w:val="lowerRoman"/>
      <w:lvlText w:val="%3."/>
      <w:lvlJc w:val="right"/>
      <w:pPr>
        <w:ind w:left="2810" w:hanging="180"/>
      </w:pPr>
    </w:lvl>
    <w:lvl w:ilvl="3" w:tplc="041B000F" w:tentative="1">
      <w:start w:val="1"/>
      <w:numFmt w:val="decimal"/>
      <w:lvlText w:val="%4."/>
      <w:lvlJc w:val="left"/>
      <w:pPr>
        <w:ind w:left="3530" w:hanging="360"/>
      </w:pPr>
    </w:lvl>
    <w:lvl w:ilvl="4" w:tplc="041B0019" w:tentative="1">
      <w:start w:val="1"/>
      <w:numFmt w:val="lowerLetter"/>
      <w:lvlText w:val="%5."/>
      <w:lvlJc w:val="left"/>
      <w:pPr>
        <w:ind w:left="4250" w:hanging="360"/>
      </w:pPr>
    </w:lvl>
    <w:lvl w:ilvl="5" w:tplc="041B001B" w:tentative="1">
      <w:start w:val="1"/>
      <w:numFmt w:val="lowerRoman"/>
      <w:lvlText w:val="%6."/>
      <w:lvlJc w:val="right"/>
      <w:pPr>
        <w:ind w:left="4970" w:hanging="180"/>
      </w:pPr>
    </w:lvl>
    <w:lvl w:ilvl="6" w:tplc="041B000F" w:tentative="1">
      <w:start w:val="1"/>
      <w:numFmt w:val="decimal"/>
      <w:lvlText w:val="%7."/>
      <w:lvlJc w:val="left"/>
      <w:pPr>
        <w:ind w:left="5690" w:hanging="360"/>
      </w:pPr>
    </w:lvl>
    <w:lvl w:ilvl="7" w:tplc="041B0019" w:tentative="1">
      <w:start w:val="1"/>
      <w:numFmt w:val="lowerLetter"/>
      <w:lvlText w:val="%8."/>
      <w:lvlJc w:val="left"/>
      <w:pPr>
        <w:ind w:left="6410" w:hanging="360"/>
      </w:pPr>
    </w:lvl>
    <w:lvl w:ilvl="8" w:tplc="041B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7" w15:restartNumberingAfterBreak="0">
    <w:nsid w:val="1B414A08"/>
    <w:multiLevelType w:val="hybridMultilevel"/>
    <w:tmpl w:val="B7DE353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3354C1"/>
    <w:multiLevelType w:val="hybridMultilevel"/>
    <w:tmpl w:val="53066038"/>
    <w:lvl w:ilvl="0" w:tplc="5E320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8C9558">
      <w:numFmt w:val="bullet"/>
      <w:lvlText w:val="-"/>
      <w:lvlJc w:val="left"/>
      <w:pPr>
        <w:ind w:left="1440" w:hanging="360"/>
      </w:pPr>
      <w:rPr>
        <w:rFonts w:ascii="Times" w:eastAsia="Times New Roman" w:hAnsi="Times" w:cs="Time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F61A2"/>
    <w:multiLevelType w:val="hybridMultilevel"/>
    <w:tmpl w:val="B762A4FC"/>
    <w:lvl w:ilvl="0" w:tplc="041B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31302B9F"/>
    <w:multiLevelType w:val="hybridMultilevel"/>
    <w:tmpl w:val="453A437C"/>
    <w:lvl w:ilvl="0" w:tplc="48040DE4">
      <w:numFmt w:val="bullet"/>
      <w:lvlText w:val="•"/>
      <w:lvlJc w:val="left"/>
      <w:pPr>
        <w:ind w:left="1206" w:hanging="139"/>
      </w:pPr>
      <w:rPr>
        <w:rFonts w:ascii="Arial" w:eastAsia="Arial" w:hAnsi="Arial" w:cs="Arial" w:hint="default"/>
        <w:w w:val="99"/>
        <w:sz w:val="22"/>
        <w:szCs w:val="22"/>
      </w:rPr>
    </w:lvl>
    <w:lvl w:ilvl="1" w:tplc="3D4C14EC">
      <w:numFmt w:val="bullet"/>
      <w:lvlText w:val="•"/>
      <w:lvlJc w:val="left"/>
      <w:pPr>
        <w:ind w:left="2048" w:hanging="139"/>
      </w:pPr>
      <w:rPr>
        <w:rFonts w:hint="default"/>
      </w:rPr>
    </w:lvl>
    <w:lvl w:ilvl="2" w:tplc="E5D8274E">
      <w:numFmt w:val="bullet"/>
      <w:lvlText w:val="•"/>
      <w:lvlJc w:val="left"/>
      <w:pPr>
        <w:ind w:left="2896" w:hanging="139"/>
      </w:pPr>
      <w:rPr>
        <w:rFonts w:hint="default"/>
      </w:rPr>
    </w:lvl>
    <w:lvl w:ilvl="3" w:tplc="34506406">
      <w:numFmt w:val="bullet"/>
      <w:lvlText w:val="•"/>
      <w:lvlJc w:val="left"/>
      <w:pPr>
        <w:ind w:left="3745" w:hanging="139"/>
      </w:pPr>
      <w:rPr>
        <w:rFonts w:hint="default"/>
      </w:rPr>
    </w:lvl>
    <w:lvl w:ilvl="4" w:tplc="99C24DCC">
      <w:numFmt w:val="bullet"/>
      <w:lvlText w:val="•"/>
      <w:lvlJc w:val="left"/>
      <w:pPr>
        <w:ind w:left="4593" w:hanging="139"/>
      </w:pPr>
      <w:rPr>
        <w:rFonts w:hint="default"/>
      </w:rPr>
    </w:lvl>
    <w:lvl w:ilvl="5" w:tplc="102CC594">
      <w:numFmt w:val="bullet"/>
      <w:lvlText w:val="•"/>
      <w:lvlJc w:val="left"/>
      <w:pPr>
        <w:ind w:left="5442" w:hanging="139"/>
      </w:pPr>
      <w:rPr>
        <w:rFonts w:hint="default"/>
      </w:rPr>
    </w:lvl>
    <w:lvl w:ilvl="6" w:tplc="48787C48">
      <w:numFmt w:val="bullet"/>
      <w:lvlText w:val="•"/>
      <w:lvlJc w:val="left"/>
      <w:pPr>
        <w:ind w:left="6290" w:hanging="139"/>
      </w:pPr>
      <w:rPr>
        <w:rFonts w:hint="default"/>
      </w:rPr>
    </w:lvl>
    <w:lvl w:ilvl="7" w:tplc="42A4FFC2">
      <w:numFmt w:val="bullet"/>
      <w:lvlText w:val="•"/>
      <w:lvlJc w:val="left"/>
      <w:pPr>
        <w:ind w:left="7139" w:hanging="139"/>
      </w:pPr>
      <w:rPr>
        <w:rFonts w:hint="default"/>
      </w:rPr>
    </w:lvl>
    <w:lvl w:ilvl="8" w:tplc="40929DDC">
      <w:numFmt w:val="bullet"/>
      <w:lvlText w:val="•"/>
      <w:lvlJc w:val="left"/>
      <w:pPr>
        <w:ind w:left="7987" w:hanging="139"/>
      </w:pPr>
      <w:rPr>
        <w:rFonts w:hint="default"/>
      </w:rPr>
    </w:lvl>
  </w:abstractNum>
  <w:abstractNum w:abstractNumId="11" w15:restartNumberingAfterBreak="0">
    <w:nsid w:val="32164619"/>
    <w:multiLevelType w:val="hybridMultilevel"/>
    <w:tmpl w:val="D850200E"/>
    <w:lvl w:ilvl="0" w:tplc="A20AD3C6">
      <w:start w:val="1"/>
      <w:numFmt w:val="bullet"/>
      <w:lvlText w:val="−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3AFAF640">
      <w:numFmt w:val="bullet"/>
      <w:lvlText w:val="−"/>
      <w:lvlJc w:val="left"/>
      <w:pPr>
        <w:ind w:left="1437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56E0035"/>
    <w:multiLevelType w:val="hybridMultilevel"/>
    <w:tmpl w:val="32904D92"/>
    <w:lvl w:ilvl="0" w:tplc="A20AD3C6">
      <w:start w:val="1"/>
      <w:numFmt w:val="bullet"/>
      <w:lvlText w:val="−"/>
      <w:lvlJc w:val="left"/>
      <w:pPr>
        <w:ind w:left="137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3" w15:restartNumberingAfterBreak="0">
    <w:nsid w:val="38CC3B46"/>
    <w:multiLevelType w:val="hybridMultilevel"/>
    <w:tmpl w:val="12E6624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DEB2691"/>
    <w:multiLevelType w:val="hybridMultilevel"/>
    <w:tmpl w:val="99FE32A8"/>
    <w:lvl w:ilvl="0" w:tplc="A20AD3C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3C10D4"/>
    <w:multiLevelType w:val="hybridMultilevel"/>
    <w:tmpl w:val="74FEB314"/>
    <w:lvl w:ilvl="0" w:tplc="041B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475B2567"/>
    <w:multiLevelType w:val="multilevel"/>
    <w:tmpl w:val="4C8CF760"/>
    <w:lvl w:ilvl="0">
      <w:start w:val="1"/>
      <w:numFmt w:val="decimal"/>
      <w:lvlText w:val="%1"/>
      <w:lvlJc w:val="left"/>
      <w:pPr>
        <w:ind w:left="1068" w:hanging="964"/>
      </w:pPr>
      <w:rPr>
        <w:rFonts w:ascii="Arial" w:eastAsia="Arial" w:hAnsi="Arial" w:cs="Arial" w:hint="default"/>
        <w:b/>
        <w:bCs/>
        <w:color w:val="00338E"/>
        <w:w w:val="100"/>
        <w:sz w:val="32"/>
        <w:szCs w:val="32"/>
      </w:rPr>
    </w:lvl>
    <w:lvl w:ilvl="1">
      <w:start w:val="1"/>
      <w:numFmt w:val="decimal"/>
      <w:lvlText w:val="%1.%2"/>
      <w:lvlJc w:val="left"/>
      <w:pPr>
        <w:ind w:left="1068" w:hanging="964"/>
      </w:pPr>
      <w:rPr>
        <w:rFonts w:ascii="Arial" w:eastAsia="Arial" w:hAnsi="Arial" w:cs="Arial" w:hint="default"/>
        <w:b/>
        <w:bCs/>
        <w:color w:val="00338E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067" w:hanging="963"/>
      </w:pPr>
      <w:rPr>
        <w:rFonts w:ascii="Arial" w:eastAsia="Arial" w:hAnsi="Arial" w:cs="Arial" w:hint="default"/>
        <w:b/>
        <w:bCs/>
        <w:color w:val="00338E"/>
        <w:spacing w:val="-1"/>
        <w:w w:val="99"/>
        <w:sz w:val="24"/>
        <w:szCs w:val="24"/>
      </w:rPr>
    </w:lvl>
    <w:lvl w:ilvl="3">
      <w:start w:val="1"/>
      <w:numFmt w:val="bullet"/>
      <w:lvlText w:val="−"/>
      <w:lvlJc w:val="left"/>
      <w:pPr>
        <w:ind w:left="1788" w:hanging="361"/>
      </w:pPr>
      <w:rPr>
        <w:rFonts w:ascii="Times New Roman" w:hAnsi="Times New Roman" w:cs="Times New Roman" w:hint="default"/>
        <w:w w:val="99"/>
        <w:sz w:val="22"/>
        <w:szCs w:val="22"/>
      </w:rPr>
    </w:lvl>
    <w:lvl w:ilvl="4">
      <w:numFmt w:val="bullet"/>
      <w:lvlText w:val="o"/>
      <w:lvlJc w:val="left"/>
      <w:pPr>
        <w:ind w:left="2508" w:hanging="422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5">
      <w:numFmt w:val="bullet"/>
      <w:lvlText w:val="•"/>
      <w:lvlJc w:val="left"/>
      <w:pPr>
        <w:ind w:left="4552" w:hanging="422"/>
      </w:pPr>
      <w:rPr>
        <w:rFonts w:hint="default"/>
      </w:rPr>
    </w:lvl>
    <w:lvl w:ilvl="6">
      <w:numFmt w:val="bullet"/>
      <w:lvlText w:val="•"/>
      <w:lvlJc w:val="left"/>
      <w:pPr>
        <w:ind w:left="5579" w:hanging="422"/>
      </w:pPr>
      <w:rPr>
        <w:rFonts w:hint="default"/>
      </w:rPr>
    </w:lvl>
    <w:lvl w:ilvl="7">
      <w:numFmt w:val="bullet"/>
      <w:lvlText w:val="•"/>
      <w:lvlJc w:val="left"/>
      <w:pPr>
        <w:ind w:left="6605" w:hanging="422"/>
      </w:pPr>
      <w:rPr>
        <w:rFonts w:hint="default"/>
      </w:rPr>
    </w:lvl>
    <w:lvl w:ilvl="8">
      <w:numFmt w:val="bullet"/>
      <w:lvlText w:val="•"/>
      <w:lvlJc w:val="left"/>
      <w:pPr>
        <w:ind w:left="7631" w:hanging="422"/>
      </w:pPr>
      <w:rPr>
        <w:rFonts w:hint="default"/>
      </w:rPr>
    </w:lvl>
  </w:abstractNum>
  <w:abstractNum w:abstractNumId="17" w15:restartNumberingAfterBreak="0">
    <w:nsid w:val="485C24D9"/>
    <w:multiLevelType w:val="multilevel"/>
    <w:tmpl w:val="991EAE52"/>
    <w:lvl w:ilvl="0">
      <w:start w:val="1"/>
      <w:numFmt w:val="decimal"/>
      <w:lvlText w:val="%1"/>
      <w:lvlJc w:val="left"/>
      <w:pPr>
        <w:ind w:left="1068" w:hanging="964"/>
      </w:pPr>
      <w:rPr>
        <w:rFonts w:ascii="Arial" w:eastAsia="Arial" w:hAnsi="Arial" w:cs="Arial" w:hint="default"/>
        <w:b/>
        <w:bCs/>
        <w:color w:val="00338E"/>
        <w:w w:val="100"/>
        <w:sz w:val="32"/>
        <w:szCs w:val="32"/>
      </w:rPr>
    </w:lvl>
    <w:lvl w:ilvl="1">
      <w:start w:val="1"/>
      <w:numFmt w:val="decimal"/>
      <w:lvlText w:val="%1.%2"/>
      <w:lvlJc w:val="left"/>
      <w:pPr>
        <w:ind w:left="1068" w:hanging="964"/>
      </w:pPr>
      <w:rPr>
        <w:rFonts w:ascii="Arial" w:eastAsia="Arial" w:hAnsi="Arial" w:cs="Arial" w:hint="default"/>
        <w:b/>
        <w:bCs/>
        <w:color w:val="00338E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067" w:hanging="963"/>
      </w:pPr>
      <w:rPr>
        <w:rFonts w:ascii="Arial" w:eastAsia="Arial" w:hAnsi="Arial" w:cs="Arial" w:hint="default"/>
        <w:b/>
        <w:bCs/>
        <w:color w:val="00338E"/>
        <w:spacing w:val="-1"/>
        <w:w w:val="99"/>
        <w:sz w:val="24"/>
        <w:szCs w:val="24"/>
      </w:rPr>
    </w:lvl>
    <w:lvl w:ilvl="3">
      <w:numFmt w:val="bullet"/>
      <w:lvlText w:val=""/>
      <w:lvlJc w:val="left"/>
      <w:pPr>
        <w:ind w:left="1788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4">
      <w:numFmt w:val="bullet"/>
      <w:lvlText w:val="o"/>
      <w:lvlJc w:val="left"/>
      <w:pPr>
        <w:ind w:left="2508" w:hanging="422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5">
      <w:numFmt w:val="bullet"/>
      <w:lvlText w:val="•"/>
      <w:lvlJc w:val="left"/>
      <w:pPr>
        <w:ind w:left="4552" w:hanging="422"/>
      </w:pPr>
      <w:rPr>
        <w:rFonts w:hint="default"/>
      </w:rPr>
    </w:lvl>
    <w:lvl w:ilvl="6">
      <w:numFmt w:val="bullet"/>
      <w:lvlText w:val="•"/>
      <w:lvlJc w:val="left"/>
      <w:pPr>
        <w:ind w:left="5579" w:hanging="422"/>
      </w:pPr>
      <w:rPr>
        <w:rFonts w:hint="default"/>
      </w:rPr>
    </w:lvl>
    <w:lvl w:ilvl="7">
      <w:numFmt w:val="bullet"/>
      <w:lvlText w:val="•"/>
      <w:lvlJc w:val="left"/>
      <w:pPr>
        <w:ind w:left="6605" w:hanging="422"/>
      </w:pPr>
      <w:rPr>
        <w:rFonts w:hint="default"/>
      </w:rPr>
    </w:lvl>
    <w:lvl w:ilvl="8">
      <w:numFmt w:val="bullet"/>
      <w:lvlText w:val="•"/>
      <w:lvlJc w:val="left"/>
      <w:pPr>
        <w:ind w:left="7631" w:hanging="422"/>
      </w:pPr>
      <w:rPr>
        <w:rFonts w:hint="default"/>
      </w:rPr>
    </w:lvl>
  </w:abstractNum>
  <w:abstractNum w:abstractNumId="18" w15:restartNumberingAfterBreak="0">
    <w:nsid w:val="4AB07E12"/>
    <w:multiLevelType w:val="hybridMultilevel"/>
    <w:tmpl w:val="8A8210A0"/>
    <w:lvl w:ilvl="0" w:tplc="A20AD3C6">
      <w:start w:val="1"/>
      <w:numFmt w:val="bullet"/>
      <w:lvlText w:val="−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4DFB4B1C"/>
    <w:multiLevelType w:val="multilevel"/>
    <w:tmpl w:val="910E3828"/>
    <w:lvl w:ilvl="0">
      <w:start w:val="1"/>
      <w:numFmt w:val="decimal"/>
      <w:lvlText w:val="%1"/>
      <w:lvlJc w:val="left"/>
      <w:pPr>
        <w:ind w:left="1068" w:hanging="964"/>
      </w:pPr>
      <w:rPr>
        <w:rFonts w:ascii="Arial" w:eastAsia="Arial" w:hAnsi="Arial" w:cs="Arial" w:hint="default"/>
        <w:b/>
        <w:bCs/>
        <w:color w:val="00338E"/>
        <w:w w:val="100"/>
        <w:sz w:val="32"/>
        <w:szCs w:val="32"/>
      </w:rPr>
    </w:lvl>
    <w:lvl w:ilvl="1">
      <w:start w:val="1"/>
      <w:numFmt w:val="decimal"/>
      <w:lvlText w:val="%1.%2"/>
      <w:lvlJc w:val="left"/>
      <w:pPr>
        <w:ind w:left="1068" w:hanging="964"/>
      </w:pPr>
      <w:rPr>
        <w:rFonts w:ascii="Arial" w:eastAsia="Arial" w:hAnsi="Arial" w:cs="Arial" w:hint="default"/>
        <w:b/>
        <w:bCs/>
        <w:color w:val="00338E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067" w:hanging="963"/>
      </w:pPr>
      <w:rPr>
        <w:rFonts w:ascii="Arial" w:eastAsia="Arial" w:hAnsi="Arial" w:cs="Arial" w:hint="default"/>
        <w:b/>
        <w:bCs/>
        <w:color w:val="00338E"/>
        <w:spacing w:val="-1"/>
        <w:w w:val="99"/>
        <w:sz w:val="24"/>
        <w:szCs w:val="24"/>
      </w:rPr>
    </w:lvl>
    <w:lvl w:ilvl="3">
      <w:start w:val="1"/>
      <w:numFmt w:val="bullet"/>
      <w:lvlText w:val="−"/>
      <w:lvlJc w:val="left"/>
      <w:pPr>
        <w:ind w:left="1788" w:hanging="361"/>
      </w:pPr>
      <w:rPr>
        <w:rFonts w:ascii="Times New Roman" w:hAnsi="Times New Roman" w:cs="Times New Roman" w:hint="default"/>
        <w:w w:val="99"/>
        <w:sz w:val="22"/>
        <w:szCs w:val="22"/>
      </w:rPr>
    </w:lvl>
    <w:lvl w:ilvl="4">
      <w:numFmt w:val="bullet"/>
      <w:lvlText w:val="o"/>
      <w:lvlJc w:val="left"/>
      <w:pPr>
        <w:ind w:left="2508" w:hanging="422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5">
      <w:numFmt w:val="bullet"/>
      <w:lvlText w:val="•"/>
      <w:lvlJc w:val="left"/>
      <w:pPr>
        <w:ind w:left="4552" w:hanging="422"/>
      </w:pPr>
      <w:rPr>
        <w:rFonts w:hint="default"/>
      </w:rPr>
    </w:lvl>
    <w:lvl w:ilvl="6">
      <w:numFmt w:val="bullet"/>
      <w:lvlText w:val="•"/>
      <w:lvlJc w:val="left"/>
      <w:pPr>
        <w:ind w:left="5579" w:hanging="422"/>
      </w:pPr>
      <w:rPr>
        <w:rFonts w:hint="default"/>
      </w:rPr>
    </w:lvl>
    <w:lvl w:ilvl="7">
      <w:numFmt w:val="bullet"/>
      <w:lvlText w:val="•"/>
      <w:lvlJc w:val="left"/>
      <w:pPr>
        <w:ind w:left="6605" w:hanging="422"/>
      </w:pPr>
      <w:rPr>
        <w:rFonts w:hint="default"/>
      </w:rPr>
    </w:lvl>
    <w:lvl w:ilvl="8">
      <w:numFmt w:val="bullet"/>
      <w:lvlText w:val="•"/>
      <w:lvlJc w:val="left"/>
      <w:pPr>
        <w:ind w:left="7631" w:hanging="422"/>
      </w:pPr>
      <w:rPr>
        <w:rFonts w:hint="default"/>
      </w:rPr>
    </w:lvl>
  </w:abstractNum>
  <w:abstractNum w:abstractNumId="20" w15:restartNumberingAfterBreak="0">
    <w:nsid w:val="5037084C"/>
    <w:multiLevelType w:val="hybridMultilevel"/>
    <w:tmpl w:val="F8E64D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8761EB"/>
    <w:multiLevelType w:val="hybridMultilevel"/>
    <w:tmpl w:val="6E82FBD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9A13547"/>
    <w:multiLevelType w:val="hybridMultilevel"/>
    <w:tmpl w:val="4AA27730"/>
    <w:lvl w:ilvl="0" w:tplc="A20AD3C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B16A36"/>
    <w:multiLevelType w:val="hybridMultilevel"/>
    <w:tmpl w:val="F6CA25F4"/>
    <w:lvl w:ilvl="0" w:tplc="041B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8E503C1A">
      <w:numFmt w:val="bullet"/>
      <w:lvlText w:val="•"/>
      <w:lvlJc w:val="left"/>
      <w:pPr>
        <w:ind w:left="143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63CB3D72"/>
    <w:multiLevelType w:val="hybridMultilevel"/>
    <w:tmpl w:val="90709D6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2F4843"/>
    <w:multiLevelType w:val="hybridMultilevel"/>
    <w:tmpl w:val="F766B550"/>
    <w:lvl w:ilvl="0" w:tplc="041B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681072D6"/>
    <w:multiLevelType w:val="hybridMultilevel"/>
    <w:tmpl w:val="8BD866BE"/>
    <w:lvl w:ilvl="0" w:tplc="041B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68293564"/>
    <w:multiLevelType w:val="hybridMultilevel"/>
    <w:tmpl w:val="0BDE9CF0"/>
    <w:lvl w:ilvl="0" w:tplc="A20AD3C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572856"/>
    <w:multiLevelType w:val="hybridMultilevel"/>
    <w:tmpl w:val="7040BA6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297566"/>
    <w:multiLevelType w:val="hybridMultilevel"/>
    <w:tmpl w:val="12E6624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9E04AD9"/>
    <w:multiLevelType w:val="hybridMultilevel"/>
    <w:tmpl w:val="90709D6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FC1C13"/>
    <w:multiLevelType w:val="hybridMultilevel"/>
    <w:tmpl w:val="9D50A72A"/>
    <w:lvl w:ilvl="0" w:tplc="A20AD3C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2121B3"/>
    <w:multiLevelType w:val="multilevel"/>
    <w:tmpl w:val="1D106A90"/>
    <w:lvl w:ilvl="0">
      <w:start w:val="1"/>
      <w:numFmt w:val="decimal"/>
      <w:lvlText w:val="%1"/>
      <w:lvlJc w:val="left"/>
      <w:pPr>
        <w:ind w:left="1068" w:hanging="964"/>
      </w:pPr>
      <w:rPr>
        <w:rFonts w:ascii="Arial" w:eastAsia="Arial" w:hAnsi="Arial" w:cs="Arial" w:hint="default"/>
        <w:b/>
        <w:bCs/>
        <w:color w:val="00338E"/>
        <w:w w:val="100"/>
        <w:sz w:val="32"/>
        <w:szCs w:val="32"/>
      </w:rPr>
    </w:lvl>
    <w:lvl w:ilvl="1">
      <w:start w:val="1"/>
      <w:numFmt w:val="decimal"/>
      <w:lvlText w:val="%1.%2"/>
      <w:lvlJc w:val="left"/>
      <w:pPr>
        <w:ind w:left="1068" w:hanging="964"/>
      </w:pPr>
      <w:rPr>
        <w:rFonts w:ascii="Arial" w:eastAsia="Arial" w:hAnsi="Arial" w:cs="Arial" w:hint="default"/>
        <w:b/>
        <w:bCs/>
        <w:color w:val="00338E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067" w:hanging="963"/>
      </w:pPr>
      <w:rPr>
        <w:rFonts w:ascii="Arial" w:eastAsia="Arial" w:hAnsi="Arial" w:cs="Arial" w:hint="default"/>
        <w:b/>
        <w:bCs/>
        <w:color w:val="00338E"/>
        <w:spacing w:val="-1"/>
        <w:w w:val="99"/>
        <w:sz w:val="24"/>
        <w:szCs w:val="24"/>
      </w:rPr>
    </w:lvl>
    <w:lvl w:ilvl="3">
      <w:start w:val="1"/>
      <w:numFmt w:val="bullet"/>
      <w:lvlText w:val="o"/>
      <w:lvlJc w:val="left"/>
      <w:pPr>
        <w:ind w:left="1788" w:hanging="361"/>
      </w:pPr>
      <w:rPr>
        <w:rFonts w:ascii="Courier New" w:hAnsi="Courier New" w:cs="Courier New" w:hint="default"/>
        <w:w w:val="99"/>
        <w:sz w:val="22"/>
        <w:szCs w:val="22"/>
      </w:rPr>
    </w:lvl>
    <w:lvl w:ilvl="4">
      <w:numFmt w:val="bullet"/>
      <w:lvlText w:val="o"/>
      <w:lvlJc w:val="left"/>
      <w:pPr>
        <w:ind w:left="2508" w:hanging="422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5">
      <w:numFmt w:val="bullet"/>
      <w:lvlText w:val="•"/>
      <w:lvlJc w:val="left"/>
      <w:pPr>
        <w:ind w:left="4552" w:hanging="422"/>
      </w:pPr>
      <w:rPr>
        <w:rFonts w:hint="default"/>
      </w:rPr>
    </w:lvl>
    <w:lvl w:ilvl="6">
      <w:numFmt w:val="bullet"/>
      <w:lvlText w:val="•"/>
      <w:lvlJc w:val="left"/>
      <w:pPr>
        <w:ind w:left="5579" w:hanging="422"/>
      </w:pPr>
      <w:rPr>
        <w:rFonts w:hint="default"/>
      </w:rPr>
    </w:lvl>
    <w:lvl w:ilvl="7">
      <w:numFmt w:val="bullet"/>
      <w:lvlText w:val="•"/>
      <w:lvlJc w:val="left"/>
      <w:pPr>
        <w:ind w:left="6605" w:hanging="422"/>
      </w:pPr>
      <w:rPr>
        <w:rFonts w:hint="default"/>
      </w:rPr>
    </w:lvl>
    <w:lvl w:ilvl="8">
      <w:numFmt w:val="bullet"/>
      <w:lvlText w:val="•"/>
      <w:lvlJc w:val="left"/>
      <w:pPr>
        <w:ind w:left="7631" w:hanging="422"/>
      </w:pPr>
      <w:rPr>
        <w:rFonts w:hint="default"/>
      </w:rPr>
    </w:lvl>
  </w:abstractNum>
  <w:abstractNum w:abstractNumId="33" w15:restartNumberingAfterBreak="0">
    <w:nsid w:val="7BC50E8D"/>
    <w:multiLevelType w:val="hybridMultilevel"/>
    <w:tmpl w:val="C78A6DCA"/>
    <w:lvl w:ilvl="0" w:tplc="041B000F">
      <w:start w:val="1"/>
      <w:numFmt w:val="decimal"/>
      <w:lvlText w:val="%1."/>
      <w:lvlJc w:val="left"/>
      <w:pPr>
        <w:ind w:left="1796" w:hanging="360"/>
      </w:p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3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3"/>
  </w:num>
  <w:num w:numId="2">
    <w:abstractNumId w:val="25"/>
  </w:num>
  <w:num w:numId="3">
    <w:abstractNumId w:val="9"/>
  </w:num>
  <w:num w:numId="4">
    <w:abstractNumId w:val="4"/>
  </w:num>
  <w:num w:numId="5">
    <w:abstractNumId w:val="26"/>
  </w:num>
  <w:num w:numId="6">
    <w:abstractNumId w:val="17"/>
  </w:num>
  <w:num w:numId="7">
    <w:abstractNumId w:val="10"/>
  </w:num>
  <w:num w:numId="8">
    <w:abstractNumId w:val="32"/>
  </w:num>
  <w:num w:numId="9">
    <w:abstractNumId w:val="16"/>
  </w:num>
  <w:num w:numId="10">
    <w:abstractNumId w:val="27"/>
  </w:num>
  <w:num w:numId="11">
    <w:abstractNumId w:val="31"/>
  </w:num>
  <w:num w:numId="12">
    <w:abstractNumId w:val="19"/>
  </w:num>
  <w:num w:numId="13">
    <w:abstractNumId w:val="15"/>
  </w:num>
  <w:num w:numId="14">
    <w:abstractNumId w:val="21"/>
  </w:num>
  <w:num w:numId="15">
    <w:abstractNumId w:val="20"/>
  </w:num>
  <w:num w:numId="16">
    <w:abstractNumId w:val="29"/>
  </w:num>
  <w:num w:numId="17">
    <w:abstractNumId w:val="13"/>
  </w:num>
  <w:num w:numId="18">
    <w:abstractNumId w:val="1"/>
  </w:num>
  <w:num w:numId="19">
    <w:abstractNumId w:val="33"/>
  </w:num>
  <w:num w:numId="20">
    <w:abstractNumId w:val="0"/>
  </w:num>
  <w:num w:numId="21">
    <w:abstractNumId w:val="3"/>
  </w:num>
  <w:num w:numId="22">
    <w:abstractNumId w:val="2"/>
  </w:num>
  <w:num w:numId="23">
    <w:abstractNumId w:val="6"/>
  </w:num>
  <w:num w:numId="24">
    <w:abstractNumId w:val="5"/>
  </w:num>
  <w:num w:numId="25">
    <w:abstractNumId w:val="12"/>
  </w:num>
  <w:num w:numId="26">
    <w:abstractNumId w:val="11"/>
  </w:num>
  <w:num w:numId="27">
    <w:abstractNumId w:val="30"/>
  </w:num>
  <w:num w:numId="28">
    <w:abstractNumId w:val="8"/>
  </w:num>
  <w:num w:numId="29">
    <w:abstractNumId w:val="24"/>
  </w:num>
  <w:num w:numId="30">
    <w:abstractNumId w:val="34"/>
  </w:num>
  <w:num w:numId="31">
    <w:abstractNumId w:val="7"/>
  </w:num>
  <w:num w:numId="32">
    <w:abstractNumId w:val="28"/>
  </w:num>
  <w:num w:numId="33">
    <w:abstractNumId w:val="18"/>
  </w:num>
  <w:num w:numId="34">
    <w:abstractNumId w:val="14"/>
  </w:num>
  <w:num w:numId="3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UniqueIdentifier" w:val="Empty"/>
  </w:docVars>
  <w:rsids>
    <w:rsidRoot w:val="00F87816"/>
    <w:rsid w:val="0000116C"/>
    <w:rsid w:val="00001E12"/>
    <w:rsid w:val="00002159"/>
    <w:rsid w:val="00003328"/>
    <w:rsid w:val="00003828"/>
    <w:rsid w:val="00003B72"/>
    <w:rsid w:val="00003FDF"/>
    <w:rsid w:val="00004500"/>
    <w:rsid w:val="000055AB"/>
    <w:rsid w:val="00006670"/>
    <w:rsid w:val="00006CA3"/>
    <w:rsid w:val="000103CC"/>
    <w:rsid w:val="00011245"/>
    <w:rsid w:val="0001130A"/>
    <w:rsid w:val="000119CB"/>
    <w:rsid w:val="0001205C"/>
    <w:rsid w:val="00012BC0"/>
    <w:rsid w:val="00015DD5"/>
    <w:rsid w:val="000205FD"/>
    <w:rsid w:val="00021AFB"/>
    <w:rsid w:val="00022182"/>
    <w:rsid w:val="00022E09"/>
    <w:rsid w:val="00023A03"/>
    <w:rsid w:val="00023D56"/>
    <w:rsid w:val="00023D6C"/>
    <w:rsid w:val="000242C9"/>
    <w:rsid w:val="00024AF5"/>
    <w:rsid w:val="00025134"/>
    <w:rsid w:val="000252D6"/>
    <w:rsid w:val="000268CA"/>
    <w:rsid w:val="000272BC"/>
    <w:rsid w:val="00027DF8"/>
    <w:rsid w:val="000308F8"/>
    <w:rsid w:val="00030EEE"/>
    <w:rsid w:val="000315BD"/>
    <w:rsid w:val="00031BCA"/>
    <w:rsid w:val="00032594"/>
    <w:rsid w:val="00033222"/>
    <w:rsid w:val="00033339"/>
    <w:rsid w:val="00033D27"/>
    <w:rsid w:val="000347C8"/>
    <w:rsid w:val="00034954"/>
    <w:rsid w:val="0004119E"/>
    <w:rsid w:val="00041500"/>
    <w:rsid w:val="00042BB2"/>
    <w:rsid w:val="00043AD4"/>
    <w:rsid w:val="00043E1D"/>
    <w:rsid w:val="00044DE0"/>
    <w:rsid w:val="0004532C"/>
    <w:rsid w:val="00047C3B"/>
    <w:rsid w:val="00050CA7"/>
    <w:rsid w:val="00050CDA"/>
    <w:rsid w:val="00051886"/>
    <w:rsid w:val="000529AA"/>
    <w:rsid w:val="00053346"/>
    <w:rsid w:val="000538EA"/>
    <w:rsid w:val="000545FA"/>
    <w:rsid w:val="00055356"/>
    <w:rsid w:val="0005554B"/>
    <w:rsid w:val="00055963"/>
    <w:rsid w:val="00055C17"/>
    <w:rsid w:val="00057704"/>
    <w:rsid w:val="00060AA0"/>
    <w:rsid w:val="00062470"/>
    <w:rsid w:val="000639FF"/>
    <w:rsid w:val="00065991"/>
    <w:rsid w:val="00066BCD"/>
    <w:rsid w:val="00066EFF"/>
    <w:rsid w:val="00067C9A"/>
    <w:rsid w:val="00067CA2"/>
    <w:rsid w:val="000712DD"/>
    <w:rsid w:val="0007268B"/>
    <w:rsid w:val="0007435F"/>
    <w:rsid w:val="0007683B"/>
    <w:rsid w:val="00080264"/>
    <w:rsid w:val="000813D9"/>
    <w:rsid w:val="0008147C"/>
    <w:rsid w:val="00081838"/>
    <w:rsid w:val="000820A7"/>
    <w:rsid w:val="0008268A"/>
    <w:rsid w:val="00082870"/>
    <w:rsid w:val="000842B1"/>
    <w:rsid w:val="00084B47"/>
    <w:rsid w:val="000851B0"/>
    <w:rsid w:val="00085712"/>
    <w:rsid w:val="00086074"/>
    <w:rsid w:val="00086629"/>
    <w:rsid w:val="00086A24"/>
    <w:rsid w:val="0008722D"/>
    <w:rsid w:val="00091591"/>
    <w:rsid w:val="000915CF"/>
    <w:rsid w:val="00092176"/>
    <w:rsid w:val="000921C3"/>
    <w:rsid w:val="00093057"/>
    <w:rsid w:val="000949FE"/>
    <w:rsid w:val="00094A03"/>
    <w:rsid w:val="00096359"/>
    <w:rsid w:val="00097B8A"/>
    <w:rsid w:val="00097DC2"/>
    <w:rsid w:val="000A0260"/>
    <w:rsid w:val="000A0666"/>
    <w:rsid w:val="000A1A45"/>
    <w:rsid w:val="000A247F"/>
    <w:rsid w:val="000A2E02"/>
    <w:rsid w:val="000A2F00"/>
    <w:rsid w:val="000A3185"/>
    <w:rsid w:val="000A37FC"/>
    <w:rsid w:val="000A3D71"/>
    <w:rsid w:val="000A3F88"/>
    <w:rsid w:val="000A4397"/>
    <w:rsid w:val="000A75B3"/>
    <w:rsid w:val="000A7A61"/>
    <w:rsid w:val="000B0760"/>
    <w:rsid w:val="000B1562"/>
    <w:rsid w:val="000B2833"/>
    <w:rsid w:val="000B2CB5"/>
    <w:rsid w:val="000B3010"/>
    <w:rsid w:val="000B3043"/>
    <w:rsid w:val="000B319F"/>
    <w:rsid w:val="000B61B8"/>
    <w:rsid w:val="000B6504"/>
    <w:rsid w:val="000B7241"/>
    <w:rsid w:val="000B7634"/>
    <w:rsid w:val="000C050D"/>
    <w:rsid w:val="000C0599"/>
    <w:rsid w:val="000C0C10"/>
    <w:rsid w:val="000C0F94"/>
    <w:rsid w:val="000C3993"/>
    <w:rsid w:val="000C3EF6"/>
    <w:rsid w:val="000C4EC6"/>
    <w:rsid w:val="000C60BF"/>
    <w:rsid w:val="000C618F"/>
    <w:rsid w:val="000C620B"/>
    <w:rsid w:val="000C7E84"/>
    <w:rsid w:val="000D06BE"/>
    <w:rsid w:val="000D486A"/>
    <w:rsid w:val="000D5616"/>
    <w:rsid w:val="000D57B0"/>
    <w:rsid w:val="000D6F65"/>
    <w:rsid w:val="000D78C5"/>
    <w:rsid w:val="000E08CE"/>
    <w:rsid w:val="000E0ECE"/>
    <w:rsid w:val="000E0EE6"/>
    <w:rsid w:val="000E335F"/>
    <w:rsid w:val="000E36BC"/>
    <w:rsid w:val="000E457E"/>
    <w:rsid w:val="000E4EC8"/>
    <w:rsid w:val="000E59F4"/>
    <w:rsid w:val="000E5EEA"/>
    <w:rsid w:val="000E6650"/>
    <w:rsid w:val="000E697D"/>
    <w:rsid w:val="000E74DC"/>
    <w:rsid w:val="000E7B1E"/>
    <w:rsid w:val="000E7B85"/>
    <w:rsid w:val="000F097D"/>
    <w:rsid w:val="000F25CE"/>
    <w:rsid w:val="000F2763"/>
    <w:rsid w:val="000F27C1"/>
    <w:rsid w:val="000F3A99"/>
    <w:rsid w:val="000F3CAD"/>
    <w:rsid w:val="000F44EC"/>
    <w:rsid w:val="000F55DC"/>
    <w:rsid w:val="000F594A"/>
    <w:rsid w:val="000F6881"/>
    <w:rsid w:val="001005A1"/>
    <w:rsid w:val="001008EF"/>
    <w:rsid w:val="00100DF5"/>
    <w:rsid w:val="001030EE"/>
    <w:rsid w:val="00104287"/>
    <w:rsid w:val="00105DFE"/>
    <w:rsid w:val="00105F33"/>
    <w:rsid w:val="0010636C"/>
    <w:rsid w:val="001079E6"/>
    <w:rsid w:val="00107D7C"/>
    <w:rsid w:val="00107DAE"/>
    <w:rsid w:val="001102A0"/>
    <w:rsid w:val="00110E15"/>
    <w:rsid w:val="001110F8"/>
    <w:rsid w:val="0011159A"/>
    <w:rsid w:val="00112591"/>
    <w:rsid w:val="00112BE0"/>
    <w:rsid w:val="00113B91"/>
    <w:rsid w:val="00113BDE"/>
    <w:rsid w:val="00113D71"/>
    <w:rsid w:val="001143BF"/>
    <w:rsid w:val="001166D6"/>
    <w:rsid w:val="00117607"/>
    <w:rsid w:val="0011762E"/>
    <w:rsid w:val="001201EE"/>
    <w:rsid w:val="001202CA"/>
    <w:rsid w:val="001209F5"/>
    <w:rsid w:val="00120D99"/>
    <w:rsid w:val="00123009"/>
    <w:rsid w:val="001232B2"/>
    <w:rsid w:val="00125BFF"/>
    <w:rsid w:val="0012610C"/>
    <w:rsid w:val="00126DB9"/>
    <w:rsid w:val="0012761B"/>
    <w:rsid w:val="001276CB"/>
    <w:rsid w:val="001303EB"/>
    <w:rsid w:val="00131564"/>
    <w:rsid w:val="00131A41"/>
    <w:rsid w:val="001335F1"/>
    <w:rsid w:val="00134929"/>
    <w:rsid w:val="00135767"/>
    <w:rsid w:val="00136287"/>
    <w:rsid w:val="00140A88"/>
    <w:rsid w:val="00140E91"/>
    <w:rsid w:val="001412EF"/>
    <w:rsid w:val="0014143D"/>
    <w:rsid w:val="001417BE"/>
    <w:rsid w:val="00141A64"/>
    <w:rsid w:val="00141CF3"/>
    <w:rsid w:val="001427CD"/>
    <w:rsid w:val="001440FB"/>
    <w:rsid w:val="00144261"/>
    <w:rsid w:val="00144BC0"/>
    <w:rsid w:val="001454C4"/>
    <w:rsid w:val="00146705"/>
    <w:rsid w:val="001472BF"/>
    <w:rsid w:val="00150989"/>
    <w:rsid w:val="001513F7"/>
    <w:rsid w:val="001518E5"/>
    <w:rsid w:val="00151A45"/>
    <w:rsid w:val="00151EAD"/>
    <w:rsid w:val="0015233B"/>
    <w:rsid w:val="00152773"/>
    <w:rsid w:val="001531BD"/>
    <w:rsid w:val="00153AD2"/>
    <w:rsid w:val="00154BAF"/>
    <w:rsid w:val="0015664C"/>
    <w:rsid w:val="00160DB9"/>
    <w:rsid w:val="00161492"/>
    <w:rsid w:val="001617D2"/>
    <w:rsid w:val="001618A4"/>
    <w:rsid w:val="00161BF2"/>
    <w:rsid w:val="00161EEB"/>
    <w:rsid w:val="00161FC3"/>
    <w:rsid w:val="001625FB"/>
    <w:rsid w:val="001636AA"/>
    <w:rsid w:val="00165CD7"/>
    <w:rsid w:val="001667B4"/>
    <w:rsid w:val="00167189"/>
    <w:rsid w:val="001672B2"/>
    <w:rsid w:val="00167989"/>
    <w:rsid w:val="001718F0"/>
    <w:rsid w:val="00172C8E"/>
    <w:rsid w:val="00172E38"/>
    <w:rsid w:val="001732C1"/>
    <w:rsid w:val="0017428D"/>
    <w:rsid w:val="0017676C"/>
    <w:rsid w:val="00180DF7"/>
    <w:rsid w:val="001814E2"/>
    <w:rsid w:val="0018171E"/>
    <w:rsid w:val="0018212A"/>
    <w:rsid w:val="001848F4"/>
    <w:rsid w:val="00184E27"/>
    <w:rsid w:val="00185664"/>
    <w:rsid w:val="00185A14"/>
    <w:rsid w:val="00186869"/>
    <w:rsid w:val="00186EA0"/>
    <w:rsid w:val="00187D25"/>
    <w:rsid w:val="00190A0E"/>
    <w:rsid w:val="00190B90"/>
    <w:rsid w:val="0019116F"/>
    <w:rsid w:val="00191205"/>
    <w:rsid w:val="00191A25"/>
    <w:rsid w:val="00191AB6"/>
    <w:rsid w:val="00191F08"/>
    <w:rsid w:val="001924F9"/>
    <w:rsid w:val="00192D55"/>
    <w:rsid w:val="00194D62"/>
    <w:rsid w:val="0019551D"/>
    <w:rsid w:val="00195DDE"/>
    <w:rsid w:val="00196199"/>
    <w:rsid w:val="00196E65"/>
    <w:rsid w:val="00196FC3"/>
    <w:rsid w:val="001978AD"/>
    <w:rsid w:val="001A0B8F"/>
    <w:rsid w:val="001A1091"/>
    <w:rsid w:val="001A20B3"/>
    <w:rsid w:val="001A2376"/>
    <w:rsid w:val="001A2806"/>
    <w:rsid w:val="001A3677"/>
    <w:rsid w:val="001A3A70"/>
    <w:rsid w:val="001A4243"/>
    <w:rsid w:val="001A6E86"/>
    <w:rsid w:val="001A70BD"/>
    <w:rsid w:val="001A735F"/>
    <w:rsid w:val="001A73A6"/>
    <w:rsid w:val="001A7634"/>
    <w:rsid w:val="001A7741"/>
    <w:rsid w:val="001B040A"/>
    <w:rsid w:val="001B0892"/>
    <w:rsid w:val="001B0CBB"/>
    <w:rsid w:val="001B18A6"/>
    <w:rsid w:val="001B1E9E"/>
    <w:rsid w:val="001B240B"/>
    <w:rsid w:val="001B37FF"/>
    <w:rsid w:val="001B38BD"/>
    <w:rsid w:val="001B4EBC"/>
    <w:rsid w:val="001B5133"/>
    <w:rsid w:val="001B57E7"/>
    <w:rsid w:val="001B5B8F"/>
    <w:rsid w:val="001B5E75"/>
    <w:rsid w:val="001B7377"/>
    <w:rsid w:val="001B7650"/>
    <w:rsid w:val="001B7A07"/>
    <w:rsid w:val="001C132A"/>
    <w:rsid w:val="001C29CC"/>
    <w:rsid w:val="001C7B8D"/>
    <w:rsid w:val="001C7F8D"/>
    <w:rsid w:val="001D168E"/>
    <w:rsid w:val="001D275E"/>
    <w:rsid w:val="001D3139"/>
    <w:rsid w:val="001D314D"/>
    <w:rsid w:val="001D324E"/>
    <w:rsid w:val="001D4941"/>
    <w:rsid w:val="001D4A6C"/>
    <w:rsid w:val="001D5ACA"/>
    <w:rsid w:val="001D68B6"/>
    <w:rsid w:val="001E05DB"/>
    <w:rsid w:val="001E1420"/>
    <w:rsid w:val="001E14E9"/>
    <w:rsid w:val="001E2490"/>
    <w:rsid w:val="001E31E6"/>
    <w:rsid w:val="001E4A46"/>
    <w:rsid w:val="001E4F18"/>
    <w:rsid w:val="001E5ADA"/>
    <w:rsid w:val="001E73A7"/>
    <w:rsid w:val="001E7AA3"/>
    <w:rsid w:val="001E7C2E"/>
    <w:rsid w:val="001F124F"/>
    <w:rsid w:val="001F2125"/>
    <w:rsid w:val="001F27EE"/>
    <w:rsid w:val="001F3354"/>
    <w:rsid w:val="001F3363"/>
    <w:rsid w:val="001F51B4"/>
    <w:rsid w:val="001F5A83"/>
    <w:rsid w:val="001F6224"/>
    <w:rsid w:val="001F64B4"/>
    <w:rsid w:val="001F6EB4"/>
    <w:rsid w:val="001F7D41"/>
    <w:rsid w:val="00201806"/>
    <w:rsid w:val="00201883"/>
    <w:rsid w:val="00201A01"/>
    <w:rsid w:val="00201C7D"/>
    <w:rsid w:val="0020210D"/>
    <w:rsid w:val="00205620"/>
    <w:rsid w:val="00206234"/>
    <w:rsid w:val="0020707D"/>
    <w:rsid w:val="0020716E"/>
    <w:rsid w:val="00211EA9"/>
    <w:rsid w:val="00216EDA"/>
    <w:rsid w:val="00217219"/>
    <w:rsid w:val="00217A23"/>
    <w:rsid w:val="0022194E"/>
    <w:rsid w:val="0022314F"/>
    <w:rsid w:val="00223CF4"/>
    <w:rsid w:val="00224608"/>
    <w:rsid w:val="00225967"/>
    <w:rsid w:val="00232614"/>
    <w:rsid w:val="002335E4"/>
    <w:rsid w:val="00233D0D"/>
    <w:rsid w:val="00235A7E"/>
    <w:rsid w:val="00237DB8"/>
    <w:rsid w:val="00240CEC"/>
    <w:rsid w:val="00241557"/>
    <w:rsid w:val="00242F2A"/>
    <w:rsid w:val="002437C8"/>
    <w:rsid w:val="002457FD"/>
    <w:rsid w:val="00245A5C"/>
    <w:rsid w:val="00245D1D"/>
    <w:rsid w:val="00245DA0"/>
    <w:rsid w:val="00246F0F"/>
    <w:rsid w:val="00247355"/>
    <w:rsid w:val="0024768C"/>
    <w:rsid w:val="00250668"/>
    <w:rsid w:val="0025110F"/>
    <w:rsid w:val="00251F22"/>
    <w:rsid w:val="00252381"/>
    <w:rsid w:val="002536ED"/>
    <w:rsid w:val="00253D7A"/>
    <w:rsid w:val="00254B58"/>
    <w:rsid w:val="002558BB"/>
    <w:rsid w:val="00255BE6"/>
    <w:rsid w:val="00255D0D"/>
    <w:rsid w:val="00255D46"/>
    <w:rsid w:val="00256391"/>
    <w:rsid w:val="002563B4"/>
    <w:rsid w:val="00256904"/>
    <w:rsid w:val="0025733A"/>
    <w:rsid w:val="002577C5"/>
    <w:rsid w:val="00257F04"/>
    <w:rsid w:val="0026049F"/>
    <w:rsid w:val="0026218A"/>
    <w:rsid w:val="00263601"/>
    <w:rsid w:val="00263B98"/>
    <w:rsid w:val="00263EFD"/>
    <w:rsid w:val="00263F5C"/>
    <w:rsid w:val="002645C8"/>
    <w:rsid w:val="00265788"/>
    <w:rsid w:val="002658FF"/>
    <w:rsid w:val="00270399"/>
    <w:rsid w:val="00270588"/>
    <w:rsid w:val="00270DCA"/>
    <w:rsid w:val="0027156E"/>
    <w:rsid w:val="00272B1C"/>
    <w:rsid w:val="00273241"/>
    <w:rsid w:val="00273A53"/>
    <w:rsid w:val="002753ED"/>
    <w:rsid w:val="00276861"/>
    <w:rsid w:val="00277BB7"/>
    <w:rsid w:val="00281015"/>
    <w:rsid w:val="002816F9"/>
    <w:rsid w:val="002839C4"/>
    <w:rsid w:val="002855F5"/>
    <w:rsid w:val="00286DD9"/>
    <w:rsid w:val="00286E09"/>
    <w:rsid w:val="002874DC"/>
    <w:rsid w:val="00287902"/>
    <w:rsid w:val="00291955"/>
    <w:rsid w:val="00291F9D"/>
    <w:rsid w:val="002926F6"/>
    <w:rsid w:val="00295F2B"/>
    <w:rsid w:val="00297BB2"/>
    <w:rsid w:val="00297E83"/>
    <w:rsid w:val="002A0B11"/>
    <w:rsid w:val="002A26A7"/>
    <w:rsid w:val="002A29D5"/>
    <w:rsid w:val="002A3BB5"/>
    <w:rsid w:val="002A5BAE"/>
    <w:rsid w:val="002A634B"/>
    <w:rsid w:val="002A63EA"/>
    <w:rsid w:val="002A6464"/>
    <w:rsid w:val="002A6F61"/>
    <w:rsid w:val="002B15D0"/>
    <w:rsid w:val="002B3245"/>
    <w:rsid w:val="002B331C"/>
    <w:rsid w:val="002B3F30"/>
    <w:rsid w:val="002B6715"/>
    <w:rsid w:val="002B6CF7"/>
    <w:rsid w:val="002B75CC"/>
    <w:rsid w:val="002B7C64"/>
    <w:rsid w:val="002C0703"/>
    <w:rsid w:val="002C0AC8"/>
    <w:rsid w:val="002C1AD9"/>
    <w:rsid w:val="002C3C7C"/>
    <w:rsid w:val="002C45D4"/>
    <w:rsid w:val="002C4C12"/>
    <w:rsid w:val="002C6406"/>
    <w:rsid w:val="002C67BA"/>
    <w:rsid w:val="002C727D"/>
    <w:rsid w:val="002C7295"/>
    <w:rsid w:val="002C74CE"/>
    <w:rsid w:val="002C7797"/>
    <w:rsid w:val="002D0C2B"/>
    <w:rsid w:val="002D1D26"/>
    <w:rsid w:val="002D225B"/>
    <w:rsid w:val="002D2E16"/>
    <w:rsid w:val="002D3355"/>
    <w:rsid w:val="002D37DC"/>
    <w:rsid w:val="002D505E"/>
    <w:rsid w:val="002D55D5"/>
    <w:rsid w:val="002D6999"/>
    <w:rsid w:val="002D7A8C"/>
    <w:rsid w:val="002D7ED6"/>
    <w:rsid w:val="002E0BD2"/>
    <w:rsid w:val="002E230D"/>
    <w:rsid w:val="002E237E"/>
    <w:rsid w:val="002E3153"/>
    <w:rsid w:val="002E3434"/>
    <w:rsid w:val="002E46F8"/>
    <w:rsid w:val="002E47FF"/>
    <w:rsid w:val="002E558F"/>
    <w:rsid w:val="002E7076"/>
    <w:rsid w:val="002E70C2"/>
    <w:rsid w:val="002E70E4"/>
    <w:rsid w:val="002E7225"/>
    <w:rsid w:val="002F0526"/>
    <w:rsid w:val="002F129E"/>
    <w:rsid w:val="002F30EC"/>
    <w:rsid w:val="002F34D0"/>
    <w:rsid w:val="002F3662"/>
    <w:rsid w:val="002F39E1"/>
    <w:rsid w:val="002F4D31"/>
    <w:rsid w:val="002F6B70"/>
    <w:rsid w:val="002F6E9F"/>
    <w:rsid w:val="002F741E"/>
    <w:rsid w:val="002F767E"/>
    <w:rsid w:val="002F7711"/>
    <w:rsid w:val="002F77E6"/>
    <w:rsid w:val="002F77FF"/>
    <w:rsid w:val="00300305"/>
    <w:rsid w:val="00301333"/>
    <w:rsid w:val="0030171C"/>
    <w:rsid w:val="00301FD0"/>
    <w:rsid w:val="0030224C"/>
    <w:rsid w:val="003024F0"/>
    <w:rsid w:val="003025F4"/>
    <w:rsid w:val="00302697"/>
    <w:rsid w:val="00302732"/>
    <w:rsid w:val="003033DF"/>
    <w:rsid w:val="00303BAC"/>
    <w:rsid w:val="0030421A"/>
    <w:rsid w:val="003049D3"/>
    <w:rsid w:val="00304F5A"/>
    <w:rsid w:val="0030557C"/>
    <w:rsid w:val="00305E00"/>
    <w:rsid w:val="00306D1A"/>
    <w:rsid w:val="00307225"/>
    <w:rsid w:val="0031008C"/>
    <w:rsid w:val="00311600"/>
    <w:rsid w:val="00311B13"/>
    <w:rsid w:val="00312E21"/>
    <w:rsid w:val="00312F33"/>
    <w:rsid w:val="00313448"/>
    <w:rsid w:val="00314027"/>
    <w:rsid w:val="003147E6"/>
    <w:rsid w:val="00314C4D"/>
    <w:rsid w:val="00316819"/>
    <w:rsid w:val="00317440"/>
    <w:rsid w:val="00317A98"/>
    <w:rsid w:val="00320C74"/>
    <w:rsid w:val="00320CF6"/>
    <w:rsid w:val="00320F03"/>
    <w:rsid w:val="00321A70"/>
    <w:rsid w:val="00322F8D"/>
    <w:rsid w:val="00325941"/>
    <w:rsid w:val="003259D3"/>
    <w:rsid w:val="00325A4E"/>
    <w:rsid w:val="00325B27"/>
    <w:rsid w:val="00325B7C"/>
    <w:rsid w:val="00327C9E"/>
    <w:rsid w:val="00330537"/>
    <w:rsid w:val="00330AB2"/>
    <w:rsid w:val="00330ACB"/>
    <w:rsid w:val="00330C80"/>
    <w:rsid w:val="00331D81"/>
    <w:rsid w:val="00331F6F"/>
    <w:rsid w:val="00333363"/>
    <w:rsid w:val="00333496"/>
    <w:rsid w:val="00334298"/>
    <w:rsid w:val="00336D2F"/>
    <w:rsid w:val="0034034E"/>
    <w:rsid w:val="00341C55"/>
    <w:rsid w:val="00341EF7"/>
    <w:rsid w:val="003425D6"/>
    <w:rsid w:val="00343F66"/>
    <w:rsid w:val="00344B44"/>
    <w:rsid w:val="00347599"/>
    <w:rsid w:val="003475BE"/>
    <w:rsid w:val="00347D25"/>
    <w:rsid w:val="0035068F"/>
    <w:rsid w:val="00350914"/>
    <w:rsid w:val="00350F6F"/>
    <w:rsid w:val="0035151F"/>
    <w:rsid w:val="0035247D"/>
    <w:rsid w:val="003533A1"/>
    <w:rsid w:val="00353469"/>
    <w:rsid w:val="0035392E"/>
    <w:rsid w:val="00353A48"/>
    <w:rsid w:val="00354C27"/>
    <w:rsid w:val="003567C1"/>
    <w:rsid w:val="00357DB7"/>
    <w:rsid w:val="00360870"/>
    <w:rsid w:val="00360ADE"/>
    <w:rsid w:val="00361EA5"/>
    <w:rsid w:val="00362C9A"/>
    <w:rsid w:val="00363B83"/>
    <w:rsid w:val="00363B8C"/>
    <w:rsid w:val="003644C2"/>
    <w:rsid w:val="003648D1"/>
    <w:rsid w:val="00364C3D"/>
    <w:rsid w:val="00366281"/>
    <w:rsid w:val="00366BB8"/>
    <w:rsid w:val="003671D5"/>
    <w:rsid w:val="0036745D"/>
    <w:rsid w:val="00367EFB"/>
    <w:rsid w:val="0037010C"/>
    <w:rsid w:val="00370BDD"/>
    <w:rsid w:val="00372993"/>
    <w:rsid w:val="00372D52"/>
    <w:rsid w:val="00373576"/>
    <w:rsid w:val="003744F6"/>
    <w:rsid w:val="00375406"/>
    <w:rsid w:val="00375641"/>
    <w:rsid w:val="00375C6C"/>
    <w:rsid w:val="00375D5B"/>
    <w:rsid w:val="00376C43"/>
    <w:rsid w:val="003777C7"/>
    <w:rsid w:val="00380954"/>
    <w:rsid w:val="003833F2"/>
    <w:rsid w:val="0038341E"/>
    <w:rsid w:val="0038353A"/>
    <w:rsid w:val="003839C1"/>
    <w:rsid w:val="003839D8"/>
    <w:rsid w:val="00385097"/>
    <w:rsid w:val="00385748"/>
    <w:rsid w:val="0038599E"/>
    <w:rsid w:val="0038694D"/>
    <w:rsid w:val="00387A95"/>
    <w:rsid w:val="00390758"/>
    <w:rsid w:val="003908AE"/>
    <w:rsid w:val="003908C9"/>
    <w:rsid w:val="003915C8"/>
    <w:rsid w:val="0039172D"/>
    <w:rsid w:val="00393ADA"/>
    <w:rsid w:val="00393B54"/>
    <w:rsid w:val="0039643B"/>
    <w:rsid w:val="00396A00"/>
    <w:rsid w:val="00397CFE"/>
    <w:rsid w:val="003A0849"/>
    <w:rsid w:val="003A0EFD"/>
    <w:rsid w:val="003A3CFC"/>
    <w:rsid w:val="003A456F"/>
    <w:rsid w:val="003A4BCF"/>
    <w:rsid w:val="003A4D44"/>
    <w:rsid w:val="003A544D"/>
    <w:rsid w:val="003A5565"/>
    <w:rsid w:val="003A556D"/>
    <w:rsid w:val="003A56CE"/>
    <w:rsid w:val="003A5956"/>
    <w:rsid w:val="003A61C1"/>
    <w:rsid w:val="003A6775"/>
    <w:rsid w:val="003A7EEF"/>
    <w:rsid w:val="003A7F8D"/>
    <w:rsid w:val="003B0C26"/>
    <w:rsid w:val="003B14D6"/>
    <w:rsid w:val="003B2060"/>
    <w:rsid w:val="003B3039"/>
    <w:rsid w:val="003B3A2A"/>
    <w:rsid w:val="003B5205"/>
    <w:rsid w:val="003B56C1"/>
    <w:rsid w:val="003B5949"/>
    <w:rsid w:val="003B6929"/>
    <w:rsid w:val="003C09C0"/>
    <w:rsid w:val="003C1590"/>
    <w:rsid w:val="003C17A1"/>
    <w:rsid w:val="003C19D4"/>
    <w:rsid w:val="003C21D5"/>
    <w:rsid w:val="003C29D6"/>
    <w:rsid w:val="003C2FB7"/>
    <w:rsid w:val="003C3345"/>
    <w:rsid w:val="003C38E7"/>
    <w:rsid w:val="003C434D"/>
    <w:rsid w:val="003C4492"/>
    <w:rsid w:val="003C4A93"/>
    <w:rsid w:val="003C4DE7"/>
    <w:rsid w:val="003C4F05"/>
    <w:rsid w:val="003C556A"/>
    <w:rsid w:val="003C68B7"/>
    <w:rsid w:val="003C6E1B"/>
    <w:rsid w:val="003D081A"/>
    <w:rsid w:val="003D09C6"/>
    <w:rsid w:val="003D154B"/>
    <w:rsid w:val="003D20DF"/>
    <w:rsid w:val="003D3F75"/>
    <w:rsid w:val="003D4167"/>
    <w:rsid w:val="003D479D"/>
    <w:rsid w:val="003D4C82"/>
    <w:rsid w:val="003D5303"/>
    <w:rsid w:val="003D6E29"/>
    <w:rsid w:val="003D6FCA"/>
    <w:rsid w:val="003E195A"/>
    <w:rsid w:val="003E23E8"/>
    <w:rsid w:val="003E289A"/>
    <w:rsid w:val="003E28A0"/>
    <w:rsid w:val="003E2D1D"/>
    <w:rsid w:val="003E56C2"/>
    <w:rsid w:val="003E589A"/>
    <w:rsid w:val="003E58A1"/>
    <w:rsid w:val="003E74C6"/>
    <w:rsid w:val="003F028C"/>
    <w:rsid w:val="003F1D98"/>
    <w:rsid w:val="003F25B4"/>
    <w:rsid w:val="003F4205"/>
    <w:rsid w:val="003F4A66"/>
    <w:rsid w:val="003F4C51"/>
    <w:rsid w:val="003F7058"/>
    <w:rsid w:val="00400229"/>
    <w:rsid w:val="00400705"/>
    <w:rsid w:val="004009D3"/>
    <w:rsid w:val="00401ED4"/>
    <w:rsid w:val="00403656"/>
    <w:rsid w:val="00403FEA"/>
    <w:rsid w:val="00404625"/>
    <w:rsid w:val="004048F0"/>
    <w:rsid w:val="00405CA1"/>
    <w:rsid w:val="0040718A"/>
    <w:rsid w:val="004073C8"/>
    <w:rsid w:val="00407FD5"/>
    <w:rsid w:val="004110B6"/>
    <w:rsid w:val="00411149"/>
    <w:rsid w:val="004143D4"/>
    <w:rsid w:val="00414683"/>
    <w:rsid w:val="0041485D"/>
    <w:rsid w:val="00414D72"/>
    <w:rsid w:val="0041565A"/>
    <w:rsid w:val="0041584E"/>
    <w:rsid w:val="00415C46"/>
    <w:rsid w:val="00415CDE"/>
    <w:rsid w:val="00416749"/>
    <w:rsid w:val="004170ED"/>
    <w:rsid w:val="0042008C"/>
    <w:rsid w:val="00420349"/>
    <w:rsid w:val="00422505"/>
    <w:rsid w:val="00423041"/>
    <w:rsid w:val="004235D7"/>
    <w:rsid w:val="00426789"/>
    <w:rsid w:val="00426C8F"/>
    <w:rsid w:val="004308F7"/>
    <w:rsid w:val="004312ED"/>
    <w:rsid w:val="00433232"/>
    <w:rsid w:val="004340ED"/>
    <w:rsid w:val="00434388"/>
    <w:rsid w:val="00434DAF"/>
    <w:rsid w:val="00435008"/>
    <w:rsid w:val="00437ED1"/>
    <w:rsid w:val="00440267"/>
    <w:rsid w:val="004403DF"/>
    <w:rsid w:val="00440D2A"/>
    <w:rsid w:val="004412CE"/>
    <w:rsid w:val="004413B0"/>
    <w:rsid w:val="00441704"/>
    <w:rsid w:val="00441C59"/>
    <w:rsid w:val="004425D0"/>
    <w:rsid w:val="00442C87"/>
    <w:rsid w:val="00443B3E"/>
    <w:rsid w:val="004456C4"/>
    <w:rsid w:val="004457C7"/>
    <w:rsid w:val="0044675D"/>
    <w:rsid w:val="004474C2"/>
    <w:rsid w:val="00450437"/>
    <w:rsid w:val="00450FCC"/>
    <w:rsid w:val="0045209E"/>
    <w:rsid w:val="00452268"/>
    <w:rsid w:val="004528E7"/>
    <w:rsid w:val="00455D0D"/>
    <w:rsid w:val="00456C02"/>
    <w:rsid w:val="00460117"/>
    <w:rsid w:val="00460401"/>
    <w:rsid w:val="00460802"/>
    <w:rsid w:val="00460DC8"/>
    <w:rsid w:val="00461C13"/>
    <w:rsid w:val="00461F90"/>
    <w:rsid w:val="00464221"/>
    <w:rsid w:val="00465273"/>
    <w:rsid w:val="004654E6"/>
    <w:rsid w:val="00465B9D"/>
    <w:rsid w:val="00465C7F"/>
    <w:rsid w:val="0046683B"/>
    <w:rsid w:val="00466894"/>
    <w:rsid w:val="004669B2"/>
    <w:rsid w:val="00466C43"/>
    <w:rsid w:val="00470133"/>
    <w:rsid w:val="00471351"/>
    <w:rsid w:val="00471F3F"/>
    <w:rsid w:val="00474F35"/>
    <w:rsid w:val="00475252"/>
    <w:rsid w:val="00476B93"/>
    <w:rsid w:val="004779EA"/>
    <w:rsid w:val="00480658"/>
    <w:rsid w:val="00480CBC"/>
    <w:rsid w:val="00482044"/>
    <w:rsid w:val="00483716"/>
    <w:rsid w:val="0048489C"/>
    <w:rsid w:val="00484E60"/>
    <w:rsid w:val="00485356"/>
    <w:rsid w:val="004854DA"/>
    <w:rsid w:val="00485C87"/>
    <w:rsid w:val="00490043"/>
    <w:rsid w:val="004900C5"/>
    <w:rsid w:val="0049058F"/>
    <w:rsid w:val="00491D21"/>
    <w:rsid w:val="00492145"/>
    <w:rsid w:val="00492395"/>
    <w:rsid w:val="00493261"/>
    <w:rsid w:val="00493665"/>
    <w:rsid w:val="00493D17"/>
    <w:rsid w:val="00494284"/>
    <w:rsid w:val="004942D5"/>
    <w:rsid w:val="00494399"/>
    <w:rsid w:val="004944B7"/>
    <w:rsid w:val="004948B1"/>
    <w:rsid w:val="004950E1"/>
    <w:rsid w:val="004952D2"/>
    <w:rsid w:val="004953FE"/>
    <w:rsid w:val="004969B8"/>
    <w:rsid w:val="004A266C"/>
    <w:rsid w:val="004A285D"/>
    <w:rsid w:val="004A38EC"/>
    <w:rsid w:val="004A5E6F"/>
    <w:rsid w:val="004A64EC"/>
    <w:rsid w:val="004A774A"/>
    <w:rsid w:val="004B0BD6"/>
    <w:rsid w:val="004B23BC"/>
    <w:rsid w:val="004B2D23"/>
    <w:rsid w:val="004B390A"/>
    <w:rsid w:val="004B5116"/>
    <w:rsid w:val="004B515B"/>
    <w:rsid w:val="004B5337"/>
    <w:rsid w:val="004B5637"/>
    <w:rsid w:val="004B5A69"/>
    <w:rsid w:val="004B651D"/>
    <w:rsid w:val="004C08C1"/>
    <w:rsid w:val="004C18AA"/>
    <w:rsid w:val="004C1CA5"/>
    <w:rsid w:val="004C1CC2"/>
    <w:rsid w:val="004C2367"/>
    <w:rsid w:val="004C2769"/>
    <w:rsid w:val="004C2A4D"/>
    <w:rsid w:val="004C2B77"/>
    <w:rsid w:val="004C3E55"/>
    <w:rsid w:val="004C4B64"/>
    <w:rsid w:val="004C546A"/>
    <w:rsid w:val="004C559C"/>
    <w:rsid w:val="004C64E4"/>
    <w:rsid w:val="004C7615"/>
    <w:rsid w:val="004C7737"/>
    <w:rsid w:val="004D054F"/>
    <w:rsid w:val="004D07F4"/>
    <w:rsid w:val="004D1136"/>
    <w:rsid w:val="004D13F6"/>
    <w:rsid w:val="004D2178"/>
    <w:rsid w:val="004D3609"/>
    <w:rsid w:val="004D3E0D"/>
    <w:rsid w:val="004D44C7"/>
    <w:rsid w:val="004D536F"/>
    <w:rsid w:val="004D540D"/>
    <w:rsid w:val="004D54B2"/>
    <w:rsid w:val="004D6226"/>
    <w:rsid w:val="004D6345"/>
    <w:rsid w:val="004E1464"/>
    <w:rsid w:val="004E1B18"/>
    <w:rsid w:val="004E236F"/>
    <w:rsid w:val="004E2AA5"/>
    <w:rsid w:val="004E480E"/>
    <w:rsid w:val="004E58DB"/>
    <w:rsid w:val="004E625A"/>
    <w:rsid w:val="004E77F7"/>
    <w:rsid w:val="004E7DBC"/>
    <w:rsid w:val="004F0F0F"/>
    <w:rsid w:val="004F1A9F"/>
    <w:rsid w:val="004F1C60"/>
    <w:rsid w:val="004F3879"/>
    <w:rsid w:val="004F4DEF"/>
    <w:rsid w:val="004F4E2A"/>
    <w:rsid w:val="004F516E"/>
    <w:rsid w:val="004F51A6"/>
    <w:rsid w:val="004F5522"/>
    <w:rsid w:val="004F6209"/>
    <w:rsid w:val="004F6D02"/>
    <w:rsid w:val="004F7F06"/>
    <w:rsid w:val="00500C86"/>
    <w:rsid w:val="00501AE7"/>
    <w:rsid w:val="00502403"/>
    <w:rsid w:val="00503505"/>
    <w:rsid w:val="0050362A"/>
    <w:rsid w:val="00503870"/>
    <w:rsid w:val="005044AB"/>
    <w:rsid w:val="005061C0"/>
    <w:rsid w:val="0050631A"/>
    <w:rsid w:val="005076BF"/>
    <w:rsid w:val="005076CF"/>
    <w:rsid w:val="00507D08"/>
    <w:rsid w:val="005109E0"/>
    <w:rsid w:val="00510BE3"/>
    <w:rsid w:val="005119CD"/>
    <w:rsid w:val="00511EB8"/>
    <w:rsid w:val="00512243"/>
    <w:rsid w:val="00512B37"/>
    <w:rsid w:val="00513656"/>
    <w:rsid w:val="00513CAF"/>
    <w:rsid w:val="00514137"/>
    <w:rsid w:val="005144A9"/>
    <w:rsid w:val="00515A31"/>
    <w:rsid w:val="0052085E"/>
    <w:rsid w:val="00521BE1"/>
    <w:rsid w:val="00523C32"/>
    <w:rsid w:val="00523FAB"/>
    <w:rsid w:val="00524EE4"/>
    <w:rsid w:val="00525790"/>
    <w:rsid w:val="00525ADC"/>
    <w:rsid w:val="00525F9E"/>
    <w:rsid w:val="00526888"/>
    <w:rsid w:val="00530759"/>
    <w:rsid w:val="00531F0A"/>
    <w:rsid w:val="00532DF0"/>
    <w:rsid w:val="0053416D"/>
    <w:rsid w:val="0053467A"/>
    <w:rsid w:val="005349C3"/>
    <w:rsid w:val="00535643"/>
    <w:rsid w:val="00537AC4"/>
    <w:rsid w:val="005402AC"/>
    <w:rsid w:val="00540EEA"/>
    <w:rsid w:val="00541227"/>
    <w:rsid w:val="00542301"/>
    <w:rsid w:val="00542E3C"/>
    <w:rsid w:val="005442DE"/>
    <w:rsid w:val="00545E39"/>
    <w:rsid w:val="0054625B"/>
    <w:rsid w:val="005468B7"/>
    <w:rsid w:val="00550758"/>
    <w:rsid w:val="005519A5"/>
    <w:rsid w:val="00551B8E"/>
    <w:rsid w:val="00552276"/>
    <w:rsid w:val="005533ED"/>
    <w:rsid w:val="00553472"/>
    <w:rsid w:val="0055398D"/>
    <w:rsid w:val="00553EAA"/>
    <w:rsid w:val="00555F2D"/>
    <w:rsid w:val="00555FB2"/>
    <w:rsid w:val="00556174"/>
    <w:rsid w:val="005567D4"/>
    <w:rsid w:val="0055698C"/>
    <w:rsid w:val="00557312"/>
    <w:rsid w:val="00557E48"/>
    <w:rsid w:val="00560634"/>
    <w:rsid w:val="005606A3"/>
    <w:rsid w:val="00560BAF"/>
    <w:rsid w:val="0056116F"/>
    <w:rsid w:val="005614AF"/>
    <w:rsid w:val="00561CAC"/>
    <w:rsid w:val="00562199"/>
    <w:rsid w:val="0056302C"/>
    <w:rsid w:val="00565821"/>
    <w:rsid w:val="00565C0A"/>
    <w:rsid w:val="00567F36"/>
    <w:rsid w:val="005712F7"/>
    <w:rsid w:val="00572781"/>
    <w:rsid w:val="00572A77"/>
    <w:rsid w:val="00572C15"/>
    <w:rsid w:val="00576B12"/>
    <w:rsid w:val="00576CD2"/>
    <w:rsid w:val="00576FC0"/>
    <w:rsid w:val="00577227"/>
    <w:rsid w:val="005808C6"/>
    <w:rsid w:val="00581A28"/>
    <w:rsid w:val="00582856"/>
    <w:rsid w:val="005838B8"/>
    <w:rsid w:val="005850A3"/>
    <w:rsid w:val="005855D7"/>
    <w:rsid w:val="005863F6"/>
    <w:rsid w:val="005868CB"/>
    <w:rsid w:val="00586F95"/>
    <w:rsid w:val="00587134"/>
    <w:rsid w:val="00590BB3"/>
    <w:rsid w:val="00591AE9"/>
    <w:rsid w:val="0059228D"/>
    <w:rsid w:val="005931D5"/>
    <w:rsid w:val="00593692"/>
    <w:rsid w:val="00593B8F"/>
    <w:rsid w:val="00593BE5"/>
    <w:rsid w:val="00594F96"/>
    <w:rsid w:val="005963B4"/>
    <w:rsid w:val="005969CD"/>
    <w:rsid w:val="00596B04"/>
    <w:rsid w:val="005972B5"/>
    <w:rsid w:val="005A0764"/>
    <w:rsid w:val="005A0795"/>
    <w:rsid w:val="005A0D6B"/>
    <w:rsid w:val="005A27A9"/>
    <w:rsid w:val="005A3042"/>
    <w:rsid w:val="005A3AD1"/>
    <w:rsid w:val="005A4388"/>
    <w:rsid w:val="005A4667"/>
    <w:rsid w:val="005A4A45"/>
    <w:rsid w:val="005A4ED8"/>
    <w:rsid w:val="005A589B"/>
    <w:rsid w:val="005A5A8E"/>
    <w:rsid w:val="005A5ABF"/>
    <w:rsid w:val="005A6152"/>
    <w:rsid w:val="005A6262"/>
    <w:rsid w:val="005A6956"/>
    <w:rsid w:val="005A6BAD"/>
    <w:rsid w:val="005A7C79"/>
    <w:rsid w:val="005A7E90"/>
    <w:rsid w:val="005B12BF"/>
    <w:rsid w:val="005B63C6"/>
    <w:rsid w:val="005B6665"/>
    <w:rsid w:val="005B71A7"/>
    <w:rsid w:val="005B71B3"/>
    <w:rsid w:val="005B72FC"/>
    <w:rsid w:val="005B79F5"/>
    <w:rsid w:val="005C00CA"/>
    <w:rsid w:val="005C092A"/>
    <w:rsid w:val="005C0A11"/>
    <w:rsid w:val="005C16F0"/>
    <w:rsid w:val="005C1B25"/>
    <w:rsid w:val="005C26C9"/>
    <w:rsid w:val="005C27A4"/>
    <w:rsid w:val="005C4D98"/>
    <w:rsid w:val="005C5E23"/>
    <w:rsid w:val="005C6592"/>
    <w:rsid w:val="005C6EE3"/>
    <w:rsid w:val="005C6EE6"/>
    <w:rsid w:val="005C76C5"/>
    <w:rsid w:val="005D0AD7"/>
    <w:rsid w:val="005D10BA"/>
    <w:rsid w:val="005D2180"/>
    <w:rsid w:val="005D23E2"/>
    <w:rsid w:val="005D2478"/>
    <w:rsid w:val="005D39EB"/>
    <w:rsid w:val="005D3EAE"/>
    <w:rsid w:val="005D4147"/>
    <w:rsid w:val="005D4A6E"/>
    <w:rsid w:val="005D5597"/>
    <w:rsid w:val="005D5F27"/>
    <w:rsid w:val="005D6473"/>
    <w:rsid w:val="005D64BF"/>
    <w:rsid w:val="005D7C58"/>
    <w:rsid w:val="005E0B3C"/>
    <w:rsid w:val="005E0EAE"/>
    <w:rsid w:val="005E323F"/>
    <w:rsid w:val="005E3AC8"/>
    <w:rsid w:val="005E3AD0"/>
    <w:rsid w:val="005E3B1F"/>
    <w:rsid w:val="005E465D"/>
    <w:rsid w:val="005E4E2B"/>
    <w:rsid w:val="005E4EDF"/>
    <w:rsid w:val="005E7402"/>
    <w:rsid w:val="005E762E"/>
    <w:rsid w:val="005E7E7F"/>
    <w:rsid w:val="005F02B0"/>
    <w:rsid w:val="005F0340"/>
    <w:rsid w:val="005F1762"/>
    <w:rsid w:val="005F1C16"/>
    <w:rsid w:val="005F5925"/>
    <w:rsid w:val="005F60AF"/>
    <w:rsid w:val="005F7ABC"/>
    <w:rsid w:val="005F7D13"/>
    <w:rsid w:val="00600206"/>
    <w:rsid w:val="006003B2"/>
    <w:rsid w:val="006008AE"/>
    <w:rsid w:val="00601442"/>
    <w:rsid w:val="00602776"/>
    <w:rsid w:val="00603883"/>
    <w:rsid w:val="00603E90"/>
    <w:rsid w:val="006051FA"/>
    <w:rsid w:val="006054CE"/>
    <w:rsid w:val="00605C67"/>
    <w:rsid w:val="0060651B"/>
    <w:rsid w:val="00607093"/>
    <w:rsid w:val="0060772F"/>
    <w:rsid w:val="00610333"/>
    <w:rsid w:val="0061065F"/>
    <w:rsid w:val="006121E9"/>
    <w:rsid w:val="0061235B"/>
    <w:rsid w:val="00612A76"/>
    <w:rsid w:val="00613131"/>
    <w:rsid w:val="006131AD"/>
    <w:rsid w:val="00613BE6"/>
    <w:rsid w:val="00613DB6"/>
    <w:rsid w:val="00614296"/>
    <w:rsid w:val="0061475B"/>
    <w:rsid w:val="00615E7C"/>
    <w:rsid w:val="006161EB"/>
    <w:rsid w:val="00621170"/>
    <w:rsid w:val="006211E3"/>
    <w:rsid w:val="00622F9A"/>
    <w:rsid w:val="0062320F"/>
    <w:rsid w:val="00624614"/>
    <w:rsid w:val="00627AF3"/>
    <w:rsid w:val="00631D95"/>
    <w:rsid w:val="006322EC"/>
    <w:rsid w:val="00632492"/>
    <w:rsid w:val="00632752"/>
    <w:rsid w:val="006331AD"/>
    <w:rsid w:val="00633844"/>
    <w:rsid w:val="00633C23"/>
    <w:rsid w:val="00634974"/>
    <w:rsid w:val="00635E15"/>
    <w:rsid w:val="00636088"/>
    <w:rsid w:val="0063687F"/>
    <w:rsid w:val="00637CCB"/>
    <w:rsid w:val="006412E8"/>
    <w:rsid w:val="0064423F"/>
    <w:rsid w:val="00644EC2"/>
    <w:rsid w:val="006451C7"/>
    <w:rsid w:val="00646523"/>
    <w:rsid w:val="00646E76"/>
    <w:rsid w:val="00650096"/>
    <w:rsid w:val="00650382"/>
    <w:rsid w:val="00651373"/>
    <w:rsid w:val="0065164D"/>
    <w:rsid w:val="00651734"/>
    <w:rsid w:val="00652589"/>
    <w:rsid w:val="0065465B"/>
    <w:rsid w:val="00655197"/>
    <w:rsid w:val="00656C6D"/>
    <w:rsid w:val="0065701B"/>
    <w:rsid w:val="0066050C"/>
    <w:rsid w:val="00660B5C"/>
    <w:rsid w:val="00660E50"/>
    <w:rsid w:val="00661215"/>
    <w:rsid w:val="006613BB"/>
    <w:rsid w:val="006613DF"/>
    <w:rsid w:val="006615C3"/>
    <w:rsid w:val="00661A0A"/>
    <w:rsid w:val="00661D28"/>
    <w:rsid w:val="00662F5A"/>
    <w:rsid w:val="0066318A"/>
    <w:rsid w:val="006632C0"/>
    <w:rsid w:val="006639B2"/>
    <w:rsid w:val="00663B27"/>
    <w:rsid w:val="0066477B"/>
    <w:rsid w:val="00664C71"/>
    <w:rsid w:val="006665D2"/>
    <w:rsid w:val="00666AC5"/>
    <w:rsid w:val="00670FEB"/>
    <w:rsid w:val="00671113"/>
    <w:rsid w:val="00671B77"/>
    <w:rsid w:val="00672B6E"/>
    <w:rsid w:val="00673938"/>
    <w:rsid w:val="006749F9"/>
    <w:rsid w:val="00675F0E"/>
    <w:rsid w:val="006762E0"/>
    <w:rsid w:val="00676A64"/>
    <w:rsid w:val="00677104"/>
    <w:rsid w:val="006805AA"/>
    <w:rsid w:val="006806D3"/>
    <w:rsid w:val="00680776"/>
    <w:rsid w:val="0068109B"/>
    <w:rsid w:val="006814C5"/>
    <w:rsid w:val="00682CC4"/>
    <w:rsid w:val="0068428B"/>
    <w:rsid w:val="00684601"/>
    <w:rsid w:val="0068596E"/>
    <w:rsid w:val="006868F1"/>
    <w:rsid w:val="00686EE9"/>
    <w:rsid w:val="006921EF"/>
    <w:rsid w:val="00692767"/>
    <w:rsid w:val="00692894"/>
    <w:rsid w:val="006931E1"/>
    <w:rsid w:val="0069324F"/>
    <w:rsid w:val="00693A4C"/>
    <w:rsid w:val="00693E30"/>
    <w:rsid w:val="00694D70"/>
    <w:rsid w:val="00695ED4"/>
    <w:rsid w:val="00696C02"/>
    <w:rsid w:val="00697642"/>
    <w:rsid w:val="00697849"/>
    <w:rsid w:val="006A02AF"/>
    <w:rsid w:val="006A125B"/>
    <w:rsid w:val="006A1DB5"/>
    <w:rsid w:val="006A1E43"/>
    <w:rsid w:val="006A33CA"/>
    <w:rsid w:val="006A4782"/>
    <w:rsid w:val="006A588D"/>
    <w:rsid w:val="006A5F43"/>
    <w:rsid w:val="006A7836"/>
    <w:rsid w:val="006A7A79"/>
    <w:rsid w:val="006A7F90"/>
    <w:rsid w:val="006B0875"/>
    <w:rsid w:val="006B13BA"/>
    <w:rsid w:val="006B34D5"/>
    <w:rsid w:val="006B3C37"/>
    <w:rsid w:val="006B440E"/>
    <w:rsid w:val="006B45A2"/>
    <w:rsid w:val="006B62FF"/>
    <w:rsid w:val="006B6541"/>
    <w:rsid w:val="006B6C7D"/>
    <w:rsid w:val="006C2466"/>
    <w:rsid w:val="006C2C87"/>
    <w:rsid w:val="006C425A"/>
    <w:rsid w:val="006C4477"/>
    <w:rsid w:val="006C4CC9"/>
    <w:rsid w:val="006C50FE"/>
    <w:rsid w:val="006C5A93"/>
    <w:rsid w:val="006C6B1E"/>
    <w:rsid w:val="006C73B2"/>
    <w:rsid w:val="006C7AD0"/>
    <w:rsid w:val="006C7EDA"/>
    <w:rsid w:val="006D035F"/>
    <w:rsid w:val="006D060F"/>
    <w:rsid w:val="006D0863"/>
    <w:rsid w:val="006D11E1"/>
    <w:rsid w:val="006D1FC3"/>
    <w:rsid w:val="006D2FCD"/>
    <w:rsid w:val="006D3051"/>
    <w:rsid w:val="006D3A58"/>
    <w:rsid w:val="006D3E93"/>
    <w:rsid w:val="006D41EF"/>
    <w:rsid w:val="006D4C54"/>
    <w:rsid w:val="006D4EE4"/>
    <w:rsid w:val="006D594F"/>
    <w:rsid w:val="006E0BD5"/>
    <w:rsid w:val="006E2E86"/>
    <w:rsid w:val="006E2F8A"/>
    <w:rsid w:val="006E3530"/>
    <w:rsid w:val="006E40D2"/>
    <w:rsid w:val="006E4768"/>
    <w:rsid w:val="006E5126"/>
    <w:rsid w:val="006E53E0"/>
    <w:rsid w:val="006E6667"/>
    <w:rsid w:val="006E7105"/>
    <w:rsid w:val="006E723B"/>
    <w:rsid w:val="006E7E0E"/>
    <w:rsid w:val="006E7F0F"/>
    <w:rsid w:val="006F098F"/>
    <w:rsid w:val="006F0A7F"/>
    <w:rsid w:val="006F0E86"/>
    <w:rsid w:val="006F1E81"/>
    <w:rsid w:val="006F3CBE"/>
    <w:rsid w:val="006F4E65"/>
    <w:rsid w:val="006F6075"/>
    <w:rsid w:val="006F6E0C"/>
    <w:rsid w:val="006F706C"/>
    <w:rsid w:val="007023CD"/>
    <w:rsid w:val="00702AF1"/>
    <w:rsid w:val="007031EE"/>
    <w:rsid w:val="00704095"/>
    <w:rsid w:val="007054A2"/>
    <w:rsid w:val="00706345"/>
    <w:rsid w:val="00706976"/>
    <w:rsid w:val="00707888"/>
    <w:rsid w:val="00707E55"/>
    <w:rsid w:val="00710403"/>
    <w:rsid w:val="00710BDB"/>
    <w:rsid w:val="00714615"/>
    <w:rsid w:val="00714D7F"/>
    <w:rsid w:val="007155E5"/>
    <w:rsid w:val="00716C04"/>
    <w:rsid w:val="00720364"/>
    <w:rsid w:val="00720C42"/>
    <w:rsid w:val="00721084"/>
    <w:rsid w:val="007222FC"/>
    <w:rsid w:val="0072254B"/>
    <w:rsid w:val="00722798"/>
    <w:rsid w:val="00722C39"/>
    <w:rsid w:val="0072327A"/>
    <w:rsid w:val="007233CD"/>
    <w:rsid w:val="00723549"/>
    <w:rsid w:val="00723604"/>
    <w:rsid w:val="0072435E"/>
    <w:rsid w:val="00724640"/>
    <w:rsid w:val="0072465C"/>
    <w:rsid w:val="00724896"/>
    <w:rsid w:val="00724F23"/>
    <w:rsid w:val="00725A8D"/>
    <w:rsid w:val="00731028"/>
    <w:rsid w:val="0073153F"/>
    <w:rsid w:val="00732319"/>
    <w:rsid w:val="00736112"/>
    <w:rsid w:val="0073740C"/>
    <w:rsid w:val="007405A7"/>
    <w:rsid w:val="00742FFA"/>
    <w:rsid w:val="00743288"/>
    <w:rsid w:val="00743B9F"/>
    <w:rsid w:val="0074489E"/>
    <w:rsid w:val="00746A00"/>
    <w:rsid w:val="00746B0E"/>
    <w:rsid w:val="007473CA"/>
    <w:rsid w:val="00747F91"/>
    <w:rsid w:val="007504B0"/>
    <w:rsid w:val="007513BB"/>
    <w:rsid w:val="00751B8E"/>
    <w:rsid w:val="00752113"/>
    <w:rsid w:val="00752396"/>
    <w:rsid w:val="007528F1"/>
    <w:rsid w:val="00755327"/>
    <w:rsid w:val="00756125"/>
    <w:rsid w:val="00756C2D"/>
    <w:rsid w:val="007570A4"/>
    <w:rsid w:val="0075737C"/>
    <w:rsid w:val="00757764"/>
    <w:rsid w:val="00757DD9"/>
    <w:rsid w:val="00757E04"/>
    <w:rsid w:val="0076055A"/>
    <w:rsid w:val="00761160"/>
    <w:rsid w:val="00763AA2"/>
    <w:rsid w:val="00765070"/>
    <w:rsid w:val="007656B6"/>
    <w:rsid w:val="00766C83"/>
    <w:rsid w:val="00766CB8"/>
    <w:rsid w:val="0076701C"/>
    <w:rsid w:val="007670A0"/>
    <w:rsid w:val="00767ECB"/>
    <w:rsid w:val="0077067C"/>
    <w:rsid w:val="00770E40"/>
    <w:rsid w:val="007711AF"/>
    <w:rsid w:val="007735F3"/>
    <w:rsid w:val="00773D2A"/>
    <w:rsid w:val="0077419E"/>
    <w:rsid w:val="00774D41"/>
    <w:rsid w:val="00774E9F"/>
    <w:rsid w:val="00775ED1"/>
    <w:rsid w:val="007768B7"/>
    <w:rsid w:val="007771C0"/>
    <w:rsid w:val="00777BD7"/>
    <w:rsid w:val="00780851"/>
    <w:rsid w:val="00780B46"/>
    <w:rsid w:val="00782AB5"/>
    <w:rsid w:val="00782E34"/>
    <w:rsid w:val="00783371"/>
    <w:rsid w:val="007848E4"/>
    <w:rsid w:val="00784F71"/>
    <w:rsid w:val="007850AF"/>
    <w:rsid w:val="00786B08"/>
    <w:rsid w:val="00787633"/>
    <w:rsid w:val="00787F23"/>
    <w:rsid w:val="007900E3"/>
    <w:rsid w:val="0079221C"/>
    <w:rsid w:val="007929D4"/>
    <w:rsid w:val="0079394C"/>
    <w:rsid w:val="00793A5A"/>
    <w:rsid w:val="00794DC1"/>
    <w:rsid w:val="00794E1E"/>
    <w:rsid w:val="00796573"/>
    <w:rsid w:val="007A1AF0"/>
    <w:rsid w:val="007A2DF5"/>
    <w:rsid w:val="007A37C0"/>
    <w:rsid w:val="007A5750"/>
    <w:rsid w:val="007A592F"/>
    <w:rsid w:val="007A6CB2"/>
    <w:rsid w:val="007A6CF3"/>
    <w:rsid w:val="007B1ABB"/>
    <w:rsid w:val="007B1DE5"/>
    <w:rsid w:val="007B22FC"/>
    <w:rsid w:val="007B2C93"/>
    <w:rsid w:val="007B2F63"/>
    <w:rsid w:val="007B3741"/>
    <w:rsid w:val="007B3C46"/>
    <w:rsid w:val="007B4172"/>
    <w:rsid w:val="007B5115"/>
    <w:rsid w:val="007B7877"/>
    <w:rsid w:val="007C146D"/>
    <w:rsid w:val="007C1C02"/>
    <w:rsid w:val="007C39BB"/>
    <w:rsid w:val="007C3AEA"/>
    <w:rsid w:val="007C3F39"/>
    <w:rsid w:val="007C4590"/>
    <w:rsid w:val="007C48EC"/>
    <w:rsid w:val="007C4B6E"/>
    <w:rsid w:val="007C5277"/>
    <w:rsid w:val="007C5A4D"/>
    <w:rsid w:val="007C663C"/>
    <w:rsid w:val="007C675F"/>
    <w:rsid w:val="007C6D41"/>
    <w:rsid w:val="007C6E08"/>
    <w:rsid w:val="007C7063"/>
    <w:rsid w:val="007C7095"/>
    <w:rsid w:val="007D23D5"/>
    <w:rsid w:val="007D3305"/>
    <w:rsid w:val="007D3354"/>
    <w:rsid w:val="007D66B6"/>
    <w:rsid w:val="007D6980"/>
    <w:rsid w:val="007D6A11"/>
    <w:rsid w:val="007D6BBF"/>
    <w:rsid w:val="007D7815"/>
    <w:rsid w:val="007E0308"/>
    <w:rsid w:val="007E10D4"/>
    <w:rsid w:val="007E134B"/>
    <w:rsid w:val="007E1358"/>
    <w:rsid w:val="007E35F5"/>
    <w:rsid w:val="007E398A"/>
    <w:rsid w:val="007E49A5"/>
    <w:rsid w:val="007E5C59"/>
    <w:rsid w:val="007E6732"/>
    <w:rsid w:val="007E6812"/>
    <w:rsid w:val="007F1806"/>
    <w:rsid w:val="007F1AD2"/>
    <w:rsid w:val="007F2260"/>
    <w:rsid w:val="007F275B"/>
    <w:rsid w:val="007F340D"/>
    <w:rsid w:val="007F55D8"/>
    <w:rsid w:val="007F68F1"/>
    <w:rsid w:val="007F6FD9"/>
    <w:rsid w:val="00802AB7"/>
    <w:rsid w:val="00802ADB"/>
    <w:rsid w:val="008030BB"/>
    <w:rsid w:val="00803673"/>
    <w:rsid w:val="00803DB4"/>
    <w:rsid w:val="008049CA"/>
    <w:rsid w:val="00805B5F"/>
    <w:rsid w:val="00806651"/>
    <w:rsid w:val="008102A4"/>
    <w:rsid w:val="00810A63"/>
    <w:rsid w:val="008127FB"/>
    <w:rsid w:val="00813C2D"/>
    <w:rsid w:val="008140D5"/>
    <w:rsid w:val="00814313"/>
    <w:rsid w:val="00816456"/>
    <w:rsid w:val="00816D7F"/>
    <w:rsid w:val="00820217"/>
    <w:rsid w:val="00820393"/>
    <w:rsid w:val="00822683"/>
    <w:rsid w:val="0082386F"/>
    <w:rsid w:val="008247F7"/>
    <w:rsid w:val="00825F3B"/>
    <w:rsid w:val="008265DF"/>
    <w:rsid w:val="0082664A"/>
    <w:rsid w:val="0082739E"/>
    <w:rsid w:val="008274B2"/>
    <w:rsid w:val="00827C9A"/>
    <w:rsid w:val="0083005B"/>
    <w:rsid w:val="00830E92"/>
    <w:rsid w:val="00831EFB"/>
    <w:rsid w:val="00834797"/>
    <w:rsid w:val="00834ED2"/>
    <w:rsid w:val="00835729"/>
    <w:rsid w:val="00836D21"/>
    <w:rsid w:val="008379BC"/>
    <w:rsid w:val="00837A6C"/>
    <w:rsid w:val="008447B3"/>
    <w:rsid w:val="00845329"/>
    <w:rsid w:val="008462BD"/>
    <w:rsid w:val="0084680F"/>
    <w:rsid w:val="0084710D"/>
    <w:rsid w:val="00850CE8"/>
    <w:rsid w:val="00851369"/>
    <w:rsid w:val="00851580"/>
    <w:rsid w:val="00853AD5"/>
    <w:rsid w:val="00853F4B"/>
    <w:rsid w:val="00853FD9"/>
    <w:rsid w:val="008543C5"/>
    <w:rsid w:val="008552CC"/>
    <w:rsid w:val="008564B4"/>
    <w:rsid w:val="00856CB6"/>
    <w:rsid w:val="008576D4"/>
    <w:rsid w:val="00860794"/>
    <w:rsid w:val="0086326D"/>
    <w:rsid w:val="00863DFE"/>
    <w:rsid w:val="0086486F"/>
    <w:rsid w:val="00865587"/>
    <w:rsid w:val="00865972"/>
    <w:rsid w:val="008666EE"/>
    <w:rsid w:val="008676A8"/>
    <w:rsid w:val="0086791D"/>
    <w:rsid w:val="00867B43"/>
    <w:rsid w:val="0087140E"/>
    <w:rsid w:val="00872BE9"/>
    <w:rsid w:val="00874A10"/>
    <w:rsid w:val="00875110"/>
    <w:rsid w:val="00875C33"/>
    <w:rsid w:val="008768FE"/>
    <w:rsid w:val="00877133"/>
    <w:rsid w:val="00877340"/>
    <w:rsid w:val="00880158"/>
    <w:rsid w:val="00881E52"/>
    <w:rsid w:val="0088401B"/>
    <w:rsid w:val="00884C14"/>
    <w:rsid w:val="00886543"/>
    <w:rsid w:val="00886B85"/>
    <w:rsid w:val="00890B74"/>
    <w:rsid w:val="008920F8"/>
    <w:rsid w:val="008932F7"/>
    <w:rsid w:val="008933A5"/>
    <w:rsid w:val="00893ABC"/>
    <w:rsid w:val="00893E29"/>
    <w:rsid w:val="008948F9"/>
    <w:rsid w:val="00894F80"/>
    <w:rsid w:val="00895AB4"/>
    <w:rsid w:val="00895B63"/>
    <w:rsid w:val="008964E6"/>
    <w:rsid w:val="00897511"/>
    <w:rsid w:val="0089794B"/>
    <w:rsid w:val="00897EC5"/>
    <w:rsid w:val="008A0333"/>
    <w:rsid w:val="008A0399"/>
    <w:rsid w:val="008A0429"/>
    <w:rsid w:val="008A0AF3"/>
    <w:rsid w:val="008A0C4C"/>
    <w:rsid w:val="008A13F7"/>
    <w:rsid w:val="008A1A26"/>
    <w:rsid w:val="008A25F6"/>
    <w:rsid w:val="008A270E"/>
    <w:rsid w:val="008A2C18"/>
    <w:rsid w:val="008A2C8C"/>
    <w:rsid w:val="008A5576"/>
    <w:rsid w:val="008A7845"/>
    <w:rsid w:val="008B0352"/>
    <w:rsid w:val="008B2B59"/>
    <w:rsid w:val="008B2D0B"/>
    <w:rsid w:val="008B4241"/>
    <w:rsid w:val="008B472A"/>
    <w:rsid w:val="008B4B32"/>
    <w:rsid w:val="008B6E84"/>
    <w:rsid w:val="008B6EF5"/>
    <w:rsid w:val="008B7649"/>
    <w:rsid w:val="008B7C26"/>
    <w:rsid w:val="008C0269"/>
    <w:rsid w:val="008C46DD"/>
    <w:rsid w:val="008C7B4F"/>
    <w:rsid w:val="008C7D13"/>
    <w:rsid w:val="008D01EF"/>
    <w:rsid w:val="008D248D"/>
    <w:rsid w:val="008D3950"/>
    <w:rsid w:val="008D5759"/>
    <w:rsid w:val="008D6106"/>
    <w:rsid w:val="008D6B53"/>
    <w:rsid w:val="008D7438"/>
    <w:rsid w:val="008E0021"/>
    <w:rsid w:val="008E0E30"/>
    <w:rsid w:val="008E4492"/>
    <w:rsid w:val="008E4657"/>
    <w:rsid w:val="008E4A2C"/>
    <w:rsid w:val="008E5A71"/>
    <w:rsid w:val="008E5DEC"/>
    <w:rsid w:val="008E6B7E"/>
    <w:rsid w:val="008E6D8C"/>
    <w:rsid w:val="008E70C9"/>
    <w:rsid w:val="008F0054"/>
    <w:rsid w:val="008F081A"/>
    <w:rsid w:val="008F0A0A"/>
    <w:rsid w:val="008F0EC8"/>
    <w:rsid w:val="008F1985"/>
    <w:rsid w:val="008F2804"/>
    <w:rsid w:val="008F3F99"/>
    <w:rsid w:val="008F5A54"/>
    <w:rsid w:val="008F6ED9"/>
    <w:rsid w:val="008F726E"/>
    <w:rsid w:val="008F7587"/>
    <w:rsid w:val="009006E7"/>
    <w:rsid w:val="00901D6A"/>
    <w:rsid w:val="00901E91"/>
    <w:rsid w:val="00902A1A"/>
    <w:rsid w:val="00902CC7"/>
    <w:rsid w:val="0090344B"/>
    <w:rsid w:val="0090586D"/>
    <w:rsid w:val="009059EF"/>
    <w:rsid w:val="00905C2F"/>
    <w:rsid w:val="009067EA"/>
    <w:rsid w:val="00906A7E"/>
    <w:rsid w:val="009114FE"/>
    <w:rsid w:val="009117C3"/>
    <w:rsid w:val="00912244"/>
    <w:rsid w:val="00912454"/>
    <w:rsid w:val="00912E4C"/>
    <w:rsid w:val="009143CC"/>
    <w:rsid w:val="00914BE1"/>
    <w:rsid w:val="0091550A"/>
    <w:rsid w:val="00917381"/>
    <w:rsid w:val="00917CEA"/>
    <w:rsid w:val="009228E8"/>
    <w:rsid w:val="009254F2"/>
    <w:rsid w:val="00926332"/>
    <w:rsid w:val="0092668E"/>
    <w:rsid w:val="00926822"/>
    <w:rsid w:val="0092757D"/>
    <w:rsid w:val="00930805"/>
    <w:rsid w:val="009320E6"/>
    <w:rsid w:val="009325C3"/>
    <w:rsid w:val="0093275B"/>
    <w:rsid w:val="009347A7"/>
    <w:rsid w:val="009348C6"/>
    <w:rsid w:val="00934A49"/>
    <w:rsid w:val="00935B28"/>
    <w:rsid w:val="009378E4"/>
    <w:rsid w:val="00937DEF"/>
    <w:rsid w:val="009416BE"/>
    <w:rsid w:val="00941DAC"/>
    <w:rsid w:val="00942D64"/>
    <w:rsid w:val="00944B23"/>
    <w:rsid w:val="009454E5"/>
    <w:rsid w:val="009465D2"/>
    <w:rsid w:val="00946E1E"/>
    <w:rsid w:val="00950888"/>
    <w:rsid w:val="00952AED"/>
    <w:rsid w:val="00952DE7"/>
    <w:rsid w:val="00953118"/>
    <w:rsid w:val="00953D75"/>
    <w:rsid w:val="00953DA9"/>
    <w:rsid w:val="009548F1"/>
    <w:rsid w:val="00956023"/>
    <w:rsid w:val="009560A3"/>
    <w:rsid w:val="00956237"/>
    <w:rsid w:val="0095700E"/>
    <w:rsid w:val="009573B5"/>
    <w:rsid w:val="00957E4C"/>
    <w:rsid w:val="00960BFF"/>
    <w:rsid w:val="00961A3A"/>
    <w:rsid w:val="00962546"/>
    <w:rsid w:val="009660F1"/>
    <w:rsid w:val="00970EF6"/>
    <w:rsid w:val="0097308A"/>
    <w:rsid w:val="00973D33"/>
    <w:rsid w:val="0097400F"/>
    <w:rsid w:val="009742F6"/>
    <w:rsid w:val="00974530"/>
    <w:rsid w:val="0097504C"/>
    <w:rsid w:val="009761E6"/>
    <w:rsid w:val="00976E9D"/>
    <w:rsid w:val="009770F1"/>
    <w:rsid w:val="00977C81"/>
    <w:rsid w:val="00980046"/>
    <w:rsid w:val="00980401"/>
    <w:rsid w:val="00982B80"/>
    <w:rsid w:val="00982C1C"/>
    <w:rsid w:val="009840C8"/>
    <w:rsid w:val="009840E5"/>
    <w:rsid w:val="00985276"/>
    <w:rsid w:val="009855D0"/>
    <w:rsid w:val="00986398"/>
    <w:rsid w:val="009863CE"/>
    <w:rsid w:val="00987747"/>
    <w:rsid w:val="009877C9"/>
    <w:rsid w:val="00987824"/>
    <w:rsid w:val="009878BA"/>
    <w:rsid w:val="00987C0F"/>
    <w:rsid w:val="00987FA5"/>
    <w:rsid w:val="009928B8"/>
    <w:rsid w:val="0099307E"/>
    <w:rsid w:val="0099342F"/>
    <w:rsid w:val="00993768"/>
    <w:rsid w:val="0099436F"/>
    <w:rsid w:val="009949AB"/>
    <w:rsid w:val="009949B1"/>
    <w:rsid w:val="00994CCD"/>
    <w:rsid w:val="009958CC"/>
    <w:rsid w:val="009A18A8"/>
    <w:rsid w:val="009A3C79"/>
    <w:rsid w:val="009A3E15"/>
    <w:rsid w:val="009A4332"/>
    <w:rsid w:val="009A4E7C"/>
    <w:rsid w:val="009A5033"/>
    <w:rsid w:val="009A5493"/>
    <w:rsid w:val="009A5AB5"/>
    <w:rsid w:val="009A7E42"/>
    <w:rsid w:val="009B008E"/>
    <w:rsid w:val="009B08A6"/>
    <w:rsid w:val="009B1F45"/>
    <w:rsid w:val="009B2621"/>
    <w:rsid w:val="009B2DC2"/>
    <w:rsid w:val="009B3B75"/>
    <w:rsid w:val="009B475C"/>
    <w:rsid w:val="009B6505"/>
    <w:rsid w:val="009B6885"/>
    <w:rsid w:val="009B79EB"/>
    <w:rsid w:val="009B7BF5"/>
    <w:rsid w:val="009C04B6"/>
    <w:rsid w:val="009C0C38"/>
    <w:rsid w:val="009C0CC1"/>
    <w:rsid w:val="009C16CB"/>
    <w:rsid w:val="009C1809"/>
    <w:rsid w:val="009C1E82"/>
    <w:rsid w:val="009C279A"/>
    <w:rsid w:val="009C29DC"/>
    <w:rsid w:val="009C3867"/>
    <w:rsid w:val="009C5017"/>
    <w:rsid w:val="009C515A"/>
    <w:rsid w:val="009C515D"/>
    <w:rsid w:val="009C641F"/>
    <w:rsid w:val="009C693D"/>
    <w:rsid w:val="009C69BF"/>
    <w:rsid w:val="009C7E14"/>
    <w:rsid w:val="009D347F"/>
    <w:rsid w:val="009D3D95"/>
    <w:rsid w:val="009D515E"/>
    <w:rsid w:val="009D585A"/>
    <w:rsid w:val="009D6A7F"/>
    <w:rsid w:val="009D6B64"/>
    <w:rsid w:val="009D6B9A"/>
    <w:rsid w:val="009D6CB5"/>
    <w:rsid w:val="009D70AF"/>
    <w:rsid w:val="009D7B0E"/>
    <w:rsid w:val="009D7C12"/>
    <w:rsid w:val="009D7DC3"/>
    <w:rsid w:val="009E15A9"/>
    <w:rsid w:val="009E1863"/>
    <w:rsid w:val="009E259A"/>
    <w:rsid w:val="009E28E5"/>
    <w:rsid w:val="009E4E3C"/>
    <w:rsid w:val="009E59F4"/>
    <w:rsid w:val="009E6AD8"/>
    <w:rsid w:val="009E711E"/>
    <w:rsid w:val="009E731B"/>
    <w:rsid w:val="009E7FA4"/>
    <w:rsid w:val="009F0301"/>
    <w:rsid w:val="009F10A8"/>
    <w:rsid w:val="009F1CC4"/>
    <w:rsid w:val="009F2439"/>
    <w:rsid w:val="009F25EC"/>
    <w:rsid w:val="009F47D4"/>
    <w:rsid w:val="009F5CF6"/>
    <w:rsid w:val="009F6EED"/>
    <w:rsid w:val="009F78F9"/>
    <w:rsid w:val="009F7B30"/>
    <w:rsid w:val="00A000E0"/>
    <w:rsid w:val="00A0014B"/>
    <w:rsid w:val="00A0046A"/>
    <w:rsid w:val="00A008FD"/>
    <w:rsid w:val="00A0134D"/>
    <w:rsid w:val="00A0181B"/>
    <w:rsid w:val="00A029E8"/>
    <w:rsid w:val="00A02C2F"/>
    <w:rsid w:val="00A03745"/>
    <w:rsid w:val="00A0411E"/>
    <w:rsid w:val="00A04306"/>
    <w:rsid w:val="00A051C8"/>
    <w:rsid w:val="00A07237"/>
    <w:rsid w:val="00A075D9"/>
    <w:rsid w:val="00A1059D"/>
    <w:rsid w:val="00A105CF"/>
    <w:rsid w:val="00A14DFB"/>
    <w:rsid w:val="00A16728"/>
    <w:rsid w:val="00A20C76"/>
    <w:rsid w:val="00A217CA"/>
    <w:rsid w:val="00A218AC"/>
    <w:rsid w:val="00A21FD6"/>
    <w:rsid w:val="00A22B4F"/>
    <w:rsid w:val="00A22E33"/>
    <w:rsid w:val="00A22FE8"/>
    <w:rsid w:val="00A231C2"/>
    <w:rsid w:val="00A235C2"/>
    <w:rsid w:val="00A23D3F"/>
    <w:rsid w:val="00A24F50"/>
    <w:rsid w:val="00A254B0"/>
    <w:rsid w:val="00A26333"/>
    <w:rsid w:val="00A26DCC"/>
    <w:rsid w:val="00A26DDC"/>
    <w:rsid w:val="00A309A6"/>
    <w:rsid w:val="00A30D02"/>
    <w:rsid w:val="00A33214"/>
    <w:rsid w:val="00A33622"/>
    <w:rsid w:val="00A3362E"/>
    <w:rsid w:val="00A33E9E"/>
    <w:rsid w:val="00A345F7"/>
    <w:rsid w:val="00A3522D"/>
    <w:rsid w:val="00A3528A"/>
    <w:rsid w:val="00A35E4B"/>
    <w:rsid w:val="00A36E38"/>
    <w:rsid w:val="00A37126"/>
    <w:rsid w:val="00A37888"/>
    <w:rsid w:val="00A4134F"/>
    <w:rsid w:val="00A4149C"/>
    <w:rsid w:val="00A415B0"/>
    <w:rsid w:val="00A420B3"/>
    <w:rsid w:val="00A4224D"/>
    <w:rsid w:val="00A4280B"/>
    <w:rsid w:val="00A43918"/>
    <w:rsid w:val="00A43A88"/>
    <w:rsid w:val="00A44A80"/>
    <w:rsid w:val="00A50262"/>
    <w:rsid w:val="00A50F99"/>
    <w:rsid w:val="00A52D3A"/>
    <w:rsid w:val="00A53FE2"/>
    <w:rsid w:val="00A54D59"/>
    <w:rsid w:val="00A55A80"/>
    <w:rsid w:val="00A5658E"/>
    <w:rsid w:val="00A5674B"/>
    <w:rsid w:val="00A56F59"/>
    <w:rsid w:val="00A57562"/>
    <w:rsid w:val="00A57AEA"/>
    <w:rsid w:val="00A601D8"/>
    <w:rsid w:val="00A60D31"/>
    <w:rsid w:val="00A61482"/>
    <w:rsid w:val="00A61D70"/>
    <w:rsid w:val="00A61EA1"/>
    <w:rsid w:val="00A620AD"/>
    <w:rsid w:val="00A62966"/>
    <w:rsid w:val="00A62E61"/>
    <w:rsid w:val="00A632CF"/>
    <w:rsid w:val="00A6571E"/>
    <w:rsid w:val="00A660B5"/>
    <w:rsid w:val="00A665D5"/>
    <w:rsid w:val="00A66628"/>
    <w:rsid w:val="00A66AD0"/>
    <w:rsid w:val="00A670D6"/>
    <w:rsid w:val="00A67838"/>
    <w:rsid w:val="00A7062D"/>
    <w:rsid w:val="00A7202E"/>
    <w:rsid w:val="00A74D45"/>
    <w:rsid w:val="00A7534D"/>
    <w:rsid w:val="00A753D8"/>
    <w:rsid w:val="00A83B9B"/>
    <w:rsid w:val="00A841B3"/>
    <w:rsid w:val="00A85929"/>
    <w:rsid w:val="00A85E6C"/>
    <w:rsid w:val="00A8683C"/>
    <w:rsid w:val="00A87315"/>
    <w:rsid w:val="00A87A4E"/>
    <w:rsid w:val="00A87B18"/>
    <w:rsid w:val="00A87E7B"/>
    <w:rsid w:val="00A90FFB"/>
    <w:rsid w:val="00A91E5F"/>
    <w:rsid w:val="00A924A9"/>
    <w:rsid w:val="00A924BD"/>
    <w:rsid w:val="00A941C6"/>
    <w:rsid w:val="00A9445F"/>
    <w:rsid w:val="00A956F1"/>
    <w:rsid w:val="00A95C0C"/>
    <w:rsid w:val="00A95C1F"/>
    <w:rsid w:val="00A95CC0"/>
    <w:rsid w:val="00A968E5"/>
    <w:rsid w:val="00A97905"/>
    <w:rsid w:val="00AA04FA"/>
    <w:rsid w:val="00AA0FA8"/>
    <w:rsid w:val="00AA1CF1"/>
    <w:rsid w:val="00AA2506"/>
    <w:rsid w:val="00AA2791"/>
    <w:rsid w:val="00AA2F5C"/>
    <w:rsid w:val="00AA356D"/>
    <w:rsid w:val="00AA447D"/>
    <w:rsid w:val="00AA44F5"/>
    <w:rsid w:val="00AA5961"/>
    <w:rsid w:val="00AA6B0B"/>
    <w:rsid w:val="00AA7C37"/>
    <w:rsid w:val="00AA7ECD"/>
    <w:rsid w:val="00AB00AC"/>
    <w:rsid w:val="00AB1CD7"/>
    <w:rsid w:val="00AB3693"/>
    <w:rsid w:val="00AB40F4"/>
    <w:rsid w:val="00AB43D2"/>
    <w:rsid w:val="00AB4B5F"/>
    <w:rsid w:val="00AB4DD9"/>
    <w:rsid w:val="00AB6264"/>
    <w:rsid w:val="00AB7D23"/>
    <w:rsid w:val="00AC14AB"/>
    <w:rsid w:val="00AC1E3A"/>
    <w:rsid w:val="00AC29A5"/>
    <w:rsid w:val="00AC3411"/>
    <w:rsid w:val="00AC3848"/>
    <w:rsid w:val="00AC459E"/>
    <w:rsid w:val="00AC57A6"/>
    <w:rsid w:val="00AC63C7"/>
    <w:rsid w:val="00AC7258"/>
    <w:rsid w:val="00AC75BB"/>
    <w:rsid w:val="00AC7B49"/>
    <w:rsid w:val="00AD064A"/>
    <w:rsid w:val="00AD0BD7"/>
    <w:rsid w:val="00AD0F75"/>
    <w:rsid w:val="00AD1344"/>
    <w:rsid w:val="00AD17E7"/>
    <w:rsid w:val="00AD1C10"/>
    <w:rsid w:val="00AD1C24"/>
    <w:rsid w:val="00AD35E4"/>
    <w:rsid w:val="00AD4E62"/>
    <w:rsid w:val="00AD5098"/>
    <w:rsid w:val="00AD53F7"/>
    <w:rsid w:val="00AD6A33"/>
    <w:rsid w:val="00AD757E"/>
    <w:rsid w:val="00AE0704"/>
    <w:rsid w:val="00AE1CA8"/>
    <w:rsid w:val="00AE203B"/>
    <w:rsid w:val="00AE21FD"/>
    <w:rsid w:val="00AE394B"/>
    <w:rsid w:val="00AE5984"/>
    <w:rsid w:val="00AE5AA1"/>
    <w:rsid w:val="00AE5BAD"/>
    <w:rsid w:val="00AE63D5"/>
    <w:rsid w:val="00AE6503"/>
    <w:rsid w:val="00AF0991"/>
    <w:rsid w:val="00AF0EDA"/>
    <w:rsid w:val="00AF2640"/>
    <w:rsid w:val="00AF2836"/>
    <w:rsid w:val="00AF2C0C"/>
    <w:rsid w:val="00AF3136"/>
    <w:rsid w:val="00AF38AB"/>
    <w:rsid w:val="00AF38CE"/>
    <w:rsid w:val="00AF40BE"/>
    <w:rsid w:val="00AF411B"/>
    <w:rsid w:val="00AF693F"/>
    <w:rsid w:val="00AF78A6"/>
    <w:rsid w:val="00AF7CFC"/>
    <w:rsid w:val="00B007F4"/>
    <w:rsid w:val="00B00CD6"/>
    <w:rsid w:val="00B017C8"/>
    <w:rsid w:val="00B02269"/>
    <w:rsid w:val="00B02442"/>
    <w:rsid w:val="00B05520"/>
    <w:rsid w:val="00B05F0A"/>
    <w:rsid w:val="00B06753"/>
    <w:rsid w:val="00B067A2"/>
    <w:rsid w:val="00B078D0"/>
    <w:rsid w:val="00B079B0"/>
    <w:rsid w:val="00B07B43"/>
    <w:rsid w:val="00B07F2A"/>
    <w:rsid w:val="00B1020D"/>
    <w:rsid w:val="00B10FA3"/>
    <w:rsid w:val="00B1123E"/>
    <w:rsid w:val="00B11A43"/>
    <w:rsid w:val="00B12DA8"/>
    <w:rsid w:val="00B13590"/>
    <w:rsid w:val="00B14A0E"/>
    <w:rsid w:val="00B14F8F"/>
    <w:rsid w:val="00B15C30"/>
    <w:rsid w:val="00B15CB2"/>
    <w:rsid w:val="00B17C2A"/>
    <w:rsid w:val="00B21927"/>
    <w:rsid w:val="00B2201D"/>
    <w:rsid w:val="00B220EF"/>
    <w:rsid w:val="00B22D7A"/>
    <w:rsid w:val="00B23606"/>
    <w:rsid w:val="00B252CF"/>
    <w:rsid w:val="00B2650D"/>
    <w:rsid w:val="00B27128"/>
    <w:rsid w:val="00B27399"/>
    <w:rsid w:val="00B30CD6"/>
    <w:rsid w:val="00B31110"/>
    <w:rsid w:val="00B3120F"/>
    <w:rsid w:val="00B32BD3"/>
    <w:rsid w:val="00B3668D"/>
    <w:rsid w:val="00B4047F"/>
    <w:rsid w:val="00B40E3B"/>
    <w:rsid w:val="00B4141A"/>
    <w:rsid w:val="00B4170E"/>
    <w:rsid w:val="00B42DD1"/>
    <w:rsid w:val="00B43586"/>
    <w:rsid w:val="00B44017"/>
    <w:rsid w:val="00B44BE4"/>
    <w:rsid w:val="00B4590C"/>
    <w:rsid w:val="00B45F43"/>
    <w:rsid w:val="00B46D6C"/>
    <w:rsid w:val="00B5208F"/>
    <w:rsid w:val="00B52D36"/>
    <w:rsid w:val="00B5384E"/>
    <w:rsid w:val="00B53C97"/>
    <w:rsid w:val="00B54D4C"/>
    <w:rsid w:val="00B55495"/>
    <w:rsid w:val="00B60367"/>
    <w:rsid w:val="00B6102F"/>
    <w:rsid w:val="00B615C7"/>
    <w:rsid w:val="00B66CA5"/>
    <w:rsid w:val="00B67229"/>
    <w:rsid w:val="00B70DE4"/>
    <w:rsid w:val="00B711C8"/>
    <w:rsid w:val="00B71250"/>
    <w:rsid w:val="00B72720"/>
    <w:rsid w:val="00B73D93"/>
    <w:rsid w:val="00B7637A"/>
    <w:rsid w:val="00B80EA9"/>
    <w:rsid w:val="00B81278"/>
    <w:rsid w:val="00B816A3"/>
    <w:rsid w:val="00B82F36"/>
    <w:rsid w:val="00B84366"/>
    <w:rsid w:val="00B85CDF"/>
    <w:rsid w:val="00B86F6F"/>
    <w:rsid w:val="00B87842"/>
    <w:rsid w:val="00B900B5"/>
    <w:rsid w:val="00B90743"/>
    <w:rsid w:val="00B910F4"/>
    <w:rsid w:val="00B91BFA"/>
    <w:rsid w:val="00B921DF"/>
    <w:rsid w:val="00B9220F"/>
    <w:rsid w:val="00B92676"/>
    <w:rsid w:val="00B92DD7"/>
    <w:rsid w:val="00B936B5"/>
    <w:rsid w:val="00B93856"/>
    <w:rsid w:val="00B95771"/>
    <w:rsid w:val="00B96036"/>
    <w:rsid w:val="00B963BE"/>
    <w:rsid w:val="00B966E9"/>
    <w:rsid w:val="00B96DF9"/>
    <w:rsid w:val="00B97829"/>
    <w:rsid w:val="00BA09C9"/>
    <w:rsid w:val="00BA1B3B"/>
    <w:rsid w:val="00BA1B4B"/>
    <w:rsid w:val="00BA1C6B"/>
    <w:rsid w:val="00BA1EF1"/>
    <w:rsid w:val="00BA22E1"/>
    <w:rsid w:val="00BA244E"/>
    <w:rsid w:val="00BA38C6"/>
    <w:rsid w:val="00BA5370"/>
    <w:rsid w:val="00BA58E7"/>
    <w:rsid w:val="00BA5F34"/>
    <w:rsid w:val="00BB01AD"/>
    <w:rsid w:val="00BB02C4"/>
    <w:rsid w:val="00BB08B4"/>
    <w:rsid w:val="00BB0B99"/>
    <w:rsid w:val="00BB0F6D"/>
    <w:rsid w:val="00BB296E"/>
    <w:rsid w:val="00BB2CD3"/>
    <w:rsid w:val="00BB3719"/>
    <w:rsid w:val="00BB4CB0"/>
    <w:rsid w:val="00BB54DB"/>
    <w:rsid w:val="00BB5C5B"/>
    <w:rsid w:val="00BB613A"/>
    <w:rsid w:val="00BB65BC"/>
    <w:rsid w:val="00BB6AE5"/>
    <w:rsid w:val="00BB7DBF"/>
    <w:rsid w:val="00BC070A"/>
    <w:rsid w:val="00BC0CBD"/>
    <w:rsid w:val="00BC13B9"/>
    <w:rsid w:val="00BC24FF"/>
    <w:rsid w:val="00BC3085"/>
    <w:rsid w:val="00BC3279"/>
    <w:rsid w:val="00BC4B4C"/>
    <w:rsid w:val="00BC56D4"/>
    <w:rsid w:val="00BC60DE"/>
    <w:rsid w:val="00BC69E3"/>
    <w:rsid w:val="00BC7020"/>
    <w:rsid w:val="00BD025D"/>
    <w:rsid w:val="00BD3667"/>
    <w:rsid w:val="00BD4173"/>
    <w:rsid w:val="00BD5A25"/>
    <w:rsid w:val="00BD610C"/>
    <w:rsid w:val="00BD748D"/>
    <w:rsid w:val="00BD780E"/>
    <w:rsid w:val="00BE022F"/>
    <w:rsid w:val="00BE09C5"/>
    <w:rsid w:val="00BE0C13"/>
    <w:rsid w:val="00BE2215"/>
    <w:rsid w:val="00BE229B"/>
    <w:rsid w:val="00BE2F27"/>
    <w:rsid w:val="00BE345D"/>
    <w:rsid w:val="00BE5CAF"/>
    <w:rsid w:val="00BE63CB"/>
    <w:rsid w:val="00BE6935"/>
    <w:rsid w:val="00BF0A0B"/>
    <w:rsid w:val="00BF0DF9"/>
    <w:rsid w:val="00BF2B52"/>
    <w:rsid w:val="00BF49DA"/>
    <w:rsid w:val="00BF5302"/>
    <w:rsid w:val="00BF5487"/>
    <w:rsid w:val="00BF6F5E"/>
    <w:rsid w:val="00BF7778"/>
    <w:rsid w:val="00C00EE8"/>
    <w:rsid w:val="00C01F53"/>
    <w:rsid w:val="00C057AD"/>
    <w:rsid w:val="00C06128"/>
    <w:rsid w:val="00C06164"/>
    <w:rsid w:val="00C06E35"/>
    <w:rsid w:val="00C075EE"/>
    <w:rsid w:val="00C07787"/>
    <w:rsid w:val="00C079F4"/>
    <w:rsid w:val="00C07DA7"/>
    <w:rsid w:val="00C100D2"/>
    <w:rsid w:val="00C10EF2"/>
    <w:rsid w:val="00C12871"/>
    <w:rsid w:val="00C12F2F"/>
    <w:rsid w:val="00C135F2"/>
    <w:rsid w:val="00C137E0"/>
    <w:rsid w:val="00C14527"/>
    <w:rsid w:val="00C1562E"/>
    <w:rsid w:val="00C15733"/>
    <w:rsid w:val="00C15D44"/>
    <w:rsid w:val="00C166FF"/>
    <w:rsid w:val="00C178FE"/>
    <w:rsid w:val="00C17F79"/>
    <w:rsid w:val="00C20F54"/>
    <w:rsid w:val="00C22BCD"/>
    <w:rsid w:val="00C22ED6"/>
    <w:rsid w:val="00C22EE2"/>
    <w:rsid w:val="00C230BC"/>
    <w:rsid w:val="00C23414"/>
    <w:rsid w:val="00C23BCD"/>
    <w:rsid w:val="00C23E3F"/>
    <w:rsid w:val="00C248D1"/>
    <w:rsid w:val="00C25701"/>
    <w:rsid w:val="00C259E3"/>
    <w:rsid w:val="00C260B9"/>
    <w:rsid w:val="00C27D0E"/>
    <w:rsid w:val="00C31568"/>
    <w:rsid w:val="00C31F9B"/>
    <w:rsid w:val="00C321AE"/>
    <w:rsid w:val="00C3257C"/>
    <w:rsid w:val="00C33E61"/>
    <w:rsid w:val="00C3567C"/>
    <w:rsid w:val="00C357E2"/>
    <w:rsid w:val="00C35931"/>
    <w:rsid w:val="00C36577"/>
    <w:rsid w:val="00C367CD"/>
    <w:rsid w:val="00C4042F"/>
    <w:rsid w:val="00C4054F"/>
    <w:rsid w:val="00C40BC6"/>
    <w:rsid w:val="00C41A20"/>
    <w:rsid w:val="00C43027"/>
    <w:rsid w:val="00C43946"/>
    <w:rsid w:val="00C43B59"/>
    <w:rsid w:val="00C449AF"/>
    <w:rsid w:val="00C44EA8"/>
    <w:rsid w:val="00C450CC"/>
    <w:rsid w:val="00C466CB"/>
    <w:rsid w:val="00C47050"/>
    <w:rsid w:val="00C47CDE"/>
    <w:rsid w:val="00C50FB1"/>
    <w:rsid w:val="00C516A7"/>
    <w:rsid w:val="00C51CA6"/>
    <w:rsid w:val="00C52449"/>
    <w:rsid w:val="00C52A47"/>
    <w:rsid w:val="00C53C43"/>
    <w:rsid w:val="00C54FE0"/>
    <w:rsid w:val="00C55C8C"/>
    <w:rsid w:val="00C57D2F"/>
    <w:rsid w:val="00C638FA"/>
    <w:rsid w:val="00C6531D"/>
    <w:rsid w:val="00C66122"/>
    <w:rsid w:val="00C662AB"/>
    <w:rsid w:val="00C67F6F"/>
    <w:rsid w:val="00C70B9C"/>
    <w:rsid w:val="00C70FFA"/>
    <w:rsid w:val="00C71333"/>
    <w:rsid w:val="00C7152E"/>
    <w:rsid w:val="00C71C04"/>
    <w:rsid w:val="00C73766"/>
    <w:rsid w:val="00C75C4B"/>
    <w:rsid w:val="00C75C9B"/>
    <w:rsid w:val="00C76D4C"/>
    <w:rsid w:val="00C772B7"/>
    <w:rsid w:val="00C77A91"/>
    <w:rsid w:val="00C77FE5"/>
    <w:rsid w:val="00C8097E"/>
    <w:rsid w:val="00C83AAD"/>
    <w:rsid w:val="00C84429"/>
    <w:rsid w:val="00C85839"/>
    <w:rsid w:val="00C85D15"/>
    <w:rsid w:val="00C86647"/>
    <w:rsid w:val="00C87617"/>
    <w:rsid w:val="00C87A48"/>
    <w:rsid w:val="00C9140C"/>
    <w:rsid w:val="00C929EA"/>
    <w:rsid w:val="00C92AC4"/>
    <w:rsid w:val="00C96073"/>
    <w:rsid w:val="00C96622"/>
    <w:rsid w:val="00C97EFE"/>
    <w:rsid w:val="00CA16C2"/>
    <w:rsid w:val="00CA1B41"/>
    <w:rsid w:val="00CA20A3"/>
    <w:rsid w:val="00CA25DF"/>
    <w:rsid w:val="00CA2FE3"/>
    <w:rsid w:val="00CA3D28"/>
    <w:rsid w:val="00CA3DFA"/>
    <w:rsid w:val="00CA4E6C"/>
    <w:rsid w:val="00CA4F8C"/>
    <w:rsid w:val="00CA51F5"/>
    <w:rsid w:val="00CA6D37"/>
    <w:rsid w:val="00CB1375"/>
    <w:rsid w:val="00CB16C3"/>
    <w:rsid w:val="00CB182F"/>
    <w:rsid w:val="00CB1FBB"/>
    <w:rsid w:val="00CB28E8"/>
    <w:rsid w:val="00CB3642"/>
    <w:rsid w:val="00CB36B1"/>
    <w:rsid w:val="00CB384D"/>
    <w:rsid w:val="00CB45FB"/>
    <w:rsid w:val="00CB50FB"/>
    <w:rsid w:val="00CB69C0"/>
    <w:rsid w:val="00CB7667"/>
    <w:rsid w:val="00CC0382"/>
    <w:rsid w:val="00CC121A"/>
    <w:rsid w:val="00CC19AC"/>
    <w:rsid w:val="00CC1D21"/>
    <w:rsid w:val="00CC281A"/>
    <w:rsid w:val="00CC2D92"/>
    <w:rsid w:val="00CC2EE6"/>
    <w:rsid w:val="00CC30A9"/>
    <w:rsid w:val="00CC4227"/>
    <w:rsid w:val="00CC49FC"/>
    <w:rsid w:val="00CC50A9"/>
    <w:rsid w:val="00CC5187"/>
    <w:rsid w:val="00CC5287"/>
    <w:rsid w:val="00CD0C55"/>
    <w:rsid w:val="00CD1232"/>
    <w:rsid w:val="00CD21D3"/>
    <w:rsid w:val="00CD34D3"/>
    <w:rsid w:val="00CD3EF8"/>
    <w:rsid w:val="00CD4156"/>
    <w:rsid w:val="00CD4170"/>
    <w:rsid w:val="00CE0A5C"/>
    <w:rsid w:val="00CE0AD8"/>
    <w:rsid w:val="00CE2DC1"/>
    <w:rsid w:val="00CE40FD"/>
    <w:rsid w:val="00CE45D7"/>
    <w:rsid w:val="00CE4D65"/>
    <w:rsid w:val="00CE5132"/>
    <w:rsid w:val="00CE5A3E"/>
    <w:rsid w:val="00CE5AB3"/>
    <w:rsid w:val="00CE5F7F"/>
    <w:rsid w:val="00CE6194"/>
    <w:rsid w:val="00CF0633"/>
    <w:rsid w:val="00CF0F56"/>
    <w:rsid w:val="00CF111D"/>
    <w:rsid w:val="00CF1A60"/>
    <w:rsid w:val="00CF23DB"/>
    <w:rsid w:val="00CF2F60"/>
    <w:rsid w:val="00CF3C14"/>
    <w:rsid w:val="00CF4546"/>
    <w:rsid w:val="00CF6E8F"/>
    <w:rsid w:val="00CF6F8C"/>
    <w:rsid w:val="00CF75C7"/>
    <w:rsid w:val="00CF7BFE"/>
    <w:rsid w:val="00D02075"/>
    <w:rsid w:val="00D02A37"/>
    <w:rsid w:val="00D02CD1"/>
    <w:rsid w:val="00D03701"/>
    <w:rsid w:val="00D03CA8"/>
    <w:rsid w:val="00D03E0B"/>
    <w:rsid w:val="00D04169"/>
    <w:rsid w:val="00D04D81"/>
    <w:rsid w:val="00D05810"/>
    <w:rsid w:val="00D0638A"/>
    <w:rsid w:val="00D07117"/>
    <w:rsid w:val="00D07F5E"/>
    <w:rsid w:val="00D10291"/>
    <w:rsid w:val="00D102F2"/>
    <w:rsid w:val="00D10D3C"/>
    <w:rsid w:val="00D1191A"/>
    <w:rsid w:val="00D11B90"/>
    <w:rsid w:val="00D12005"/>
    <w:rsid w:val="00D1261B"/>
    <w:rsid w:val="00D13BF2"/>
    <w:rsid w:val="00D1432F"/>
    <w:rsid w:val="00D153B0"/>
    <w:rsid w:val="00D157BC"/>
    <w:rsid w:val="00D165F8"/>
    <w:rsid w:val="00D16948"/>
    <w:rsid w:val="00D201C8"/>
    <w:rsid w:val="00D205EA"/>
    <w:rsid w:val="00D21C83"/>
    <w:rsid w:val="00D22A21"/>
    <w:rsid w:val="00D230D1"/>
    <w:rsid w:val="00D23CDD"/>
    <w:rsid w:val="00D24E6C"/>
    <w:rsid w:val="00D2693F"/>
    <w:rsid w:val="00D272DC"/>
    <w:rsid w:val="00D301B2"/>
    <w:rsid w:val="00D30215"/>
    <w:rsid w:val="00D323A5"/>
    <w:rsid w:val="00D33446"/>
    <w:rsid w:val="00D3414E"/>
    <w:rsid w:val="00D353B6"/>
    <w:rsid w:val="00D35A43"/>
    <w:rsid w:val="00D36ECA"/>
    <w:rsid w:val="00D37A24"/>
    <w:rsid w:val="00D37CCD"/>
    <w:rsid w:val="00D37E6A"/>
    <w:rsid w:val="00D40C78"/>
    <w:rsid w:val="00D41916"/>
    <w:rsid w:val="00D4309E"/>
    <w:rsid w:val="00D43451"/>
    <w:rsid w:val="00D43AC1"/>
    <w:rsid w:val="00D43BA6"/>
    <w:rsid w:val="00D43CE7"/>
    <w:rsid w:val="00D44391"/>
    <w:rsid w:val="00D44FAB"/>
    <w:rsid w:val="00D46861"/>
    <w:rsid w:val="00D46DEE"/>
    <w:rsid w:val="00D47CCB"/>
    <w:rsid w:val="00D47CEE"/>
    <w:rsid w:val="00D47F87"/>
    <w:rsid w:val="00D519B5"/>
    <w:rsid w:val="00D537C5"/>
    <w:rsid w:val="00D54C3A"/>
    <w:rsid w:val="00D54DB6"/>
    <w:rsid w:val="00D5656E"/>
    <w:rsid w:val="00D57052"/>
    <w:rsid w:val="00D61957"/>
    <w:rsid w:val="00D61E0A"/>
    <w:rsid w:val="00D62056"/>
    <w:rsid w:val="00D62186"/>
    <w:rsid w:val="00D6339E"/>
    <w:rsid w:val="00D63DC6"/>
    <w:rsid w:val="00D66928"/>
    <w:rsid w:val="00D66C27"/>
    <w:rsid w:val="00D6781F"/>
    <w:rsid w:val="00D67A4E"/>
    <w:rsid w:val="00D67DE0"/>
    <w:rsid w:val="00D71E80"/>
    <w:rsid w:val="00D722A4"/>
    <w:rsid w:val="00D72C3F"/>
    <w:rsid w:val="00D73375"/>
    <w:rsid w:val="00D74090"/>
    <w:rsid w:val="00D74C55"/>
    <w:rsid w:val="00D74D4D"/>
    <w:rsid w:val="00D8404C"/>
    <w:rsid w:val="00D84483"/>
    <w:rsid w:val="00D84535"/>
    <w:rsid w:val="00D851C4"/>
    <w:rsid w:val="00D863A7"/>
    <w:rsid w:val="00D872D0"/>
    <w:rsid w:val="00D87842"/>
    <w:rsid w:val="00D91817"/>
    <w:rsid w:val="00D918ED"/>
    <w:rsid w:val="00D91A24"/>
    <w:rsid w:val="00D92FCE"/>
    <w:rsid w:val="00D931FA"/>
    <w:rsid w:val="00D94321"/>
    <w:rsid w:val="00D94749"/>
    <w:rsid w:val="00D95AB0"/>
    <w:rsid w:val="00D95F9D"/>
    <w:rsid w:val="00DA0CAE"/>
    <w:rsid w:val="00DA14A4"/>
    <w:rsid w:val="00DA18F0"/>
    <w:rsid w:val="00DA2D7C"/>
    <w:rsid w:val="00DA335A"/>
    <w:rsid w:val="00DA3D6F"/>
    <w:rsid w:val="00DA47F1"/>
    <w:rsid w:val="00DA4C56"/>
    <w:rsid w:val="00DA6C7B"/>
    <w:rsid w:val="00DB1EA8"/>
    <w:rsid w:val="00DB33FB"/>
    <w:rsid w:val="00DB342E"/>
    <w:rsid w:val="00DB45F5"/>
    <w:rsid w:val="00DB489A"/>
    <w:rsid w:val="00DB4E71"/>
    <w:rsid w:val="00DB595C"/>
    <w:rsid w:val="00DB63EE"/>
    <w:rsid w:val="00DB6537"/>
    <w:rsid w:val="00DB6FDA"/>
    <w:rsid w:val="00DB7558"/>
    <w:rsid w:val="00DC1B8F"/>
    <w:rsid w:val="00DC3473"/>
    <w:rsid w:val="00DC4687"/>
    <w:rsid w:val="00DC4981"/>
    <w:rsid w:val="00DC544F"/>
    <w:rsid w:val="00DC5DCA"/>
    <w:rsid w:val="00DC64ED"/>
    <w:rsid w:val="00DC67B6"/>
    <w:rsid w:val="00DC689C"/>
    <w:rsid w:val="00DC7BD3"/>
    <w:rsid w:val="00DD1285"/>
    <w:rsid w:val="00DD3634"/>
    <w:rsid w:val="00DD3DB5"/>
    <w:rsid w:val="00DD4837"/>
    <w:rsid w:val="00DE03F3"/>
    <w:rsid w:val="00DE1878"/>
    <w:rsid w:val="00DE225E"/>
    <w:rsid w:val="00DE3AB6"/>
    <w:rsid w:val="00DE56DD"/>
    <w:rsid w:val="00DE5BA2"/>
    <w:rsid w:val="00DE5D83"/>
    <w:rsid w:val="00DE63E6"/>
    <w:rsid w:val="00DE6C5D"/>
    <w:rsid w:val="00DE78DB"/>
    <w:rsid w:val="00DE7CE0"/>
    <w:rsid w:val="00DF0003"/>
    <w:rsid w:val="00DF0536"/>
    <w:rsid w:val="00DF0F61"/>
    <w:rsid w:val="00DF2CEA"/>
    <w:rsid w:val="00DF3A13"/>
    <w:rsid w:val="00DF3BF9"/>
    <w:rsid w:val="00DF684F"/>
    <w:rsid w:val="00DF6B8A"/>
    <w:rsid w:val="00DF7B92"/>
    <w:rsid w:val="00E03B6B"/>
    <w:rsid w:val="00E04E0C"/>
    <w:rsid w:val="00E0541C"/>
    <w:rsid w:val="00E11A1F"/>
    <w:rsid w:val="00E126E5"/>
    <w:rsid w:val="00E1273C"/>
    <w:rsid w:val="00E12A1B"/>
    <w:rsid w:val="00E12BB6"/>
    <w:rsid w:val="00E12C1A"/>
    <w:rsid w:val="00E1409B"/>
    <w:rsid w:val="00E1421B"/>
    <w:rsid w:val="00E14B1F"/>
    <w:rsid w:val="00E15357"/>
    <w:rsid w:val="00E156B1"/>
    <w:rsid w:val="00E16093"/>
    <w:rsid w:val="00E1611B"/>
    <w:rsid w:val="00E16334"/>
    <w:rsid w:val="00E2010C"/>
    <w:rsid w:val="00E213B9"/>
    <w:rsid w:val="00E213D6"/>
    <w:rsid w:val="00E216D6"/>
    <w:rsid w:val="00E21848"/>
    <w:rsid w:val="00E21C31"/>
    <w:rsid w:val="00E21FBE"/>
    <w:rsid w:val="00E22250"/>
    <w:rsid w:val="00E247B4"/>
    <w:rsid w:val="00E25678"/>
    <w:rsid w:val="00E276E7"/>
    <w:rsid w:val="00E303B1"/>
    <w:rsid w:val="00E30C2F"/>
    <w:rsid w:val="00E3106B"/>
    <w:rsid w:val="00E31F85"/>
    <w:rsid w:val="00E324C3"/>
    <w:rsid w:val="00E3304C"/>
    <w:rsid w:val="00E3343B"/>
    <w:rsid w:val="00E33C03"/>
    <w:rsid w:val="00E342D9"/>
    <w:rsid w:val="00E34C06"/>
    <w:rsid w:val="00E35226"/>
    <w:rsid w:val="00E357F0"/>
    <w:rsid w:val="00E411BD"/>
    <w:rsid w:val="00E416DB"/>
    <w:rsid w:val="00E41FA0"/>
    <w:rsid w:val="00E4202C"/>
    <w:rsid w:val="00E42967"/>
    <w:rsid w:val="00E42A39"/>
    <w:rsid w:val="00E42B60"/>
    <w:rsid w:val="00E42C50"/>
    <w:rsid w:val="00E42DCE"/>
    <w:rsid w:val="00E42E53"/>
    <w:rsid w:val="00E44737"/>
    <w:rsid w:val="00E45065"/>
    <w:rsid w:val="00E46261"/>
    <w:rsid w:val="00E46346"/>
    <w:rsid w:val="00E467D4"/>
    <w:rsid w:val="00E46ADE"/>
    <w:rsid w:val="00E50275"/>
    <w:rsid w:val="00E51381"/>
    <w:rsid w:val="00E52C7B"/>
    <w:rsid w:val="00E52DF7"/>
    <w:rsid w:val="00E53C43"/>
    <w:rsid w:val="00E54C30"/>
    <w:rsid w:val="00E5579E"/>
    <w:rsid w:val="00E55865"/>
    <w:rsid w:val="00E5681D"/>
    <w:rsid w:val="00E569D2"/>
    <w:rsid w:val="00E5779B"/>
    <w:rsid w:val="00E578B1"/>
    <w:rsid w:val="00E579DD"/>
    <w:rsid w:val="00E57F30"/>
    <w:rsid w:val="00E6098A"/>
    <w:rsid w:val="00E61079"/>
    <w:rsid w:val="00E610AA"/>
    <w:rsid w:val="00E614F6"/>
    <w:rsid w:val="00E62D60"/>
    <w:rsid w:val="00E63A8D"/>
    <w:rsid w:val="00E63CC2"/>
    <w:rsid w:val="00E64BE0"/>
    <w:rsid w:val="00E64C63"/>
    <w:rsid w:val="00E66330"/>
    <w:rsid w:val="00E67085"/>
    <w:rsid w:val="00E711B3"/>
    <w:rsid w:val="00E71212"/>
    <w:rsid w:val="00E717DC"/>
    <w:rsid w:val="00E71D9D"/>
    <w:rsid w:val="00E72745"/>
    <w:rsid w:val="00E72C68"/>
    <w:rsid w:val="00E72D7B"/>
    <w:rsid w:val="00E74033"/>
    <w:rsid w:val="00E75712"/>
    <w:rsid w:val="00E75831"/>
    <w:rsid w:val="00E763DD"/>
    <w:rsid w:val="00E76C99"/>
    <w:rsid w:val="00E76F82"/>
    <w:rsid w:val="00E7715E"/>
    <w:rsid w:val="00E7771B"/>
    <w:rsid w:val="00E80B1A"/>
    <w:rsid w:val="00E82ACB"/>
    <w:rsid w:val="00E82FCC"/>
    <w:rsid w:val="00E83DA3"/>
    <w:rsid w:val="00E83E4E"/>
    <w:rsid w:val="00E84233"/>
    <w:rsid w:val="00E85E2B"/>
    <w:rsid w:val="00E86F76"/>
    <w:rsid w:val="00E86FBE"/>
    <w:rsid w:val="00E87052"/>
    <w:rsid w:val="00E87556"/>
    <w:rsid w:val="00E902F4"/>
    <w:rsid w:val="00E90532"/>
    <w:rsid w:val="00E9077F"/>
    <w:rsid w:val="00E9148F"/>
    <w:rsid w:val="00E91E47"/>
    <w:rsid w:val="00E922A7"/>
    <w:rsid w:val="00E92CDD"/>
    <w:rsid w:val="00E93FF7"/>
    <w:rsid w:val="00E943DE"/>
    <w:rsid w:val="00E9470B"/>
    <w:rsid w:val="00E9526C"/>
    <w:rsid w:val="00E957EF"/>
    <w:rsid w:val="00E96676"/>
    <w:rsid w:val="00E96F50"/>
    <w:rsid w:val="00E97053"/>
    <w:rsid w:val="00E97AAE"/>
    <w:rsid w:val="00EA0882"/>
    <w:rsid w:val="00EA0E56"/>
    <w:rsid w:val="00EA2104"/>
    <w:rsid w:val="00EA2DD2"/>
    <w:rsid w:val="00EA2DED"/>
    <w:rsid w:val="00EA6B58"/>
    <w:rsid w:val="00EA7B0C"/>
    <w:rsid w:val="00EA7DD5"/>
    <w:rsid w:val="00EB0143"/>
    <w:rsid w:val="00EB05CF"/>
    <w:rsid w:val="00EB06A1"/>
    <w:rsid w:val="00EB0DC0"/>
    <w:rsid w:val="00EB2D63"/>
    <w:rsid w:val="00EB3A1D"/>
    <w:rsid w:val="00EB452A"/>
    <w:rsid w:val="00EB56FD"/>
    <w:rsid w:val="00EB5C36"/>
    <w:rsid w:val="00EB6983"/>
    <w:rsid w:val="00EB6D02"/>
    <w:rsid w:val="00EB70CF"/>
    <w:rsid w:val="00EB717E"/>
    <w:rsid w:val="00EC0326"/>
    <w:rsid w:val="00EC0F4D"/>
    <w:rsid w:val="00EC3BC2"/>
    <w:rsid w:val="00EC4D55"/>
    <w:rsid w:val="00EC566E"/>
    <w:rsid w:val="00EC57F8"/>
    <w:rsid w:val="00EC5FBB"/>
    <w:rsid w:val="00EC6D52"/>
    <w:rsid w:val="00EC74EE"/>
    <w:rsid w:val="00EC7C5C"/>
    <w:rsid w:val="00EC7DA6"/>
    <w:rsid w:val="00EC7DB6"/>
    <w:rsid w:val="00ED13FF"/>
    <w:rsid w:val="00ED238C"/>
    <w:rsid w:val="00ED2D80"/>
    <w:rsid w:val="00ED40B0"/>
    <w:rsid w:val="00ED41B5"/>
    <w:rsid w:val="00ED48C7"/>
    <w:rsid w:val="00ED5499"/>
    <w:rsid w:val="00ED5592"/>
    <w:rsid w:val="00ED5F92"/>
    <w:rsid w:val="00ED69B2"/>
    <w:rsid w:val="00EE0E5B"/>
    <w:rsid w:val="00EE1095"/>
    <w:rsid w:val="00EE16C5"/>
    <w:rsid w:val="00EE1A6D"/>
    <w:rsid w:val="00EE2819"/>
    <w:rsid w:val="00EE34BB"/>
    <w:rsid w:val="00EE38A1"/>
    <w:rsid w:val="00EE3CCC"/>
    <w:rsid w:val="00EE5145"/>
    <w:rsid w:val="00EE5596"/>
    <w:rsid w:val="00EE67B3"/>
    <w:rsid w:val="00EE6DEF"/>
    <w:rsid w:val="00EE71CB"/>
    <w:rsid w:val="00EE7832"/>
    <w:rsid w:val="00EF08D8"/>
    <w:rsid w:val="00EF1628"/>
    <w:rsid w:val="00EF1B2A"/>
    <w:rsid w:val="00EF1D52"/>
    <w:rsid w:val="00EF335B"/>
    <w:rsid w:val="00EF3F67"/>
    <w:rsid w:val="00EF418C"/>
    <w:rsid w:val="00EF4B47"/>
    <w:rsid w:val="00EF537E"/>
    <w:rsid w:val="00EF650A"/>
    <w:rsid w:val="00EF69C4"/>
    <w:rsid w:val="00EF6A70"/>
    <w:rsid w:val="00EF6C92"/>
    <w:rsid w:val="00EF718D"/>
    <w:rsid w:val="00F017CC"/>
    <w:rsid w:val="00F02967"/>
    <w:rsid w:val="00F03746"/>
    <w:rsid w:val="00F039B0"/>
    <w:rsid w:val="00F042B4"/>
    <w:rsid w:val="00F0585E"/>
    <w:rsid w:val="00F06CC8"/>
    <w:rsid w:val="00F079F7"/>
    <w:rsid w:val="00F07B27"/>
    <w:rsid w:val="00F07F0B"/>
    <w:rsid w:val="00F07F92"/>
    <w:rsid w:val="00F100B0"/>
    <w:rsid w:val="00F1087E"/>
    <w:rsid w:val="00F1208D"/>
    <w:rsid w:val="00F12B86"/>
    <w:rsid w:val="00F13DCC"/>
    <w:rsid w:val="00F14B37"/>
    <w:rsid w:val="00F164F2"/>
    <w:rsid w:val="00F16B7B"/>
    <w:rsid w:val="00F17480"/>
    <w:rsid w:val="00F174E2"/>
    <w:rsid w:val="00F178CE"/>
    <w:rsid w:val="00F20177"/>
    <w:rsid w:val="00F2062F"/>
    <w:rsid w:val="00F20867"/>
    <w:rsid w:val="00F20BE3"/>
    <w:rsid w:val="00F20DA5"/>
    <w:rsid w:val="00F2144B"/>
    <w:rsid w:val="00F2407E"/>
    <w:rsid w:val="00F24ED0"/>
    <w:rsid w:val="00F25286"/>
    <w:rsid w:val="00F26C0F"/>
    <w:rsid w:val="00F27759"/>
    <w:rsid w:val="00F30911"/>
    <w:rsid w:val="00F30BAC"/>
    <w:rsid w:val="00F3155C"/>
    <w:rsid w:val="00F31787"/>
    <w:rsid w:val="00F330B3"/>
    <w:rsid w:val="00F330DC"/>
    <w:rsid w:val="00F338AA"/>
    <w:rsid w:val="00F3547A"/>
    <w:rsid w:val="00F35B18"/>
    <w:rsid w:val="00F36078"/>
    <w:rsid w:val="00F36917"/>
    <w:rsid w:val="00F36B1F"/>
    <w:rsid w:val="00F37821"/>
    <w:rsid w:val="00F37A22"/>
    <w:rsid w:val="00F4184A"/>
    <w:rsid w:val="00F41873"/>
    <w:rsid w:val="00F42868"/>
    <w:rsid w:val="00F43579"/>
    <w:rsid w:val="00F437DF"/>
    <w:rsid w:val="00F442F4"/>
    <w:rsid w:val="00F452E5"/>
    <w:rsid w:val="00F4700E"/>
    <w:rsid w:val="00F4712D"/>
    <w:rsid w:val="00F47646"/>
    <w:rsid w:val="00F5036C"/>
    <w:rsid w:val="00F51A36"/>
    <w:rsid w:val="00F53773"/>
    <w:rsid w:val="00F557BB"/>
    <w:rsid w:val="00F5619F"/>
    <w:rsid w:val="00F56CE4"/>
    <w:rsid w:val="00F5786D"/>
    <w:rsid w:val="00F60D7E"/>
    <w:rsid w:val="00F612FC"/>
    <w:rsid w:val="00F61E4F"/>
    <w:rsid w:val="00F61F49"/>
    <w:rsid w:val="00F6232C"/>
    <w:rsid w:val="00F627DD"/>
    <w:rsid w:val="00F62F6C"/>
    <w:rsid w:val="00F64EB6"/>
    <w:rsid w:val="00F6502D"/>
    <w:rsid w:val="00F655B5"/>
    <w:rsid w:val="00F6591C"/>
    <w:rsid w:val="00F66480"/>
    <w:rsid w:val="00F67AE1"/>
    <w:rsid w:val="00F70031"/>
    <w:rsid w:val="00F70578"/>
    <w:rsid w:val="00F70834"/>
    <w:rsid w:val="00F70850"/>
    <w:rsid w:val="00F709D3"/>
    <w:rsid w:val="00F70F52"/>
    <w:rsid w:val="00F73834"/>
    <w:rsid w:val="00F762C4"/>
    <w:rsid w:val="00F76BE4"/>
    <w:rsid w:val="00F772CC"/>
    <w:rsid w:val="00F77C62"/>
    <w:rsid w:val="00F802C1"/>
    <w:rsid w:val="00F8052D"/>
    <w:rsid w:val="00F80AF8"/>
    <w:rsid w:val="00F82C56"/>
    <w:rsid w:val="00F831F3"/>
    <w:rsid w:val="00F836A4"/>
    <w:rsid w:val="00F841A6"/>
    <w:rsid w:val="00F85505"/>
    <w:rsid w:val="00F85763"/>
    <w:rsid w:val="00F8591A"/>
    <w:rsid w:val="00F85B77"/>
    <w:rsid w:val="00F86D85"/>
    <w:rsid w:val="00F874DB"/>
    <w:rsid w:val="00F87816"/>
    <w:rsid w:val="00F90C26"/>
    <w:rsid w:val="00F9269A"/>
    <w:rsid w:val="00F93D53"/>
    <w:rsid w:val="00F948E3"/>
    <w:rsid w:val="00F94DAA"/>
    <w:rsid w:val="00F94F50"/>
    <w:rsid w:val="00F9652F"/>
    <w:rsid w:val="00F978E9"/>
    <w:rsid w:val="00FA0A3B"/>
    <w:rsid w:val="00FA0B15"/>
    <w:rsid w:val="00FA1DD3"/>
    <w:rsid w:val="00FA1F55"/>
    <w:rsid w:val="00FA1FFB"/>
    <w:rsid w:val="00FA2BB6"/>
    <w:rsid w:val="00FA2CD3"/>
    <w:rsid w:val="00FA39F7"/>
    <w:rsid w:val="00FA4824"/>
    <w:rsid w:val="00FA49B2"/>
    <w:rsid w:val="00FA4DC9"/>
    <w:rsid w:val="00FA57D4"/>
    <w:rsid w:val="00FA5E5A"/>
    <w:rsid w:val="00FB081F"/>
    <w:rsid w:val="00FB1506"/>
    <w:rsid w:val="00FB170F"/>
    <w:rsid w:val="00FB1901"/>
    <w:rsid w:val="00FB1F72"/>
    <w:rsid w:val="00FB2104"/>
    <w:rsid w:val="00FB2613"/>
    <w:rsid w:val="00FB439D"/>
    <w:rsid w:val="00FB499C"/>
    <w:rsid w:val="00FB5FDD"/>
    <w:rsid w:val="00FB65B7"/>
    <w:rsid w:val="00FB6E61"/>
    <w:rsid w:val="00FB7C58"/>
    <w:rsid w:val="00FC0BD6"/>
    <w:rsid w:val="00FC0EE5"/>
    <w:rsid w:val="00FC1700"/>
    <w:rsid w:val="00FC196E"/>
    <w:rsid w:val="00FC1A9C"/>
    <w:rsid w:val="00FC263A"/>
    <w:rsid w:val="00FC37BF"/>
    <w:rsid w:val="00FC4366"/>
    <w:rsid w:val="00FC51D1"/>
    <w:rsid w:val="00FC5E63"/>
    <w:rsid w:val="00FC6317"/>
    <w:rsid w:val="00FC6D2B"/>
    <w:rsid w:val="00FD1CBA"/>
    <w:rsid w:val="00FD2F56"/>
    <w:rsid w:val="00FD4245"/>
    <w:rsid w:val="00FD5388"/>
    <w:rsid w:val="00FD53A6"/>
    <w:rsid w:val="00FD559B"/>
    <w:rsid w:val="00FD673F"/>
    <w:rsid w:val="00FD7F9E"/>
    <w:rsid w:val="00FE08BB"/>
    <w:rsid w:val="00FE1048"/>
    <w:rsid w:val="00FE1882"/>
    <w:rsid w:val="00FE3094"/>
    <w:rsid w:val="00FE3D42"/>
    <w:rsid w:val="00FE489D"/>
    <w:rsid w:val="00FE5DB2"/>
    <w:rsid w:val="00FE6B43"/>
    <w:rsid w:val="00FE6DC6"/>
    <w:rsid w:val="00FE7344"/>
    <w:rsid w:val="00FF0487"/>
    <w:rsid w:val="00FF089E"/>
    <w:rsid w:val="00FF0F72"/>
    <w:rsid w:val="00FF1585"/>
    <w:rsid w:val="00FF1E0C"/>
    <w:rsid w:val="00FF2678"/>
    <w:rsid w:val="00FF2864"/>
    <w:rsid w:val="00FF3171"/>
    <w:rsid w:val="00FF3F79"/>
    <w:rsid w:val="00FF436A"/>
    <w:rsid w:val="00FF4B34"/>
    <w:rsid w:val="00FF50FD"/>
    <w:rsid w:val="00FF699C"/>
    <w:rsid w:val="00FF6AC2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33B6E"/>
  <w15:docId w15:val="{E81EC8C1-3D08-4A52-A897-51618D28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  <w:ind w:firstLine="65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4DB6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rsid w:val="00094A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3D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7C2A"/>
    <w:pPr>
      <w:ind w:left="720"/>
      <w:contextualSpacing/>
    </w:pPr>
    <w:rPr>
      <w:rFonts w:asciiTheme="minorHAnsi" w:hAnsiTheme="minorHAnsi" w:cstheme="minorBidi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70FEB"/>
    <w:rPr>
      <w:rFonts w:asciiTheme="minorHAnsi" w:hAnsiTheme="minorHAnsi" w:cstheme="minorBidi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70FEB"/>
  </w:style>
  <w:style w:type="character" w:styleId="Odkaznapoznmkupodiarou">
    <w:name w:val="footnote reference"/>
    <w:basedOn w:val="Predvolenpsmoodseku"/>
    <w:uiPriority w:val="99"/>
    <w:unhideWhenUsed/>
    <w:rsid w:val="00670FEB"/>
    <w:rPr>
      <w:vertAlign w:val="superscript"/>
    </w:rPr>
  </w:style>
  <w:style w:type="paragraph" w:customStyle="1" w:styleId="p1">
    <w:name w:val="p1"/>
    <w:basedOn w:val="Normlny"/>
    <w:rsid w:val="00373576"/>
    <w:rPr>
      <w:rFonts w:ascii="Helvetica" w:hAnsi="Helvetica"/>
      <w:sz w:val="14"/>
      <w:szCs w:val="14"/>
    </w:rPr>
  </w:style>
  <w:style w:type="character" w:customStyle="1" w:styleId="s1">
    <w:name w:val="s1"/>
    <w:basedOn w:val="Predvolenpsmoodseku"/>
    <w:rsid w:val="00373576"/>
    <w:rPr>
      <w:rFonts w:ascii="Helvetica" w:hAnsi="Helvetica" w:hint="default"/>
      <w:sz w:val="13"/>
      <w:szCs w:val="13"/>
    </w:rPr>
  </w:style>
  <w:style w:type="character" w:customStyle="1" w:styleId="apple-converted-space">
    <w:name w:val="apple-converted-space"/>
    <w:basedOn w:val="Predvolenpsmoodseku"/>
    <w:rsid w:val="00373576"/>
  </w:style>
  <w:style w:type="character" w:styleId="Odkaznakomentr">
    <w:name w:val="annotation reference"/>
    <w:basedOn w:val="Predvolenpsmoodseku"/>
    <w:uiPriority w:val="99"/>
    <w:unhideWhenUsed/>
    <w:rsid w:val="00D84483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5A5ABF"/>
    <w:rPr>
      <w:rFonts w:asciiTheme="minorHAnsi" w:hAnsiTheme="minorHAnsi" w:cstheme="minorBidi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A5ABF"/>
    <w:rPr>
      <w:rFonts w:eastAsia="Times New Roman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4483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4483"/>
    <w:rPr>
      <w:rFonts w:eastAsia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4483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4483"/>
    <w:rPr>
      <w:rFonts w:ascii="Times New Roman" w:hAnsi="Times New Roman" w:cs="Times New Roman"/>
      <w:sz w:val="18"/>
      <w:szCs w:val="18"/>
    </w:rPr>
  </w:style>
  <w:style w:type="character" w:customStyle="1" w:styleId="s2">
    <w:name w:val="s2"/>
    <w:basedOn w:val="Predvolenpsmoodseku"/>
    <w:rsid w:val="002536ED"/>
    <w:rPr>
      <w:color w:val="5B677D"/>
    </w:rPr>
  </w:style>
  <w:style w:type="paragraph" w:customStyle="1" w:styleId="p2">
    <w:name w:val="p2"/>
    <w:basedOn w:val="Normlny"/>
    <w:rsid w:val="002C3C7C"/>
    <w:rPr>
      <w:rFonts w:ascii="Trebuchet MS" w:hAnsi="Trebuchet MS"/>
      <w:color w:val="494949"/>
      <w:sz w:val="21"/>
      <w:szCs w:val="21"/>
    </w:rPr>
  </w:style>
  <w:style w:type="paragraph" w:customStyle="1" w:styleId="p3">
    <w:name w:val="p3"/>
    <w:basedOn w:val="Normlny"/>
    <w:rsid w:val="002C3C7C"/>
    <w:pPr>
      <w:shd w:val="clear" w:color="auto" w:fill="FFFFFF"/>
    </w:pPr>
    <w:rPr>
      <w:rFonts w:ascii="Trebuchet MS" w:hAnsi="Trebuchet MS"/>
      <w:color w:val="494949"/>
      <w:sz w:val="21"/>
      <w:szCs w:val="21"/>
    </w:rPr>
  </w:style>
  <w:style w:type="character" w:customStyle="1" w:styleId="s3">
    <w:name w:val="s3"/>
    <w:basedOn w:val="Predvolenpsmoodseku"/>
    <w:rsid w:val="002C3C7C"/>
    <w:rPr>
      <w:color w:val="5F1675"/>
      <w:shd w:val="clear" w:color="auto" w:fill="FFFFFF"/>
    </w:rPr>
  </w:style>
  <w:style w:type="character" w:customStyle="1" w:styleId="s4">
    <w:name w:val="s4"/>
    <w:basedOn w:val="Predvolenpsmoodseku"/>
    <w:rsid w:val="002C3C7C"/>
  </w:style>
  <w:style w:type="character" w:customStyle="1" w:styleId="s5">
    <w:name w:val="s5"/>
    <w:basedOn w:val="Predvolenpsmoodseku"/>
    <w:rsid w:val="007A1AF0"/>
  </w:style>
  <w:style w:type="character" w:customStyle="1" w:styleId="s6">
    <w:name w:val="s6"/>
    <w:basedOn w:val="Predvolenpsmoodseku"/>
    <w:rsid w:val="00723549"/>
    <w:rPr>
      <w:color w:val="5F1675"/>
    </w:rPr>
  </w:style>
  <w:style w:type="character" w:styleId="Hypertextovprepojenie">
    <w:name w:val="Hyperlink"/>
    <w:basedOn w:val="Predvolenpsmoodseku"/>
    <w:uiPriority w:val="99"/>
    <w:unhideWhenUsed/>
    <w:rsid w:val="008D6106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E467D4"/>
    <w:pPr>
      <w:spacing w:before="100" w:beforeAutospacing="1" w:after="100" w:afterAutospacing="1"/>
    </w:pPr>
  </w:style>
  <w:style w:type="paragraph" w:styleId="Revzia">
    <w:name w:val="Revision"/>
    <w:hidden/>
    <w:uiPriority w:val="99"/>
    <w:semiHidden/>
    <w:rsid w:val="00B14A0E"/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E97AAE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7AAE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97AAE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97AAE"/>
    <w:rPr>
      <w:rFonts w:ascii="Times New Roman" w:hAnsi="Times New Roman" w:cs="Times New Roman"/>
    </w:rPr>
  </w:style>
  <w:style w:type="character" w:styleId="slostrany">
    <w:name w:val="page number"/>
    <w:basedOn w:val="Predvolenpsmoodseku"/>
    <w:uiPriority w:val="99"/>
    <w:semiHidden/>
    <w:unhideWhenUsed/>
    <w:rsid w:val="00E97AAE"/>
  </w:style>
  <w:style w:type="character" w:customStyle="1" w:styleId="Nadpis1Char">
    <w:name w:val="Nadpis 1 Char"/>
    <w:basedOn w:val="Predvolenpsmoodseku"/>
    <w:link w:val="Nadpis1"/>
    <w:uiPriority w:val="9"/>
    <w:rsid w:val="00094A0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46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/>
    </w:rPr>
  </w:style>
  <w:style w:type="paragraph" w:customStyle="1" w:styleId="norm">
    <w:name w:val="norm"/>
    <w:basedOn w:val="Normlny"/>
    <w:rsid w:val="00614296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39"/>
    <w:rsid w:val="00DD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72B1C"/>
    <w:rPr>
      <w:rFonts w:ascii="Times New Roman" w:hAnsi="Times New Roman"/>
      <w:color w:val="808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174E2"/>
    <w:rPr>
      <w:rFonts w:ascii="Calibri" w:eastAsiaTheme="minorHAnsi" w:hAnsi="Calibri" w:cs="Calibri"/>
      <w:color w:val="1E4E9D"/>
      <w:sz w:val="22"/>
      <w:szCs w:val="22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174E2"/>
    <w:rPr>
      <w:rFonts w:ascii="Calibri" w:hAnsi="Calibri" w:cs="Calibri"/>
      <w:color w:val="1E4E9D"/>
      <w:sz w:val="22"/>
      <w:szCs w:val="2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3DFA"/>
    <w:rPr>
      <w:rFonts w:asciiTheme="majorHAnsi" w:eastAsiaTheme="majorEastAsia" w:hAnsiTheme="majorHAnsi" w:cstheme="majorBidi"/>
      <w:color w:val="1F3763" w:themeColor="accent1" w:themeShade="7F"/>
      <w:lang w:val="sk-SK"/>
    </w:rPr>
  </w:style>
  <w:style w:type="paragraph" w:styleId="Zkladntext">
    <w:name w:val="Body Text"/>
    <w:basedOn w:val="Normlny"/>
    <w:link w:val="ZkladntextChar"/>
    <w:uiPriority w:val="1"/>
    <w:qFormat/>
    <w:rsid w:val="00CA3DF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A3DFA"/>
    <w:rPr>
      <w:rFonts w:ascii="Arial" w:eastAsia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99"/>
    <w:unhideWhenUsed/>
    <w:rsid w:val="002B15D0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2"/>
      <w:szCs w:val="22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B15D0"/>
    <w:pPr>
      <w:spacing w:after="0" w:line="240" w:lineRule="auto"/>
      <w:ind w:firstLine="0"/>
      <w:jc w:val="left"/>
    </w:pPr>
    <w:rPr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Normal">
    <w:name w:val="EY Normal"/>
    <w:link w:val="EYNormalChar"/>
    <w:rsid w:val="002B15D0"/>
    <w:pPr>
      <w:spacing w:after="0" w:line="240" w:lineRule="auto"/>
      <w:ind w:firstLine="0"/>
      <w:jc w:val="left"/>
    </w:pPr>
    <w:rPr>
      <w:rFonts w:ascii="EYInterstate Light" w:eastAsia="Times New Roman" w:hAnsi="EYInterstate Light" w:cs="Times New Roman"/>
      <w:kern w:val="12"/>
      <w:sz w:val="20"/>
    </w:rPr>
  </w:style>
  <w:style w:type="character" w:customStyle="1" w:styleId="EYNormalChar">
    <w:name w:val="EY Normal Char"/>
    <w:basedOn w:val="Predvolenpsmoodseku"/>
    <w:link w:val="EYNormal"/>
    <w:rsid w:val="002B15D0"/>
    <w:rPr>
      <w:rFonts w:ascii="EYInterstate Light" w:eastAsia="Times New Roman" w:hAnsi="EYInterstate Light" w:cs="Times New Roman"/>
      <w:kern w:val="1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1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694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7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9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7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47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54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817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70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3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7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70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86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9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79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3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4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02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9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63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6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7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67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003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9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64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4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2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3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96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2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75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7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9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49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66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9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0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117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0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36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9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6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768">
              <w:marLeft w:val="-225"/>
              <w:marRight w:val="-225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0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7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08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57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8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5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papol@statistic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CB4659-8491-4C51-91B4-F02E2AD2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20</Pages>
  <Words>6187</Words>
  <Characters>35269</Characters>
  <Application>Microsoft Office Word</Application>
  <DocSecurity>0</DocSecurity>
  <Lines>293</Lines>
  <Paragraphs>82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Bokol Viliam</cp:lastModifiedBy>
  <cp:revision>13</cp:revision>
  <cp:lastPrinted>2020-05-22T14:52:00Z</cp:lastPrinted>
  <dcterms:created xsi:type="dcterms:W3CDTF">2021-01-19T15:48:00Z</dcterms:created>
  <dcterms:modified xsi:type="dcterms:W3CDTF">2021-01-20T11:51:00Z</dcterms:modified>
</cp:coreProperties>
</file>