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0729" w:rsidRPr="00E10729" w:rsidRDefault="00E10729" w:rsidP="00E10729">
      <w:pPr>
        <w:pBdr>
          <w:bottom w:val="single" w:sz="12" w:space="1" w:color="auto"/>
        </w:pBdr>
        <w:spacing w:before="120" w:after="0"/>
        <w:jc w:val="center"/>
        <w:rPr>
          <w:rFonts w:ascii="Book Antiqua" w:hAnsi="Book Antiqua"/>
          <w:b/>
          <w:spacing w:val="20"/>
        </w:rPr>
      </w:pPr>
      <w:bookmarkStart w:id="0" w:name="_GoBack"/>
      <w:bookmarkEnd w:id="0"/>
      <w:r w:rsidRPr="00E10729">
        <w:rPr>
          <w:rFonts w:ascii="Book Antiqua" w:hAnsi="Book Antiqua"/>
          <w:b/>
          <w:spacing w:val="20"/>
        </w:rPr>
        <w:t>NÁRODNÁ  RADA  SLOVENSKEJ  REPUBLIKY</w:t>
      </w:r>
    </w:p>
    <w:p w:rsidR="00E10729" w:rsidRPr="00E10729" w:rsidRDefault="00E10729" w:rsidP="00E10729">
      <w:pPr>
        <w:spacing w:before="120" w:after="0"/>
        <w:jc w:val="center"/>
        <w:rPr>
          <w:rFonts w:ascii="Book Antiqua" w:hAnsi="Book Antiqua"/>
          <w:spacing w:val="20"/>
        </w:rPr>
      </w:pPr>
    </w:p>
    <w:p w:rsidR="00E10729" w:rsidRPr="00E10729" w:rsidRDefault="00E10729" w:rsidP="00A36601">
      <w:pPr>
        <w:spacing w:before="80" w:after="0"/>
        <w:jc w:val="center"/>
        <w:rPr>
          <w:rFonts w:ascii="Book Antiqua" w:hAnsi="Book Antiqua"/>
          <w:spacing w:val="20"/>
        </w:rPr>
      </w:pPr>
      <w:r w:rsidRPr="00E10729">
        <w:rPr>
          <w:rFonts w:ascii="Book Antiqua" w:hAnsi="Book Antiqua"/>
          <w:spacing w:val="20"/>
        </w:rPr>
        <w:t>VIII. volebné obdobie</w:t>
      </w:r>
    </w:p>
    <w:p w:rsidR="00E10729" w:rsidRPr="00E10729" w:rsidRDefault="00E10729" w:rsidP="00A36601">
      <w:pPr>
        <w:spacing w:before="80" w:after="0"/>
        <w:rPr>
          <w:rFonts w:ascii="Book Antiqua" w:hAnsi="Book Antiqua"/>
          <w:b/>
          <w:spacing w:val="30"/>
        </w:rPr>
      </w:pPr>
    </w:p>
    <w:p w:rsidR="00E10729" w:rsidRPr="00E10729" w:rsidRDefault="00E10729" w:rsidP="00A36601">
      <w:pPr>
        <w:spacing w:before="80" w:after="0"/>
        <w:jc w:val="center"/>
        <w:rPr>
          <w:rFonts w:ascii="Book Antiqua" w:hAnsi="Book Antiqua"/>
          <w:spacing w:val="30"/>
        </w:rPr>
      </w:pPr>
      <w:r w:rsidRPr="00E10729">
        <w:rPr>
          <w:rFonts w:ascii="Book Antiqua" w:hAnsi="Book Antiqua"/>
          <w:spacing w:val="30"/>
        </w:rPr>
        <w:t>Návrh</w:t>
      </w:r>
    </w:p>
    <w:p w:rsidR="00E10729" w:rsidRPr="00E10729" w:rsidRDefault="00E10729" w:rsidP="00A36601">
      <w:pPr>
        <w:spacing w:before="80" w:after="0"/>
        <w:jc w:val="center"/>
        <w:rPr>
          <w:rFonts w:ascii="Book Antiqua" w:hAnsi="Book Antiqua"/>
          <w:b/>
          <w:spacing w:val="30"/>
        </w:rPr>
      </w:pPr>
    </w:p>
    <w:p w:rsidR="00E10729" w:rsidRPr="00E10729" w:rsidRDefault="00E10729" w:rsidP="00A36601">
      <w:pPr>
        <w:spacing w:before="80" w:after="0"/>
        <w:jc w:val="center"/>
        <w:rPr>
          <w:rFonts w:ascii="Book Antiqua" w:hAnsi="Book Antiqua"/>
          <w:b/>
          <w:caps/>
          <w:spacing w:val="30"/>
        </w:rPr>
      </w:pPr>
      <w:r w:rsidRPr="00E10729">
        <w:rPr>
          <w:rFonts w:ascii="Book Antiqua" w:hAnsi="Book Antiqua"/>
          <w:b/>
          <w:caps/>
          <w:spacing w:val="30"/>
        </w:rPr>
        <w:t>zákon</w:t>
      </w:r>
    </w:p>
    <w:p w:rsidR="00E10729" w:rsidRPr="00E10729" w:rsidRDefault="00E10729" w:rsidP="00A36601">
      <w:pPr>
        <w:spacing w:before="80" w:after="0"/>
        <w:jc w:val="center"/>
        <w:rPr>
          <w:rFonts w:ascii="Book Antiqua" w:hAnsi="Book Antiqua"/>
        </w:rPr>
      </w:pPr>
    </w:p>
    <w:p w:rsidR="00720177" w:rsidRDefault="00E10729" w:rsidP="00A36601">
      <w:pPr>
        <w:spacing w:before="80" w:after="0"/>
        <w:jc w:val="center"/>
        <w:rPr>
          <w:rFonts w:ascii="Book Antiqua" w:hAnsi="Book Antiqua"/>
        </w:rPr>
      </w:pPr>
      <w:r w:rsidRPr="00E10729">
        <w:rPr>
          <w:rFonts w:ascii="Book Antiqua" w:hAnsi="Book Antiqua"/>
        </w:rPr>
        <w:t>z ... 2021,</w:t>
      </w:r>
    </w:p>
    <w:p w:rsidR="00E10729" w:rsidRPr="00E10729" w:rsidRDefault="00E10729" w:rsidP="00A36601">
      <w:pPr>
        <w:spacing w:before="80" w:after="0"/>
        <w:jc w:val="center"/>
        <w:rPr>
          <w:rFonts w:ascii="Book Antiqua" w:hAnsi="Book Antiqua" w:cs="Times New Roman"/>
        </w:rPr>
      </w:pPr>
    </w:p>
    <w:p w:rsidR="00720177" w:rsidRPr="00E10729" w:rsidRDefault="00B81BB8" w:rsidP="00A36601">
      <w:pPr>
        <w:spacing w:before="80" w:after="0"/>
        <w:jc w:val="center"/>
        <w:rPr>
          <w:rFonts w:ascii="Book Antiqua" w:hAnsi="Book Antiqua" w:cs="Times New Roman"/>
          <w:b/>
          <w:color w:val="000000"/>
        </w:rPr>
      </w:pPr>
      <w:r w:rsidRPr="00E10729">
        <w:rPr>
          <w:rFonts w:ascii="Book Antiqua" w:hAnsi="Book Antiqua" w:cs="Times New Roman"/>
          <w:b/>
          <w:color w:val="000000"/>
        </w:rPr>
        <w:t>k</w:t>
      </w:r>
      <w:r w:rsidR="00720177" w:rsidRPr="00E10729">
        <w:rPr>
          <w:rFonts w:ascii="Book Antiqua" w:hAnsi="Book Antiqua" w:cs="Times New Roman"/>
          <w:b/>
          <w:color w:val="000000"/>
        </w:rPr>
        <w:t xml:space="preserve">torým </w:t>
      </w:r>
      <w:r w:rsidR="002E70D3" w:rsidRPr="00E10729">
        <w:rPr>
          <w:rFonts w:ascii="Book Antiqua" w:hAnsi="Book Antiqua" w:cs="Times New Roman"/>
          <w:b/>
          <w:color w:val="000000"/>
        </w:rPr>
        <w:t>sa</w:t>
      </w:r>
      <w:r w:rsidR="00720177" w:rsidRPr="00E10729">
        <w:rPr>
          <w:rFonts w:ascii="Book Antiqua" w:hAnsi="Book Antiqua" w:cs="Times New Roman"/>
          <w:b/>
          <w:color w:val="000000"/>
        </w:rPr>
        <w:t> dopĺňa</w:t>
      </w:r>
      <w:r w:rsidR="002E70D3" w:rsidRPr="00E10729">
        <w:rPr>
          <w:rFonts w:ascii="Book Antiqua" w:hAnsi="Book Antiqua" w:cs="Times New Roman"/>
          <w:b/>
          <w:color w:val="000000"/>
        </w:rPr>
        <w:t xml:space="preserve"> zákon č. 523/2004 Z. z. o rozpočtových pravidlách verejnej správy a o zmene a doplnení niektorých zákonov v znení neskorších predpisov</w:t>
      </w:r>
    </w:p>
    <w:p w:rsidR="00E10729" w:rsidRDefault="00E10729" w:rsidP="00A36601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80" w:after="0"/>
        <w:jc w:val="both"/>
        <w:rPr>
          <w:rFonts w:ascii="Book Antiqua" w:hAnsi="Book Antiqua" w:cs="Times New Roman"/>
          <w:color w:val="000000"/>
        </w:rPr>
      </w:pPr>
    </w:p>
    <w:p w:rsidR="00720177" w:rsidRPr="00E10729" w:rsidRDefault="00A63708" w:rsidP="00A36601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80" w:after="0"/>
        <w:ind w:firstLine="708"/>
        <w:jc w:val="both"/>
        <w:rPr>
          <w:rFonts w:ascii="Book Antiqua" w:hAnsi="Book Antiqua" w:cs="Times New Roman"/>
          <w:color w:val="000000"/>
        </w:rPr>
      </w:pPr>
      <w:r w:rsidRPr="00E10729">
        <w:rPr>
          <w:rFonts w:ascii="Book Antiqua" w:hAnsi="Book Antiqua" w:cs="Times New Roman"/>
          <w:color w:val="000000"/>
        </w:rPr>
        <w:t>Národná rada Slovenskej republiky sa uzniesla na tomto zákone:</w:t>
      </w:r>
    </w:p>
    <w:p w:rsidR="00E10729" w:rsidRDefault="00E10729" w:rsidP="00A36601">
      <w:pPr>
        <w:spacing w:before="80" w:after="0"/>
        <w:jc w:val="center"/>
        <w:rPr>
          <w:rFonts w:ascii="Book Antiqua" w:hAnsi="Book Antiqua" w:cs="Times New Roman"/>
        </w:rPr>
      </w:pPr>
    </w:p>
    <w:p w:rsidR="00720177" w:rsidRPr="00E10729" w:rsidRDefault="00A63708" w:rsidP="00A36601">
      <w:pPr>
        <w:spacing w:before="80" w:after="0"/>
        <w:jc w:val="center"/>
        <w:rPr>
          <w:rFonts w:ascii="Book Antiqua" w:hAnsi="Book Antiqua" w:cs="Times New Roman"/>
          <w:b/>
        </w:rPr>
      </w:pPr>
      <w:r w:rsidRPr="00E10729">
        <w:rPr>
          <w:rFonts w:ascii="Book Antiqua" w:hAnsi="Book Antiqua" w:cs="Times New Roman"/>
          <w:b/>
        </w:rPr>
        <w:t>Čl. I</w:t>
      </w:r>
    </w:p>
    <w:p w:rsidR="00A63708" w:rsidRPr="00E10729" w:rsidRDefault="00A63708" w:rsidP="00A36601">
      <w:pPr>
        <w:spacing w:before="80" w:after="0"/>
        <w:ind w:firstLine="708"/>
        <w:jc w:val="both"/>
        <w:rPr>
          <w:rFonts w:ascii="Book Antiqua" w:hAnsi="Book Antiqua" w:cs="Times New Roman"/>
          <w:color w:val="000000"/>
        </w:rPr>
      </w:pPr>
      <w:r w:rsidRPr="00E10729">
        <w:rPr>
          <w:rFonts w:ascii="Book Antiqua" w:hAnsi="Book Antiqua" w:cs="Times New Roman"/>
          <w:color w:val="000000"/>
        </w:rPr>
        <w:t>Zákon č. </w:t>
      </w:r>
      <w:r w:rsidR="002E70D3" w:rsidRPr="00E10729">
        <w:rPr>
          <w:rFonts w:ascii="Book Antiqua" w:hAnsi="Book Antiqua" w:cs="Times New Roman"/>
          <w:color w:val="000000"/>
        </w:rPr>
        <w:t>523/2004 Z. z.</w:t>
      </w:r>
      <w:r w:rsidRPr="00E10729">
        <w:rPr>
          <w:rFonts w:ascii="Book Antiqua" w:hAnsi="Book Antiqua" w:cs="Times New Roman"/>
          <w:color w:val="000000"/>
        </w:rPr>
        <w:t xml:space="preserve"> o rozpočtových pravidlách verejnej správy a o zmene a doplnení niektorých zákonov v znení zákona č. 747/2004 Z. z., zákona č. 171/2005 Z. z., zákona č. 266/2005 Z. z., zákona č. 534/2005 Z. z., zákona č. 584/2005 Z. z., zákona </w:t>
      </w:r>
      <w:r w:rsidR="00E10729">
        <w:rPr>
          <w:rFonts w:ascii="Book Antiqua" w:hAnsi="Book Antiqua" w:cs="Times New Roman"/>
          <w:color w:val="000000"/>
        </w:rPr>
        <w:t xml:space="preserve">               </w:t>
      </w:r>
      <w:r w:rsidRPr="00E10729">
        <w:rPr>
          <w:rFonts w:ascii="Book Antiqua" w:hAnsi="Book Antiqua" w:cs="Times New Roman"/>
          <w:color w:val="000000"/>
        </w:rPr>
        <w:t xml:space="preserve">č. 659/2005 Z. z., zákona č. 275/2006 Z. z., zákona č. 527/2006 Z. z., zákona č. 678/2006 Z. z., zákona č. 198/2007 Z. z., zákona č. 199/2007 Z. z., zákona č. 323/2007 Z. z., zákona </w:t>
      </w:r>
      <w:r w:rsidR="00E10729">
        <w:rPr>
          <w:rFonts w:ascii="Book Antiqua" w:hAnsi="Book Antiqua" w:cs="Times New Roman"/>
          <w:color w:val="000000"/>
        </w:rPr>
        <w:t xml:space="preserve">               </w:t>
      </w:r>
      <w:r w:rsidRPr="00E10729">
        <w:rPr>
          <w:rFonts w:ascii="Book Antiqua" w:hAnsi="Book Antiqua" w:cs="Times New Roman"/>
          <w:color w:val="000000"/>
        </w:rPr>
        <w:t xml:space="preserve">č. 653/2007 Z. z., zákona č. 165/2008 Z. z., zákona č. 383/2008 Z. z., zákona č. 465/2008 Z. z., zákona č. 192/2009 Z. z., zákona č. 390/2009 Z. z., zákona č. 492/2009 Z. z., zákona </w:t>
      </w:r>
      <w:r w:rsidR="00E10729">
        <w:rPr>
          <w:rFonts w:ascii="Book Antiqua" w:hAnsi="Book Antiqua" w:cs="Times New Roman"/>
          <w:color w:val="000000"/>
        </w:rPr>
        <w:t xml:space="preserve">               </w:t>
      </w:r>
      <w:r w:rsidRPr="00E10729">
        <w:rPr>
          <w:rFonts w:ascii="Book Antiqua" w:hAnsi="Book Antiqua" w:cs="Times New Roman"/>
          <w:color w:val="000000"/>
        </w:rPr>
        <w:t xml:space="preserve">č. 57/2010 Z. z., zákona č. 403/2010 Z. z., zákona č. 468/2010 Z. z., zákona č. 223/2011 Z. z., zákona č. 512/2011 Z. z., zákona č. 69/2012 Z. z., zákona č. 223/2012 Z. z., zákona </w:t>
      </w:r>
      <w:r w:rsidR="00E10729">
        <w:rPr>
          <w:rFonts w:ascii="Book Antiqua" w:hAnsi="Book Antiqua" w:cs="Times New Roman"/>
          <w:color w:val="000000"/>
        </w:rPr>
        <w:t xml:space="preserve">                 </w:t>
      </w:r>
      <w:r w:rsidRPr="00E10729">
        <w:rPr>
          <w:rFonts w:ascii="Book Antiqua" w:hAnsi="Book Antiqua" w:cs="Times New Roman"/>
          <w:color w:val="000000"/>
        </w:rPr>
        <w:t xml:space="preserve">č. 287/2012 Z. z., zákona č. 345/2012 Z. z., zákona č. 352/2013 Z. z., zákona č. 436/2013 Z. z., zákona č. 102/2014 Z. z., zákona č. 292/2014 Z. z., zákona č. 324/2014 Z. z., zákona </w:t>
      </w:r>
      <w:r w:rsidR="00E10729">
        <w:rPr>
          <w:rFonts w:ascii="Book Antiqua" w:hAnsi="Book Antiqua" w:cs="Times New Roman"/>
          <w:color w:val="000000"/>
        </w:rPr>
        <w:t xml:space="preserve">               </w:t>
      </w:r>
      <w:r w:rsidRPr="00E10729">
        <w:rPr>
          <w:rFonts w:ascii="Book Antiqua" w:hAnsi="Book Antiqua" w:cs="Times New Roman"/>
          <w:color w:val="000000"/>
        </w:rPr>
        <w:t xml:space="preserve">č. 374/2014 Z. z., zákona č. 171/2015 Z. z., zákona č. 357/2015 Z. z., zákona č. 375/2015 Z. z., zákona č. 91/2016 Z. z., zákona č. 301/2016 Z. z., zákona č. 310/2016 Z. z., zákona </w:t>
      </w:r>
      <w:r w:rsidR="00E10729">
        <w:rPr>
          <w:rFonts w:ascii="Book Antiqua" w:hAnsi="Book Antiqua" w:cs="Times New Roman"/>
          <w:color w:val="000000"/>
        </w:rPr>
        <w:t xml:space="preserve">                 </w:t>
      </w:r>
      <w:r w:rsidRPr="00E10729">
        <w:rPr>
          <w:rFonts w:ascii="Book Antiqua" w:hAnsi="Book Antiqua" w:cs="Times New Roman"/>
          <w:color w:val="000000"/>
        </w:rPr>
        <w:t xml:space="preserve">č. 315/2016 Z. z., zákona č. 352/2016 Z. z., zákona č. 146/2017 Z. z., zákona č. 243/2017 Z. z., zákona č. 177/2018 Z. z., zákona č. 372/2018 Z. z., zákona č. 221/2019 Z. z., zákona </w:t>
      </w:r>
      <w:r w:rsidR="00E10729">
        <w:rPr>
          <w:rFonts w:ascii="Book Antiqua" w:hAnsi="Book Antiqua" w:cs="Times New Roman"/>
          <w:color w:val="000000"/>
        </w:rPr>
        <w:t xml:space="preserve">               </w:t>
      </w:r>
      <w:r w:rsidRPr="00E10729">
        <w:rPr>
          <w:rFonts w:ascii="Book Antiqua" w:hAnsi="Book Antiqua" w:cs="Times New Roman"/>
          <w:color w:val="000000"/>
        </w:rPr>
        <w:t>č. 134/2020 Z. z.</w:t>
      </w:r>
      <w:r w:rsidR="002E70D3" w:rsidRPr="00E10729">
        <w:rPr>
          <w:rFonts w:ascii="Book Antiqua" w:hAnsi="Book Antiqua" w:cs="Times New Roman"/>
          <w:color w:val="000000"/>
        </w:rPr>
        <w:t>,</w:t>
      </w:r>
      <w:r w:rsidRPr="00E10729">
        <w:rPr>
          <w:rFonts w:ascii="Book Antiqua" w:hAnsi="Book Antiqua" w:cs="Times New Roman"/>
          <w:color w:val="000000"/>
        </w:rPr>
        <w:t xml:space="preserve"> zákona č. 360/2020 Z. z. </w:t>
      </w:r>
      <w:r w:rsidR="002E70D3" w:rsidRPr="00E10729">
        <w:rPr>
          <w:rFonts w:ascii="Book Antiqua" w:hAnsi="Book Antiqua" w:cs="Times New Roman"/>
          <w:color w:val="000000"/>
        </w:rPr>
        <w:t>a zákona č. 423/2020 Z. z. sa</w:t>
      </w:r>
      <w:r w:rsidRPr="00E10729">
        <w:rPr>
          <w:rFonts w:ascii="Book Antiqua" w:hAnsi="Book Antiqua" w:cs="Times New Roman"/>
          <w:color w:val="000000"/>
        </w:rPr>
        <w:t xml:space="preserve"> dopĺňa takto:</w:t>
      </w:r>
    </w:p>
    <w:p w:rsidR="00720177" w:rsidRPr="00E10729" w:rsidRDefault="00720177" w:rsidP="00A36601">
      <w:pPr>
        <w:spacing w:before="80" w:after="0"/>
        <w:ind w:firstLine="426"/>
        <w:rPr>
          <w:rFonts w:ascii="Book Antiqua" w:hAnsi="Book Antiqua" w:cs="Times New Roman"/>
        </w:rPr>
      </w:pPr>
      <w:r w:rsidRPr="00E10729">
        <w:rPr>
          <w:rFonts w:ascii="Book Antiqua" w:hAnsi="Book Antiqua" w:cs="Times New Roman"/>
        </w:rPr>
        <w:t>§ 10 sa dopĺňa odsekom 5, ktorý znie:</w:t>
      </w:r>
    </w:p>
    <w:p w:rsidR="005C396B" w:rsidRPr="00E10729" w:rsidRDefault="00720177" w:rsidP="00A36601">
      <w:pPr>
        <w:spacing w:before="80" w:after="0"/>
        <w:ind w:left="993" w:hanging="567"/>
        <w:jc w:val="both"/>
        <w:rPr>
          <w:rFonts w:ascii="Book Antiqua" w:hAnsi="Book Antiqua" w:cs="Times New Roman"/>
        </w:rPr>
      </w:pPr>
      <w:r w:rsidRPr="00E10729">
        <w:rPr>
          <w:rFonts w:ascii="Book Antiqua" w:hAnsi="Book Antiqua" w:cs="Times New Roman"/>
        </w:rPr>
        <w:t xml:space="preserve">„(5) </w:t>
      </w:r>
      <w:r w:rsidR="00E10729">
        <w:rPr>
          <w:rFonts w:ascii="Book Antiqua" w:hAnsi="Book Antiqua" w:cs="Times New Roman"/>
        </w:rPr>
        <w:tab/>
      </w:r>
      <w:r w:rsidR="00817271" w:rsidRPr="00A36601">
        <w:rPr>
          <w:rFonts w:ascii="Book Antiqua" w:hAnsi="Book Antiqua" w:cs="Times New Roman"/>
        </w:rPr>
        <w:t xml:space="preserve">Predseda vlády môže zriadiť komisiu na účely rozhodovania o </w:t>
      </w:r>
      <w:r w:rsidRPr="00A36601">
        <w:rPr>
          <w:rFonts w:ascii="Book Antiqua" w:hAnsi="Book Antiqua" w:cs="Times New Roman"/>
        </w:rPr>
        <w:t>použi</w:t>
      </w:r>
      <w:r w:rsidR="00817271" w:rsidRPr="00A36601">
        <w:rPr>
          <w:rFonts w:ascii="Book Antiqua" w:hAnsi="Book Antiqua" w:cs="Times New Roman"/>
        </w:rPr>
        <w:t>tí</w:t>
      </w:r>
      <w:r w:rsidR="00DB0D9E" w:rsidRPr="00A36601">
        <w:rPr>
          <w:rFonts w:ascii="Book Antiqua" w:hAnsi="Book Antiqua" w:cs="Times New Roman"/>
        </w:rPr>
        <w:t xml:space="preserve"> prostriedkov </w:t>
      </w:r>
      <w:r w:rsidRPr="00A36601">
        <w:rPr>
          <w:rFonts w:ascii="Book Antiqua" w:hAnsi="Book Antiqua" w:cs="Times New Roman"/>
        </w:rPr>
        <w:t>podľa odseku 2 písm. b)</w:t>
      </w:r>
      <w:r w:rsidR="00817271" w:rsidRPr="00A36601">
        <w:rPr>
          <w:rFonts w:ascii="Book Antiqua" w:hAnsi="Book Antiqua" w:cs="Times New Roman"/>
        </w:rPr>
        <w:t>;</w:t>
      </w:r>
      <w:r w:rsidRPr="00A36601">
        <w:rPr>
          <w:rFonts w:ascii="Book Antiqua" w:hAnsi="Book Antiqua" w:cs="Times New Roman"/>
        </w:rPr>
        <w:t xml:space="preserve"> vyjadrenie</w:t>
      </w:r>
      <w:r w:rsidRPr="00E10729">
        <w:rPr>
          <w:rFonts w:ascii="Book Antiqua" w:hAnsi="Book Antiqua" w:cs="Times New Roman"/>
        </w:rPr>
        <w:t xml:space="preserve"> </w:t>
      </w:r>
      <w:r w:rsidR="00817271" w:rsidRPr="00E10729">
        <w:rPr>
          <w:rFonts w:ascii="Book Antiqua" w:hAnsi="Book Antiqua" w:cs="Times New Roman"/>
        </w:rPr>
        <w:t xml:space="preserve">komisie </w:t>
      </w:r>
      <w:r w:rsidRPr="00E10729">
        <w:rPr>
          <w:rFonts w:ascii="Book Antiqua" w:hAnsi="Book Antiqua" w:cs="Times New Roman"/>
        </w:rPr>
        <w:t xml:space="preserve">má pre predsedu </w:t>
      </w:r>
      <w:r w:rsidR="00B81BB8" w:rsidRPr="00E10729">
        <w:rPr>
          <w:rFonts w:ascii="Book Antiqua" w:hAnsi="Book Antiqua" w:cs="Times New Roman"/>
        </w:rPr>
        <w:t>vlády</w:t>
      </w:r>
      <w:r w:rsidR="00DB0D9E" w:rsidRPr="00E10729">
        <w:rPr>
          <w:rFonts w:ascii="Book Antiqua" w:hAnsi="Book Antiqua" w:cs="Times New Roman"/>
        </w:rPr>
        <w:t xml:space="preserve"> odporúčajúci</w:t>
      </w:r>
      <w:r w:rsidRPr="00E10729">
        <w:rPr>
          <w:rFonts w:ascii="Book Antiqua" w:hAnsi="Book Antiqua" w:cs="Times New Roman"/>
        </w:rPr>
        <w:t xml:space="preserve"> charakter.</w:t>
      </w:r>
      <w:r w:rsidR="00B81BB8" w:rsidRPr="00E10729">
        <w:rPr>
          <w:rFonts w:ascii="Book Antiqua" w:hAnsi="Book Antiqua" w:cs="Times New Roman"/>
        </w:rPr>
        <w:t>“.</w:t>
      </w:r>
    </w:p>
    <w:p w:rsidR="00A36601" w:rsidRDefault="00A36601" w:rsidP="00A36601">
      <w:pPr>
        <w:spacing w:before="80" w:after="0"/>
        <w:jc w:val="center"/>
        <w:rPr>
          <w:rFonts w:ascii="Book Antiqua" w:hAnsi="Book Antiqua" w:cs="Times New Roman"/>
          <w:b/>
        </w:rPr>
      </w:pPr>
    </w:p>
    <w:p w:rsidR="00720177" w:rsidRPr="00E10729" w:rsidRDefault="00A63708" w:rsidP="00A36601">
      <w:pPr>
        <w:spacing w:before="80" w:after="0"/>
        <w:jc w:val="center"/>
        <w:rPr>
          <w:rFonts w:ascii="Book Antiqua" w:hAnsi="Book Antiqua" w:cs="Times New Roman"/>
          <w:b/>
        </w:rPr>
      </w:pPr>
      <w:r w:rsidRPr="00E10729">
        <w:rPr>
          <w:rFonts w:ascii="Book Antiqua" w:hAnsi="Book Antiqua" w:cs="Times New Roman"/>
          <w:b/>
        </w:rPr>
        <w:t>Čl. II</w:t>
      </w:r>
    </w:p>
    <w:p w:rsidR="005C396B" w:rsidRPr="00E10729" w:rsidRDefault="00A63708" w:rsidP="00A36601">
      <w:pPr>
        <w:spacing w:before="80" w:after="0"/>
        <w:ind w:firstLine="708"/>
        <w:rPr>
          <w:rFonts w:ascii="Book Antiqua" w:hAnsi="Book Antiqua" w:cs="Times New Roman"/>
        </w:rPr>
      </w:pPr>
      <w:r w:rsidRPr="00E10729">
        <w:rPr>
          <w:rFonts w:ascii="Book Antiqua" w:hAnsi="Book Antiqua" w:cs="Times New Roman"/>
        </w:rPr>
        <w:t xml:space="preserve">Tento zákon nadobúda účinnosť </w:t>
      </w:r>
      <w:r w:rsidR="00817271" w:rsidRPr="00E10729">
        <w:rPr>
          <w:rFonts w:ascii="Book Antiqua" w:hAnsi="Book Antiqua" w:cs="Times New Roman"/>
        </w:rPr>
        <w:t>1. mája 2021</w:t>
      </w:r>
      <w:r w:rsidRPr="00E10729">
        <w:rPr>
          <w:rFonts w:ascii="Book Antiqua" w:hAnsi="Book Antiqua" w:cs="Times New Roman"/>
        </w:rPr>
        <w:t>.</w:t>
      </w:r>
    </w:p>
    <w:sectPr w:rsidR="005C396B" w:rsidRPr="00E1072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68EB" w:rsidRDefault="006C68EB" w:rsidP="00FA1DB2">
      <w:pPr>
        <w:spacing w:after="0" w:line="240" w:lineRule="auto"/>
      </w:pPr>
      <w:r>
        <w:separator/>
      </w:r>
    </w:p>
  </w:endnote>
  <w:endnote w:type="continuationSeparator" w:id="0">
    <w:p w:rsidR="006C68EB" w:rsidRDefault="006C68EB" w:rsidP="00FA1D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1DB2" w:rsidRDefault="00FA1DB2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1DB2" w:rsidRDefault="00FA1DB2">
    <w:pPr>
      <w:pStyle w:val="Pt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1DB2" w:rsidRDefault="00FA1DB2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68EB" w:rsidRDefault="006C68EB" w:rsidP="00FA1DB2">
      <w:pPr>
        <w:spacing w:after="0" w:line="240" w:lineRule="auto"/>
      </w:pPr>
      <w:r>
        <w:separator/>
      </w:r>
    </w:p>
  </w:footnote>
  <w:footnote w:type="continuationSeparator" w:id="0">
    <w:p w:rsidR="006C68EB" w:rsidRDefault="006C68EB" w:rsidP="00FA1D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1DB2" w:rsidRDefault="00FA1DB2">
    <w:pPr>
      <w:pStyle w:val="Hlavi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1DB2" w:rsidRDefault="00FA1DB2">
    <w:pPr>
      <w:pStyle w:val="Hlavik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1DB2" w:rsidRDefault="00FA1DB2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D55489"/>
    <w:multiLevelType w:val="hybridMultilevel"/>
    <w:tmpl w:val="EE4A476E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4275D54"/>
    <w:multiLevelType w:val="hybridMultilevel"/>
    <w:tmpl w:val="85EC4106"/>
    <w:lvl w:ilvl="0" w:tplc="09206904">
      <w:start w:val="1"/>
      <w:numFmt w:val="lowerLetter"/>
      <w:lvlText w:val="%1)"/>
      <w:lvlJc w:val="left"/>
      <w:pPr>
        <w:ind w:left="720" w:hanging="360"/>
      </w:pPr>
      <w:rPr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6132D81"/>
    <w:multiLevelType w:val="hybridMultilevel"/>
    <w:tmpl w:val="720A6F08"/>
    <w:lvl w:ilvl="0" w:tplc="F55664D0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  <w:b/>
        <w:color w:val="auto"/>
        <w:rtl w:val="0"/>
        <w:cs w:val="0"/>
      </w:rPr>
    </w:lvl>
    <w:lvl w:ilvl="1" w:tplc="E2D48494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 w:tplc="9BB0535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 w:tplc="E1B2272C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 w:tplc="32A09332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 w:tplc="5E72D2D8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 w:tplc="1EFC0CD8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 w:tplc="2B3C2250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 w:tplc="DFD21BB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0177"/>
    <w:rsid w:val="0009679C"/>
    <w:rsid w:val="001A504E"/>
    <w:rsid w:val="002E70D3"/>
    <w:rsid w:val="00302FB1"/>
    <w:rsid w:val="0035486B"/>
    <w:rsid w:val="003D1E9C"/>
    <w:rsid w:val="0046051D"/>
    <w:rsid w:val="005C396B"/>
    <w:rsid w:val="006C3836"/>
    <w:rsid w:val="006C68EB"/>
    <w:rsid w:val="00720177"/>
    <w:rsid w:val="00745C08"/>
    <w:rsid w:val="00817271"/>
    <w:rsid w:val="009843C4"/>
    <w:rsid w:val="00A36601"/>
    <w:rsid w:val="00A63708"/>
    <w:rsid w:val="00A8177F"/>
    <w:rsid w:val="00B81BB8"/>
    <w:rsid w:val="00C50B3C"/>
    <w:rsid w:val="00DB0D9E"/>
    <w:rsid w:val="00DC771E"/>
    <w:rsid w:val="00E10729"/>
    <w:rsid w:val="00EA591B"/>
    <w:rsid w:val="00F714E8"/>
    <w:rsid w:val="00FA1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semiHidden/>
    <w:unhideWhenUsed/>
    <w:rsid w:val="00A63708"/>
    <w:rPr>
      <w:color w:val="0000FF"/>
      <w:u w:val="single"/>
    </w:rPr>
  </w:style>
  <w:style w:type="character" w:styleId="Textzstupnhosymbolu">
    <w:name w:val="Placeholder Text"/>
    <w:basedOn w:val="Predvolenpsmoodseku"/>
    <w:uiPriority w:val="99"/>
    <w:semiHidden/>
    <w:rsid w:val="005C396B"/>
    <w:rPr>
      <w:rFonts w:ascii="Times New Roman" w:hAnsi="Times New Roman" w:cs="Times New Roman"/>
      <w:color w:val="808080"/>
      <w:rtl w:val="0"/>
      <w:cs w:val="0"/>
    </w:rPr>
  </w:style>
  <w:style w:type="paragraph" w:styleId="Normlnywebov">
    <w:name w:val="Normal (Web)"/>
    <w:aliases w:val="webb"/>
    <w:basedOn w:val="Normlny"/>
    <w:uiPriority w:val="99"/>
    <w:unhideWhenUsed/>
    <w:rsid w:val="005C396B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sz w:val="24"/>
      <w:szCs w:val="24"/>
      <w:lang w:eastAsia="sk-SK"/>
    </w:rPr>
  </w:style>
  <w:style w:type="paragraph" w:styleId="Odsekzoznamu">
    <w:name w:val="List Paragraph"/>
    <w:basedOn w:val="Normlny"/>
    <w:uiPriority w:val="34"/>
    <w:qFormat/>
    <w:rsid w:val="005C396B"/>
    <w:pPr>
      <w:widowControl w:val="0"/>
      <w:adjustRightInd w:val="0"/>
      <w:spacing w:after="0" w:line="240" w:lineRule="auto"/>
      <w:ind w:left="720"/>
      <w:contextualSpacing/>
    </w:pPr>
    <w:rPr>
      <w:rFonts w:ascii="Calibri" w:eastAsia="Times New Roman" w:hAnsi="Calibri" w:cs="Times New Roman"/>
      <w:sz w:val="24"/>
      <w:szCs w:val="24"/>
      <w:lang w:eastAsia="sk-SK"/>
    </w:rPr>
  </w:style>
  <w:style w:type="character" w:customStyle="1" w:styleId="awspan1">
    <w:name w:val="awspan1"/>
    <w:basedOn w:val="Predvolenpsmoodseku"/>
    <w:rsid w:val="005C396B"/>
    <w:rPr>
      <w:color w:val="000000"/>
      <w:sz w:val="24"/>
      <w:szCs w:val="24"/>
    </w:rPr>
  </w:style>
  <w:style w:type="paragraph" w:styleId="Hlavika">
    <w:name w:val="header"/>
    <w:basedOn w:val="Normlny"/>
    <w:link w:val="HlavikaChar"/>
    <w:uiPriority w:val="99"/>
    <w:unhideWhenUsed/>
    <w:rsid w:val="00FA1D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FA1DB2"/>
  </w:style>
  <w:style w:type="paragraph" w:styleId="Pta">
    <w:name w:val="footer"/>
    <w:basedOn w:val="Normlny"/>
    <w:link w:val="PtaChar"/>
    <w:uiPriority w:val="99"/>
    <w:unhideWhenUsed/>
    <w:rsid w:val="00FA1D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FA1DB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semiHidden/>
    <w:unhideWhenUsed/>
    <w:rsid w:val="00A63708"/>
    <w:rPr>
      <w:color w:val="0000FF"/>
      <w:u w:val="single"/>
    </w:rPr>
  </w:style>
  <w:style w:type="character" w:styleId="Textzstupnhosymbolu">
    <w:name w:val="Placeholder Text"/>
    <w:basedOn w:val="Predvolenpsmoodseku"/>
    <w:uiPriority w:val="99"/>
    <w:semiHidden/>
    <w:rsid w:val="005C396B"/>
    <w:rPr>
      <w:rFonts w:ascii="Times New Roman" w:hAnsi="Times New Roman" w:cs="Times New Roman"/>
      <w:color w:val="808080"/>
      <w:rtl w:val="0"/>
      <w:cs w:val="0"/>
    </w:rPr>
  </w:style>
  <w:style w:type="paragraph" w:styleId="Normlnywebov">
    <w:name w:val="Normal (Web)"/>
    <w:aliases w:val="webb"/>
    <w:basedOn w:val="Normlny"/>
    <w:uiPriority w:val="99"/>
    <w:unhideWhenUsed/>
    <w:rsid w:val="005C396B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sz w:val="24"/>
      <w:szCs w:val="24"/>
      <w:lang w:eastAsia="sk-SK"/>
    </w:rPr>
  </w:style>
  <w:style w:type="paragraph" w:styleId="Odsekzoznamu">
    <w:name w:val="List Paragraph"/>
    <w:basedOn w:val="Normlny"/>
    <w:uiPriority w:val="34"/>
    <w:qFormat/>
    <w:rsid w:val="005C396B"/>
    <w:pPr>
      <w:widowControl w:val="0"/>
      <w:adjustRightInd w:val="0"/>
      <w:spacing w:after="0" w:line="240" w:lineRule="auto"/>
      <w:ind w:left="720"/>
      <w:contextualSpacing/>
    </w:pPr>
    <w:rPr>
      <w:rFonts w:ascii="Calibri" w:eastAsia="Times New Roman" w:hAnsi="Calibri" w:cs="Times New Roman"/>
      <w:sz w:val="24"/>
      <w:szCs w:val="24"/>
      <w:lang w:eastAsia="sk-SK"/>
    </w:rPr>
  </w:style>
  <w:style w:type="character" w:customStyle="1" w:styleId="awspan1">
    <w:name w:val="awspan1"/>
    <w:basedOn w:val="Predvolenpsmoodseku"/>
    <w:rsid w:val="005C396B"/>
    <w:rPr>
      <w:color w:val="000000"/>
      <w:sz w:val="24"/>
      <w:szCs w:val="24"/>
    </w:rPr>
  </w:style>
  <w:style w:type="paragraph" w:styleId="Hlavika">
    <w:name w:val="header"/>
    <w:basedOn w:val="Normlny"/>
    <w:link w:val="HlavikaChar"/>
    <w:uiPriority w:val="99"/>
    <w:unhideWhenUsed/>
    <w:rsid w:val="00FA1D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FA1DB2"/>
  </w:style>
  <w:style w:type="paragraph" w:styleId="Pta">
    <w:name w:val="footer"/>
    <w:basedOn w:val="Normlny"/>
    <w:link w:val="PtaChar"/>
    <w:uiPriority w:val="99"/>
    <w:unhideWhenUsed/>
    <w:rsid w:val="00FA1D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FA1D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073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315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2021-01-08T12:27:00Z</dcterms:created>
  <dcterms:modified xsi:type="dcterms:W3CDTF">2021-01-08T12:27:00Z</dcterms:modified>
</cp:coreProperties>
</file>