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5E196766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72540D" w:rsidRPr="00185E5B">
        <w:rPr>
          <w:rFonts w:eastAsia="Times New Roman"/>
          <w:color w:val="000000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,</w:t>
      </w:r>
    </w:p>
    <w:p w14:paraId="5FE9F20A" w14:textId="0FA0ABA5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 xml:space="preserve">ktorým sa mení zákon </w:t>
      </w:r>
      <w:r w:rsidRPr="00185E5B">
        <w:rPr>
          <w:rFonts w:eastAsia="Times New Roman"/>
          <w:b/>
          <w:bCs/>
          <w:color w:val="070707"/>
          <w:lang w:eastAsia="sk-SK"/>
        </w:rPr>
        <w:t>č. 504/2003 Z. z. o</w:t>
      </w:r>
      <w:r>
        <w:rPr>
          <w:rFonts w:eastAsia="Times New Roman"/>
          <w:b/>
          <w:bCs/>
          <w:color w:val="070707"/>
          <w:lang w:eastAsia="sk-SK"/>
        </w:rPr>
        <w:t> </w:t>
      </w:r>
      <w:r w:rsidRPr="00185E5B">
        <w:rPr>
          <w:rFonts w:eastAsia="Times New Roman"/>
          <w:b/>
          <w:bCs/>
          <w:color w:val="070707"/>
          <w:lang w:eastAsia="sk-SK"/>
        </w:rPr>
        <w:t>nájme poľnohospodárskych pozemkov, poľnohospodárskeho podniku a lesných pozemkov a o zmene niektorých zákonov</w:t>
      </w:r>
      <w:r w:rsidRPr="00185E5B">
        <w:rPr>
          <w:rFonts w:eastAsia="Times New Roman"/>
          <w:b/>
          <w:bCs/>
          <w:color w:val="222222"/>
          <w:lang w:eastAsia="sk-SK"/>
        </w:rPr>
        <w:t> v znení neskorších predpisov</w:t>
      </w:r>
    </w:p>
    <w:p w14:paraId="25B90110" w14:textId="77777777" w:rsidR="003F2E12" w:rsidRPr="00185E5B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C36E98">
        <w:rPr>
          <w:rFonts w:eastAsia="Times New Roman"/>
          <w:color w:val="000000"/>
          <w:lang w:eastAsia="sk-SK"/>
        </w:rPr>
        <w:t>Národná</w:t>
      </w:r>
      <w:r w:rsidRPr="00185E5B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56A77C9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</w:p>
    <w:p w14:paraId="260F9EFE" w14:textId="7F87B367" w:rsidR="002D724D" w:rsidRPr="009C2776" w:rsidRDefault="003F2E12" w:rsidP="0070293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000000"/>
          <w:lang w:eastAsia="sk-SK"/>
        </w:rPr>
        <w:t>Zákon č. </w:t>
      </w:r>
      <w:r w:rsidRPr="00B507B3">
        <w:rPr>
          <w:rFonts w:eastAsia="Times New Roman"/>
          <w:color w:val="000000"/>
          <w:lang w:eastAsia="sk-SK"/>
        </w:rPr>
        <w:t>504/2003</w:t>
      </w:r>
      <w:r w:rsidRPr="00185E5B">
        <w:rPr>
          <w:rFonts w:eastAsia="Times New Roman"/>
          <w:color w:val="000000"/>
          <w:lang w:eastAsia="sk-SK"/>
        </w:rPr>
        <w:t> Z. z. o nájme poľnohospodárskych pozemkov, poľnohospodárskeho podniku a lesných pozemkov a o zmene niektorých zákonov v znení zákona č. 549/2004 Z. z., zákona č. 571/2007 Z. z., zákona č. 274/2009 Z. z., zákona č. 396/2009 Z. z., zákona č. 57/2013 Z. z., zákona č. 145/2013 Z. z., zákona č. 363/2014 Z. z., zákona č. 24/2015 Z. z., zákona č. 153/2017 Z. z., zákona č. 291/2017 Z. z.</w:t>
      </w:r>
      <w:r w:rsidR="0072540D">
        <w:rPr>
          <w:rFonts w:eastAsia="Times New Roman"/>
          <w:color w:val="000000"/>
          <w:lang w:eastAsia="sk-SK"/>
        </w:rPr>
        <w:t>,</w:t>
      </w:r>
      <w:r w:rsidRPr="00185E5B">
        <w:rPr>
          <w:rFonts w:eastAsia="Times New Roman"/>
          <w:color w:val="000000"/>
          <w:lang w:eastAsia="sk-SK"/>
        </w:rPr>
        <w:t xml:space="preserve"> zákona č. 110/2018 Z. z.</w:t>
      </w:r>
      <w:r w:rsidR="0072540D">
        <w:rPr>
          <w:rFonts w:eastAsia="Times New Roman"/>
          <w:color w:val="000000"/>
          <w:lang w:eastAsia="sk-SK"/>
        </w:rPr>
        <w:t>,</w:t>
      </w:r>
      <w:r w:rsidRPr="00185E5B">
        <w:rPr>
          <w:rFonts w:eastAsia="Times New Roman"/>
          <w:color w:val="000000"/>
          <w:lang w:eastAsia="sk-SK"/>
        </w:rPr>
        <w:t xml:space="preserve"> zákona č. 2/2019 Z. z. a </w:t>
      </w:r>
      <w:r w:rsidRPr="009C2776">
        <w:rPr>
          <w:rFonts w:eastAsia="Times New Roman"/>
          <w:color w:val="000000"/>
          <w:lang w:eastAsia="sk-SK"/>
        </w:rPr>
        <w:t>zákona č. 158/2019 Z. z. sa mení takto:</w:t>
      </w:r>
    </w:p>
    <w:p w14:paraId="37C75D9E" w14:textId="21E58886" w:rsidR="0072540D" w:rsidRPr="009C2776" w:rsidRDefault="008B49E9" w:rsidP="00183D4E">
      <w:pPr>
        <w:pStyle w:val="Odsekzoznamu"/>
        <w:numPr>
          <w:ilvl w:val="0"/>
          <w:numId w:val="3"/>
        </w:numPr>
        <w:spacing w:before="120" w:after="0" w:line="240" w:lineRule="auto"/>
        <w:jc w:val="both"/>
        <w:rPr>
          <w:rFonts w:eastAsia="Times New Roman"/>
          <w:lang w:eastAsia="sk-SK"/>
        </w:rPr>
      </w:pPr>
      <w:r w:rsidRPr="009C2776">
        <w:rPr>
          <w:shd w:val="clear" w:color="auto" w:fill="FFFFFF"/>
        </w:rPr>
        <w:t>§ 12 ods</w:t>
      </w:r>
      <w:r w:rsidR="0072540D" w:rsidRPr="009C2776">
        <w:rPr>
          <w:shd w:val="clear" w:color="auto" w:fill="FFFFFF"/>
        </w:rPr>
        <w:t>ek</w:t>
      </w:r>
      <w:r w:rsidRPr="009C2776">
        <w:rPr>
          <w:shd w:val="clear" w:color="auto" w:fill="FFFFFF"/>
        </w:rPr>
        <w:t xml:space="preserve"> 4 znie: </w:t>
      </w:r>
    </w:p>
    <w:p w14:paraId="4D69A1A0" w14:textId="598AAED4" w:rsidR="00717378" w:rsidRPr="009C2776" w:rsidRDefault="00FB293E" w:rsidP="003445B9">
      <w:pPr>
        <w:shd w:val="clear" w:color="auto" w:fill="FFFFFF"/>
        <w:spacing w:line="210" w:lineRule="atLeast"/>
        <w:jc w:val="both"/>
        <w:rPr>
          <w:rFonts w:eastAsia="Times New Roman"/>
          <w:color w:val="222222"/>
          <w:lang w:eastAsia="sk-SK"/>
        </w:rPr>
      </w:pPr>
      <w:r w:rsidRPr="009C2776">
        <w:rPr>
          <w:shd w:val="clear" w:color="auto" w:fill="FFFFFF"/>
        </w:rPr>
        <w:t>„</w:t>
      </w:r>
      <w:r w:rsidR="0072540D" w:rsidRPr="009C2776">
        <w:rPr>
          <w:shd w:val="clear" w:color="auto" w:fill="FFFFFF"/>
        </w:rPr>
        <w:t xml:space="preserve">(4) </w:t>
      </w:r>
      <w:r w:rsidR="00717378" w:rsidRPr="009C2776">
        <w:rPr>
          <w:rFonts w:eastAsia="Times New Roman"/>
          <w:color w:val="222222"/>
          <w:lang w:eastAsia="sk-SK"/>
        </w:rPr>
        <w:t>Ak oprávnený užívateľ,</w:t>
      </w:r>
      <w:r w:rsidR="00717378" w:rsidRPr="009C2776">
        <w:rPr>
          <w:rFonts w:eastAsia="Times New Roman"/>
          <w:color w:val="222222"/>
          <w:vertAlign w:val="superscript"/>
          <w:lang w:eastAsia="sk-SK"/>
        </w:rPr>
        <w:t>12aa</w:t>
      </w:r>
      <w:r w:rsidR="00717378" w:rsidRPr="009C2776">
        <w:rPr>
          <w:rFonts w:eastAsia="Times New Roman"/>
          <w:color w:val="222222"/>
          <w:lang w:eastAsia="sk-SK"/>
        </w:rPr>
        <w:t>) ktorý pozemok užíva bez nájomnej zmluvy, inej zmluvy, rozhodnutia súdu alebo orgánu štátnej správy, ktoré ho oprávňujú užívať pozemok, preukáže, že vlastníkovi jej uzatvorenie navrhol písomne a ten uzatvorenie nájomnej zmluvy do dvoch mesiacov odo dňa doručenia návrhu neodmietol alebo nevyzval užívateľa pozemku na jeho vrátenie a prevzatie, pričom užívateľ vlastníka pri návrhu uzatvorenia nájomnej zmluvy poučil o forme a spôsobe odmietnutia návrhu a upozornil na právne dôsledky jeho nekonania, predpokladá sa, že uplynutím dvoch mesiacov odo dňa doručenia návrhu nájomnej zmluvy medzi nimi vznikol nájomný vzťah na neurčitý čas podľa § 6; to neplatí, ak vlastník pred uplynutím dvoch mesiacov odo dňa doručenia návrhu na uzatvorenie nájomnej zmluvy uzatvoril nájomnú zmluvu s inou osobou, ako je užívateľ pozemku. Odmietnutie návrhu na uzatvorenie nájomnej zmluvy podľa prvej vety musí byť písomné a musí z neho vyplývať, či sa týka celého návrhu alebo len jeho časti.“.</w:t>
      </w:r>
    </w:p>
    <w:p w14:paraId="541DC978" w14:textId="77777777" w:rsidR="00717378" w:rsidRPr="009C2776" w:rsidRDefault="00717378" w:rsidP="00717378">
      <w:pPr>
        <w:shd w:val="clear" w:color="auto" w:fill="FFFFFF"/>
        <w:spacing w:line="210" w:lineRule="atLeast"/>
        <w:rPr>
          <w:rFonts w:eastAsia="Times New Roman"/>
          <w:color w:val="222222"/>
          <w:lang w:eastAsia="sk-SK"/>
        </w:rPr>
      </w:pPr>
      <w:r w:rsidRPr="009C2776">
        <w:rPr>
          <w:rFonts w:eastAsia="Times New Roman"/>
          <w:color w:val="222222"/>
          <w:lang w:eastAsia="sk-SK"/>
        </w:rPr>
        <w:t>Poznámka pod čiarou k odkazu 12aa znie:</w:t>
      </w:r>
    </w:p>
    <w:p w14:paraId="15C6D232" w14:textId="77777777" w:rsidR="00717378" w:rsidRPr="003445B9" w:rsidRDefault="00717378" w:rsidP="00717378">
      <w:pPr>
        <w:shd w:val="clear" w:color="auto" w:fill="FFFFFF"/>
        <w:spacing w:line="210" w:lineRule="atLeast"/>
        <w:rPr>
          <w:rFonts w:eastAsia="Times New Roman"/>
          <w:color w:val="222222"/>
          <w:lang w:eastAsia="sk-SK"/>
        </w:rPr>
      </w:pPr>
      <w:r w:rsidRPr="009C2776">
        <w:rPr>
          <w:rFonts w:eastAsia="Times New Roman"/>
          <w:color w:val="222222"/>
          <w:lang w:eastAsia="sk-SK"/>
        </w:rPr>
        <w:t>„</w:t>
      </w:r>
      <w:r w:rsidRPr="009C2776">
        <w:rPr>
          <w:rFonts w:eastAsia="Times New Roman"/>
          <w:color w:val="222222"/>
          <w:vertAlign w:val="superscript"/>
          <w:lang w:eastAsia="sk-SK"/>
        </w:rPr>
        <w:t>12aa</w:t>
      </w:r>
      <w:r w:rsidRPr="009C2776">
        <w:rPr>
          <w:rFonts w:eastAsia="Times New Roman"/>
          <w:color w:val="222222"/>
          <w:lang w:eastAsia="sk-SK"/>
        </w:rPr>
        <w:t>) Napríklad § 130 ods. 1 Občianskeho zákonníka, § 22 ods. 2 zákona č. 229/1991 Zb. o úprave vlastníckych vzťahov k pôde a inému poľnohospodárskemu majetku v znení neskorších predpisov.“.</w:t>
      </w:r>
    </w:p>
    <w:p w14:paraId="04A77A7F" w14:textId="0E78064C" w:rsidR="003F2E12" w:rsidRPr="003445B9" w:rsidRDefault="00183D4E" w:rsidP="003445B9">
      <w:pPr>
        <w:pStyle w:val="Odsekzoznamu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/>
          <w:lang w:eastAsia="sk-SK"/>
        </w:rPr>
      </w:pPr>
      <w:bookmarkStart w:id="0" w:name="_Hlk49357983"/>
      <w:bookmarkStart w:id="1" w:name="_Hlk49358036"/>
      <w:bookmarkEnd w:id="0"/>
      <w:bookmarkEnd w:id="1"/>
      <w:r w:rsidRPr="003445B9">
        <w:rPr>
          <w:rFonts w:eastAsia="Times New Roman"/>
          <w:color w:val="000000"/>
          <w:szCs w:val="27"/>
          <w:lang w:eastAsia="sk-SK"/>
        </w:rPr>
        <w:t>V § 13 sa vypúšťajú odseky 2 a 3.</w:t>
      </w:r>
    </w:p>
    <w:p w14:paraId="1BDDC718" w14:textId="77777777" w:rsidR="00183D4E" w:rsidRPr="00DD5AA5" w:rsidRDefault="003F2E12" w:rsidP="00183D4E">
      <w:pPr>
        <w:pStyle w:val="Odsekzoznamu"/>
        <w:spacing w:after="0" w:line="240" w:lineRule="auto"/>
        <w:jc w:val="both"/>
        <w:rPr>
          <w:rFonts w:eastAsia="Times New Roman"/>
          <w:color w:val="000000"/>
          <w:lang w:eastAsia="sk-SK"/>
        </w:rPr>
      </w:pPr>
      <w:r w:rsidRPr="00DD5AA5">
        <w:rPr>
          <w:rFonts w:eastAsia="Times New Roman"/>
          <w:color w:val="000000"/>
          <w:lang w:eastAsia="sk-SK"/>
        </w:rPr>
        <w:t xml:space="preserve">Doterajšie odseky 4 až 10 sa označujú ako odseky </w:t>
      </w:r>
      <w:r w:rsidR="00183D4E" w:rsidRPr="00DD5AA5">
        <w:rPr>
          <w:rFonts w:eastAsia="Times New Roman"/>
          <w:color w:val="000000"/>
          <w:lang w:eastAsia="sk-SK"/>
        </w:rPr>
        <w:t>2</w:t>
      </w:r>
      <w:r w:rsidRPr="00DD5AA5">
        <w:rPr>
          <w:rFonts w:eastAsia="Times New Roman"/>
          <w:color w:val="000000"/>
          <w:lang w:eastAsia="sk-SK"/>
        </w:rPr>
        <w:t xml:space="preserve"> až </w:t>
      </w:r>
      <w:r w:rsidR="00183D4E" w:rsidRPr="00DD5AA5">
        <w:rPr>
          <w:rFonts w:eastAsia="Times New Roman"/>
          <w:color w:val="000000"/>
          <w:lang w:eastAsia="sk-SK"/>
        </w:rPr>
        <w:t>8</w:t>
      </w:r>
      <w:r w:rsidRPr="00DD5AA5">
        <w:rPr>
          <w:rFonts w:eastAsia="Times New Roman"/>
          <w:color w:val="000000"/>
          <w:lang w:eastAsia="sk-SK"/>
        </w:rPr>
        <w:t>.</w:t>
      </w:r>
    </w:p>
    <w:p w14:paraId="7D65B88F" w14:textId="57084776" w:rsidR="003F2E12" w:rsidRPr="00183D4E" w:rsidRDefault="003F2E12" w:rsidP="00DD5AA5">
      <w:pPr>
        <w:pStyle w:val="Odsekzoznamu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/>
          <w:color w:val="000000"/>
          <w:lang w:eastAsia="sk-SK"/>
        </w:rPr>
      </w:pPr>
      <w:r w:rsidRPr="00183D4E">
        <w:rPr>
          <w:rFonts w:eastAsia="Times New Roman"/>
          <w:color w:val="000000"/>
          <w:lang w:eastAsia="sk-SK"/>
        </w:rPr>
        <w:t xml:space="preserve">V § 13 </w:t>
      </w:r>
      <w:r w:rsidRPr="00183D4E">
        <w:rPr>
          <w:rFonts w:eastAsia="Times New Roman"/>
          <w:color w:val="000000"/>
          <w:spacing w:val="-6"/>
          <w:lang w:eastAsia="sk-SK"/>
        </w:rPr>
        <w:t>ods</w:t>
      </w:r>
      <w:r w:rsidRPr="00183D4E">
        <w:rPr>
          <w:rFonts w:eastAsia="Times New Roman"/>
          <w:color w:val="000000"/>
          <w:lang w:eastAsia="sk-SK"/>
        </w:rPr>
        <w:t xml:space="preserve">. </w:t>
      </w:r>
      <w:r w:rsidR="00183D4E">
        <w:rPr>
          <w:rFonts w:eastAsia="Times New Roman"/>
          <w:color w:val="000000"/>
          <w:lang w:eastAsia="sk-SK"/>
        </w:rPr>
        <w:t>3</w:t>
      </w:r>
      <w:r w:rsidRPr="00183D4E">
        <w:rPr>
          <w:rFonts w:eastAsia="Times New Roman"/>
          <w:color w:val="000000"/>
          <w:lang w:eastAsia="sk-SK"/>
        </w:rPr>
        <w:t xml:space="preserve"> sa slová „odseku 4“ nahrádzajú slovami „odseku </w:t>
      </w:r>
      <w:r w:rsidR="00183D4E">
        <w:rPr>
          <w:rFonts w:eastAsia="Times New Roman"/>
          <w:color w:val="000000"/>
          <w:lang w:eastAsia="sk-SK"/>
        </w:rPr>
        <w:t>2</w:t>
      </w:r>
      <w:r w:rsidRPr="00183D4E">
        <w:rPr>
          <w:rFonts w:eastAsia="Times New Roman"/>
          <w:color w:val="000000"/>
          <w:lang w:eastAsia="sk-SK"/>
        </w:rPr>
        <w:t>“.</w:t>
      </w:r>
    </w:p>
    <w:p w14:paraId="426639F0" w14:textId="73668308" w:rsidR="003F2E12" w:rsidRPr="00183D4E" w:rsidRDefault="003F2E12" w:rsidP="00DD5AA5">
      <w:pPr>
        <w:pStyle w:val="Odsekzoznamu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183D4E">
        <w:rPr>
          <w:rFonts w:eastAsia="Times New Roman"/>
          <w:color w:val="000000"/>
          <w:lang w:eastAsia="sk-SK"/>
        </w:rPr>
        <w:t>V §</w:t>
      </w:r>
      <w:r w:rsidR="001777F0">
        <w:rPr>
          <w:rFonts w:eastAsia="Times New Roman"/>
          <w:color w:val="000000"/>
          <w:lang w:eastAsia="sk-SK"/>
        </w:rPr>
        <w:t xml:space="preserve"> 13 ods. 4</w:t>
      </w:r>
      <w:r w:rsidRPr="00183D4E">
        <w:rPr>
          <w:rFonts w:eastAsia="Times New Roman"/>
          <w:color w:val="000000"/>
          <w:lang w:eastAsia="sk-SK"/>
        </w:rPr>
        <w:t xml:space="preserve"> až </w:t>
      </w:r>
      <w:r w:rsidR="001777F0">
        <w:rPr>
          <w:rFonts w:eastAsia="Times New Roman"/>
          <w:color w:val="000000"/>
          <w:lang w:eastAsia="sk-SK"/>
        </w:rPr>
        <w:t>7</w:t>
      </w:r>
      <w:r w:rsidRPr="00183D4E">
        <w:rPr>
          <w:rFonts w:eastAsia="Times New Roman"/>
          <w:color w:val="000000"/>
          <w:lang w:eastAsia="sk-SK"/>
        </w:rPr>
        <w:t xml:space="preserve"> sa slová „odseku</w:t>
      </w:r>
      <w:r w:rsidR="001777F0">
        <w:rPr>
          <w:rFonts w:eastAsia="Times New Roman"/>
          <w:color w:val="000000"/>
          <w:lang w:eastAsia="sk-SK"/>
        </w:rPr>
        <w:t xml:space="preserve"> 5“ nahrádzajú slovami „odseku 3</w:t>
      </w:r>
      <w:r w:rsidRPr="00183D4E">
        <w:rPr>
          <w:rFonts w:eastAsia="Times New Roman"/>
          <w:color w:val="000000"/>
          <w:lang w:eastAsia="sk-SK"/>
        </w:rPr>
        <w:t>“.</w:t>
      </w:r>
    </w:p>
    <w:p w14:paraId="66C98CEB" w14:textId="352581D3" w:rsidR="003F2E12" w:rsidRPr="00E163E6" w:rsidRDefault="003F2E12" w:rsidP="00183D4E">
      <w:pPr>
        <w:pStyle w:val="Odsekzoznamu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E163E6">
        <w:rPr>
          <w:rFonts w:eastAsia="Times New Roman"/>
          <w:color w:val="000000"/>
          <w:lang w:eastAsia="sk-SK"/>
        </w:rPr>
        <w:t xml:space="preserve">V § 13 </w:t>
      </w:r>
      <w:r w:rsidRPr="00E163E6">
        <w:rPr>
          <w:rFonts w:eastAsia="Times New Roman"/>
          <w:color w:val="000000"/>
          <w:spacing w:val="-6"/>
          <w:lang w:eastAsia="sk-SK"/>
        </w:rPr>
        <w:t>ods</w:t>
      </w:r>
      <w:r w:rsidR="001777F0">
        <w:rPr>
          <w:rFonts w:eastAsia="Times New Roman"/>
          <w:color w:val="000000"/>
          <w:lang w:eastAsia="sk-SK"/>
        </w:rPr>
        <w:t>. 6</w:t>
      </w:r>
      <w:r w:rsidRPr="00E163E6">
        <w:rPr>
          <w:rFonts w:eastAsia="Times New Roman"/>
          <w:color w:val="000000"/>
          <w:lang w:eastAsia="sk-SK"/>
        </w:rPr>
        <w:t xml:space="preserve"> sa slová „odseku</w:t>
      </w:r>
      <w:r w:rsidR="001777F0">
        <w:rPr>
          <w:rFonts w:eastAsia="Times New Roman"/>
          <w:color w:val="000000"/>
          <w:lang w:eastAsia="sk-SK"/>
        </w:rPr>
        <w:t xml:space="preserve"> 6“ nahrádzajú slovami „odseku 4</w:t>
      </w:r>
      <w:r w:rsidRPr="00E163E6">
        <w:rPr>
          <w:rFonts w:eastAsia="Times New Roman"/>
          <w:color w:val="000000"/>
          <w:lang w:eastAsia="sk-SK"/>
        </w:rPr>
        <w:t>“.</w:t>
      </w:r>
    </w:p>
    <w:p w14:paraId="15890150" w14:textId="1BA51052" w:rsidR="003F2E12" w:rsidRPr="00FB293E" w:rsidRDefault="003F2E12" w:rsidP="00183D4E">
      <w:pPr>
        <w:pStyle w:val="Odsekzoznamu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E163E6">
        <w:rPr>
          <w:rFonts w:eastAsia="Times New Roman"/>
          <w:color w:val="000000"/>
          <w:lang w:eastAsia="sk-SK"/>
        </w:rPr>
        <w:lastRenderedPageBreak/>
        <w:t>V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§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13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spacing w:val="-6"/>
          <w:lang w:eastAsia="sk-SK"/>
        </w:rPr>
        <w:t>ods</w:t>
      </w:r>
      <w:r w:rsidRPr="00E163E6">
        <w:rPr>
          <w:rFonts w:eastAsia="Times New Roman"/>
          <w:color w:val="000000"/>
          <w:lang w:eastAsia="sk-SK"/>
        </w:rPr>
        <w:t>.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="001777F0">
        <w:rPr>
          <w:rFonts w:eastAsia="Times New Roman"/>
          <w:color w:val="000000"/>
          <w:lang w:eastAsia="sk-SK"/>
        </w:rPr>
        <w:t>8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sa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slová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„odseku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3“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nahrádzajú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slovami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„odseku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="00DD5AA5">
        <w:rPr>
          <w:rFonts w:eastAsia="Times New Roman"/>
          <w:color w:val="000000"/>
          <w:lang w:eastAsia="sk-SK"/>
        </w:rPr>
        <w:t>2</w:t>
      </w:r>
      <w:r w:rsidRPr="00E163E6">
        <w:rPr>
          <w:rFonts w:eastAsia="Times New Roman"/>
          <w:color w:val="000000"/>
          <w:lang w:eastAsia="sk-SK"/>
        </w:rPr>
        <w:t>“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a slová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„odseku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Pr="00E163E6">
        <w:rPr>
          <w:rFonts w:eastAsia="Times New Roman"/>
          <w:color w:val="000000"/>
          <w:lang w:eastAsia="sk-SK"/>
        </w:rPr>
        <w:t>8“</w:t>
      </w:r>
      <w:r w:rsidRPr="00E163E6">
        <w:rPr>
          <w:rFonts w:eastAsia="Times New Roman"/>
          <w:color w:val="000000"/>
          <w:spacing w:val="-5"/>
          <w:lang w:eastAsia="sk-SK"/>
        </w:rPr>
        <w:t xml:space="preserve"> </w:t>
      </w:r>
      <w:r w:rsidR="001777F0">
        <w:rPr>
          <w:rFonts w:eastAsia="Times New Roman"/>
          <w:color w:val="000000"/>
          <w:lang w:eastAsia="sk-SK"/>
        </w:rPr>
        <w:t>sa nahrádzajú slovami „odseku 6</w:t>
      </w:r>
      <w:r w:rsidRPr="00E163E6">
        <w:rPr>
          <w:rFonts w:eastAsia="Times New Roman"/>
          <w:color w:val="000000"/>
          <w:lang w:eastAsia="sk-SK"/>
        </w:rPr>
        <w:t>“.</w:t>
      </w:r>
      <w:bookmarkStart w:id="2" w:name="_Hlk49358216"/>
      <w:bookmarkEnd w:id="2"/>
    </w:p>
    <w:p w14:paraId="6DF4F15C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II</w:t>
      </w:r>
    </w:p>
    <w:p w14:paraId="23135DC7" w14:textId="754390A3" w:rsidR="003F2E12" w:rsidRPr="00FB293E" w:rsidRDefault="003F2E12" w:rsidP="00FB293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 xml:space="preserve">Tento zákon nadobúda účinnosť </w:t>
      </w:r>
      <w:r>
        <w:rPr>
          <w:rFonts w:eastAsia="Times New Roman"/>
          <w:color w:val="222222"/>
          <w:lang w:eastAsia="sk-SK"/>
        </w:rPr>
        <w:t xml:space="preserve">1. </w:t>
      </w:r>
      <w:r w:rsidR="0072540D">
        <w:rPr>
          <w:rFonts w:eastAsia="Times New Roman"/>
          <w:color w:val="222222"/>
          <w:lang w:eastAsia="sk-SK"/>
        </w:rPr>
        <w:t>apríla</w:t>
      </w:r>
      <w:r w:rsidR="0072540D" w:rsidRPr="00185E5B">
        <w:rPr>
          <w:rFonts w:eastAsia="Times New Roman"/>
          <w:color w:val="222222"/>
          <w:lang w:eastAsia="sk-SK"/>
        </w:rPr>
        <w:t xml:space="preserve"> </w:t>
      </w:r>
      <w:r w:rsidRPr="00185E5B">
        <w:rPr>
          <w:rFonts w:eastAsia="Times New Roman"/>
          <w:color w:val="222222"/>
          <w:lang w:eastAsia="sk-SK"/>
        </w:rPr>
        <w:t>202</w:t>
      </w:r>
      <w:r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.</w:t>
      </w:r>
    </w:p>
    <w:sectPr w:rsidR="003F2E12" w:rsidRPr="00FB29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6A514" w14:textId="77777777" w:rsidR="00157BFA" w:rsidRDefault="00157BFA" w:rsidP="00ED5801">
      <w:pPr>
        <w:spacing w:after="0" w:line="240" w:lineRule="auto"/>
      </w:pPr>
      <w:r>
        <w:separator/>
      </w:r>
    </w:p>
  </w:endnote>
  <w:endnote w:type="continuationSeparator" w:id="0">
    <w:p w14:paraId="587362A8" w14:textId="77777777" w:rsidR="00157BFA" w:rsidRDefault="00157BFA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E2946" w14:textId="77777777" w:rsidR="00157BFA" w:rsidRDefault="00157BFA" w:rsidP="00ED5801">
      <w:pPr>
        <w:spacing w:after="0" w:line="240" w:lineRule="auto"/>
      </w:pPr>
      <w:r>
        <w:separator/>
      </w:r>
    </w:p>
  </w:footnote>
  <w:footnote w:type="continuationSeparator" w:id="0">
    <w:p w14:paraId="1A35B98B" w14:textId="77777777" w:rsidR="00157BFA" w:rsidRDefault="00157BFA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CFD"/>
    <w:multiLevelType w:val="hybridMultilevel"/>
    <w:tmpl w:val="B91C07A6"/>
    <w:lvl w:ilvl="0" w:tplc="D7929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41540"/>
    <w:rsid w:val="00054BAE"/>
    <w:rsid w:val="00083704"/>
    <w:rsid w:val="000C779C"/>
    <w:rsid w:val="00131D67"/>
    <w:rsid w:val="0014328A"/>
    <w:rsid w:val="00157BFA"/>
    <w:rsid w:val="00162010"/>
    <w:rsid w:val="001777F0"/>
    <w:rsid w:val="00183D4E"/>
    <w:rsid w:val="001B1CBD"/>
    <w:rsid w:val="001B6DC4"/>
    <w:rsid w:val="00217063"/>
    <w:rsid w:val="002D724D"/>
    <w:rsid w:val="003445B9"/>
    <w:rsid w:val="003853D4"/>
    <w:rsid w:val="003F2E12"/>
    <w:rsid w:val="00412252"/>
    <w:rsid w:val="00426870"/>
    <w:rsid w:val="004F49BF"/>
    <w:rsid w:val="00523BDF"/>
    <w:rsid w:val="0054673E"/>
    <w:rsid w:val="005544FB"/>
    <w:rsid w:val="00610797"/>
    <w:rsid w:val="00702936"/>
    <w:rsid w:val="00717378"/>
    <w:rsid w:val="0072540D"/>
    <w:rsid w:val="00760AA9"/>
    <w:rsid w:val="007C2047"/>
    <w:rsid w:val="008B49E9"/>
    <w:rsid w:val="008D38B2"/>
    <w:rsid w:val="00901C71"/>
    <w:rsid w:val="009C2776"/>
    <w:rsid w:val="009E2BF6"/>
    <w:rsid w:val="00A22C43"/>
    <w:rsid w:val="00A4115B"/>
    <w:rsid w:val="00A439DE"/>
    <w:rsid w:val="00B44C3A"/>
    <w:rsid w:val="00BD27E1"/>
    <w:rsid w:val="00BF7228"/>
    <w:rsid w:val="00D22433"/>
    <w:rsid w:val="00D91474"/>
    <w:rsid w:val="00D92F82"/>
    <w:rsid w:val="00DD220B"/>
    <w:rsid w:val="00DD5AA5"/>
    <w:rsid w:val="00DD7805"/>
    <w:rsid w:val="00E02901"/>
    <w:rsid w:val="00E147CF"/>
    <w:rsid w:val="00ED5801"/>
    <w:rsid w:val="00F3203D"/>
    <w:rsid w:val="00F35840"/>
    <w:rsid w:val="00F44410"/>
    <w:rsid w:val="00F65E7C"/>
    <w:rsid w:val="00F90457"/>
    <w:rsid w:val="00FB293E"/>
    <w:rsid w:val="00FD2851"/>
    <w:rsid w:val="00FE47E1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docId w15:val="{2D0C81C1-D811-48F9-9D90-CFB59D4A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paragraph" w:styleId="Textbubliny">
    <w:name w:val="Balloon Text"/>
    <w:basedOn w:val="Normlny"/>
    <w:link w:val="TextbublinyChar"/>
    <w:uiPriority w:val="99"/>
    <w:semiHidden/>
    <w:unhideWhenUsed/>
    <w:rsid w:val="008B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Halgašová, Jarmila</dc:creator>
  <cp:keywords/>
  <dc:description/>
  <cp:lastModifiedBy>Andrej Pitonak</cp:lastModifiedBy>
  <cp:revision>3</cp:revision>
  <cp:lastPrinted>2021-01-04T13:38:00Z</cp:lastPrinted>
  <dcterms:created xsi:type="dcterms:W3CDTF">2021-01-08T09:25:00Z</dcterms:created>
  <dcterms:modified xsi:type="dcterms:W3CDTF">2021-01-08T09:53:00Z</dcterms:modified>
</cp:coreProperties>
</file>