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F77" w14:textId="2518A31A" w:rsidR="00C100D2" w:rsidRPr="00660B5C" w:rsidRDefault="00320C74" w:rsidP="00246F0F">
      <w:pPr>
        <w:spacing w:after="360"/>
        <w:jc w:val="center"/>
        <w:rPr>
          <w:b/>
          <w:sz w:val="28"/>
        </w:rPr>
      </w:pPr>
      <w:r w:rsidRPr="00660B5C">
        <w:rPr>
          <w:b/>
          <w:sz w:val="28"/>
        </w:rPr>
        <w:t>DÔVODOVÁ SPRÁVA</w:t>
      </w:r>
    </w:p>
    <w:p w14:paraId="128432B9" w14:textId="1F17ED3E" w:rsidR="00E55865" w:rsidRPr="00660B5C" w:rsidRDefault="00320C74" w:rsidP="00246F0F">
      <w:pPr>
        <w:ind w:firstLine="0"/>
        <w:rPr>
          <w:b/>
        </w:rPr>
      </w:pPr>
      <w:r w:rsidRPr="00660B5C">
        <w:rPr>
          <w:b/>
        </w:rPr>
        <w:t xml:space="preserve">A. </w:t>
      </w:r>
      <w:r w:rsidR="00E55865" w:rsidRPr="00660B5C">
        <w:rPr>
          <w:b/>
        </w:rPr>
        <w:t>Všeobecná časť</w:t>
      </w:r>
    </w:p>
    <w:p w14:paraId="7C8FBA01" w14:textId="78575D75" w:rsidR="00272B1C" w:rsidRPr="00660B5C" w:rsidRDefault="00272B1C" w:rsidP="00246F0F">
      <w:pPr>
        <w:ind w:firstLine="0"/>
      </w:pPr>
      <w:r w:rsidRPr="00660B5C">
        <w:t xml:space="preserve">Návrh zákona, ktorým sa mení a dopĺňa zákon č. 540/2001 Z. z. o štátnej štatistike </w:t>
      </w:r>
      <w:r w:rsidR="00360870" w:rsidRPr="00660B5C">
        <w:t>v </w:t>
      </w:r>
      <w:r w:rsidR="00BC60DE" w:rsidRPr="00660B5C">
        <w:t xml:space="preserve">znení neskorších predpisov </w:t>
      </w:r>
      <w:r w:rsidRPr="00660B5C">
        <w:t xml:space="preserve">predkladá </w:t>
      </w:r>
      <w:r w:rsidR="00BC60DE" w:rsidRPr="00660B5C">
        <w:t xml:space="preserve">Štatistický úrad </w:t>
      </w:r>
      <w:r w:rsidR="009D3D95" w:rsidRPr="00660B5C">
        <w:t>Slovenskej republiky (ďalej len </w:t>
      </w:r>
      <w:r w:rsidR="00BC60DE" w:rsidRPr="00660B5C">
        <w:t xml:space="preserve">„štatistický úrad“) </w:t>
      </w:r>
      <w:r w:rsidR="00305E00" w:rsidRPr="00660B5C">
        <w:t>na základe úlohy č. 10 Plánu legislatívnych úloh vlády Slovenskej republiky na mesiace september až december 2020</w:t>
      </w:r>
      <w:r w:rsidRPr="00660B5C">
        <w:t>.</w:t>
      </w:r>
    </w:p>
    <w:p w14:paraId="7452E8EB" w14:textId="77777777" w:rsidR="00CF4546" w:rsidRPr="00660B5C" w:rsidRDefault="00CF4546" w:rsidP="00246F0F">
      <w:pPr>
        <w:ind w:firstLine="0"/>
      </w:pPr>
      <w:r w:rsidRPr="00660B5C">
        <w:t>Obsahom predkladaného návrhu zákona sú zmeny v nasledovných oblastiach:</w:t>
      </w:r>
    </w:p>
    <w:p w14:paraId="2BBE85A5" w14:textId="77777777" w:rsidR="00CF4546" w:rsidRPr="00660B5C" w:rsidRDefault="00CF4546" w:rsidP="00B6407E">
      <w:pPr>
        <w:numPr>
          <w:ilvl w:val="0"/>
          <w:numId w:val="3"/>
        </w:numPr>
        <w:adjustRightInd w:val="0"/>
        <w:ind w:left="357" w:hanging="357"/>
        <w:rPr>
          <w:color w:val="000000"/>
        </w:rPr>
      </w:pPr>
      <w:r w:rsidRPr="00660B5C">
        <w:rPr>
          <w:bCs/>
          <w:color w:val="000000"/>
        </w:rPr>
        <w:t>komplexná definícia základných princípov štátnej štatistiky, so zahrnutím princípu kvality štátnej štatistiky a ustanovení explicitnej povinnosti ich dodržiavať,</w:t>
      </w:r>
    </w:p>
    <w:p w14:paraId="4719D199" w14:textId="77777777" w:rsidR="00CF4546" w:rsidRPr="00660B5C" w:rsidRDefault="00CF4546" w:rsidP="00B6407E">
      <w:pPr>
        <w:numPr>
          <w:ilvl w:val="0"/>
          <w:numId w:val="3"/>
        </w:numPr>
        <w:adjustRightInd w:val="0"/>
        <w:ind w:left="357" w:hanging="357"/>
        <w:rPr>
          <w:color w:val="000000"/>
        </w:rPr>
      </w:pPr>
      <w:r w:rsidRPr="00660B5C">
        <w:rPr>
          <w:color w:val="000000"/>
        </w:rPr>
        <w:t>úprava osobnej pôsobnosti zákona, pokiaľ ide o vymedzenie subjektov, ktoré vykonávajú štátnu štatistiku,</w:t>
      </w:r>
    </w:p>
    <w:p w14:paraId="448ABF70" w14:textId="6A6802C2" w:rsidR="00CF4546" w:rsidRPr="00660B5C" w:rsidRDefault="00400229" w:rsidP="00B6407E">
      <w:pPr>
        <w:numPr>
          <w:ilvl w:val="0"/>
          <w:numId w:val="3"/>
        </w:numPr>
        <w:adjustRightInd w:val="0"/>
        <w:ind w:left="357" w:hanging="357"/>
        <w:rPr>
          <w:color w:val="000000"/>
        </w:rPr>
      </w:pPr>
      <w:r w:rsidRPr="00660B5C">
        <w:rPr>
          <w:color w:val="000000"/>
        </w:rPr>
        <w:t>úprava úloh štatistického úradu</w:t>
      </w:r>
      <w:r w:rsidR="00CF4546" w:rsidRPr="00660B5C">
        <w:rPr>
          <w:color w:val="000000"/>
        </w:rPr>
        <w:t>, s ustanovením nových úloh v oblastiach koordinácie, monitoringu dodržiavania princípov štátnej štatistiky a pravidelné hodnotenie kvality štatistík a vypracúvanie súhrnnej hodnotiacej správy,</w:t>
      </w:r>
    </w:p>
    <w:p w14:paraId="19DEF1E6" w14:textId="77777777" w:rsidR="00CF4546" w:rsidRPr="00660B5C" w:rsidRDefault="00CF4546" w:rsidP="00B6407E">
      <w:pPr>
        <w:numPr>
          <w:ilvl w:val="0"/>
          <w:numId w:val="3"/>
        </w:numPr>
        <w:adjustRightInd w:val="0"/>
        <w:ind w:left="357" w:hanging="357"/>
        <w:rPr>
          <w:color w:val="000000"/>
        </w:rPr>
      </w:pPr>
      <w:r w:rsidRPr="00660B5C">
        <w:rPr>
          <w:color w:val="000000"/>
        </w:rPr>
        <w:t xml:space="preserve">zmeny súvisiace s výstupmi </w:t>
      </w:r>
      <w:r w:rsidRPr="00660B5C">
        <w:t xml:space="preserve">projektu Reformy zberu a spracovania údajov štatistických údajov vo verejnej správe, napríklad </w:t>
      </w:r>
    </w:p>
    <w:p w14:paraId="18F2BF9A" w14:textId="69A6B8C8" w:rsidR="00CF4546" w:rsidRPr="00660B5C" w:rsidRDefault="00CF4546" w:rsidP="00B6407E">
      <w:pPr>
        <w:numPr>
          <w:ilvl w:val="1"/>
          <w:numId w:val="3"/>
        </w:numPr>
        <w:adjustRightInd w:val="0"/>
        <w:ind w:left="723"/>
        <w:rPr>
          <w:color w:val="000000"/>
        </w:rPr>
      </w:pPr>
      <w:r w:rsidRPr="00660B5C">
        <w:rPr>
          <w:color w:val="000000"/>
        </w:rPr>
        <w:t>zriadenie jednotného informačného systému štátnej štatistiky</w:t>
      </w:r>
      <w:r w:rsidR="00631D95" w:rsidRPr="00660B5C">
        <w:rPr>
          <w:color w:val="000000"/>
        </w:rPr>
        <w:t>, prostredníctvom rozvoja a dobudovania existujúceho Štatistického informačného systému (</w:t>
      </w:r>
      <w:r w:rsidR="009F5CF6" w:rsidRPr="00660B5C">
        <w:rPr>
          <w:color w:val="000000"/>
        </w:rPr>
        <w:t>isvs</w:t>
      </w:r>
      <w:r w:rsidR="00631D95" w:rsidRPr="00660B5C">
        <w:rPr>
          <w:color w:val="000000"/>
        </w:rPr>
        <w:t>_411) v zmysle schválenej štúdie uskutočniteľnosti</w:t>
      </w:r>
      <w:r w:rsidR="00926332" w:rsidRPr="00660B5C">
        <w:rPr>
          <w:color w:val="000000"/>
        </w:rPr>
        <w:t xml:space="preserve"> </w:t>
      </w:r>
      <w:r w:rsidR="003A6775" w:rsidRPr="00660B5C">
        <w:rPr>
          <w:color w:val="000000"/>
        </w:rPr>
        <w:t>(Kód METAIS su_309)</w:t>
      </w:r>
      <w:r w:rsidRPr="00660B5C">
        <w:rPr>
          <w:color w:val="000000"/>
        </w:rPr>
        <w:t>,</w:t>
      </w:r>
    </w:p>
    <w:p w14:paraId="33AD2F84" w14:textId="107982E2" w:rsidR="00CF4546" w:rsidRPr="00660B5C" w:rsidRDefault="00572A77" w:rsidP="00B6407E">
      <w:pPr>
        <w:numPr>
          <w:ilvl w:val="1"/>
          <w:numId w:val="3"/>
        </w:numPr>
        <w:adjustRightInd w:val="0"/>
        <w:ind w:left="723"/>
        <w:rPr>
          <w:color w:val="000000"/>
        </w:rPr>
      </w:pPr>
      <w:r w:rsidRPr="00660B5C">
        <w:rPr>
          <w:color w:val="000000"/>
        </w:rPr>
        <w:t>posilnenie koordinačnej úlohy š</w:t>
      </w:r>
      <w:r w:rsidR="00CF4546" w:rsidRPr="00660B5C">
        <w:rPr>
          <w:color w:val="000000"/>
        </w:rPr>
        <w:t>tatisti</w:t>
      </w:r>
      <w:r w:rsidRPr="00660B5C">
        <w:rPr>
          <w:color w:val="000000"/>
        </w:rPr>
        <w:t>ckého úradu</w:t>
      </w:r>
      <w:r w:rsidR="00CF4546" w:rsidRPr="00660B5C">
        <w:rPr>
          <w:color w:val="000000"/>
        </w:rPr>
        <w:t>,</w:t>
      </w:r>
    </w:p>
    <w:p w14:paraId="1604BA1D" w14:textId="77777777" w:rsidR="00CF4546" w:rsidRPr="00660B5C" w:rsidRDefault="00CF4546" w:rsidP="00B6407E">
      <w:pPr>
        <w:numPr>
          <w:ilvl w:val="1"/>
          <w:numId w:val="3"/>
        </w:numPr>
        <w:adjustRightInd w:val="0"/>
        <w:ind w:left="723"/>
        <w:rPr>
          <w:color w:val="000000"/>
        </w:rPr>
      </w:pPr>
      <w:r w:rsidRPr="00660B5C">
        <w:rPr>
          <w:color w:val="000000"/>
        </w:rPr>
        <w:t xml:space="preserve">ustanovenie minimálnych personálnych a organizačných opatrení prijímaných v podmienkach </w:t>
      </w:r>
      <w:r w:rsidRPr="00660B5C">
        <w:t>orgánu vykonávajúceho štátnu štatistiku,</w:t>
      </w:r>
    </w:p>
    <w:p w14:paraId="4E64B83C" w14:textId="18B4B074" w:rsidR="00CF4546" w:rsidRPr="00660B5C" w:rsidRDefault="00CF4546" w:rsidP="00B6407E">
      <w:pPr>
        <w:numPr>
          <w:ilvl w:val="0"/>
          <w:numId w:val="3"/>
        </w:numPr>
        <w:adjustRightInd w:val="0"/>
        <w:ind w:left="360"/>
        <w:rPr>
          <w:color w:val="000000"/>
        </w:rPr>
      </w:pPr>
      <w:r w:rsidRPr="00660B5C">
        <w:rPr>
          <w:color w:val="000000"/>
        </w:rPr>
        <w:t xml:space="preserve">úprava dôverných štatistických údajov v </w:t>
      </w:r>
      <w:r w:rsidRPr="00660B5C">
        <w:t>zhode s </w:t>
      </w:r>
      <w:r w:rsidR="00334298" w:rsidRPr="00451A1C">
        <w:t xml:space="preserve">nariadením </w:t>
      </w:r>
      <w:r w:rsidR="00334298">
        <w:t>Európskeho parlamentu a </w:t>
      </w:r>
      <w:r w:rsidR="00334298" w:rsidRPr="00BF431E">
        <w:t>Rady (ES) č. 223/2009 z 11. marca 2009 o európskej štatistike a o zrušení nariadenia (ES, Euratom) č. 1101/2008 o prenose dôverných štatistických údajov Štatistickému úradu Európskych spoločenstiev, nariadenia Rady (ES) č. 322</w:t>
      </w:r>
      <w:r w:rsidR="00334298">
        <w:t>/97 o štatistike Spoločenstva a </w:t>
      </w:r>
      <w:r w:rsidR="00334298" w:rsidRPr="00BF431E">
        <w:t>rozhodnutia Rady 89/382/EHS, Euratom o založení Výboru pre štatistické programy Európskych spoločenstiev (Ú. v. EÚ L 87, 31. 3. 2009) v platnom znení</w:t>
      </w:r>
      <w:r w:rsidRPr="00660B5C">
        <w:t>,</w:t>
      </w:r>
    </w:p>
    <w:p w14:paraId="08FCBD80" w14:textId="77777777" w:rsidR="00CF4546" w:rsidRPr="00660B5C" w:rsidRDefault="00CF4546" w:rsidP="00B6407E">
      <w:pPr>
        <w:numPr>
          <w:ilvl w:val="0"/>
          <w:numId w:val="3"/>
        </w:numPr>
        <w:adjustRightInd w:val="0"/>
        <w:ind w:left="360"/>
        <w:rPr>
          <w:color w:val="000000"/>
        </w:rPr>
      </w:pPr>
      <w:r w:rsidRPr="00660B5C">
        <w:rPr>
          <w:bCs/>
          <w:color w:val="000000"/>
        </w:rPr>
        <w:t>úpravy na základe podnetov z praxe a iných podnetov, napríklad</w:t>
      </w:r>
    </w:p>
    <w:p w14:paraId="62FE99F6" w14:textId="77777777" w:rsidR="00CF4546" w:rsidRPr="00660B5C" w:rsidRDefault="00CF4546" w:rsidP="00B6407E">
      <w:pPr>
        <w:numPr>
          <w:ilvl w:val="1"/>
          <w:numId w:val="3"/>
        </w:numPr>
        <w:adjustRightInd w:val="0"/>
        <w:ind w:left="723"/>
        <w:rPr>
          <w:color w:val="000000"/>
        </w:rPr>
      </w:pPr>
      <w:r w:rsidRPr="00660B5C">
        <w:rPr>
          <w:color w:val="000000"/>
        </w:rPr>
        <w:t>prehodnotenie, spresnenie a doplnenie definícií základných pojmov,</w:t>
      </w:r>
    </w:p>
    <w:p w14:paraId="5C6550A0" w14:textId="77777777" w:rsidR="00CF4546" w:rsidRPr="00660B5C" w:rsidRDefault="00CF4546" w:rsidP="00B6407E">
      <w:pPr>
        <w:numPr>
          <w:ilvl w:val="1"/>
          <w:numId w:val="3"/>
        </w:numPr>
        <w:adjustRightInd w:val="0"/>
        <w:ind w:left="723"/>
        <w:rPr>
          <w:color w:val="000000"/>
        </w:rPr>
      </w:pPr>
      <w:r w:rsidRPr="00660B5C">
        <w:rPr>
          <w:color w:val="000000"/>
        </w:rPr>
        <w:t>nová komplexná úprava prístupu k administratívnym zdrojom údajov,</w:t>
      </w:r>
    </w:p>
    <w:p w14:paraId="35D2F74C" w14:textId="77777777" w:rsidR="00CF4546" w:rsidRPr="00660B5C" w:rsidRDefault="00CF4546" w:rsidP="00B6407E">
      <w:pPr>
        <w:numPr>
          <w:ilvl w:val="1"/>
          <w:numId w:val="3"/>
        </w:numPr>
        <w:adjustRightInd w:val="0"/>
        <w:ind w:left="723"/>
        <w:rPr>
          <w:color w:val="000000"/>
        </w:rPr>
      </w:pPr>
      <w:r w:rsidRPr="00660B5C">
        <w:rPr>
          <w:color w:val="000000"/>
        </w:rPr>
        <w:t>bezplatné sprístupnenie údajov registra organizácií,</w:t>
      </w:r>
    </w:p>
    <w:p w14:paraId="7965EB08" w14:textId="77777777" w:rsidR="00CF4546" w:rsidRPr="00660B5C" w:rsidRDefault="00CF4546" w:rsidP="00B6407E">
      <w:pPr>
        <w:numPr>
          <w:ilvl w:val="1"/>
          <w:numId w:val="3"/>
        </w:numPr>
        <w:adjustRightInd w:val="0"/>
        <w:ind w:left="723"/>
        <w:rPr>
          <w:color w:val="000000"/>
        </w:rPr>
      </w:pPr>
      <w:r w:rsidRPr="00660B5C">
        <w:rPr>
          <w:color w:val="000000"/>
        </w:rPr>
        <w:t>úpravy v oblasti poskytovania štatistických údajov.</w:t>
      </w:r>
    </w:p>
    <w:p w14:paraId="55F69C99" w14:textId="557EC05D" w:rsidR="00CF4546" w:rsidRPr="00660B5C" w:rsidRDefault="00CF4546" w:rsidP="00B6407E">
      <w:pPr>
        <w:numPr>
          <w:ilvl w:val="0"/>
          <w:numId w:val="3"/>
        </w:numPr>
        <w:adjustRightInd w:val="0"/>
        <w:ind w:left="360"/>
        <w:rPr>
          <w:color w:val="000000"/>
        </w:rPr>
      </w:pPr>
      <w:r w:rsidRPr="00660B5C">
        <w:rPr>
          <w:color w:val="000000"/>
        </w:rPr>
        <w:t>ďalšie legislatívno-technické úpravy vychádzajúce zo zmien relevantných právnych predpisov, vrátane prepisov na úrovni Európskej únie</w:t>
      </w:r>
      <w:r w:rsidR="00D71E80">
        <w:rPr>
          <w:color w:val="000000"/>
        </w:rPr>
        <w:t xml:space="preserve"> (ďalej len „EÚ“)</w:t>
      </w:r>
      <w:r w:rsidRPr="00660B5C">
        <w:rPr>
          <w:color w:val="000000"/>
        </w:rPr>
        <w:t>.</w:t>
      </w:r>
    </w:p>
    <w:p w14:paraId="4A959DE8" w14:textId="6B2502EC" w:rsidR="00466C43" w:rsidRPr="00660B5C" w:rsidRDefault="00CA3DFA" w:rsidP="00246F0F">
      <w:pPr>
        <w:ind w:firstLine="0"/>
      </w:pPr>
      <w:r w:rsidRPr="00660B5C">
        <w:lastRenderedPageBreak/>
        <w:t xml:space="preserve">Štatistický úrad </w:t>
      </w:r>
      <w:r w:rsidR="005B79F5" w:rsidRPr="00660B5C">
        <w:t>s</w:t>
      </w:r>
      <w:r w:rsidRPr="00660B5C">
        <w:t>polu s</w:t>
      </w:r>
      <w:r w:rsidR="004948B1" w:rsidRPr="00660B5C">
        <w:t> ústrednými orgánmi štátnej správy</w:t>
      </w:r>
      <w:r w:rsidRPr="00660B5C">
        <w:t xml:space="preserve"> a štátnymi organizáciami, ktoré vykonávajú Európsky štatistický program alebo program štátnych štatistických zisťovaní tvorí Národný štatistický systém S</w:t>
      </w:r>
      <w:r w:rsidR="004948B1" w:rsidRPr="00660B5C">
        <w:t>lovenskej republiky (ďalej len „NŠS“)</w:t>
      </w:r>
      <w:r w:rsidRPr="00660B5C">
        <w:t xml:space="preserve">. </w:t>
      </w:r>
    </w:p>
    <w:p w14:paraId="5BFFDF90" w14:textId="242A6B18" w:rsidR="00CA3DFA" w:rsidRPr="00660B5C" w:rsidRDefault="004948B1" w:rsidP="00246F0F">
      <w:pPr>
        <w:ind w:firstLine="0"/>
      </w:pPr>
      <w:r w:rsidRPr="00660B5C">
        <w:t>Štatistický úrad</w:t>
      </w:r>
      <w:r w:rsidR="00CA3DFA" w:rsidRPr="00660B5C">
        <w:t xml:space="preserve"> zodpovedá za koordináciu </w:t>
      </w:r>
      <w:r w:rsidRPr="00660B5C">
        <w:t>NŠS</w:t>
      </w:r>
      <w:r w:rsidR="00466C43" w:rsidRPr="00660B5C">
        <w:t xml:space="preserve">, ktorá zahŕňa </w:t>
      </w:r>
      <w:r w:rsidR="00466C43" w:rsidRPr="00660B5C">
        <w:tab/>
        <w:t xml:space="preserve">zostavovanie programu štátnych štatistických zisťovaní, </w:t>
      </w:r>
      <w:r w:rsidR="00466C43" w:rsidRPr="00660B5C">
        <w:tab/>
        <w:t xml:space="preserve">určovanie spôsobu získavania štatistických údajov, </w:t>
      </w:r>
      <w:r w:rsidR="00466C43" w:rsidRPr="00660B5C">
        <w:tab/>
        <w:t xml:space="preserve">sledovanie plnenia programu štátnych štatistických zisťovaní, </w:t>
      </w:r>
      <w:r w:rsidR="00466C43" w:rsidRPr="00660B5C">
        <w:tab/>
        <w:t>riadenie, usmerňovanie a dohľad nad zberom a</w:t>
      </w:r>
      <w:r w:rsidR="00572A77" w:rsidRPr="00660B5C">
        <w:t> </w:t>
      </w:r>
      <w:r w:rsidR="00466C43" w:rsidRPr="00660B5C">
        <w:t xml:space="preserve">spracovaním štatistických údajov </w:t>
      </w:r>
      <w:r w:rsidR="009D3D95" w:rsidRPr="00660B5C">
        <w:t>na vnútroštátnej úrovni, aby </w:t>
      </w:r>
      <w:r w:rsidR="0019116F" w:rsidRPr="00660B5C">
        <w:t>sa </w:t>
      </w:r>
      <w:r w:rsidR="00466C43" w:rsidRPr="00660B5C">
        <w:t xml:space="preserve">vykonával hospodárne a bez duplicity, </w:t>
      </w:r>
      <w:r w:rsidR="00466C43" w:rsidRPr="00660B5C">
        <w:tab/>
        <w:t>zverejňovanie a poskytovanie štatistických údajov.</w:t>
      </w:r>
    </w:p>
    <w:p w14:paraId="154C85B6" w14:textId="5904C9AF" w:rsidR="00CF4546" w:rsidRPr="00660B5C" w:rsidRDefault="00CF4546" w:rsidP="00246F0F">
      <w:pPr>
        <w:ind w:firstLine="0"/>
      </w:pPr>
      <w:r w:rsidRPr="00660B5C">
        <w:t xml:space="preserve">Nariadenie </w:t>
      </w:r>
      <w:r w:rsidR="00572A77" w:rsidRPr="00660B5C">
        <w:t>(ES) č. 223/2009 v platnom znení</w:t>
      </w:r>
      <w:r w:rsidRPr="00660B5C">
        <w:t xml:space="preserve"> zdôrazňuje význam </w:t>
      </w:r>
      <w:r w:rsidR="00572A77" w:rsidRPr="00660B5C">
        <w:t>vnútroštátnych štatistických úradov</w:t>
      </w:r>
      <w:r w:rsidRPr="00660B5C">
        <w:t xml:space="preserve"> a určuje </w:t>
      </w:r>
      <w:r w:rsidR="00572A77" w:rsidRPr="00660B5C">
        <w:t>ich</w:t>
      </w:r>
      <w:r w:rsidRPr="00660B5C">
        <w:t xml:space="preserve"> </w:t>
      </w:r>
      <w:r w:rsidR="00572A77" w:rsidRPr="00660B5C">
        <w:t>za zodpovedné</w:t>
      </w:r>
      <w:r w:rsidRPr="00660B5C">
        <w:t xml:space="preserve"> za koordináciu všetkých činností súvisiacich s európskymi štatistikami a produkciu európskych štatistík ďalšími organizáciami v rámci </w:t>
      </w:r>
      <w:r w:rsidR="00572A77" w:rsidRPr="00660B5C">
        <w:t xml:space="preserve">členského </w:t>
      </w:r>
      <w:r w:rsidRPr="00660B5C">
        <w:t>štátu.</w:t>
      </w:r>
    </w:p>
    <w:p w14:paraId="23867ADB" w14:textId="63A0907D" w:rsidR="00466C43" w:rsidRPr="00660B5C" w:rsidRDefault="004948B1" w:rsidP="00246F0F">
      <w:pPr>
        <w:ind w:firstLine="0"/>
      </w:pPr>
      <w:r w:rsidRPr="00660B5C">
        <w:t>Ťažiskovým dôvodom predloženia návrhu zákona je realizácia projektu „</w:t>
      </w:r>
      <w:r w:rsidR="00572A77" w:rsidRPr="00660B5C">
        <w:t>Reforma zberu a </w:t>
      </w:r>
      <w:r w:rsidR="00CA3DFA" w:rsidRPr="00660B5C">
        <w:t>spracovania štatistických údajov vo verejnej správe</w:t>
      </w:r>
      <w:r w:rsidRPr="00660B5C">
        <w:t>“, ktorý</w:t>
      </w:r>
      <w:r w:rsidR="00CA3DFA" w:rsidRPr="00660B5C">
        <w:rPr>
          <w:spacing w:val="-12"/>
        </w:rPr>
        <w:t xml:space="preserve"> </w:t>
      </w:r>
      <w:r w:rsidR="00466C43" w:rsidRPr="00660B5C">
        <w:t>reaguje</w:t>
      </w:r>
      <w:r w:rsidR="00CA3DFA" w:rsidRPr="00660B5C">
        <w:rPr>
          <w:spacing w:val="-12"/>
        </w:rPr>
        <w:t xml:space="preserve"> </w:t>
      </w:r>
      <w:r w:rsidR="00CA3DFA" w:rsidRPr="00660B5C">
        <w:t>na</w:t>
      </w:r>
      <w:r w:rsidR="00CA3DFA" w:rsidRPr="00660B5C">
        <w:rPr>
          <w:spacing w:val="-11"/>
        </w:rPr>
        <w:t xml:space="preserve"> </w:t>
      </w:r>
      <w:r w:rsidR="00CA3DFA" w:rsidRPr="00660B5C">
        <w:t>požiadavky</w:t>
      </w:r>
      <w:r w:rsidR="00CA3DFA" w:rsidRPr="00660B5C">
        <w:rPr>
          <w:spacing w:val="-12"/>
        </w:rPr>
        <w:t xml:space="preserve"> </w:t>
      </w:r>
      <w:r w:rsidR="00CA3DFA" w:rsidRPr="00660B5C">
        <w:t>Eurostatu</w:t>
      </w:r>
      <w:r w:rsidR="00CA3DFA" w:rsidRPr="00660B5C">
        <w:rPr>
          <w:spacing w:val="-11"/>
        </w:rPr>
        <w:t xml:space="preserve"> </w:t>
      </w:r>
      <w:r w:rsidR="00CA3DFA" w:rsidRPr="00660B5C">
        <w:t>na</w:t>
      </w:r>
      <w:r w:rsidR="00CA3DFA" w:rsidRPr="00660B5C">
        <w:rPr>
          <w:spacing w:val="-12"/>
        </w:rPr>
        <w:t xml:space="preserve"> </w:t>
      </w:r>
      <w:r w:rsidR="00CA3DFA" w:rsidRPr="00660B5C">
        <w:t>vytvorenie</w:t>
      </w:r>
      <w:r w:rsidR="00CA3DFA" w:rsidRPr="00660B5C">
        <w:rPr>
          <w:spacing w:val="-11"/>
        </w:rPr>
        <w:t xml:space="preserve"> </w:t>
      </w:r>
      <w:r w:rsidR="00CA3DFA" w:rsidRPr="00660B5C">
        <w:t>národnej metodiky, jej následnú štandardizáciu k povinným osobám národného štatistického systému, ktorá umožní štandardizovať proces zberu a spracovania štatistických údajov a šírenia štatistických výstupov naprieč všetkými pov</w:t>
      </w:r>
      <w:r w:rsidR="0019116F" w:rsidRPr="00660B5C">
        <w:t>innými osobami ako aj ochranu a </w:t>
      </w:r>
      <w:r w:rsidR="00CA3DFA" w:rsidRPr="00660B5C">
        <w:t xml:space="preserve">bezpečnosť zbieraných a spracúvaných údajov. </w:t>
      </w:r>
    </w:p>
    <w:p w14:paraId="7E4ED4D3" w14:textId="4D6E56A9" w:rsidR="004948B1" w:rsidRPr="00660B5C" w:rsidRDefault="00CF4546" w:rsidP="00246F0F">
      <w:pPr>
        <w:ind w:firstLine="0"/>
      </w:pPr>
      <w:r w:rsidRPr="00660B5C">
        <w:t>Projekt reformy ď</w:t>
      </w:r>
      <w:r w:rsidR="00CA3DFA" w:rsidRPr="00660B5C">
        <w:t>alej podpor</w:t>
      </w:r>
      <w:r w:rsidR="00466C43" w:rsidRPr="00660B5C">
        <w:t xml:space="preserve">uje a zabezpečuje </w:t>
      </w:r>
      <w:r w:rsidR="00CA3DFA" w:rsidRPr="00660B5C">
        <w:t xml:space="preserve">posilnenie </w:t>
      </w:r>
      <w:r w:rsidR="004948B1" w:rsidRPr="00660B5C">
        <w:t>administratívno-právneho</w:t>
      </w:r>
      <w:r w:rsidR="00CA3DFA" w:rsidRPr="00660B5C">
        <w:t xml:space="preserve"> postavenia </w:t>
      </w:r>
      <w:r w:rsidR="004948B1" w:rsidRPr="00660B5C">
        <w:t>štatistického úradu</w:t>
      </w:r>
      <w:r w:rsidR="00CA3DFA" w:rsidRPr="00660B5C">
        <w:t xml:space="preserve"> v rámci NŠS, nastaviť a implementovať optimálny procesný model jeho fungovania a tým realizáciu koordinačnej role </w:t>
      </w:r>
      <w:r w:rsidR="004948B1" w:rsidRPr="00660B5C">
        <w:t>štatistického úradu</w:t>
      </w:r>
      <w:r w:rsidR="00CA3DFA" w:rsidRPr="00660B5C">
        <w:t>.</w:t>
      </w:r>
    </w:p>
    <w:p w14:paraId="6F04C585" w14:textId="59DBFB43" w:rsidR="00CA3DFA" w:rsidRPr="00660B5C" w:rsidRDefault="00CA3DFA" w:rsidP="00246F0F">
      <w:pPr>
        <w:ind w:firstLine="0"/>
      </w:pPr>
      <w:r w:rsidRPr="00660B5C">
        <w:t xml:space="preserve">Strategickými cieľmi projektu </w:t>
      </w:r>
      <w:r w:rsidR="00F612FC" w:rsidRPr="00660B5C">
        <w:t xml:space="preserve">reformy </w:t>
      </w:r>
      <w:r w:rsidRPr="00660B5C">
        <w:t>sa stali:</w:t>
      </w:r>
    </w:p>
    <w:p w14:paraId="251A71A9" w14:textId="77777777" w:rsidR="00CA3DFA" w:rsidRPr="00660B5C" w:rsidRDefault="00CA3DFA" w:rsidP="00B6407E">
      <w:pPr>
        <w:pStyle w:val="Odsekzoznamu"/>
        <w:numPr>
          <w:ilvl w:val="0"/>
          <w:numId w:val="5"/>
        </w:numPr>
        <w:ind w:left="360"/>
        <w:contextualSpacing w:val="0"/>
        <w:rPr>
          <w:rFonts w:ascii="Times New Roman" w:hAnsi="Times New Roman" w:cs="Times New Roman"/>
        </w:rPr>
      </w:pPr>
      <w:r w:rsidRPr="00660B5C">
        <w:rPr>
          <w:rFonts w:ascii="Times New Roman" w:hAnsi="Times New Roman" w:cs="Times New Roman"/>
        </w:rPr>
        <w:t>prehodnotený NŠS (tvorcovia oficiálnej štatistiky spĺňajúci kvalitatívne kritéria),</w:t>
      </w:r>
    </w:p>
    <w:p w14:paraId="02871B11" w14:textId="77777777" w:rsidR="00CA3DFA" w:rsidRPr="00660B5C" w:rsidRDefault="00CA3DFA" w:rsidP="00B6407E">
      <w:pPr>
        <w:pStyle w:val="Odsekzoznamu"/>
        <w:numPr>
          <w:ilvl w:val="0"/>
          <w:numId w:val="5"/>
        </w:numPr>
        <w:ind w:left="360"/>
        <w:contextualSpacing w:val="0"/>
        <w:rPr>
          <w:rFonts w:ascii="Times New Roman" w:hAnsi="Times New Roman" w:cs="Times New Roman"/>
        </w:rPr>
      </w:pPr>
      <w:r w:rsidRPr="00660B5C">
        <w:rPr>
          <w:rFonts w:ascii="Times New Roman" w:hAnsi="Times New Roman" w:cs="Times New Roman"/>
        </w:rPr>
        <w:t>štandardizácia procesov,</w:t>
      </w:r>
    </w:p>
    <w:p w14:paraId="14261745" w14:textId="77777777" w:rsidR="00CA3DFA" w:rsidRPr="00660B5C" w:rsidRDefault="00CA3DFA" w:rsidP="00B6407E">
      <w:pPr>
        <w:pStyle w:val="Odsekzoznamu"/>
        <w:numPr>
          <w:ilvl w:val="0"/>
          <w:numId w:val="5"/>
        </w:numPr>
        <w:ind w:left="360"/>
        <w:contextualSpacing w:val="0"/>
        <w:rPr>
          <w:rFonts w:ascii="Times New Roman" w:hAnsi="Times New Roman" w:cs="Times New Roman"/>
        </w:rPr>
      </w:pPr>
      <w:r w:rsidRPr="00660B5C">
        <w:rPr>
          <w:rFonts w:ascii="Times New Roman" w:hAnsi="Times New Roman" w:cs="Times New Roman"/>
        </w:rPr>
        <w:t>metadáta a manažment produktov (metadata and product driven NŠS, katalóg produktov),</w:t>
      </w:r>
    </w:p>
    <w:p w14:paraId="14577F79" w14:textId="0446DD57" w:rsidR="00CA3DFA" w:rsidRPr="00660B5C" w:rsidRDefault="00CA3DFA" w:rsidP="00B6407E">
      <w:pPr>
        <w:pStyle w:val="Odsekzoznamu"/>
        <w:numPr>
          <w:ilvl w:val="0"/>
          <w:numId w:val="5"/>
        </w:numPr>
        <w:ind w:left="360"/>
        <w:contextualSpacing w:val="0"/>
        <w:rPr>
          <w:rFonts w:ascii="Times New Roman" w:hAnsi="Times New Roman" w:cs="Times New Roman"/>
        </w:rPr>
      </w:pPr>
      <w:r w:rsidRPr="00660B5C">
        <w:rPr>
          <w:rFonts w:ascii="Times New Roman" w:hAnsi="Times New Roman" w:cs="Times New Roman"/>
        </w:rPr>
        <w:t xml:space="preserve">posilnenie koordinačnej roly </w:t>
      </w:r>
      <w:r w:rsidR="00572A77" w:rsidRPr="00660B5C">
        <w:rPr>
          <w:rFonts w:ascii="Times New Roman" w:hAnsi="Times New Roman" w:cs="Times New Roman"/>
        </w:rPr>
        <w:t>štatistického úradu</w:t>
      </w:r>
      <w:r w:rsidRPr="00660B5C">
        <w:rPr>
          <w:rFonts w:ascii="Times New Roman" w:hAnsi="Times New Roman" w:cs="Times New Roman"/>
        </w:rPr>
        <w:t xml:space="preserve"> (podporenej legislatívou; v oblasti metodiky kvality, kontroly a diseminácie údajov),</w:t>
      </w:r>
    </w:p>
    <w:p w14:paraId="7BC2016C" w14:textId="51E436FB" w:rsidR="00CA3DFA" w:rsidRPr="00660B5C" w:rsidRDefault="00572A77" w:rsidP="00B6407E">
      <w:pPr>
        <w:pStyle w:val="Odsekzoznamu"/>
        <w:numPr>
          <w:ilvl w:val="0"/>
          <w:numId w:val="5"/>
        </w:numPr>
        <w:ind w:left="360"/>
        <w:contextualSpacing w:val="0"/>
        <w:rPr>
          <w:rFonts w:ascii="Times New Roman" w:hAnsi="Times New Roman" w:cs="Times New Roman"/>
        </w:rPr>
      </w:pPr>
      <w:r w:rsidRPr="00660B5C">
        <w:rPr>
          <w:rFonts w:ascii="Times New Roman" w:hAnsi="Times New Roman" w:cs="Times New Roman"/>
        </w:rPr>
        <w:t>štatistický úrad</w:t>
      </w:r>
      <w:r w:rsidR="00CA3DFA" w:rsidRPr="00660B5C">
        <w:rPr>
          <w:rFonts w:ascii="Times New Roman" w:hAnsi="Times New Roman" w:cs="Times New Roman"/>
        </w:rPr>
        <w:t xml:space="preserve"> ako správca údajov (data custodian) (napr. formou DataHubu alebo Data Warehouse).</w:t>
      </w:r>
    </w:p>
    <w:p w14:paraId="6C5D320E" w14:textId="473C8E88" w:rsidR="00CA3DFA" w:rsidRPr="00660B5C" w:rsidRDefault="00CA3DFA" w:rsidP="00246F0F">
      <w:pPr>
        <w:ind w:firstLine="709"/>
      </w:pPr>
      <w:r w:rsidRPr="00660B5C">
        <w:t xml:space="preserve">Prostriedkami na realizáciu týchto cieľov </w:t>
      </w:r>
      <w:r w:rsidR="008E6D8C" w:rsidRPr="00660B5C">
        <w:t>budú</w:t>
      </w:r>
      <w:r w:rsidRPr="00660B5C">
        <w:t>:</w:t>
      </w:r>
    </w:p>
    <w:p w14:paraId="4E5625D7" w14:textId="7FC23066"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 xml:space="preserve">dodržiavanie Kódexu postupov pre európsku štatistiku </w:t>
      </w:r>
      <w:r w:rsidR="00973D33" w:rsidRPr="00660B5C">
        <w:rPr>
          <w:rFonts w:ascii="Times New Roman" w:hAnsi="Times New Roman" w:cs="Times New Roman"/>
        </w:rPr>
        <w:t>členmi</w:t>
      </w:r>
      <w:r w:rsidRPr="00660B5C">
        <w:rPr>
          <w:rFonts w:ascii="Times New Roman" w:hAnsi="Times New Roman" w:cs="Times New Roman"/>
        </w:rPr>
        <w:t xml:space="preserve"> NŠS,</w:t>
      </w:r>
    </w:p>
    <w:p w14:paraId="59F69287" w14:textId="77777777"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vzdelávacie a konzultačné aktivity,</w:t>
      </w:r>
    </w:p>
    <w:p w14:paraId="636034AF" w14:textId="3303DD8A"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 xml:space="preserve">štandardizácia hodnototvorných procesov </w:t>
      </w:r>
      <w:r w:rsidR="00973D33" w:rsidRPr="00660B5C">
        <w:rPr>
          <w:rFonts w:ascii="Times New Roman" w:hAnsi="Times New Roman" w:cs="Times New Roman"/>
        </w:rPr>
        <w:t>členmi NŠS</w:t>
      </w:r>
      <w:r w:rsidRPr="00660B5C">
        <w:rPr>
          <w:rFonts w:ascii="Times New Roman" w:hAnsi="Times New Roman" w:cs="Times New Roman"/>
        </w:rPr>
        <w:t>,</w:t>
      </w:r>
    </w:p>
    <w:p w14:paraId="7CD21023" w14:textId="77777777"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štandardizácia používaných štatistických nástrojov v rámci NŠS,</w:t>
      </w:r>
    </w:p>
    <w:p w14:paraId="21C20481" w14:textId="4CFDB886"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 xml:space="preserve">koordinačná jednotka </w:t>
      </w:r>
      <w:r w:rsidR="00973D33" w:rsidRPr="00660B5C">
        <w:rPr>
          <w:rFonts w:ascii="Times New Roman" w:hAnsi="Times New Roman" w:cs="Times New Roman"/>
        </w:rPr>
        <w:t>zriadená v štatistickom úrade</w:t>
      </w:r>
      <w:r w:rsidRPr="00660B5C">
        <w:rPr>
          <w:rFonts w:ascii="Times New Roman" w:hAnsi="Times New Roman" w:cs="Times New Roman"/>
        </w:rPr>
        <w:t>,</w:t>
      </w:r>
    </w:p>
    <w:p w14:paraId="2B339105" w14:textId="77777777"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koordinácia a monitorovanie kvality štatistických výstupov u členov NŠS,</w:t>
      </w:r>
    </w:p>
    <w:p w14:paraId="744F4395" w14:textId="77777777"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spoločná verejná databáza údajov (vrátane katalógu produktov a datasetov vo forme otvorených strojovo spracovateľných údajov),</w:t>
      </w:r>
    </w:p>
    <w:p w14:paraId="1FE09202" w14:textId="7D186C2B" w:rsidR="00CA3DFA"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lastRenderedPageBreak/>
        <w:t xml:space="preserve">povinné použitie modulov informačného systému spravovaného </w:t>
      </w:r>
      <w:r w:rsidR="0019116F" w:rsidRPr="00660B5C">
        <w:rPr>
          <w:rFonts w:ascii="Times New Roman" w:hAnsi="Times New Roman" w:cs="Times New Roman"/>
        </w:rPr>
        <w:t>štatistickým úradom vo </w:t>
      </w:r>
      <w:r w:rsidR="00973D33" w:rsidRPr="00660B5C">
        <w:rPr>
          <w:rFonts w:ascii="Times New Roman" w:hAnsi="Times New Roman" w:cs="Times New Roman"/>
        </w:rPr>
        <w:t>variante, ktorý ustanoví vykonávací predpis</w:t>
      </w:r>
      <w:r w:rsidRPr="00660B5C">
        <w:rPr>
          <w:rFonts w:ascii="Times New Roman" w:hAnsi="Times New Roman" w:cs="Times New Roman"/>
        </w:rPr>
        <w:t>,</w:t>
      </w:r>
    </w:p>
    <w:p w14:paraId="0BA4B068" w14:textId="77777777" w:rsidR="008E6D8C" w:rsidRPr="00660B5C" w:rsidRDefault="00CA3DFA" w:rsidP="00B6407E">
      <w:pPr>
        <w:pStyle w:val="Odsekzoznamu"/>
        <w:numPr>
          <w:ilvl w:val="0"/>
          <w:numId w:val="6"/>
        </w:numPr>
        <w:ind w:left="360"/>
        <w:contextualSpacing w:val="0"/>
        <w:rPr>
          <w:rFonts w:ascii="Times New Roman" w:hAnsi="Times New Roman" w:cs="Times New Roman"/>
        </w:rPr>
      </w:pPr>
      <w:r w:rsidRPr="00660B5C">
        <w:rPr>
          <w:rFonts w:ascii="Times New Roman" w:hAnsi="Times New Roman" w:cs="Times New Roman"/>
        </w:rPr>
        <w:t>v prípade nevyhnutnosti prevzatie niektorých zodpovedností za niektoré štatistiky v rámci Slovenskej republiky.</w:t>
      </w:r>
    </w:p>
    <w:p w14:paraId="7926035B" w14:textId="52592470" w:rsidR="008E6D8C" w:rsidRPr="00660B5C" w:rsidRDefault="008E6D8C" w:rsidP="00246F0F">
      <w:pPr>
        <w:ind w:firstLine="0"/>
      </w:pPr>
      <w:r w:rsidRPr="00660B5C">
        <w:t>Jedným z cieľov n</w:t>
      </w:r>
      <w:r w:rsidR="00973D33" w:rsidRPr="00660B5C">
        <w:t>ariadenia (ES)</w:t>
      </w:r>
      <w:r w:rsidR="00CF4546" w:rsidRPr="00660B5C">
        <w:t xml:space="preserve"> </w:t>
      </w:r>
      <w:r w:rsidR="00334298">
        <w:t xml:space="preserve">č. </w:t>
      </w:r>
      <w:r w:rsidR="00CF4546" w:rsidRPr="00660B5C">
        <w:t xml:space="preserve">223/2009 </w:t>
      </w:r>
      <w:r w:rsidR="00973D33" w:rsidRPr="00660B5C">
        <w:t xml:space="preserve">v platnom znení </w:t>
      </w:r>
      <w:r w:rsidRPr="00660B5C">
        <w:t xml:space="preserve">je podporiť dôveryhodnosť oficiálnej štatistiky. Preto sa odporúča aj rozšírenie (t. j. posilnenie) koordinačnej roly národného štatistického úradu na tvorcov „národných“ štatistík. </w:t>
      </w:r>
    </w:p>
    <w:p w14:paraId="0DCD19A2" w14:textId="0A336264" w:rsidR="00CA3DFA" w:rsidRPr="00660B5C" w:rsidRDefault="00CA3DFA" w:rsidP="00246F0F">
      <w:pPr>
        <w:pStyle w:val="Zkladntext"/>
        <w:ind w:right="108" w:firstLine="0"/>
        <w:rPr>
          <w:rFonts w:ascii="Times New Roman" w:hAnsi="Times New Roman" w:cs="Times New Roman"/>
          <w:sz w:val="24"/>
          <w:szCs w:val="24"/>
          <w:lang w:val="sk-SK"/>
        </w:rPr>
      </w:pPr>
      <w:r w:rsidRPr="00660B5C">
        <w:rPr>
          <w:rFonts w:ascii="Times New Roman" w:hAnsi="Times New Roman" w:cs="Times New Roman"/>
          <w:sz w:val="24"/>
          <w:szCs w:val="24"/>
          <w:lang w:val="sk-SK"/>
        </w:rPr>
        <w:t>Vízia</w:t>
      </w:r>
      <w:r w:rsidRPr="00660B5C">
        <w:rPr>
          <w:rFonts w:ascii="Times New Roman" w:hAnsi="Times New Roman" w:cs="Times New Roman"/>
          <w:spacing w:val="-17"/>
          <w:sz w:val="24"/>
          <w:szCs w:val="24"/>
          <w:lang w:val="sk-SK"/>
        </w:rPr>
        <w:t xml:space="preserve"> </w:t>
      </w:r>
      <w:r w:rsidR="00D71E80">
        <w:rPr>
          <w:rFonts w:ascii="Times New Roman" w:hAnsi="Times New Roman" w:cs="Times New Roman"/>
          <w:sz w:val="24"/>
          <w:szCs w:val="24"/>
          <w:lang w:val="sk-SK"/>
        </w:rPr>
        <w:t>EŠS</w:t>
      </w:r>
      <w:r w:rsidRPr="00660B5C">
        <w:rPr>
          <w:rFonts w:ascii="Times New Roman" w:hAnsi="Times New Roman" w:cs="Times New Roman"/>
          <w:spacing w:val="-17"/>
          <w:sz w:val="24"/>
          <w:szCs w:val="24"/>
          <w:lang w:val="sk-SK"/>
        </w:rPr>
        <w:t xml:space="preserve"> </w:t>
      </w:r>
      <w:r w:rsidRPr="00660B5C">
        <w:rPr>
          <w:rFonts w:ascii="Times New Roman" w:hAnsi="Times New Roman" w:cs="Times New Roman"/>
          <w:sz w:val="24"/>
          <w:szCs w:val="24"/>
          <w:lang w:val="sk-SK"/>
        </w:rPr>
        <w:t>2020</w:t>
      </w:r>
      <w:r w:rsidRPr="00660B5C">
        <w:rPr>
          <w:rFonts w:ascii="Times New Roman" w:hAnsi="Times New Roman" w:cs="Times New Roman"/>
          <w:spacing w:val="-18"/>
          <w:sz w:val="24"/>
          <w:szCs w:val="24"/>
          <w:lang w:val="sk-SK"/>
        </w:rPr>
        <w:t xml:space="preserve"> </w:t>
      </w:r>
      <w:r w:rsidRPr="00660B5C">
        <w:rPr>
          <w:rFonts w:ascii="Times New Roman" w:hAnsi="Times New Roman" w:cs="Times New Roman"/>
          <w:sz w:val="24"/>
          <w:szCs w:val="24"/>
          <w:lang w:val="sk-SK"/>
        </w:rPr>
        <w:t>je</w:t>
      </w:r>
      <w:r w:rsidRPr="00660B5C">
        <w:rPr>
          <w:rFonts w:ascii="Times New Roman" w:hAnsi="Times New Roman" w:cs="Times New Roman"/>
          <w:spacing w:val="-18"/>
          <w:sz w:val="24"/>
          <w:szCs w:val="24"/>
          <w:lang w:val="sk-SK"/>
        </w:rPr>
        <w:t xml:space="preserve"> </w:t>
      </w:r>
      <w:r w:rsidRPr="00660B5C">
        <w:rPr>
          <w:rFonts w:ascii="Times New Roman" w:hAnsi="Times New Roman" w:cs="Times New Roman"/>
          <w:sz w:val="24"/>
          <w:szCs w:val="24"/>
          <w:lang w:val="sk-SK"/>
        </w:rPr>
        <w:t>spoločnou</w:t>
      </w:r>
      <w:r w:rsidRPr="00660B5C">
        <w:rPr>
          <w:rFonts w:ascii="Times New Roman" w:hAnsi="Times New Roman" w:cs="Times New Roman"/>
          <w:spacing w:val="-16"/>
          <w:sz w:val="24"/>
          <w:szCs w:val="24"/>
          <w:lang w:val="sk-SK"/>
        </w:rPr>
        <w:t xml:space="preserve"> </w:t>
      </w:r>
      <w:r w:rsidRPr="00660B5C">
        <w:rPr>
          <w:rFonts w:ascii="Times New Roman" w:hAnsi="Times New Roman" w:cs="Times New Roman"/>
          <w:sz w:val="24"/>
          <w:szCs w:val="24"/>
          <w:lang w:val="sk-SK"/>
        </w:rPr>
        <w:t>strategickou</w:t>
      </w:r>
      <w:r w:rsidRPr="00660B5C">
        <w:rPr>
          <w:rFonts w:ascii="Times New Roman" w:hAnsi="Times New Roman" w:cs="Times New Roman"/>
          <w:spacing w:val="-17"/>
          <w:sz w:val="24"/>
          <w:szCs w:val="24"/>
          <w:lang w:val="sk-SK"/>
        </w:rPr>
        <w:t xml:space="preserve"> </w:t>
      </w:r>
      <w:r w:rsidRPr="00660B5C">
        <w:rPr>
          <w:rFonts w:ascii="Times New Roman" w:hAnsi="Times New Roman" w:cs="Times New Roman"/>
          <w:sz w:val="24"/>
          <w:szCs w:val="24"/>
          <w:lang w:val="sk-SK"/>
        </w:rPr>
        <w:t>odpoveďou</w:t>
      </w:r>
      <w:r w:rsidRPr="00660B5C">
        <w:rPr>
          <w:rFonts w:ascii="Times New Roman" w:hAnsi="Times New Roman" w:cs="Times New Roman"/>
          <w:spacing w:val="-17"/>
          <w:sz w:val="24"/>
          <w:szCs w:val="24"/>
          <w:lang w:val="sk-SK"/>
        </w:rPr>
        <w:t xml:space="preserve"> </w:t>
      </w:r>
      <w:r w:rsidRPr="00660B5C">
        <w:rPr>
          <w:rFonts w:ascii="Times New Roman" w:hAnsi="Times New Roman" w:cs="Times New Roman"/>
          <w:sz w:val="24"/>
          <w:szCs w:val="24"/>
          <w:lang w:val="sk-SK"/>
        </w:rPr>
        <w:t>Európskeho</w:t>
      </w:r>
      <w:r w:rsidRPr="00660B5C">
        <w:rPr>
          <w:rFonts w:ascii="Times New Roman" w:hAnsi="Times New Roman" w:cs="Times New Roman"/>
          <w:spacing w:val="-17"/>
          <w:sz w:val="24"/>
          <w:szCs w:val="24"/>
          <w:lang w:val="sk-SK"/>
        </w:rPr>
        <w:t xml:space="preserve"> </w:t>
      </w:r>
      <w:r w:rsidRPr="00660B5C">
        <w:rPr>
          <w:rFonts w:ascii="Times New Roman" w:hAnsi="Times New Roman" w:cs="Times New Roman"/>
          <w:sz w:val="24"/>
          <w:szCs w:val="24"/>
          <w:lang w:val="sk-SK"/>
        </w:rPr>
        <w:t>štatistického</w:t>
      </w:r>
      <w:r w:rsidRPr="00660B5C">
        <w:rPr>
          <w:rFonts w:ascii="Times New Roman" w:hAnsi="Times New Roman" w:cs="Times New Roman"/>
          <w:spacing w:val="-16"/>
          <w:sz w:val="24"/>
          <w:szCs w:val="24"/>
          <w:lang w:val="sk-SK"/>
        </w:rPr>
        <w:t xml:space="preserve"> </w:t>
      </w:r>
      <w:r w:rsidRPr="00660B5C">
        <w:rPr>
          <w:rFonts w:ascii="Times New Roman" w:hAnsi="Times New Roman" w:cs="Times New Roman"/>
          <w:sz w:val="24"/>
          <w:szCs w:val="24"/>
          <w:lang w:val="sk-SK"/>
        </w:rPr>
        <w:t>systému (</w:t>
      </w:r>
      <w:r w:rsidR="00D71E80">
        <w:rPr>
          <w:rFonts w:ascii="Times New Roman" w:hAnsi="Times New Roman" w:cs="Times New Roman"/>
          <w:sz w:val="24"/>
          <w:szCs w:val="24"/>
          <w:lang w:val="sk-SK"/>
        </w:rPr>
        <w:t>ďalej len „EŠS“) tvoreného štatistickým orgánom EÚ (ďalej len Eurostat“),</w:t>
      </w:r>
      <w:r w:rsidR="00D71E80" w:rsidRPr="00D71E80">
        <w:rPr>
          <w:rFonts w:ascii="Times New Roman" w:hAnsi="Times New Roman" w:cs="Times New Roman"/>
          <w:sz w:val="24"/>
          <w:szCs w:val="24"/>
          <w:lang w:val="sk-SK"/>
        </w:rPr>
        <w:t xml:space="preserve"> národnými štatistickými úradmi a inými vnútroštátnymi orgánmi zodpovednými v každom členskom štáte </w:t>
      </w:r>
      <w:r w:rsidR="00D71E80">
        <w:rPr>
          <w:rFonts w:ascii="Times New Roman" w:hAnsi="Times New Roman" w:cs="Times New Roman"/>
          <w:sz w:val="24"/>
          <w:szCs w:val="24"/>
          <w:lang w:val="sk-SK"/>
        </w:rPr>
        <w:t>EÚ za tvorbu, rozvoj a šírenie európskej štatistiky a</w:t>
      </w:r>
      <w:r w:rsidR="00334298">
        <w:rPr>
          <w:rFonts w:ascii="Times New Roman" w:hAnsi="Times New Roman" w:cs="Times New Roman"/>
          <w:sz w:val="24"/>
          <w:szCs w:val="24"/>
          <w:lang w:val="sk-SK"/>
        </w:rPr>
        <w:t> štatistickými úradmi krajín</w:t>
      </w:r>
      <w:r w:rsidR="00D71E80">
        <w:rPr>
          <w:rFonts w:ascii="Times New Roman" w:hAnsi="Times New Roman" w:cs="Times New Roman"/>
          <w:sz w:val="24"/>
          <w:szCs w:val="24"/>
          <w:lang w:val="sk-SK"/>
        </w:rPr>
        <w:t xml:space="preserve"> EFTA</w:t>
      </w:r>
      <w:r w:rsidRPr="00660B5C">
        <w:rPr>
          <w:rFonts w:ascii="Times New Roman" w:hAnsi="Times New Roman" w:cs="Times New Roman"/>
          <w:sz w:val="24"/>
          <w:szCs w:val="24"/>
          <w:lang w:val="sk-SK"/>
        </w:rPr>
        <w:t xml:space="preserve"> na výzvy, ktorým čelí oficiálna štatistika. Vízia bola prijatá výborom </w:t>
      </w:r>
      <w:r w:rsidR="00334298">
        <w:rPr>
          <w:rFonts w:ascii="Times New Roman" w:hAnsi="Times New Roman" w:cs="Times New Roman"/>
          <w:sz w:val="24"/>
          <w:szCs w:val="24"/>
          <w:lang w:val="sk-SK"/>
        </w:rPr>
        <w:t>EŠS v máji 2014. Následne bol v </w:t>
      </w:r>
      <w:r w:rsidR="00853F4B">
        <w:rPr>
          <w:rFonts w:ascii="Times New Roman" w:hAnsi="Times New Roman" w:cs="Times New Roman"/>
          <w:sz w:val="24"/>
          <w:szCs w:val="24"/>
          <w:lang w:val="sk-SK"/>
        </w:rPr>
        <w:t>roku</w:t>
      </w:r>
      <w:r w:rsidRPr="00660B5C">
        <w:rPr>
          <w:rFonts w:ascii="Times New Roman" w:hAnsi="Times New Roman" w:cs="Times New Roman"/>
          <w:sz w:val="24"/>
          <w:szCs w:val="24"/>
          <w:lang w:val="sk-SK"/>
        </w:rPr>
        <w:t xml:space="preserve"> 2017 predložený dokument </w:t>
      </w:r>
      <w:r w:rsidR="00CF4546" w:rsidRPr="00660B5C">
        <w:rPr>
          <w:rFonts w:ascii="Times New Roman" w:hAnsi="Times New Roman" w:cs="Times New Roman"/>
          <w:sz w:val="24"/>
          <w:szCs w:val="24"/>
          <w:lang w:val="sk-SK"/>
        </w:rPr>
        <w:t>„</w:t>
      </w:r>
      <w:r w:rsidR="00334298">
        <w:rPr>
          <w:rFonts w:ascii="Times New Roman" w:hAnsi="Times New Roman" w:cs="Times New Roman"/>
          <w:sz w:val="24"/>
          <w:szCs w:val="24"/>
          <w:lang w:val="sk-SK"/>
        </w:rPr>
        <w:t>EŠ</w:t>
      </w:r>
      <w:r w:rsidRPr="00660B5C">
        <w:rPr>
          <w:rFonts w:ascii="Times New Roman" w:hAnsi="Times New Roman" w:cs="Times New Roman"/>
          <w:sz w:val="24"/>
          <w:szCs w:val="24"/>
          <w:lang w:val="sk-SK"/>
        </w:rPr>
        <w:t>S priority za horizontom 2020</w:t>
      </w:r>
      <w:r w:rsidR="00CF4546" w:rsidRPr="00660B5C">
        <w:rPr>
          <w:rFonts w:ascii="Times New Roman" w:hAnsi="Times New Roman" w:cs="Times New Roman"/>
          <w:sz w:val="24"/>
          <w:szCs w:val="24"/>
          <w:lang w:val="sk-SK"/>
        </w:rPr>
        <w:t>“</w:t>
      </w:r>
      <w:r w:rsidRPr="00660B5C">
        <w:rPr>
          <w:rFonts w:ascii="Times New Roman" w:hAnsi="Times New Roman" w:cs="Times New Roman"/>
          <w:sz w:val="24"/>
          <w:szCs w:val="24"/>
          <w:lang w:val="sk-SK"/>
        </w:rPr>
        <w:t>,</w:t>
      </w:r>
      <w:r w:rsidR="00D71E80">
        <w:rPr>
          <w:rFonts w:ascii="Times New Roman" w:hAnsi="Times New Roman" w:cs="Times New Roman"/>
          <w:sz w:val="24"/>
          <w:szCs w:val="24"/>
          <w:lang w:val="sk-SK"/>
        </w:rPr>
        <w:t xml:space="preserve"> s cieľom stanoviť smerovanie EŠ</w:t>
      </w:r>
      <w:r w:rsidRPr="00660B5C">
        <w:rPr>
          <w:rFonts w:ascii="Times New Roman" w:hAnsi="Times New Roman" w:cs="Times New Roman"/>
          <w:sz w:val="24"/>
          <w:szCs w:val="24"/>
          <w:lang w:val="sk-SK"/>
        </w:rPr>
        <w:t>S za uvedenou hranicou.</w:t>
      </w:r>
    </w:p>
    <w:p w14:paraId="5C3625CA" w14:textId="482AE684" w:rsidR="00CA3DFA" w:rsidRPr="00660B5C" w:rsidRDefault="00D71E80" w:rsidP="00246F0F">
      <w:pPr>
        <w:pStyle w:val="Zkladntext"/>
        <w:ind w:firstLine="0"/>
        <w:rPr>
          <w:rFonts w:ascii="Times New Roman" w:hAnsi="Times New Roman" w:cs="Times New Roman"/>
          <w:sz w:val="24"/>
          <w:szCs w:val="24"/>
          <w:lang w:val="sk-SK"/>
        </w:rPr>
      </w:pPr>
      <w:r>
        <w:rPr>
          <w:rFonts w:ascii="Times New Roman" w:hAnsi="Times New Roman" w:cs="Times New Roman"/>
          <w:sz w:val="24"/>
          <w:szCs w:val="24"/>
          <w:lang w:val="sk-SK"/>
        </w:rPr>
        <w:t>Strategickými prioritami EŠ</w:t>
      </w:r>
      <w:r w:rsidR="00CA3DFA" w:rsidRPr="00660B5C">
        <w:rPr>
          <w:rFonts w:ascii="Times New Roman" w:hAnsi="Times New Roman" w:cs="Times New Roman"/>
          <w:sz w:val="24"/>
          <w:szCs w:val="24"/>
          <w:lang w:val="sk-SK"/>
        </w:rPr>
        <w:t>S podľa uvedených dokumentov sú:</w:t>
      </w:r>
    </w:p>
    <w:p w14:paraId="5FC2779D" w14:textId="77777777" w:rsidR="00CA3DFA" w:rsidRPr="00660B5C" w:rsidRDefault="00CA3DFA" w:rsidP="00B6407E">
      <w:pPr>
        <w:pStyle w:val="Odsekzoznamu"/>
        <w:widowControl w:val="0"/>
        <w:numPr>
          <w:ilvl w:val="3"/>
          <w:numId w:val="7"/>
        </w:numPr>
        <w:tabs>
          <w:tab w:val="left" w:pos="1788"/>
          <w:tab w:val="left" w:pos="1789"/>
        </w:tabs>
        <w:autoSpaceDE w:val="0"/>
        <w:autoSpaceDN w:val="0"/>
        <w:ind w:left="361"/>
        <w:contextualSpacing w:val="0"/>
        <w:rPr>
          <w:rFonts w:ascii="Times New Roman" w:hAnsi="Times New Roman" w:cs="Times New Roman"/>
        </w:rPr>
      </w:pPr>
      <w:r w:rsidRPr="00660B5C">
        <w:rPr>
          <w:rFonts w:ascii="Times New Roman" w:hAnsi="Times New Roman" w:cs="Times New Roman"/>
        </w:rPr>
        <w:t>Spokojní</w:t>
      </w:r>
      <w:r w:rsidRPr="00660B5C">
        <w:rPr>
          <w:rFonts w:ascii="Times New Roman" w:hAnsi="Times New Roman" w:cs="Times New Roman"/>
          <w:spacing w:val="-1"/>
        </w:rPr>
        <w:t xml:space="preserve"> </w:t>
      </w:r>
      <w:r w:rsidRPr="00660B5C">
        <w:rPr>
          <w:rFonts w:ascii="Times New Roman" w:hAnsi="Times New Roman" w:cs="Times New Roman"/>
        </w:rPr>
        <w:t>zákazníci</w:t>
      </w:r>
    </w:p>
    <w:p w14:paraId="4273A205" w14:textId="29A68832" w:rsidR="00CA3DFA" w:rsidRPr="00660B5C" w:rsidRDefault="00CA3DFA" w:rsidP="00B6407E">
      <w:pPr>
        <w:pStyle w:val="Odsekzoznamu"/>
        <w:widowControl w:val="0"/>
        <w:numPr>
          <w:ilvl w:val="0"/>
          <w:numId w:val="8"/>
        </w:numPr>
        <w:tabs>
          <w:tab w:val="left" w:pos="2570"/>
        </w:tabs>
        <w:autoSpaceDE w:val="0"/>
        <w:autoSpaceDN w:val="0"/>
        <w:ind w:left="723" w:right="108"/>
        <w:contextualSpacing w:val="0"/>
        <w:rPr>
          <w:rFonts w:ascii="Times New Roman" w:hAnsi="Times New Roman" w:cs="Times New Roman"/>
        </w:rPr>
      </w:pPr>
      <w:r w:rsidRPr="00660B5C">
        <w:rPr>
          <w:rFonts w:ascii="Times New Roman" w:hAnsi="Times New Roman" w:cs="Times New Roman"/>
        </w:rPr>
        <w:t>poskytovať kvalitné produkty a služby zohľadňujúce meniace sa potreby používateľov, záťaž poskytovateľov a dostupné</w:t>
      </w:r>
      <w:r w:rsidRPr="00660B5C">
        <w:rPr>
          <w:rFonts w:ascii="Times New Roman" w:hAnsi="Times New Roman" w:cs="Times New Roman"/>
          <w:spacing w:val="-3"/>
        </w:rPr>
        <w:t xml:space="preserve"> </w:t>
      </w:r>
      <w:r w:rsidRPr="00660B5C">
        <w:rPr>
          <w:rFonts w:ascii="Times New Roman" w:hAnsi="Times New Roman" w:cs="Times New Roman"/>
        </w:rPr>
        <w:t>zdroje</w:t>
      </w:r>
    </w:p>
    <w:p w14:paraId="691B6771" w14:textId="06C17435" w:rsidR="00CA3DFA" w:rsidRPr="00660B5C" w:rsidRDefault="00CA3DFA" w:rsidP="00B6407E">
      <w:pPr>
        <w:pStyle w:val="Odsekzoznamu"/>
        <w:widowControl w:val="0"/>
        <w:numPr>
          <w:ilvl w:val="0"/>
          <w:numId w:val="8"/>
        </w:numPr>
        <w:tabs>
          <w:tab w:val="left" w:pos="2570"/>
        </w:tabs>
        <w:autoSpaceDE w:val="0"/>
        <w:autoSpaceDN w:val="0"/>
        <w:ind w:left="723" w:right="108"/>
        <w:contextualSpacing w:val="0"/>
        <w:rPr>
          <w:rFonts w:ascii="Times New Roman" w:hAnsi="Times New Roman" w:cs="Times New Roman"/>
        </w:rPr>
      </w:pPr>
      <w:r w:rsidRPr="00660B5C">
        <w:rPr>
          <w:rFonts w:ascii="Times New Roman" w:hAnsi="Times New Roman" w:cs="Times New Roman"/>
        </w:rPr>
        <w:t>pokrývať nastupujúce trendy v spoločnosti (migrácia, nerovnosť, starnúca populácia, globalizácia</w:t>
      </w:r>
      <w:r w:rsidRPr="00660B5C">
        <w:rPr>
          <w:rFonts w:ascii="Times New Roman" w:hAnsi="Times New Roman" w:cs="Times New Roman"/>
          <w:spacing w:val="-1"/>
        </w:rPr>
        <w:t xml:space="preserve"> </w:t>
      </w:r>
      <w:r w:rsidRPr="00660B5C">
        <w:rPr>
          <w:rFonts w:ascii="Times New Roman" w:hAnsi="Times New Roman" w:cs="Times New Roman"/>
        </w:rPr>
        <w:t>atď.)</w:t>
      </w:r>
    </w:p>
    <w:p w14:paraId="5B5C3AC8" w14:textId="3F9B9013" w:rsidR="00CA3DFA" w:rsidRPr="00660B5C" w:rsidRDefault="00CA3DFA" w:rsidP="00B6407E">
      <w:pPr>
        <w:pStyle w:val="Odsekzoznamu"/>
        <w:widowControl w:val="0"/>
        <w:numPr>
          <w:ilvl w:val="0"/>
          <w:numId w:val="8"/>
        </w:numPr>
        <w:tabs>
          <w:tab w:val="left" w:pos="2570"/>
        </w:tabs>
        <w:autoSpaceDE w:val="0"/>
        <w:autoSpaceDN w:val="0"/>
        <w:ind w:left="723" w:right="110"/>
        <w:contextualSpacing w:val="0"/>
        <w:rPr>
          <w:rFonts w:ascii="Times New Roman" w:hAnsi="Times New Roman" w:cs="Times New Roman"/>
        </w:rPr>
      </w:pPr>
      <w:r w:rsidRPr="00660B5C">
        <w:rPr>
          <w:rFonts w:ascii="Times New Roman" w:hAnsi="Times New Roman" w:cs="Times New Roman"/>
        </w:rPr>
        <w:t>reagovať adekvátne na zmeny (životné prostredie, zmeny globálnej klímy, energetické problémy, cirkulárna ekonomika, digitálne trhy a nové ekonomické modely</w:t>
      </w:r>
      <w:r w:rsidRPr="00660B5C">
        <w:rPr>
          <w:rFonts w:ascii="Times New Roman" w:hAnsi="Times New Roman" w:cs="Times New Roman"/>
          <w:spacing w:val="-2"/>
        </w:rPr>
        <w:t xml:space="preserve"> </w:t>
      </w:r>
      <w:r w:rsidRPr="00660B5C">
        <w:rPr>
          <w:rFonts w:ascii="Times New Roman" w:hAnsi="Times New Roman" w:cs="Times New Roman"/>
        </w:rPr>
        <w:t>atď.)</w:t>
      </w:r>
    </w:p>
    <w:p w14:paraId="7C47F799" w14:textId="63C12A08" w:rsidR="00CA3DFA" w:rsidRPr="00660B5C" w:rsidRDefault="00CA3DFA" w:rsidP="00B6407E">
      <w:pPr>
        <w:pStyle w:val="Odsekzoznamu"/>
        <w:widowControl w:val="0"/>
        <w:numPr>
          <w:ilvl w:val="0"/>
          <w:numId w:val="8"/>
        </w:numPr>
        <w:tabs>
          <w:tab w:val="left" w:pos="2570"/>
        </w:tabs>
        <w:autoSpaceDE w:val="0"/>
        <w:autoSpaceDN w:val="0"/>
        <w:ind w:left="723" w:right="107"/>
        <w:contextualSpacing w:val="0"/>
        <w:rPr>
          <w:rFonts w:ascii="Times New Roman" w:hAnsi="Times New Roman" w:cs="Times New Roman"/>
        </w:rPr>
      </w:pPr>
      <w:r w:rsidRPr="00660B5C">
        <w:rPr>
          <w:rFonts w:ascii="Times New Roman" w:hAnsi="Times New Roman" w:cs="Times New Roman"/>
        </w:rPr>
        <w:t>lepšia komunikácia o európskych štatistikách (prispôsobenie rôznym skupinám používateľov, zvlášť mladým a pomáhať im rozumieť hodnote štatistík, posun od dát a informácií k znalostiam</w:t>
      </w:r>
      <w:r w:rsidRPr="00660B5C">
        <w:rPr>
          <w:rFonts w:ascii="Times New Roman" w:hAnsi="Times New Roman" w:cs="Times New Roman"/>
          <w:spacing w:val="-5"/>
        </w:rPr>
        <w:t xml:space="preserve"> </w:t>
      </w:r>
      <w:r w:rsidRPr="00660B5C">
        <w:rPr>
          <w:rFonts w:ascii="Times New Roman" w:hAnsi="Times New Roman" w:cs="Times New Roman"/>
        </w:rPr>
        <w:t>atď.)</w:t>
      </w:r>
    </w:p>
    <w:p w14:paraId="6FF2ACD4" w14:textId="0268DE26"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vyššia agilita a responzívnosť k potrebám používateľom (poznanie zákazníka a</w:t>
      </w:r>
      <w:r w:rsidRPr="00660B5C">
        <w:rPr>
          <w:rFonts w:ascii="Times New Roman" w:hAnsi="Times New Roman" w:cs="Times New Roman"/>
          <w:spacing w:val="-2"/>
        </w:rPr>
        <w:t xml:space="preserve"> </w:t>
      </w:r>
      <w:r w:rsidRPr="00660B5C">
        <w:rPr>
          <w:rFonts w:ascii="Times New Roman" w:hAnsi="Times New Roman" w:cs="Times New Roman"/>
        </w:rPr>
        <w:t>osveta)</w:t>
      </w:r>
    </w:p>
    <w:p w14:paraId="4BDD31C8" w14:textId="77777777" w:rsidR="00CA3DFA" w:rsidRPr="00660B5C" w:rsidRDefault="00CA3DFA" w:rsidP="00B6407E">
      <w:pPr>
        <w:pStyle w:val="Odsekzoznamu"/>
        <w:widowControl w:val="0"/>
        <w:numPr>
          <w:ilvl w:val="3"/>
          <w:numId w:val="7"/>
        </w:numPr>
        <w:tabs>
          <w:tab w:val="left" w:pos="1788"/>
          <w:tab w:val="left" w:pos="1789"/>
        </w:tabs>
        <w:autoSpaceDE w:val="0"/>
        <w:autoSpaceDN w:val="0"/>
        <w:ind w:left="361"/>
        <w:contextualSpacing w:val="0"/>
        <w:rPr>
          <w:rFonts w:ascii="Times New Roman" w:hAnsi="Times New Roman" w:cs="Times New Roman"/>
        </w:rPr>
      </w:pPr>
      <w:r w:rsidRPr="00660B5C">
        <w:rPr>
          <w:rFonts w:ascii="Times New Roman" w:hAnsi="Times New Roman" w:cs="Times New Roman"/>
        </w:rPr>
        <w:t>Primerané</w:t>
      </w:r>
      <w:r w:rsidRPr="00660B5C">
        <w:rPr>
          <w:rFonts w:ascii="Times New Roman" w:hAnsi="Times New Roman" w:cs="Times New Roman"/>
          <w:spacing w:val="-1"/>
        </w:rPr>
        <w:t xml:space="preserve"> </w:t>
      </w:r>
      <w:r w:rsidRPr="00660B5C">
        <w:rPr>
          <w:rFonts w:ascii="Times New Roman" w:hAnsi="Times New Roman" w:cs="Times New Roman"/>
        </w:rPr>
        <w:t>spôsobilosti</w:t>
      </w:r>
    </w:p>
    <w:p w14:paraId="7FCBADBA" w14:textId="6A379966"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profesionálne znalosti a kompetencie zamestnancov</w:t>
      </w:r>
    </w:p>
    <w:p w14:paraId="43D4C43D" w14:textId="5BEC3E15"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adekvátne zdroje</w:t>
      </w:r>
    </w:p>
    <w:p w14:paraId="547921D0" w14:textId="328E3627"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využitie príležitostí prameniacich z dátovej revolúcie</w:t>
      </w:r>
    </w:p>
    <w:p w14:paraId="4613179B" w14:textId="0E317A3F"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nové metódy produkcie výstupov (agile, experimentálna štatistika, kontinuálne inovácie, podpora výmeny mikrodát medzi členmi ESS)</w:t>
      </w:r>
    </w:p>
    <w:p w14:paraId="657D767D" w14:textId="77777777"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záväzok ku kvalite a ochrane dát</w:t>
      </w:r>
    </w:p>
    <w:p w14:paraId="193789CE" w14:textId="77777777" w:rsidR="00CA3DFA" w:rsidRPr="00660B5C" w:rsidRDefault="00CA3DFA" w:rsidP="00B6407E">
      <w:pPr>
        <w:pStyle w:val="Odsekzoznamu"/>
        <w:widowControl w:val="0"/>
        <w:numPr>
          <w:ilvl w:val="3"/>
          <w:numId w:val="7"/>
        </w:numPr>
        <w:tabs>
          <w:tab w:val="left" w:pos="1788"/>
          <w:tab w:val="left" w:pos="1789"/>
        </w:tabs>
        <w:autoSpaceDE w:val="0"/>
        <w:autoSpaceDN w:val="0"/>
        <w:ind w:left="361"/>
        <w:contextualSpacing w:val="0"/>
        <w:rPr>
          <w:rFonts w:ascii="Times New Roman" w:hAnsi="Times New Roman" w:cs="Times New Roman"/>
        </w:rPr>
      </w:pPr>
      <w:r w:rsidRPr="00660B5C">
        <w:rPr>
          <w:rFonts w:ascii="Times New Roman" w:hAnsi="Times New Roman" w:cs="Times New Roman"/>
        </w:rPr>
        <w:t>Efektívne</w:t>
      </w:r>
      <w:r w:rsidRPr="00660B5C">
        <w:rPr>
          <w:rFonts w:ascii="Times New Roman" w:hAnsi="Times New Roman" w:cs="Times New Roman"/>
          <w:spacing w:val="-1"/>
        </w:rPr>
        <w:t xml:space="preserve"> </w:t>
      </w:r>
      <w:r w:rsidRPr="00660B5C">
        <w:rPr>
          <w:rFonts w:ascii="Times New Roman" w:hAnsi="Times New Roman" w:cs="Times New Roman"/>
        </w:rPr>
        <w:t>partnerstvá</w:t>
      </w:r>
    </w:p>
    <w:p w14:paraId="7FB33024" w14:textId="56781EED" w:rsidR="00CA3DFA" w:rsidRPr="00660B5C" w:rsidRDefault="00CA3DFA" w:rsidP="00B6407E">
      <w:pPr>
        <w:pStyle w:val="Odsekzoznamu"/>
        <w:widowControl w:val="0"/>
        <w:numPr>
          <w:ilvl w:val="0"/>
          <w:numId w:val="8"/>
        </w:numPr>
        <w:tabs>
          <w:tab w:val="left" w:pos="2570"/>
        </w:tabs>
        <w:autoSpaceDE w:val="0"/>
        <w:autoSpaceDN w:val="0"/>
        <w:ind w:left="720" w:right="108" w:hanging="357"/>
        <w:contextualSpacing w:val="0"/>
        <w:rPr>
          <w:rFonts w:ascii="Times New Roman" w:hAnsi="Times New Roman" w:cs="Times New Roman"/>
        </w:rPr>
      </w:pPr>
      <w:r w:rsidRPr="00660B5C">
        <w:rPr>
          <w:rFonts w:ascii="Times New Roman" w:hAnsi="Times New Roman" w:cs="Times New Roman"/>
        </w:rPr>
        <w:t>vytváranie relevantných partnerstiev (súkromný sektor, veda a výskum, vzdelávacie inštitúcie,</w:t>
      </w:r>
      <w:r w:rsidR="00572A77" w:rsidRPr="00660B5C">
        <w:rPr>
          <w:rFonts w:ascii="Times New Roman" w:hAnsi="Times New Roman" w:cs="Times New Roman"/>
        </w:rPr>
        <w:t xml:space="preserve"> ale i médiá a Európsky systém c</w:t>
      </w:r>
      <w:r w:rsidRPr="00660B5C">
        <w:rPr>
          <w:rFonts w:ascii="Times New Roman" w:hAnsi="Times New Roman" w:cs="Times New Roman"/>
        </w:rPr>
        <w:t>entrálnych bánk)</w:t>
      </w:r>
      <w:r w:rsidR="00973D33" w:rsidRPr="00660B5C">
        <w:rPr>
          <w:rFonts w:ascii="Times New Roman" w:hAnsi="Times New Roman" w:cs="Times New Roman"/>
        </w:rPr>
        <w:t>.</w:t>
      </w:r>
    </w:p>
    <w:p w14:paraId="350CE0ED" w14:textId="5675E704" w:rsidR="00F17480" w:rsidRPr="00660B5C" w:rsidRDefault="00572A77" w:rsidP="00246F0F">
      <w:pPr>
        <w:ind w:firstLine="0"/>
      </w:pPr>
      <w:r w:rsidRPr="00660B5C">
        <w:lastRenderedPageBreak/>
        <w:t>Štatistický úrad pri predložení tohto reformného návrhu zákona zdôrazňuje v</w:t>
      </w:r>
      <w:r w:rsidR="00F17480" w:rsidRPr="00660B5C">
        <w:t>ýznam plnenia spravodajskej povinnosti zo strany právnických osôb a fyzických osôb je vo vytv</w:t>
      </w:r>
      <w:r w:rsidR="00CF4546" w:rsidRPr="00660B5C">
        <w:t>áraní</w:t>
      </w:r>
      <w:r w:rsidR="00F17480" w:rsidRPr="00660B5C">
        <w:t xml:space="preserve"> </w:t>
      </w:r>
      <w:r w:rsidR="00CA3DFA" w:rsidRPr="00660B5C">
        <w:t xml:space="preserve">dosiaľ </w:t>
      </w:r>
      <w:r w:rsidR="00F17480" w:rsidRPr="00660B5C">
        <w:t>nenahraditeľn</w:t>
      </w:r>
      <w:r w:rsidR="00CF4546" w:rsidRPr="00660B5C">
        <w:t>ých</w:t>
      </w:r>
      <w:r w:rsidR="00F17480" w:rsidRPr="00660B5C">
        <w:t xml:space="preserve"> </w:t>
      </w:r>
      <w:r w:rsidR="00BC60DE" w:rsidRPr="00660B5C">
        <w:t>dátov</w:t>
      </w:r>
      <w:r w:rsidR="00CF4546" w:rsidRPr="00660B5C">
        <w:t>ých vstupov</w:t>
      </w:r>
      <w:r w:rsidR="00F17480" w:rsidRPr="00660B5C">
        <w:t>, akým</w:t>
      </w:r>
      <w:r w:rsidR="00CF4546" w:rsidRPr="00660B5C">
        <w:t>i sú</w:t>
      </w:r>
      <w:r w:rsidR="00F17480" w:rsidRPr="00660B5C">
        <w:t xml:space="preserve"> pre </w:t>
      </w:r>
      <w:r w:rsidR="00CF4546" w:rsidRPr="00660B5C">
        <w:t>hodnotenie ekonomických dopadov</w:t>
      </w:r>
      <w:r w:rsidR="00F17480" w:rsidRPr="00660B5C">
        <w:t xml:space="preserve"> verejných politík a</w:t>
      </w:r>
      <w:r w:rsidR="00CF4546" w:rsidRPr="00660B5C">
        <w:t xml:space="preserve"> pre </w:t>
      </w:r>
      <w:r w:rsidR="00F17480" w:rsidRPr="00660B5C">
        <w:t xml:space="preserve">praktickú vykonateľnosť právnych predpisov </w:t>
      </w:r>
      <w:r w:rsidR="00CF4546" w:rsidRPr="00660B5C">
        <w:t>cielene vytvorené štatistické</w:t>
      </w:r>
      <w:r w:rsidR="00F17480" w:rsidRPr="00660B5C">
        <w:t xml:space="preserve"> produkt</w:t>
      </w:r>
      <w:r w:rsidR="00CF4546" w:rsidRPr="00660B5C">
        <w:t>y</w:t>
      </w:r>
      <w:r w:rsidR="00F17480" w:rsidRPr="00660B5C">
        <w:t>. Ako príklady možno uviesť:</w:t>
      </w:r>
    </w:p>
    <w:p w14:paraId="0975B27B" w14:textId="21ADB6B0" w:rsidR="00F47646" w:rsidRPr="00660B5C" w:rsidRDefault="001E05DB" w:rsidP="00B6407E">
      <w:pPr>
        <w:pStyle w:val="Odsekzoznamu"/>
        <w:numPr>
          <w:ilvl w:val="0"/>
          <w:numId w:val="4"/>
        </w:numPr>
        <w:ind w:left="363"/>
        <w:contextualSpacing w:val="0"/>
        <w:rPr>
          <w:rFonts w:ascii="Times New Roman" w:hAnsi="Times New Roman" w:cs="Times New Roman"/>
        </w:rPr>
      </w:pPr>
      <w:r w:rsidRPr="00660B5C">
        <w:rPr>
          <w:rFonts w:ascii="Times New Roman" w:hAnsi="Times New Roman" w:cs="Times New Roman"/>
        </w:rPr>
        <w:t>určenie</w:t>
      </w:r>
      <w:r w:rsidR="00F47646" w:rsidRPr="00660B5C">
        <w:rPr>
          <w:rFonts w:ascii="Times New Roman" w:hAnsi="Times New Roman" w:cs="Times New Roman"/>
        </w:rPr>
        <w:t xml:space="preserve"> výšky minim</w:t>
      </w:r>
      <w:r w:rsidR="00CF4546" w:rsidRPr="00660B5C">
        <w:rPr>
          <w:rFonts w:ascii="Times New Roman" w:hAnsi="Times New Roman" w:cs="Times New Roman"/>
        </w:rPr>
        <w:t>álnej mzdy a mzdy ústavných činiteľov</w:t>
      </w:r>
    </w:p>
    <w:p w14:paraId="5263B9B7" w14:textId="208C66FB" w:rsidR="00F47646" w:rsidRPr="00660B5C" w:rsidRDefault="00F47646" w:rsidP="00246F0F">
      <w:pPr>
        <w:ind w:left="363" w:firstLine="0"/>
      </w:pPr>
      <w:r w:rsidRPr="00660B5C">
        <w:t xml:space="preserve">Ak sa nedosiahne dohoda zástupcov zamestnávateľov a zástupcov zamestnancov podľa § 7 zákona č. 663/2007 Z. z. </w:t>
      </w:r>
      <w:r w:rsidR="00BC60DE" w:rsidRPr="00660B5C">
        <w:t xml:space="preserve">o minimálnej mzde </w:t>
      </w:r>
      <w:r w:rsidRPr="00660B5C">
        <w:t xml:space="preserve">v znení neskorších predpisov suma mesačnej minimálnej mzdy na nasledujúci kalendárny rok je </w:t>
      </w:r>
      <w:r w:rsidR="001E05DB" w:rsidRPr="00660B5C">
        <w:t>57</w:t>
      </w:r>
      <w:r w:rsidRPr="00660B5C">
        <w:t xml:space="preserve"> % priemernej mesačnej nominálnej mzdy zamestnanca v hospodárstve Slovenskej republiky zverejnenej </w:t>
      </w:r>
      <w:r w:rsidR="00BC60DE" w:rsidRPr="00660B5C">
        <w:t>š</w:t>
      </w:r>
      <w:r w:rsidRPr="00660B5C">
        <w:t>tatistickým úradom za kalendárny rok, ktorý dva roky p</w:t>
      </w:r>
      <w:r w:rsidR="0019116F" w:rsidRPr="00660B5C">
        <w:t>redchádza kalendárnemu roku, na </w:t>
      </w:r>
      <w:r w:rsidRPr="00660B5C">
        <w:t>ktorý sa určuj</w:t>
      </w:r>
      <w:r w:rsidR="00BC60DE" w:rsidRPr="00660B5C">
        <w:t>e suma mesačnej minimálnej mzdy;</w:t>
      </w:r>
    </w:p>
    <w:p w14:paraId="2975B8FB" w14:textId="3D982623" w:rsidR="005A7C79" w:rsidRPr="00660B5C" w:rsidRDefault="00CF4546" w:rsidP="00246F0F">
      <w:pPr>
        <w:ind w:left="363" w:firstLine="0"/>
      </w:pPr>
      <w:r w:rsidRPr="00660B5C">
        <w:t>Podľa</w:t>
      </w:r>
      <w:r w:rsidR="005A7C79" w:rsidRPr="00660B5C">
        <w:t xml:space="preserve"> zákona Národnej rady Slovenskej republiky č. 120/1993 Z. z. o platových pomeroch niektorých ústavných činiteľov Slovenskej republiky v znení neskorších predpisov platové pomery poslancov Národnej rady Slovensk</w:t>
      </w:r>
      <w:r w:rsidR="0019116F" w:rsidRPr="00660B5C">
        <w:t>ej republiky sa odvíjajú od </w:t>
      </w:r>
      <w:r w:rsidR="005A7C79" w:rsidRPr="00660B5C">
        <w:t xml:space="preserve">násobku priemernej nominálnej mesačnej mzdy zamestnanca v hospodárstve Slovenskej republiky za predchádzajúci kalendárny rok, ktorú zverejňuje </w:t>
      </w:r>
      <w:r w:rsidR="00BC60DE" w:rsidRPr="00660B5C">
        <w:t>štatistický úrad</w:t>
      </w:r>
      <w:r w:rsidRPr="00660B5C">
        <w:t>.</w:t>
      </w:r>
    </w:p>
    <w:p w14:paraId="2FCCA500" w14:textId="3DD2B787" w:rsidR="00BC60DE" w:rsidRPr="00660B5C" w:rsidRDefault="00BC60DE" w:rsidP="00246F0F">
      <w:pPr>
        <w:ind w:left="363" w:firstLine="0"/>
      </w:pPr>
      <w:r w:rsidRPr="00660B5C">
        <w:t>V obidvoch prípadoch štatistický úrad indikátor počíta z výstupov podnikovej štatistiky na báze zozbieraných údajov štvrťročným podnikovým výkazníctvom.</w:t>
      </w:r>
    </w:p>
    <w:p w14:paraId="125EB0AB" w14:textId="77777777" w:rsidR="00BC60DE" w:rsidRPr="00660B5C" w:rsidRDefault="00BC60DE" w:rsidP="00B6407E">
      <w:pPr>
        <w:pStyle w:val="Odsekzoznamu"/>
        <w:numPr>
          <w:ilvl w:val="0"/>
          <w:numId w:val="4"/>
        </w:numPr>
        <w:ind w:left="363"/>
        <w:contextualSpacing w:val="0"/>
        <w:rPr>
          <w:rFonts w:ascii="Times New Roman" w:hAnsi="Times New Roman" w:cs="Times New Roman"/>
        </w:rPr>
      </w:pPr>
      <w:r w:rsidRPr="00660B5C">
        <w:rPr>
          <w:rFonts w:ascii="Times New Roman" w:hAnsi="Times New Roman" w:cs="Times New Roman"/>
        </w:rPr>
        <w:t>stanovenie sumy životného minima:</w:t>
      </w:r>
    </w:p>
    <w:p w14:paraId="55AC4ADD" w14:textId="1D957600" w:rsidR="00BC60DE" w:rsidRPr="00660B5C" w:rsidRDefault="00BC60DE" w:rsidP="00246F0F">
      <w:pPr>
        <w:ind w:left="363" w:firstLine="0"/>
      </w:pPr>
      <w:r w:rsidRPr="00660B5C">
        <w:t>Štatistiku spotrebiteľských cien a štatistika rodinný</w:t>
      </w:r>
      <w:r w:rsidR="009D3D95" w:rsidRPr="00660B5C">
        <w:t>ch účtov, ktorá je potrebná pre </w:t>
      </w:r>
      <w:r w:rsidRPr="00660B5C">
        <w:t>stanovenie životného minima nízkopríjmových domácností.</w:t>
      </w:r>
    </w:p>
    <w:p w14:paraId="4DC0E9B5" w14:textId="58FFB772" w:rsidR="00BC60DE" w:rsidRPr="00660B5C" w:rsidRDefault="00BC60DE" w:rsidP="00B6407E">
      <w:pPr>
        <w:pStyle w:val="Odsekzoznamu"/>
        <w:numPr>
          <w:ilvl w:val="0"/>
          <w:numId w:val="4"/>
        </w:numPr>
        <w:ind w:left="363"/>
        <w:contextualSpacing w:val="0"/>
        <w:rPr>
          <w:rFonts w:ascii="Times New Roman" w:hAnsi="Times New Roman" w:cs="Times New Roman"/>
        </w:rPr>
      </w:pPr>
      <w:r w:rsidRPr="00660B5C">
        <w:rPr>
          <w:rFonts w:ascii="Times New Roman" w:hAnsi="Times New Roman" w:cs="Times New Roman"/>
        </w:rPr>
        <w:t>podpora cestovného ruchu:</w:t>
      </w:r>
    </w:p>
    <w:p w14:paraId="7CD2B465" w14:textId="77777777" w:rsidR="00BC60DE" w:rsidRPr="00660B5C" w:rsidRDefault="00BC60DE" w:rsidP="00246F0F">
      <w:pPr>
        <w:ind w:left="363" w:firstLine="0"/>
      </w:pPr>
      <w:r w:rsidRPr="00660B5C">
        <w:t>Údaje zo štatistiky cestovného ruchu sú podkladom pre smerovanie politík cestovného ruchu vr. regionálneho rozvoja, pre marketingové plánovanie a monitoring cestovného ruchu na národnej úrovni.</w:t>
      </w:r>
    </w:p>
    <w:p w14:paraId="250C04BE" w14:textId="7446761A" w:rsidR="007670A0" w:rsidRDefault="007670A0" w:rsidP="007670A0">
      <w:pPr>
        <w:ind w:firstLine="0"/>
      </w:pPr>
      <w:r w:rsidRPr="00660B5C">
        <w:t xml:space="preserve">Návrh zákona je v súlade s Ústavou Slovenskej republiky, ústavnými zákonmi, nálezmi Ústavného súdu Slovenskej republiky, </w:t>
      </w:r>
      <w:r>
        <w:t xml:space="preserve">inými zákonmi, </w:t>
      </w:r>
      <w:r w:rsidRPr="00660B5C">
        <w:t>medzinárodnými zmluvami</w:t>
      </w:r>
      <w:r w:rsidRPr="007670A0">
        <w:t xml:space="preserve"> </w:t>
      </w:r>
      <w:r>
        <w:t>a inými medzinárodnými dokumentmi</w:t>
      </w:r>
      <w:r w:rsidRPr="00660B5C">
        <w:t>, ktorými je Slovenská republika viazaná</w:t>
      </w:r>
      <w:r>
        <w:t>,</w:t>
      </w:r>
      <w:r w:rsidRPr="00660B5C">
        <w:t xml:space="preserve"> a je v súlade s právom Európskej únie.</w:t>
      </w:r>
    </w:p>
    <w:p w14:paraId="5C56441D" w14:textId="0B52B0B5" w:rsidR="00140575" w:rsidRDefault="00572A77" w:rsidP="00572A77">
      <w:pPr>
        <w:ind w:firstLine="0"/>
      </w:pPr>
      <w:r w:rsidRPr="00660B5C">
        <w:t>Doložka vybraných vplyvov k návrhu zákona</w:t>
      </w:r>
      <w:r w:rsidR="00EC0326" w:rsidRPr="00660B5C">
        <w:t xml:space="preserve"> predpokladá negatívny </w:t>
      </w:r>
      <w:r w:rsidRPr="00660B5C">
        <w:t xml:space="preserve">rozpočtovo krytý </w:t>
      </w:r>
      <w:r w:rsidR="00EC0326" w:rsidRPr="00660B5C">
        <w:t>vplyv na rozpočet verejnej správy</w:t>
      </w:r>
      <w:r w:rsidR="005B79F5" w:rsidRPr="00660B5C">
        <w:t xml:space="preserve">, </w:t>
      </w:r>
      <w:r w:rsidR="0019116F" w:rsidRPr="00660B5C">
        <w:t>pozitívny vplyv na </w:t>
      </w:r>
      <w:r w:rsidR="00EC0326" w:rsidRPr="00660B5C">
        <w:t>informa</w:t>
      </w:r>
      <w:r w:rsidR="00F86D85" w:rsidRPr="00660B5C">
        <w:t>tizáciu spoločnosti</w:t>
      </w:r>
      <w:r w:rsidR="005B79F5" w:rsidRPr="00660B5C">
        <w:t xml:space="preserve"> a</w:t>
      </w:r>
      <w:r w:rsidR="00EC0326" w:rsidRPr="00660B5C">
        <w:t xml:space="preserve"> </w:t>
      </w:r>
      <w:r w:rsidR="00F86D85" w:rsidRPr="00660B5C">
        <w:t xml:space="preserve">pozitívny </w:t>
      </w:r>
      <w:r w:rsidRPr="00660B5C">
        <w:t xml:space="preserve">aj negatívny </w:t>
      </w:r>
      <w:r w:rsidR="00EC0326" w:rsidRPr="00660B5C">
        <w:t>vp</w:t>
      </w:r>
      <w:r w:rsidR="005B79F5" w:rsidRPr="00660B5C">
        <w:t>lyv na podnikateľské prostredie</w:t>
      </w:r>
      <w:r w:rsidRPr="00660B5C">
        <w:t xml:space="preserve"> vrátane pozitívneho aj negatívneho vplyvu na malé a stredné podniky</w:t>
      </w:r>
      <w:r w:rsidR="005B79F5" w:rsidRPr="00660B5C">
        <w:t>;</w:t>
      </w:r>
      <w:r w:rsidR="00EC0326" w:rsidRPr="00660B5C">
        <w:t xml:space="preserve"> nepredpokladá sociálne vplyvy, vplyvy na životné prostredie, vplyvy na služby verejnej správy pre občana a ani vplyvy na manželstvo</w:t>
      </w:r>
      <w:r w:rsidR="00EC0326" w:rsidRPr="00660B5C">
        <w:rPr>
          <w:szCs w:val="22"/>
        </w:rPr>
        <w:t>, rodičovstvo a rodinu</w:t>
      </w:r>
      <w:r w:rsidR="00272B1C" w:rsidRPr="00660B5C">
        <w:t>.</w:t>
      </w:r>
    </w:p>
    <w:p w14:paraId="7E51B3A4" w14:textId="77777777" w:rsidR="00140575" w:rsidRDefault="00140575">
      <w:r>
        <w:br w:type="page"/>
      </w:r>
    </w:p>
    <w:p w14:paraId="7C763916" w14:textId="77777777" w:rsidR="00140575" w:rsidRPr="00140575" w:rsidRDefault="00140575" w:rsidP="00140575">
      <w:pPr>
        <w:spacing w:after="0" w:line="240" w:lineRule="auto"/>
        <w:ind w:firstLine="0"/>
        <w:jc w:val="center"/>
        <w:rPr>
          <w:b/>
          <w:bCs/>
          <w:sz w:val="28"/>
          <w:szCs w:val="28"/>
          <w:lang w:eastAsia="sk-SK"/>
        </w:rPr>
      </w:pPr>
      <w:r w:rsidRPr="00140575">
        <w:rPr>
          <w:b/>
          <w:bCs/>
          <w:sz w:val="28"/>
          <w:szCs w:val="28"/>
          <w:lang w:eastAsia="sk-SK"/>
        </w:rPr>
        <w:lastRenderedPageBreak/>
        <w:t>Doložka vybraných vplyvov</w:t>
      </w:r>
    </w:p>
    <w:p w14:paraId="5E7909BC" w14:textId="77777777" w:rsidR="00140575" w:rsidRPr="00140575" w:rsidRDefault="00140575" w:rsidP="00140575">
      <w:pPr>
        <w:spacing w:after="200"/>
        <w:ind w:left="426" w:firstLine="0"/>
        <w:contextualSpacing/>
        <w:jc w:val="left"/>
        <w:rPr>
          <w:rFonts w:ascii="Calibri" w:eastAsia="Calibri" w:hAnsi="Calibri"/>
          <w:b/>
          <w:sz w:val="22"/>
          <w:szCs w:val="22"/>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40575" w:rsidRPr="00140575" w14:paraId="52646E8A" w14:textId="77777777" w:rsidTr="00140575">
        <w:tc>
          <w:tcPr>
            <w:tcW w:w="9180" w:type="dxa"/>
            <w:gridSpan w:val="10"/>
            <w:tcBorders>
              <w:bottom w:val="single" w:sz="4" w:space="0" w:color="FFFFFF"/>
            </w:tcBorders>
            <w:shd w:val="clear" w:color="auto" w:fill="E2E2E2"/>
          </w:tcPr>
          <w:p w14:paraId="64775E2A" w14:textId="77777777" w:rsidR="00140575" w:rsidRPr="00140575" w:rsidRDefault="00140575" w:rsidP="00B6407E">
            <w:pPr>
              <w:numPr>
                <w:ilvl w:val="0"/>
                <w:numId w:val="13"/>
              </w:numPr>
              <w:ind w:left="426"/>
              <w:rPr>
                <w:rFonts w:eastAsia="Calibri"/>
                <w:b/>
              </w:rPr>
            </w:pPr>
            <w:r w:rsidRPr="00140575">
              <w:rPr>
                <w:rFonts w:eastAsia="Calibri"/>
                <w:b/>
              </w:rPr>
              <w:t>Základné údaje</w:t>
            </w:r>
          </w:p>
        </w:tc>
      </w:tr>
      <w:tr w:rsidR="00140575" w:rsidRPr="00140575" w14:paraId="56C59EC9" w14:textId="77777777" w:rsidTr="00140575">
        <w:tc>
          <w:tcPr>
            <w:tcW w:w="9180" w:type="dxa"/>
            <w:gridSpan w:val="10"/>
            <w:tcBorders>
              <w:bottom w:val="single" w:sz="4" w:space="0" w:color="FFFFFF"/>
            </w:tcBorders>
            <w:shd w:val="clear" w:color="auto" w:fill="E2E2E2"/>
          </w:tcPr>
          <w:p w14:paraId="71F17294" w14:textId="77777777" w:rsidR="00140575" w:rsidRPr="00140575" w:rsidRDefault="00140575" w:rsidP="00140575">
            <w:pPr>
              <w:spacing w:after="200"/>
              <w:ind w:left="142"/>
              <w:rPr>
                <w:rFonts w:eastAsia="Calibri"/>
                <w:b/>
              </w:rPr>
            </w:pPr>
            <w:r w:rsidRPr="00140575">
              <w:rPr>
                <w:rFonts w:eastAsia="Calibri"/>
                <w:b/>
              </w:rPr>
              <w:t>Názov materiálu</w:t>
            </w:r>
          </w:p>
        </w:tc>
      </w:tr>
      <w:tr w:rsidR="00140575" w:rsidRPr="00140575" w14:paraId="45405A62" w14:textId="77777777" w:rsidTr="00140575">
        <w:tc>
          <w:tcPr>
            <w:tcW w:w="9180" w:type="dxa"/>
            <w:gridSpan w:val="10"/>
            <w:tcBorders>
              <w:top w:val="single" w:sz="4" w:space="0" w:color="FFFFFF"/>
              <w:bottom w:val="single" w:sz="4" w:space="0" w:color="auto"/>
            </w:tcBorders>
          </w:tcPr>
          <w:p w14:paraId="76696B25" w14:textId="77777777" w:rsidR="00140575" w:rsidRPr="00140575" w:rsidRDefault="00140575" w:rsidP="00140575">
            <w:pPr>
              <w:rPr>
                <w:sz w:val="20"/>
                <w:szCs w:val="20"/>
                <w:lang w:eastAsia="sk-SK"/>
              </w:rPr>
            </w:pPr>
            <w:r w:rsidRPr="00140575">
              <w:rPr>
                <w:szCs w:val="20"/>
                <w:lang w:eastAsia="sk-SK"/>
              </w:rPr>
              <w:t>Návrh zákona, ktorým sa mení a dopĺňa zákon č. 540/2001 Z. z. o štátnej štatistike v znení neskorších predpisov</w:t>
            </w:r>
          </w:p>
        </w:tc>
      </w:tr>
      <w:tr w:rsidR="00140575" w:rsidRPr="00140575" w14:paraId="149516E5" w14:textId="77777777" w:rsidTr="00140575">
        <w:tc>
          <w:tcPr>
            <w:tcW w:w="9180" w:type="dxa"/>
            <w:gridSpan w:val="10"/>
            <w:tcBorders>
              <w:top w:val="single" w:sz="4" w:space="0" w:color="auto"/>
              <w:left w:val="single" w:sz="4" w:space="0" w:color="auto"/>
              <w:bottom w:val="single" w:sz="4" w:space="0" w:color="FFFFFF"/>
            </w:tcBorders>
            <w:shd w:val="clear" w:color="auto" w:fill="E2E2E2"/>
          </w:tcPr>
          <w:p w14:paraId="50D849D3" w14:textId="77777777" w:rsidR="00140575" w:rsidRPr="00140575" w:rsidRDefault="00140575" w:rsidP="00140575">
            <w:pPr>
              <w:spacing w:after="200"/>
              <w:ind w:left="142"/>
              <w:rPr>
                <w:rFonts w:eastAsia="Calibri"/>
                <w:b/>
              </w:rPr>
            </w:pPr>
            <w:r w:rsidRPr="00140575">
              <w:rPr>
                <w:rFonts w:eastAsia="Calibri"/>
                <w:b/>
              </w:rPr>
              <w:t>Predkladateľ (a spolupredkladateľ)</w:t>
            </w:r>
          </w:p>
        </w:tc>
      </w:tr>
      <w:tr w:rsidR="00140575" w:rsidRPr="00140575" w14:paraId="1C35D3BE" w14:textId="77777777" w:rsidTr="00140575">
        <w:tc>
          <w:tcPr>
            <w:tcW w:w="9180" w:type="dxa"/>
            <w:gridSpan w:val="10"/>
            <w:tcBorders>
              <w:top w:val="single" w:sz="4" w:space="0" w:color="FFFFFF"/>
              <w:left w:val="single" w:sz="4" w:space="0" w:color="auto"/>
              <w:bottom w:val="single" w:sz="4" w:space="0" w:color="auto"/>
            </w:tcBorders>
            <w:shd w:val="clear" w:color="auto" w:fill="FFFFFF"/>
          </w:tcPr>
          <w:p w14:paraId="369C109B" w14:textId="77777777" w:rsidR="00140575" w:rsidRPr="00140575" w:rsidRDefault="00140575" w:rsidP="00140575">
            <w:pPr>
              <w:rPr>
                <w:sz w:val="20"/>
                <w:szCs w:val="20"/>
                <w:lang w:eastAsia="sk-SK"/>
              </w:rPr>
            </w:pPr>
            <w:r w:rsidRPr="00140575">
              <w:rPr>
                <w:lang w:eastAsia="sk-SK"/>
              </w:rPr>
              <w:t>Štatistický úrad Slovenskej republiky</w:t>
            </w:r>
          </w:p>
        </w:tc>
      </w:tr>
      <w:tr w:rsidR="00140575" w:rsidRPr="00140575" w14:paraId="53469DE9" w14:textId="77777777" w:rsidTr="0014057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808D3CC" w14:textId="77777777" w:rsidR="00140575" w:rsidRPr="00140575" w:rsidRDefault="00140575" w:rsidP="00140575">
            <w:pPr>
              <w:spacing w:after="200"/>
              <w:ind w:left="142"/>
              <w:rPr>
                <w:rFonts w:eastAsia="Calibri"/>
                <w:b/>
              </w:rPr>
            </w:pPr>
            <w:r w:rsidRPr="00140575">
              <w:rPr>
                <w:rFonts w:eastAsia="Calibri"/>
                <w:b/>
              </w:rPr>
              <w:t>Charakter predkladaného materiálu</w:t>
            </w:r>
          </w:p>
        </w:tc>
        <w:sdt>
          <w:sdtPr>
            <w:rPr>
              <w:sz w:val="20"/>
              <w:szCs w:val="20"/>
              <w:lang w:eastAsia="sk-SK"/>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5B226A7" w14:textId="77777777" w:rsidR="00140575" w:rsidRPr="00140575" w:rsidRDefault="00140575" w:rsidP="00140575">
                <w:pPr>
                  <w:jc w:val="center"/>
                  <w:rPr>
                    <w:sz w:val="20"/>
                    <w:szCs w:val="20"/>
                    <w:lang w:eastAsia="sk-SK"/>
                  </w:rPr>
                </w:pPr>
                <w:r w:rsidRPr="00140575">
                  <w:rPr>
                    <w:rFonts w:ascii="Segoe UI Symbol" w:eastAsia="MS Mincho" w:hAnsi="Segoe UI Symbol" w:cs="Segoe UI Symbol"/>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7E81C3EF" w14:textId="77777777" w:rsidR="00140575" w:rsidRPr="00140575" w:rsidRDefault="00140575" w:rsidP="00140575">
            <w:pPr>
              <w:rPr>
                <w:sz w:val="20"/>
                <w:szCs w:val="20"/>
                <w:lang w:eastAsia="sk-SK"/>
              </w:rPr>
            </w:pPr>
            <w:r w:rsidRPr="00140575">
              <w:rPr>
                <w:sz w:val="20"/>
                <w:szCs w:val="20"/>
                <w:lang w:eastAsia="sk-SK"/>
              </w:rPr>
              <w:t>Materiál nelegislatívnej povahy</w:t>
            </w:r>
          </w:p>
        </w:tc>
      </w:tr>
      <w:tr w:rsidR="00140575" w:rsidRPr="00140575" w14:paraId="382CBA99" w14:textId="77777777" w:rsidTr="00140575">
        <w:tc>
          <w:tcPr>
            <w:tcW w:w="4212" w:type="dxa"/>
            <w:gridSpan w:val="2"/>
            <w:vMerge/>
            <w:tcBorders>
              <w:top w:val="nil"/>
              <w:left w:val="single" w:sz="4" w:space="0" w:color="auto"/>
              <w:bottom w:val="single" w:sz="4" w:space="0" w:color="FFFFFF"/>
            </w:tcBorders>
            <w:shd w:val="clear" w:color="auto" w:fill="E2E2E2"/>
          </w:tcPr>
          <w:p w14:paraId="5724D7AC" w14:textId="77777777" w:rsidR="00140575" w:rsidRPr="00140575" w:rsidRDefault="00140575" w:rsidP="00140575">
            <w:pPr>
              <w:rPr>
                <w:sz w:val="20"/>
                <w:szCs w:val="20"/>
                <w:lang w:eastAsia="sk-SK"/>
              </w:rPr>
            </w:pPr>
          </w:p>
        </w:tc>
        <w:sdt>
          <w:sdtPr>
            <w:rPr>
              <w:sz w:val="20"/>
              <w:szCs w:val="20"/>
              <w:lang w:eastAsia="sk-SK"/>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B72CE22" w14:textId="77777777" w:rsidR="00140575" w:rsidRPr="00140575" w:rsidRDefault="00140575" w:rsidP="00140575">
                <w:pPr>
                  <w:jc w:val="center"/>
                  <w:rPr>
                    <w:sz w:val="20"/>
                    <w:szCs w:val="20"/>
                    <w:lang w:eastAsia="sk-SK"/>
                  </w:rPr>
                </w:pPr>
                <w:r w:rsidRPr="00140575">
                  <w:rPr>
                    <w:rFonts w:eastAsia="MS Gothic" w:hint="eastAsia"/>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3E5AB05D" w14:textId="77777777" w:rsidR="00140575" w:rsidRPr="00140575" w:rsidRDefault="00140575" w:rsidP="00140575">
            <w:pPr>
              <w:ind w:left="175" w:hanging="175"/>
              <w:rPr>
                <w:sz w:val="20"/>
                <w:szCs w:val="20"/>
                <w:lang w:eastAsia="sk-SK"/>
              </w:rPr>
            </w:pPr>
            <w:r w:rsidRPr="00140575">
              <w:rPr>
                <w:sz w:val="20"/>
                <w:szCs w:val="20"/>
                <w:lang w:eastAsia="sk-SK"/>
              </w:rPr>
              <w:t>Materiál legislatívnej povahy</w:t>
            </w:r>
          </w:p>
        </w:tc>
      </w:tr>
      <w:tr w:rsidR="00140575" w:rsidRPr="00140575" w14:paraId="55B22A1E" w14:textId="77777777" w:rsidTr="00140575">
        <w:tc>
          <w:tcPr>
            <w:tcW w:w="4212" w:type="dxa"/>
            <w:gridSpan w:val="2"/>
            <w:vMerge/>
            <w:tcBorders>
              <w:top w:val="nil"/>
              <w:left w:val="single" w:sz="4" w:space="0" w:color="auto"/>
              <w:bottom w:val="single" w:sz="4" w:space="0" w:color="auto"/>
            </w:tcBorders>
            <w:shd w:val="clear" w:color="auto" w:fill="E2E2E2"/>
          </w:tcPr>
          <w:p w14:paraId="26FF5F1E" w14:textId="77777777" w:rsidR="00140575" w:rsidRPr="00140575" w:rsidRDefault="00140575" w:rsidP="00140575">
            <w:pPr>
              <w:rPr>
                <w:sz w:val="20"/>
                <w:szCs w:val="20"/>
                <w:lang w:eastAsia="sk-SK"/>
              </w:rPr>
            </w:pPr>
          </w:p>
        </w:tc>
        <w:sdt>
          <w:sdtPr>
            <w:rPr>
              <w:sz w:val="20"/>
              <w:szCs w:val="20"/>
              <w:lang w:eastAsia="sk-SK"/>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DF0CC14" w14:textId="77777777" w:rsidR="00140575" w:rsidRPr="00140575" w:rsidRDefault="00140575" w:rsidP="00140575">
                <w:pPr>
                  <w:jc w:val="center"/>
                  <w:rPr>
                    <w:sz w:val="20"/>
                    <w:szCs w:val="20"/>
                    <w:lang w:eastAsia="sk-SK"/>
                  </w:rPr>
                </w:pPr>
                <w:r w:rsidRPr="00140575">
                  <w:rPr>
                    <w:rFonts w:ascii="Segoe UI Symbol" w:eastAsia="MS Mincho" w:hAnsi="Segoe UI Symbol" w:cs="Segoe UI Symbol"/>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09D1EE5D" w14:textId="77777777" w:rsidR="00140575" w:rsidRPr="00140575" w:rsidRDefault="00140575" w:rsidP="00140575">
            <w:pPr>
              <w:rPr>
                <w:sz w:val="20"/>
                <w:szCs w:val="20"/>
                <w:lang w:eastAsia="sk-SK"/>
              </w:rPr>
            </w:pPr>
            <w:r w:rsidRPr="00140575">
              <w:rPr>
                <w:sz w:val="20"/>
                <w:szCs w:val="20"/>
                <w:lang w:eastAsia="sk-SK"/>
              </w:rPr>
              <w:t>Transpozícia práva EÚ</w:t>
            </w:r>
          </w:p>
        </w:tc>
      </w:tr>
      <w:tr w:rsidR="00140575" w:rsidRPr="00140575" w14:paraId="02AF8F89" w14:textId="77777777" w:rsidTr="00140575">
        <w:tc>
          <w:tcPr>
            <w:tcW w:w="9180" w:type="dxa"/>
            <w:gridSpan w:val="10"/>
            <w:tcBorders>
              <w:top w:val="single" w:sz="4" w:space="0" w:color="auto"/>
              <w:left w:val="single" w:sz="4" w:space="0" w:color="auto"/>
              <w:bottom w:val="single" w:sz="4" w:space="0" w:color="FFFFFF"/>
            </w:tcBorders>
            <w:shd w:val="clear" w:color="auto" w:fill="FFFFFF"/>
          </w:tcPr>
          <w:p w14:paraId="2F06B3EA" w14:textId="77777777" w:rsidR="00140575" w:rsidRPr="00140575" w:rsidRDefault="00140575" w:rsidP="00140575">
            <w:pPr>
              <w:rPr>
                <w:i/>
                <w:sz w:val="20"/>
                <w:szCs w:val="20"/>
                <w:lang w:eastAsia="sk-SK"/>
              </w:rPr>
            </w:pPr>
            <w:r w:rsidRPr="00140575">
              <w:rPr>
                <w:i/>
                <w:sz w:val="20"/>
                <w:szCs w:val="20"/>
                <w:lang w:eastAsia="sk-SK"/>
              </w:rPr>
              <w:t>V prípade transpozície uveďte zoznam transponovaných predpisov:</w:t>
            </w:r>
          </w:p>
          <w:p w14:paraId="2F30EAE1" w14:textId="77777777" w:rsidR="00140575" w:rsidRPr="00140575" w:rsidRDefault="00140575" w:rsidP="00140575">
            <w:pPr>
              <w:rPr>
                <w:sz w:val="20"/>
                <w:szCs w:val="20"/>
                <w:lang w:eastAsia="sk-SK"/>
              </w:rPr>
            </w:pPr>
            <w:r w:rsidRPr="00140575">
              <w:rPr>
                <w:szCs w:val="20"/>
                <w:lang w:eastAsia="sk-SK"/>
              </w:rPr>
              <w:t>Nejde o transpozíciu smerníc Európskej únie.</w:t>
            </w:r>
          </w:p>
        </w:tc>
      </w:tr>
      <w:tr w:rsidR="00140575" w:rsidRPr="00140575" w14:paraId="6FC9E98B" w14:textId="77777777" w:rsidTr="00140575">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14:paraId="24222D6C" w14:textId="77777777" w:rsidR="00140575" w:rsidRPr="00140575" w:rsidRDefault="00140575" w:rsidP="00140575">
            <w:pPr>
              <w:spacing w:after="200"/>
              <w:ind w:left="142"/>
              <w:rPr>
                <w:rFonts w:eastAsia="Calibri"/>
                <w:b/>
              </w:rPr>
            </w:pPr>
            <w:r w:rsidRPr="00140575">
              <w:rPr>
                <w:rFonts w:eastAsia="Calibri"/>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14:paraId="4E3559FC" w14:textId="77777777" w:rsidR="00140575" w:rsidRPr="00140575" w:rsidRDefault="00140575" w:rsidP="00140575">
            <w:pPr>
              <w:rPr>
                <w:sz w:val="20"/>
                <w:szCs w:val="20"/>
                <w:lang w:eastAsia="sk-SK"/>
              </w:rPr>
            </w:pPr>
            <w:r w:rsidRPr="00140575">
              <w:rPr>
                <w:szCs w:val="20"/>
                <w:lang w:eastAsia="sk-SK"/>
              </w:rPr>
              <w:t>28. 09. 2020 až 09. 10. 2020</w:t>
            </w:r>
          </w:p>
        </w:tc>
      </w:tr>
      <w:tr w:rsidR="00140575" w:rsidRPr="00140575" w14:paraId="30E8579C" w14:textId="77777777" w:rsidTr="0014057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301160E6" w14:textId="77777777" w:rsidR="00140575" w:rsidRPr="00140575" w:rsidRDefault="00140575" w:rsidP="00140575">
            <w:pPr>
              <w:spacing w:after="200"/>
              <w:ind w:left="142"/>
              <w:rPr>
                <w:rFonts w:eastAsia="Calibri"/>
                <w:b/>
              </w:rPr>
            </w:pPr>
            <w:r w:rsidRPr="00140575">
              <w:rPr>
                <w:rFonts w:eastAsia="Calibri"/>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25BF2482" w14:textId="77777777" w:rsidR="00140575" w:rsidRPr="00140575" w:rsidRDefault="00140575" w:rsidP="00140575">
            <w:pPr>
              <w:rPr>
                <w:szCs w:val="20"/>
                <w:lang w:eastAsia="sk-SK"/>
              </w:rPr>
            </w:pPr>
          </w:p>
        </w:tc>
      </w:tr>
      <w:tr w:rsidR="00140575" w:rsidRPr="00140575" w14:paraId="415A91B0" w14:textId="77777777" w:rsidTr="0014057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5C75C0FB" w14:textId="77777777" w:rsidR="00140575" w:rsidRPr="00140575" w:rsidRDefault="00140575" w:rsidP="00140575">
            <w:pPr>
              <w:spacing w:after="200"/>
              <w:ind w:left="142"/>
              <w:rPr>
                <w:rFonts w:eastAsia="Calibri"/>
                <w:b/>
              </w:rPr>
            </w:pPr>
            <w:r w:rsidRPr="00140575">
              <w:rPr>
                <w:rFonts w:eastAsia="Calibri"/>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2C7937B3" w14:textId="77777777" w:rsidR="00140575" w:rsidRPr="00140575" w:rsidRDefault="00140575" w:rsidP="00140575">
            <w:pPr>
              <w:rPr>
                <w:szCs w:val="20"/>
                <w:lang w:eastAsia="sk-SK"/>
              </w:rPr>
            </w:pPr>
          </w:p>
        </w:tc>
      </w:tr>
      <w:tr w:rsidR="00140575" w:rsidRPr="00140575" w14:paraId="2728D08B" w14:textId="77777777" w:rsidTr="00140575">
        <w:tc>
          <w:tcPr>
            <w:tcW w:w="9180" w:type="dxa"/>
            <w:gridSpan w:val="10"/>
            <w:tcBorders>
              <w:top w:val="single" w:sz="4" w:space="0" w:color="auto"/>
              <w:left w:val="nil"/>
              <w:bottom w:val="single" w:sz="4" w:space="0" w:color="auto"/>
              <w:right w:val="nil"/>
            </w:tcBorders>
            <w:shd w:val="clear" w:color="auto" w:fill="FFFFFF"/>
          </w:tcPr>
          <w:p w14:paraId="4A93E79A" w14:textId="77777777" w:rsidR="00140575" w:rsidRPr="00140575" w:rsidRDefault="00140575" w:rsidP="00140575">
            <w:pPr>
              <w:rPr>
                <w:sz w:val="20"/>
                <w:szCs w:val="20"/>
                <w:lang w:eastAsia="sk-SK"/>
              </w:rPr>
            </w:pPr>
          </w:p>
        </w:tc>
      </w:tr>
      <w:tr w:rsidR="00140575" w:rsidRPr="00140575" w14:paraId="05A8A7B9" w14:textId="77777777" w:rsidTr="0014057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63D536EA" w14:textId="77777777" w:rsidR="00140575" w:rsidRPr="00140575" w:rsidRDefault="00140575" w:rsidP="00B6407E">
            <w:pPr>
              <w:numPr>
                <w:ilvl w:val="0"/>
                <w:numId w:val="13"/>
              </w:numPr>
              <w:ind w:left="426"/>
              <w:rPr>
                <w:rFonts w:eastAsia="Calibri"/>
                <w:b/>
              </w:rPr>
            </w:pPr>
            <w:r w:rsidRPr="00140575">
              <w:rPr>
                <w:rFonts w:eastAsia="Calibri"/>
                <w:b/>
              </w:rPr>
              <w:t>Definovanie problému</w:t>
            </w:r>
          </w:p>
        </w:tc>
      </w:tr>
      <w:tr w:rsidR="00140575" w:rsidRPr="00140575" w14:paraId="429AF513" w14:textId="77777777" w:rsidTr="00140575">
        <w:trPr>
          <w:trHeight w:val="794"/>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32370939" w14:textId="77777777" w:rsidR="00140575" w:rsidRPr="00140575" w:rsidRDefault="00140575" w:rsidP="00140575">
            <w:pPr>
              <w:spacing w:before="120"/>
              <w:rPr>
                <w:i/>
                <w:sz w:val="20"/>
                <w:szCs w:val="20"/>
                <w:lang w:eastAsia="sk-SK"/>
              </w:rPr>
            </w:pPr>
            <w:r w:rsidRPr="00140575">
              <w:rPr>
                <w:i/>
                <w:sz w:val="20"/>
                <w:szCs w:val="20"/>
                <w:lang w:eastAsia="sk-SK"/>
              </w:rPr>
              <w:t>Uveďte základné problémy, na ktoré navrhovaná regulácia reaguje.</w:t>
            </w:r>
          </w:p>
          <w:p w14:paraId="04699F36" w14:textId="77777777" w:rsidR="00140575" w:rsidRPr="00140575" w:rsidRDefault="00140575" w:rsidP="00140575">
            <w:pPr>
              <w:rPr>
                <w:szCs w:val="20"/>
                <w:lang w:eastAsia="sk-SK"/>
              </w:rPr>
            </w:pPr>
            <w:r w:rsidRPr="00140575">
              <w:rPr>
                <w:szCs w:val="20"/>
                <w:lang w:eastAsia="sk-SK"/>
              </w:rPr>
              <w:t>Zvýšenie a udržateľnosť kvality štátnej štatistiky a všeobecné dodržiavanie základných princípov štátnej štatistiky naprieč celým národným štatistickým systémom pri jej tvorbe, rozvoji a šírení, harmonizácia zberu a spracovania štatistických údajov, vytvorenie spoločnej verejnej databázy údajov vrátane katalógu produktov.</w:t>
            </w:r>
          </w:p>
          <w:p w14:paraId="630D8360" w14:textId="77777777" w:rsidR="00140575" w:rsidRPr="00140575" w:rsidRDefault="00140575" w:rsidP="00140575">
            <w:pPr>
              <w:rPr>
                <w:szCs w:val="20"/>
                <w:lang w:eastAsia="sk-SK"/>
              </w:rPr>
            </w:pPr>
            <w:r w:rsidRPr="00140575">
              <w:rPr>
                <w:szCs w:val="20"/>
                <w:lang w:eastAsia="sk-SK"/>
              </w:rPr>
              <w:t>Súčasná absencia informatickej podpory na zabezpečenie koordinácie štatistických zisťovaní a tvorby produktov, čím vzniká množstvo duplicitných údajov, ktoré už sú niekde zaznamenané a teda sa často oslovujú subjekty duplicitne a nevyužívajú sa v dostatočnej miere existujúce databázy a administratívne zdroje na elimináciu prácnosti na strane subjektov.</w:t>
            </w:r>
          </w:p>
          <w:p w14:paraId="1875F2E3" w14:textId="77777777" w:rsidR="00140575" w:rsidRPr="00140575" w:rsidRDefault="00140575" w:rsidP="00140575">
            <w:pPr>
              <w:rPr>
                <w:szCs w:val="20"/>
                <w:lang w:eastAsia="sk-SK"/>
              </w:rPr>
            </w:pPr>
            <w:r w:rsidRPr="00140575">
              <w:rPr>
                <w:szCs w:val="20"/>
                <w:lang w:eastAsia="sk-SK"/>
              </w:rPr>
              <w:t>Podnety z aplikačnej praxe týkajúce sa súčasnej právnej úpravy.</w:t>
            </w:r>
          </w:p>
          <w:p w14:paraId="7FF3AF59" w14:textId="77777777" w:rsidR="00140575" w:rsidRPr="00140575" w:rsidRDefault="00140575" w:rsidP="00140575">
            <w:pPr>
              <w:spacing w:after="240"/>
              <w:rPr>
                <w:b/>
                <w:sz w:val="20"/>
                <w:szCs w:val="20"/>
                <w:lang w:eastAsia="sk-SK"/>
              </w:rPr>
            </w:pPr>
            <w:r w:rsidRPr="00140575">
              <w:rPr>
                <w:szCs w:val="20"/>
                <w:lang w:eastAsia="sk-SK"/>
              </w:rPr>
              <w:t>Implementácia ustanovení nariadení EÚ upravujúcich európsku štatistiku.</w:t>
            </w:r>
          </w:p>
        </w:tc>
      </w:tr>
      <w:tr w:rsidR="00140575" w:rsidRPr="00140575" w14:paraId="4075A179" w14:textId="77777777" w:rsidTr="00434541">
        <w:tc>
          <w:tcPr>
            <w:tcW w:w="9180" w:type="dxa"/>
            <w:gridSpan w:val="10"/>
            <w:tcBorders>
              <w:top w:val="single" w:sz="4" w:space="0" w:color="auto"/>
              <w:left w:val="single" w:sz="4" w:space="0" w:color="auto"/>
              <w:bottom w:val="nil"/>
              <w:right w:val="single" w:sz="4" w:space="0" w:color="auto"/>
            </w:tcBorders>
            <w:shd w:val="clear" w:color="auto" w:fill="E2E2E2"/>
          </w:tcPr>
          <w:p w14:paraId="4DB8AA99" w14:textId="77777777" w:rsidR="00140575" w:rsidRPr="00140575" w:rsidRDefault="00140575" w:rsidP="00B6407E">
            <w:pPr>
              <w:numPr>
                <w:ilvl w:val="0"/>
                <w:numId w:val="13"/>
              </w:numPr>
              <w:ind w:left="426"/>
              <w:rPr>
                <w:rFonts w:eastAsia="Calibri"/>
                <w:b/>
              </w:rPr>
            </w:pPr>
            <w:r w:rsidRPr="00140575">
              <w:rPr>
                <w:rFonts w:eastAsia="Calibri"/>
                <w:b/>
              </w:rPr>
              <w:t>Ciele a výsledný stav</w:t>
            </w:r>
          </w:p>
        </w:tc>
      </w:tr>
      <w:tr w:rsidR="00140575" w:rsidRPr="00140575" w14:paraId="534636BD" w14:textId="77777777" w:rsidTr="00140575">
        <w:trPr>
          <w:trHeight w:val="567"/>
        </w:trPr>
        <w:tc>
          <w:tcPr>
            <w:tcW w:w="9180" w:type="dxa"/>
            <w:gridSpan w:val="10"/>
            <w:tcBorders>
              <w:top w:val="nil"/>
              <w:left w:val="single" w:sz="4" w:space="0" w:color="auto"/>
              <w:bottom w:val="single" w:sz="4" w:space="0" w:color="auto"/>
              <w:right w:val="single" w:sz="4" w:space="0" w:color="auto"/>
            </w:tcBorders>
            <w:shd w:val="clear" w:color="auto" w:fill="FFFFFF"/>
          </w:tcPr>
          <w:p w14:paraId="7BC07C64" w14:textId="77777777" w:rsidR="00140575" w:rsidRPr="00140575" w:rsidRDefault="00140575" w:rsidP="00140575">
            <w:pPr>
              <w:spacing w:before="120"/>
              <w:rPr>
                <w:i/>
                <w:sz w:val="20"/>
                <w:szCs w:val="20"/>
                <w:lang w:eastAsia="sk-SK"/>
              </w:rPr>
            </w:pPr>
            <w:r w:rsidRPr="00140575">
              <w:rPr>
                <w:i/>
                <w:sz w:val="20"/>
                <w:szCs w:val="20"/>
                <w:lang w:eastAsia="sk-SK"/>
              </w:rPr>
              <w:t>Uveďte hlavné ciele navrhovaného predpisu (aký výsledný stav chcete reguláciou dosiahnuť).</w:t>
            </w:r>
          </w:p>
          <w:p w14:paraId="2270F593" w14:textId="77777777" w:rsidR="00140575" w:rsidRPr="00140575" w:rsidRDefault="00140575" w:rsidP="00140575">
            <w:pPr>
              <w:rPr>
                <w:szCs w:val="20"/>
                <w:lang w:eastAsia="sk-SK"/>
              </w:rPr>
            </w:pPr>
            <w:r w:rsidRPr="00140575">
              <w:rPr>
                <w:szCs w:val="20"/>
                <w:lang w:eastAsia="sk-SK"/>
              </w:rPr>
              <w:t>Posilnenie postavenia Štatistického úradu Slovenskej republiky (jeho koordinačnej role) v rámci národného štatistického systému pri tvorbe štatistického portfólia, zbere a spracovaní štatistických údajov, šírení štatistických informácií.</w:t>
            </w:r>
          </w:p>
          <w:p w14:paraId="6289DBF2" w14:textId="77777777" w:rsidR="00140575" w:rsidRPr="00140575" w:rsidRDefault="00140575" w:rsidP="00140575">
            <w:pPr>
              <w:rPr>
                <w:szCs w:val="20"/>
                <w:lang w:eastAsia="sk-SK"/>
              </w:rPr>
            </w:pPr>
            <w:r w:rsidRPr="00140575">
              <w:rPr>
                <w:szCs w:val="20"/>
                <w:lang w:eastAsia="sk-SK"/>
              </w:rPr>
              <w:t>Zakotvenie minimálnych personálnych a organizačných požiadaviek na úrovni iných orgánov vykonávajúcich štátnu štatistiku nevyhnutných na vykonávanie úloh štátnej štatistiky.</w:t>
            </w:r>
          </w:p>
          <w:p w14:paraId="5DC7C10F" w14:textId="77777777" w:rsidR="00140575" w:rsidRPr="00140575" w:rsidRDefault="00140575" w:rsidP="00140575">
            <w:pPr>
              <w:spacing w:after="240"/>
              <w:rPr>
                <w:sz w:val="20"/>
                <w:szCs w:val="20"/>
                <w:lang w:eastAsia="sk-SK"/>
              </w:rPr>
            </w:pPr>
            <w:r w:rsidRPr="00140575">
              <w:rPr>
                <w:szCs w:val="20"/>
                <w:lang w:eastAsia="sk-SK"/>
              </w:rPr>
              <w:t>Prispôsobenie a rozšírenie súčasného ISVS (kód METAIS – isvs_411) na dobudovanie jednotného IKT nástroja v štátnej štatistike, ktorý bude premenovaný na Jednotný informačný systém štátnej štatistiky (ďalej len „JISSU“). Rozvoj bude realizovaný dobudovaním funkcionalít systému a vytvorením časti služieb ako SaaS služieb (softvér ako služba), pričom bude umožnené integrovať postupne všetky povinné osoby a zdieľať zdroje.</w:t>
            </w:r>
          </w:p>
        </w:tc>
      </w:tr>
      <w:tr w:rsidR="00140575" w:rsidRPr="00140575" w14:paraId="16E64A52" w14:textId="77777777" w:rsidTr="00140575">
        <w:tc>
          <w:tcPr>
            <w:tcW w:w="9180" w:type="dxa"/>
            <w:gridSpan w:val="10"/>
            <w:tcBorders>
              <w:top w:val="single" w:sz="4" w:space="0" w:color="auto"/>
              <w:left w:val="single" w:sz="4" w:space="0" w:color="auto"/>
              <w:bottom w:val="single" w:sz="4" w:space="0" w:color="auto"/>
              <w:right w:val="single" w:sz="4" w:space="0" w:color="auto"/>
            </w:tcBorders>
            <w:shd w:val="clear" w:color="auto" w:fill="E2E2E2"/>
          </w:tcPr>
          <w:p w14:paraId="47AEC5C7" w14:textId="77777777" w:rsidR="00140575" w:rsidRPr="00140575" w:rsidRDefault="00140575" w:rsidP="00B6407E">
            <w:pPr>
              <w:numPr>
                <w:ilvl w:val="0"/>
                <w:numId w:val="13"/>
              </w:numPr>
              <w:ind w:left="426"/>
              <w:rPr>
                <w:rFonts w:eastAsia="Calibri"/>
                <w:b/>
              </w:rPr>
            </w:pPr>
            <w:r w:rsidRPr="00140575">
              <w:rPr>
                <w:rFonts w:eastAsia="Calibri"/>
                <w:b/>
              </w:rPr>
              <w:t>Dotknuté subjekty</w:t>
            </w:r>
          </w:p>
        </w:tc>
      </w:tr>
      <w:tr w:rsidR="00140575" w:rsidRPr="00140575" w14:paraId="43E8F1F3" w14:textId="77777777" w:rsidTr="00140575">
        <w:tc>
          <w:tcPr>
            <w:tcW w:w="9180" w:type="dxa"/>
            <w:gridSpan w:val="10"/>
            <w:tcBorders>
              <w:top w:val="single" w:sz="4" w:space="0" w:color="auto"/>
              <w:left w:val="single" w:sz="4" w:space="0" w:color="auto"/>
              <w:bottom w:val="single" w:sz="4" w:space="0" w:color="auto"/>
              <w:right w:val="single" w:sz="4" w:space="0" w:color="auto"/>
            </w:tcBorders>
            <w:shd w:val="clear" w:color="auto" w:fill="FFFFFF"/>
          </w:tcPr>
          <w:p w14:paraId="1BBDFC44" w14:textId="77777777" w:rsidR="00140575" w:rsidRPr="00140575" w:rsidRDefault="00140575" w:rsidP="00140575">
            <w:pPr>
              <w:spacing w:before="120"/>
              <w:rPr>
                <w:i/>
                <w:sz w:val="20"/>
                <w:szCs w:val="20"/>
                <w:lang w:eastAsia="sk-SK"/>
              </w:rPr>
            </w:pPr>
            <w:r w:rsidRPr="00140575">
              <w:rPr>
                <w:i/>
                <w:sz w:val="20"/>
                <w:szCs w:val="20"/>
                <w:lang w:eastAsia="sk-SK"/>
              </w:rPr>
              <w:t>Uveďte subjekty, ktorých sa zmeny návrhu dotknú priamo aj nepriamo:</w:t>
            </w:r>
          </w:p>
          <w:p w14:paraId="62837353" w14:textId="77777777" w:rsidR="00140575" w:rsidRPr="00140575" w:rsidRDefault="00140575" w:rsidP="00140575">
            <w:pPr>
              <w:rPr>
                <w:szCs w:val="20"/>
                <w:u w:val="single"/>
                <w:lang w:eastAsia="sk-SK"/>
              </w:rPr>
            </w:pPr>
            <w:r w:rsidRPr="00140575">
              <w:rPr>
                <w:szCs w:val="20"/>
                <w:u w:val="single"/>
                <w:lang w:eastAsia="sk-SK"/>
              </w:rPr>
              <w:t>Priamy dopad:</w:t>
            </w:r>
          </w:p>
          <w:p w14:paraId="67EC20F3" w14:textId="77777777" w:rsidR="00140575" w:rsidRPr="00140575" w:rsidRDefault="00140575" w:rsidP="00140575">
            <w:pPr>
              <w:rPr>
                <w:szCs w:val="20"/>
                <w:lang w:eastAsia="sk-SK"/>
              </w:rPr>
            </w:pPr>
            <w:r w:rsidRPr="00140575">
              <w:rPr>
                <w:szCs w:val="20"/>
                <w:lang w:eastAsia="sk-SK"/>
              </w:rPr>
              <w:t>Ústredné orgány štátnej správy, orgány štátnej správy s celoslovenskou pôsobnosťou zriadené podľa osobitných predpisov (tzv. iné orgány vykonávajúce štátnu štatistiku)</w:t>
            </w:r>
          </w:p>
          <w:p w14:paraId="68B8F666" w14:textId="77777777" w:rsidR="00140575" w:rsidRPr="00140575" w:rsidRDefault="00140575" w:rsidP="00140575">
            <w:pPr>
              <w:rPr>
                <w:szCs w:val="20"/>
                <w:lang w:eastAsia="sk-SK"/>
              </w:rPr>
            </w:pPr>
            <w:r w:rsidRPr="00140575">
              <w:rPr>
                <w:szCs w:val="20"/>
                <w:lang w:eastAsia="sk-SK"/>
              </w:rPr>
              <w:lastRenderedPageBreak/>
              <w:t>Podnikatelia</w:t>
            </w:r>
          </w:p>
          <w:p w14:paraId="1AD18504" w14:textId="77777777" w:rsidR="00140575" w:rsidRPr="00140575" w:rsidRDefault="00140575" w:rsidP="00140575">
            <w:pPr>
              <w:rPr>
                <w:szCs w:val="20"/>
                <w:u w:val="single"/>
                <w:lang w:eastAsia="sk-SK"/>
              </w:rPr>
            </w:pPr>
            <w:r w:rsidRPr="00140575">
              <w:rPr>
                <w:szCs w:val="20"/>
                <w:u w:val="single"/>
                <w:lang w:eastAsia="sk-SK"/>
              </w:rPr>
              <w:t>Nepriamy dopad:</w:t>
            </w:r>
          </w:p>
          <w:p w14:paraId="72E8BBBF" w14:textId="77777777" w:rsidR="00140575" w:rsidRPr="00140575" w:rsidRDefault="00140575" w:rsidP="00140575">
            <w:pPr>
              <w:rPr>
                <w:szCs w:val="20"/>
                <w:lang w:eastAsia="sk-SK"/>
              </w:rPr>
            </w:pPr>
            <w:r w:rsidRPr="00140575">
              <w:rPr>
                <w:szCs w:val="20"/>
                <w:lang w:eastAsia="sk-SK"/>
              </w:rPr>
              <w:t>Spravodajské jednotky vrátane podnikateľov</w:t>
            </w:r>
          </w:p>
          <w:p w14:paraId="657791A9" w14:textId="77777777" w:rsidR="00140575" w:rsidRPr="00140575" w:rsidRDefault="00140575" w:rsidP="00140575">
            <w:pPr>
              <w:rPr>
                <w:szCs w:val="20"/>
                <w:lang w:eastAsia="sk-SK"/>
              </w:rPr>
            </w:pPr>
            <w:r w:rsidRPr="00140575">
              <w:rPr>
                <w:szCs w:val="20"/>
                <w:lang w:eastAsia="sk-SK"/>
              </w:rPr>
              <w:t>Používatelia štatistických výstupov vrátane podnikateľov</w:t>
            </w:r>
          </w:p>
          <w:p w14:paraId="371BE33A" w14:textId="77777777" w:rsidR="00140575" w:rsidRPr="00140575" w:rsidRDefault="00140575" w:rsidP="00140575">
            <w:pPr>
              <w:spacing w:after="240"/>
              <w:rPr>
                <w:i/>
                <w:sz w:val="20"/>
                <w:szCs w:val="20"/>
                <w:lang w:eastAsia="sk-SK"/>
              </w:rPr>
            </w:pPr>
            <w:r w:rsidRPr="00140575">
              <w:rPr>
                <w:szCs w:val="20"/>
                <w:lang w:eastAsia="sk-SK"/>
              </w:rPr>
              <w:t>Poskytovatelia daňového a účtovníckeho softvéru</w:t>
            </w:r>
          </w:p>
        </w:tc>
      </w:tr>
      <w:tr w:rsidR="00140575" w:rsidRPr="00140575" w14:paraId="6770F71A" w14:textId="77777777" w:rsidTr="00434541">
        <w:tc>
          <w:tcPr>
            <w:tcW w:w="9180" w:type="dxa"/>
            <w:gridSpan w:val="10"/>
            <w:tcBorders>
              <w:top w:val="single" w:sz="4" w:space="0" w:color="auto"/>
              <w:left w:val="single" w:sz="4" w:space="0" w:color="auto"/>
              <w:bottom w:val="nil"/>
              <w:right w:val="single" w:sz="4" w:space="0" w:color="auto"/>
            </w:tcBorders>
            <w:shd w:val="clear" w:color="auto" w:fill="E2E2E2"/>
          </w:tcPr>
          <w:p w14:paraId="5A96D4DD" w14:textId="77777777" w:rsidR="00140575" w:rsidRPr="00140575" w:rsidRDefault="00140575" w:rsidP="00B6407E">
            <w:pPr>
              <w:numPr>
                <w:ilvl w:val="0"/>
                <w:numId w:val="13"/>
              </w:numPr>
              <w:ind w:left="426"/>
              <w:rPr>
                <w:rFonts w:eastAsia="Calibri"/>
                <w:b/>
              </w:rPr>
            </w:pPr>
            <w:r w:rsidRPr="00140575">
              <w:rPr>
                <w:rFonts w:eastAsia="Calibri"/>
                <w:b/>
              </w:rPr>
              <w:lastRenderedPageBreak/>
              <w:t>Alternatívne riešenia</w:t>
            </w:r>
          </w:p>
        </w:tc>
      </w:tr>
      <w:tr w:rsidR="00140575" w:rsidRPr="00140575" w14:paraId="5F7FFD6D" w14:textId="77777777" w:rsidTr="00140575">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14:paraId="73C491F5" w14:textId="77777777" w:rsidR="00140575" w:rsidRPr="00140575" w:rsidRDefault="00140575" w:rsidP="00140575">
            <w:pPr>
              <w:spacing w:before="120"/>
              <w:rPr>
                <w:i/>
                <w:sz w:val="20"/>
                <w:szCs w:val="20"/>
                <w:lang w:eastAsia="sk-SK"/>
              </w:rPr>
            </w:pPr>
            <w:r w:rsidRPr="00140575">
              <w:rPr>
                <w:i/>
                <w:sz w:val="20"/>
                <w:szCs w:val="20"/>
                <w:lang w:eastAsia="sk-SK"/>
              </w:rPr>
              <w:t>Aké alternatívne riešenia boli posudzované?</w:t>
            </w:r>
          </w:p>
          <w:p w14:paraId="57206B53" w14:textId="77777777" w:rsidR="00140575" w:rsidRPr="00140575" w:rsidRDefault="00140575" w:rsidP="00140575">
            <w:pPr>
              <w:rPr>
                <w:i/>
                <w:szCs w:val="20"/>
                <w:lang w:eastAsia="sk-SK"/>
              </w:rPr>
            </w:pPr>
            <w:r w:rsidRPr="00140575">
              <w:rPr>
                <w:i/>
                <w:szCs w:val="20"/>
                <w:lang w:eastAsia="sk-SK"/>
              </w:rPr>
              <w:t>Uveďte, aké alternatívne spôsoby na odstránenie definovaného problému boli identifikované a posudzované.</w:t>
            </w:r>
          </w:p>
          <w:p w14:paraId="11C22ACB" w14:textId="77777777" w:rsidR="00140575" w:rsidRPr="00140575" w:rsidRDefault="00140575" w:rsidP="00140575">
            <w:pPr>
              <w:rPr>
                <w:szCs w:val="20"/>
                <w:lang w:eastAsia="sk-SK"/>
              </w:rPr>
            </w:pPr>
            <w:r w:rsidRPr="00140575">
              <w:rPr>
                <w:szCs w:val="20"/>
                <w:lang w:eastAsia="sk-SK"/>
              </w:rPr>
              <w:t>Riešenie základných problémov podľa druhého bodu nie je možné realizovať bez prijatia právnej úpravy na úrovni zákona vzhľadom na nové alebo zmenené právne povinnosti najmä na úrovni orgánov štátnej správy.</w:t>
            </w:r>
          </w:p>
          <w:p w14:paraId="60F066D7" w14:textId="77777777" w:rsidR="00140575" w:rsidRPr="00140575" w:rsidRDefault="00140575" w:rsidP="00140575">
            <w:pPr>
              <w:rPr>
                <w:szCs w:val="20"/>
                <w:lang w:eastAsia="sk-SK"/>
              </w:rPr>
            </w:pPr>
            <w:r w:rsidRPr="00140575">
              <w:rPr>
                <w:szCs w:val="20"/>
                <w:lang w:eastAsia="sk-SK"/>
              </w:rPr>
              <w:t xml:space="preserve">Návrh zákona je tiež predpokladaným výstupom 7. aktivity „Návrh na úpravu regulácie“ schváleného projektu „Reforma zberu a spracovania štatistických údajov vo verejnej správe“, ktorý realizuje predkladateľ v rámci operačného programu Efektívna verejná správa z prostriedkov EÚ </w:t>
            </w:r>
            <w:r w:rsidRPr="00140575">
              <w:rPr>
                <w:lang w:eastAsia="sk-SK"/>
              </w:rPr>
              <w:t>(</w:t>
            </w:r>
            <w:hyperlink r:id="rId8" w:history="1">
              <w:r w:rsidRPr="00140575">
                <w:rPr>
                  <w:color w:val="0563C1"/>
                  <w:u w:val="single"/>
                  <w:lang w:eastAsia="sk-SK"/>
                </w:rPr>
                <w:t>https://www.crp.gov.sk//index.php?cms_location=reforma-zberu-a-spracovania-statistickych-udajov-vo-verejnej-sprave</w:t>
              </w:r>
            </w:hyperlink>
            <w:r w:rsidRPr="00140575">
              <w:rPr>
                <w:lang w:eastAsia="sk-SK"/>
              </w:rPr>
              <w:t>). Táto aktivita sa má podľa upraveného harmonogramu dokončiť v novembri 2020.</w:t>
            </w:r>
          </w:p>
          <w:p w14:paraId="01A62FAF" w14:textId="77777777" w:rsidR="00140575" w:rsidRPr="00140575" w:rsidRDefault="00140575" w:rsidP="00140575">
            <w:pPr>
              <w:spacing w:after="240"/>
              <w:rPr>
                <w:sz w:val="20"/>
                <w:szCs w:val="20"/>
                <w:lang w:eastAsia="sk-SK"/>
              </w:rPr>
            </w:pPr>
            <w:r w:rsidRPr="00140575">
              <w:rPr>
                <w:szCs w:val="20"/>
                <w:lang w:eastAsia="sk-SK"/>
              </w:rPr>
              <w:t>Alternatívne bolo možné predložiť do legislatívneho procesu návrh nového zákona o oficiálnej štatistike, avšak vzhľadom na čas potrebný na komplexnú novú úpravu štátnej štatistiky v podmienkach Slovenskej republiky so zohľadnením odporúčaní EUROSTAT-u a požiadaviek programového vyhlásenia vlády SR z marca 2020, bola táto alternatíva vyhodnotená predkladateľom ako ohrozujúca záväzný termín dokončenia 7. fázy uvedeného projektu, čo by mohlo mať negatívny vplyv aj na nadväzujúci projekt „Jednotného informačného systému štatistických údajov“ realizovaný z Operačného programu „Informatizácia“, ktorého výsledkom má byť informačný systém verejnej správy navrhovaný v čl. I bode 21 predloženého návrhu zákona.</w:t>
            </w:r>
          </w:p>
        </w:tc>
      </w:tr>
      <w:tr w:rsidR="00140575" w:rsidRPr="00140575" w14:paraId="0870C160" w14:textId="77777777" w:rsidTr="0014057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4C2A28EC" w14:textId="77777777" w:rsidR="00140575" w:rsidRPr="00140575" w:rsidRDefault="00140575" w:rsidP="00B6407E">
            <w:pPr>
              <w:numPr>
                <w:ilvl w:val="0"/>
                <w:numId w:val="13"/>
              </w:numPr>
              <w:ind w:left="426"/>
              <w:rPr>
                <w:rFonts w:eastAsia="Calibri"/>
                <w:b/>
              </w:rPr>
            </w:pPr>
            <w:r w:rsidRPr="00140575">
              <w:rPr>
                <w:rFonts w:eastAsia="Calibri"/>
                <w:b/>
              </w:rPr>
              <w:t>Vykonávacie predpisy</w:t>
            </w:r>
          </w:p>
        </w:tc>
      </w:tr>
      <w:tr w:rsidR="00140575" w:rsidRPr="00140575" w14:paraId="04690B92" w14:textId="77777777" w:rsidTr="00140575">
        <w:tc>
          <w:tcPr>
            <w:tcW w:w="6203" w:type="dxa"/>
            <w:gridSpan w:val="6"/>
            <w:tcBorders>
              <w:top w:val="single" w:sz="4" w:space="0" w:color="FFFFFF"/>
              <w:left w:val="single" w:sz="4" w:space="0" w:color="auto"/>
              <w:bottom w:val="nil"/>
              <w:right w:val="nil"/>
            </w:tcBorders>
            <w:shd w:val="clear" w:color="auto" w:fill="FFFFFF"/>
          </w:tcPr>
          <w:p w14:paraId="68B738F8" w14:textId="77777777" w:rsidR="00140575" w:rsidRPr="00140575" w:rsidRDefault="00140575" w:rsidP="00140575">
            <w:pPr>
              <w:spacing w:before="120"/>
              <w:rPr>
                <w:i/>
                <w:sz w:val="20"/>
                <w:szCs w:val="20"/>
                <w:lang w:eastAsia="sk-SK"/>
              </w:rPr>
            </w:pPr>
            <w:r w:rsidRPr="00140575">
              <w:rPr>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8116BAB" w14:textId="77777777" w:rsidR="00140575" w:rsidRPr="00140575" w:rsidRDefault="00E57CA5" w:rsidP="00140575">
            <w:pPr>
              <w:jc w:val="center"/>
              <w:rPr>
                <w:sz w:val="20"/>
                <w:szCs w:val="20"/>
                <w:lang w:eastAsia="sk-SK"/>
              </w:rPr>
            </w:pPr>
            <w:sdt>
              <w:sdtPr>
                <w:rPr>
                  <w:sz w:val="20"/>
                  <w:szCs w:val="20"/>
                  <w:lang w:eastAsia="sk-SK"/>
                </w:rPr>
                <w:id w:val="-1407611648"/>
                <w14:checkbox>
                  <w14:checked w14:val="1"/>
                  <w14:checkedState w14:val="2612" w14:font="MS Gothic"/>
                  <w14:uncheckedState w14:val="2610" w14:font="MS Gothic"/>
                </w14:checkbox>
              </w:sdtPr>
              <w:sdtEndPr/>
              <w:sdtContent>
                <w:r w:rsidR="00140575" w:rsidRPr="00140575">
                  <w:rPr>
                    <w:rFonts w:eastAsia="MS Gothic" w:hint="eastAsia"/>
                    <w:sz w:val="20"/>
                    <w:szCs w:val="20"/>
                    <w:lang w:eastAsia="sk-SK"/>
                  </w:rPr>
                  <w:t>☒</w:t>
                </w:r>
              </w:sdtContent>
            </w:sdt>
            <w:r w:rsidR="00140575" w:rsidRPr="00140575">
              <w:rPr>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F5C5657" w14:textId="77777777" w:rsidR="00140575" w:rsidRPr="00140575" w:rsidRDefault="00E57CA5" w:rsidP="00140575">
            <w:pPr>
              <w:jc w:val="center"/>
              <w:rPr>
                <w:sz w:val="20"/>
                <w:szCs w:val="20"/>
                <w:lang w:eastAsia="sk-SK"/>
              </w:rPr>
            </w:pPr>
            <w:sdt>
              <w:sdtPr>
                <w:rPr>
                  <w:sz w:val="20"/>
                  <w:szCs w:val="20"/>
                  <w:lang w:eastAsia="sk-SK"/>
                </w:rPr>
                <w:id w:val="-1625842802"/>
                <w14:checkbox>
                  <w14:checked w14:val="0"/>
                  <w14:checkedState w14:val="2612" w14:font="MS Gothic"/>
                  <w14:uncheckedState w14:val="2610" w14:font="MS Gothic"/>
                </w14:checkbox>
              </w:sdtPr>
              <w:sdtEndPr/>
              <w:sdtContent>
                <w:r w:rsidR="00140575" w:rsidRPr="00140575">
                  <w:rPr>
                    <w:rFonts w:eastAsia="MS Gothic" w:hint="eastAsia"/>
                    <w:sz w:val="20"/>
                    <w:szCs w:val="20"/>
                    <w:lang w:eastAsia="sk-SK"/>
                  </w:rPr>
                  <w:t>☐</w:t>
                </w:r>
              </w:sdtContent>
            </w:sdt>
            <w:r w:rsidR="00140575" w:rsidRPr="00140575">
              <w:rPr>
                <w:sz w:val="20"/>
                <w:szCs w:val="20"/>
                <w:lang w:eastAsia="sk-SK"/>
              </w:rPr>
              <w:t xml:space="preserve">  Nie</w:t>
            </w:r>
          </w:p>
        </w:tc>
      </w:tr>
      <w:tr w:rsidR="00140575" w:rsidRPr="00140575" w14:paraId="0500DC37" w14:textId="77777777" w:rsidTr="00140575">
        <w:tc>
          <w:tcPr>
            <w:tcW w:w="9180" w:type="dxa"/>
            <w:gridSpan w:val="10"/>
            <w:tcBorders>
              <w:top w:val="nil"/>
              <w:left w:val="single" w:sz="4" w:space="0" w:color="auto"/>
              <w:bottom w:val="single" w:sz="4" w:space="0" w:color="auto"/>
              <w:right w:val="single" w:sz="4" w:space="0" w:color="auto"/>
            </w:tcBorders>
            <w:shd w:val="clear" w:color="auto" w:fill="FFFFFF"/>
          </w:tcPr>
          <w:p w14:paraId="4CED89D9" w14:textId="77777777" w:rsidR="00140575" w:rsidRPr="00140575" w:rsidRDefault="00140575" w:rsidP="00140575">
            <w:pPr>
              <w:rPr>
                <w:i/>
                <w:sz w:val="20"/>
                <w:szCs w:val="20"/>
                <w:lang w:eastAsia="sk-SK"/>
              </w:rPr>
            </w:pPr>
            <w:r w:rsidRPr="00140575">
              <w:rPr>
                <w:i/>
                <w:sz w:val="20"/>
                <w:szCs w:val="20"/>
                <w:lang w:eastAsia="sk-SK"/>
              </w:rPr>
              <w:t>Ak áno, uveďte ktoré oblasti budú nimi upravené, resp. ktorých vykonávacích predpisov sa zmena dotkne:</w:t>
            </w:r>
          </w:p>
          <w:p w14:paraId="4FCE314F" w14:textId="77777777" w:rsidR="00140575" w:rsidRPr="00140575" w:rsidRDefault="00140575" w:rsidP="00140575">
            <w:pPr>
              <w:rPr>
                <w:szCs w:val="20"/>
                <w:lang w:eastAsia="sk-SK"/>
              </w:rPr>
            </w:pPr>
            <w:r w:rsidRPr="00140575">
              <w:rPr>
                <w:szCs w:val="20"/>
                <w:lang w:eastAsia="sk-SK"/>
              </w:rPr>
              <w:t>Novela predpokladá vydanie nového vykonávacieho predpisu:</w:t>
            </w:r>
          </w:p>
          <w:p w14:paraId="3446779F" w14:textId="77777777" w:rsidR="00140575" w:rsidRPr="00140575" w:rsidRDefault="00140575" w:rsidP="00B6407E">
            <w:pPr>
              <w:numPr>
                <w:ilvl w:val="0"/>
                <w:numId w:val="14"/>
              </w:numPr>
              <w:spacing w:after="200"/>
              <w:rPr>
                <w:rFonts w:eastAsia="Calibri"/>
              </w:rPr>
            </w:pPr>
            <w:r w:rsidRPr="00140575">
              <w:rPr>
                <w:rFonts w:eastAsia="Calibri"/>
              </w:rPr>
              <w:t>vyhláška Štatistického úradu Slovenskej republiky, ktorou sa upravujú podrobnosti o obsahu, štruktúre a periodicite správ o kvalite (čl. I bod 9, § 8 ods. 2),</w:t>
            </w:r>
          </w:p>
          <w:p w14:paraId="0E67D306" w14:textId="77777777" w:rsidR="00140575" w:rsidRPr="00140575" w:rsidRDefault="00140575" w:rsidP="00140575">
            <w:pPr>
              <w:spacing w:after="200"/>
              <w:ind w:left="360"/>
              <w:rPr>
                <w:rFonts w:eastAsia="Calibri"/>
              </w:rPr>
            </w:pPr>
            <w:r w:rsidRPr="00140575">
              <w:rPr>
                <w:rFonts w:eastAsia="Calibri"/>
              </w:rPr>
              <w:t>oblasť: kvalita štátnej štatistiky, koordinácia národného štatistického systému,</w:t>
            </w:r>
          </w:p>
          <w:p w14:paraId="401752DD" w14:textId="77777777" w:rsidR="00140575" w:rsidRPr="00140575" w:rsidRDefault="00140575" w:rsidP="00140575">
            <w:pPr>
              <w:ind w:left="357"/>
              <w:rPr>
                <w:rFonts w:eastAsia="Calibri"/>
              </w:rPr>
            </w:pPr>
            <w:r w:rsidRPr="00140575">
              <w:rPr>
                <w:rFonts w:eastAsia="Calibri"/>
              </w:rPr>
              <w:t>dotknuté subjekty: orgány vykonávajúce štátnu štatistiku.</w:t>
            </w:r>
          </w:p>
          <w:p w14:paraId="59D2BF47" w14:textId="77777777" w:rsidR="00140575" w:rsidRPr="00140575" w:rsidRDefault="00140575" w:rsidP="00140575">
            <w:pPr>
              <w:rPr>
                <w:sz w:val="20"/>
                <w:szCs w:val="20"/>
                <w:lang w:eastAsia="sk-SK"/>
              </w:rPr>
            </w:pPr>
            <w:r w:rsidRPr="00140575">
              <w:rPr>
                <w:szCs w:val="20"/>
                <w:lang w:eastAsia="sk-SK"/>
              </w:rPr>
              <w:t>Aplikácia tohto vykonávacieho predpisu nemá priamy dopad na podnikateľské prostredie ani na služby pre občanov. Hodnotenie zostavovaných štatistík pozitívne ovplyvňuje ich kvalitu, čím môže dôjsť k odbúraniu administratívnej záťaže pri plnení spravodajskej povinnosti a k pozitívnemu ovplyvňovaniu rozhodovania vo verejných politikách závislých od štatistických údajov.</w:t>
            </w:r>
          </w:p>
        </w:tc>
      </w:tr>
      <w:tr w:rsidR="00140575" w:rsidRPr="00140575" w14:paraId="42001E85" w14:textId="77777777" w:rsidTr="0014057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D0CE028" w14:textId="77777777" w:rsidR="00140575" w:rsidRPr="00140575" w:rsidRDefault="00140575" w:rsidP="00B6407E">
            <w:pPr>
              <w:numPr>
                <w:ilvl w:val="0"/>
                <w:numId w:val="13"/>
              </w:numPr>
              <w:ind w:left="426"/>
              <w:rPr>
                <w:rFonts w:eastAsia="Calibri"/>
                <w:b/>
              </w:rPr>
            </w:pPr>
            <w:r w:rsidRPr="00140575">
              <w:rPr>
                <w:rFonts w:eastAsia="Calibri"/>
                <w:b/>
              </w:rPr>
              <w:t xml:space="preserve">Transpozícia práva EÚ </w:t>
            </w:r>
          </w:p>
        </w:tc>
      </w:tr>
      <w:tr w:rsidR="00140575" w:rsidRPr="00140575" w14:paraId="1E9B3E30" w14:textId="77777777" w:rsidTr="00140575">
        <w:trPr>
          <w:trHeight w:val="157"/>
        </w:trPr>
        <w:tc>
          <w:tcPr>
            <w:tcW w:w="9180" w:type="dxa"/>
            <w:gridSpan w:val="10"/>
            <w:tcBorders>
              <w:top w:val="nil"/>
              <w:left w:val="single" w:sz="4" w:space="0" w:color="000000"/>
              <w:bottom w:val="nil"/>
              <w:right w:val="single" w:sz="4" w:space="0" w:color="auto"/>
            </w:tcBorders>
            <w:shd w:val="clear" w:color="auto" w:fill="FFFFFF"/>
          </w:tcPr>
          <w:p w14:paraId="199FB2CE" w14:textId="77777777" w:rsidR="00140575" w:rsidRPr="00140575" w:rsidRDefault="00140575" w:rsidP="00140575">
            <w:pPr>
              <w:spacing w:before="120"/>
              <w:rPr>
                <w:sz w:val="20"/>
                <w:szCs w:val="20"/>
                <w:lang w:eastAsia="sk-SK"/>
              </w:rPr>
            </w:pPr>
            <w:r w:rsidRPr="00140575">
              <w:rPr>
                <w:szCs w:val="20"/>
                <w:lang w:eastAsia="sk-SK"/>
              </w:rPr>
              <w:t>Národná právna úprava nejde nad rámec minimálnych požiadaviek EÚ.</w:t>
            </w:r>
          </w:p>
        </w:tc>
      </w:tr>
      <w:tr w:rsidR="00140575" w:rsidRPr="00140575" w14:paraId="4DCE4EF4" w14:textId="77777777" w:rsidTr="00140575">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44AD7780" w14:textId="77777777" w:rsidR="00140575" w:rsidRPr="00140575" w:rsidRDefault="00140575" w:rsidP="00140575">
            <w:pPr>
              <w:jc w:val="center"/>
              <w:rPr>
                <w:sz w:val="20"/>
                <w:szCs w:val="20"/>
                <w:lang w:eastAsia="sk-SK"/>
              </w:rPr>
            </w:pPr>
          </w:p>
        </w:tc>
      </w:tr>
      <w:tr w:rsidR="00140575" w:rsidRPr="00140575" w14:paraId="6A09C43C" w14:textId="77777777" w:rsidTr="0014057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7EB7BE3A" w14:textId="77777777" w:rsidR="00140575" w:rsidRPr="00140575" w:rsidRDefault="00140575" w:rsidP="00B6407E">
            <w:pPr>
              <w:numPr>
                <w:ilvl w:val="0"/>
                <w:numId w:val="13"/>
              </w:numPr>
              <w:ind w:left="426"/>
              <w:rPr>
                <w:rFonts w:eastAsia="Calibri"/>
                <w:b/>
              </w:rPr>
            </w:pPr>
            <w:r w:rsidRPr="00140575">
              <w:rPr>
                <w:rFonts w:eastAsia="Calibri"/>
                <w:b/>
              </w:rPr>
              <w:t>Preskúmanie účelnosti**</w:t>
            </w:r>
          </w:p>
        </w:tc>
      </w:tr>
      <w:tr w:rsidR="00140575" w:rsidRPr="00140575" w14:paraId="6493AFEB" w14:textId="77777777" w:rsidTr="00140575">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13BA13BB" w14:textId="77777777" w:rsidR="00140575" w:rsidRPr="00140575" w:rsidRDefault="00140575" w:rsidP="00140575">
            <w:pPr>
              <w:spacing w:after="360"/>
              <w:rPr>
                <w:i/>
                <w:sz w:val="20"/>
                <w:szCs w:val="20"/>
                <w:lang w:eastAsia="sk-SK"/>
              </w:rPr>
            </w:pPr>
          </w:p>
        </w:tc>
      </w:tr>
      <w:tr w:rsidR="00140575" w:rsidRPr="00140575" w14:paraId="6FA13F9F" w14:textId="77777777" w:rsidTr="00140575">
        <w:trPr>
          <w:trHeight w:val="715"/>
        </w:trPr>
        <w:tc>
          <w:tcPr>
            <w:tcW w:w="9180" w:type="dxa"/>
            <w:gridSpan w:val="10"/>
            <w:tcBorders>
              <w:top w:val="single" w:sz="4" w:space="0" w:color="auto"/>
              <w:left w:val="nil"/>
              <w:bottom w:val="nil"/>
              <w:right w:val="nil"/>
            </w:tcBorders>
            <w:shd w:val="clear" w:color="auto" w:fill="FFFFFF"/>
          </w:tcPr>
          <w:p w14:paraId="10D0B30D" w14:textId="77777777" w:rsidR="00140575" w:rsidRPr="00140575" w:rsidRDefault="00140575" w:rsidP="00140575">
            <w:pPr>
              <w:ind w:left="142" w:hanging="142"/>
              <w:rPr>
                <w:sz w:val="20"/>
                <w:szCs w:val="20"/>
                <w:lang w:eastAsia="sk-SK"/>
              </w:rPr>
            </w:pPr>
            <w:r w:rsidRPr="00140575">
              <w:rPr>
                <w:sz w:val="20"/>
                <w:szCs w:val="20"/>
                <w:lang w:eastAsia="sk-SK"/>
              </w:rPr>
              <w:t xml:space="preserve">* vyplniť iba v prípade, ak materiál nie je zahrnutý do Plánu práce vlády Slovenskej republiky alebo Plánu        legislatívnych úloh vlády Slovenskej republiky. </w:t>
            </w:r>
          </w:p>
          <w:p w14:paraId="21142993" w14:textId="77777777" w:rsidR="00140575" w:rsidRDefault="00140575" w:rsidP="00140575">
            <w:pPr>
              <w:rPr>
                <w:sz w:val="20"/>
                <w:szCs w:val="20"/>
                <w:lang w:eastAsia="sk-SK"/>
              </w:rPr>
            </w:pPr>
            <w:r w:rsidRPr="00140575">
              <w:rPr>
                <w:sz w:val="20"/>
                <w:szCs w:val="20"/>
                <w:lang w:eastAsia="sk-SK"/>
              </w:rPr>
              <w:t>** nepovinné</w:t>
            </w:r>
          </w:p>
          <w:p w14:paraId="278CECE5" w14:textId="77777777" w:rsidR="00140575" w:rsidRDefault="00140575" w:rsidP="00140575">
            <w:pPr>
              <w:rPr>
                <w:sz w:val="20"/>
                <w:szCs w:val="20"/>
                <w:lang w:eastAsia="sk-SK"/>
              </w:rPr>
            </w:pPr>
          </w:p>
          <w:p w14:paraId="384CE44B" w14:textId="77777777" w:rsidR="00140575" w:rsidRDefault="00140575" w:rsidP="00140575">
            <w:pPr>
              <w:rPr>
                <w:sz w:val="20"/>
                <w:szCs w:val="20"/>
                <w:lang w:eastAsia="sk-SK"/>
              </w:rPr>
            </w:pPr>
          </w:p>
          <w:p w14:paraId="3171A3AF" w14:textId="7E1CF76C" w:rsidR="00140575" w:rsidRPr="00140575" w:rsidRDefault="00140575" w:rsidP="00140575">
            <w:pPr>
              <w:rPr>
                <w:sz w:val="20"/>
                <w:szCs w:val="20"/>
                <w:lang w:eastAsia="sk-SK"/>
              </w:rPr>
            </w:pPr>
          </w:p>
        </w:tc>
      </w:tr>
      <w:tr w:rsidR="00140575" w:rsidRPr="00140575" w14:paraId="1EE2ABFF" w14:textId="77777777" w:rsidTr="00140575">
        <w:tc>
          <w:tcPr>
            <w:tcW w:w="9180" w:type="dxa"/>
            <w:gridSpan w:val="10"/>
            <w:tcBorders>
              <w:top w:val="nil"/>
              <w:left w:val="nil"/>
              <w:bottom w:val="single" w:sz="4" w:space="0" w:color="auto"/>
              <w:right w:val="nil"/>
            </w:tcBorders>
            <w:shd w:val="clear" w:color="auto" w:fill="FFFFFF"/>
          </w:tcPr>
          <w:p w14:paraId="1812A8CE" w14:textId="77777777" w:rsidR="00140575" w:rsidRPr="00140575" w:rsidRDefault="00140575" w:rsidP="00140575">
            <w:pPr>
              <w:rPr>
                <w:b/>
                <w:sz w:val="20"/>
                <w:szCs w:val="20"/>
                <w:lang w:eastAsia="sk-SK"/>
              </w:rPr>
            </w:pPr>
          </w:p>
        </w:tc>
      </w:tr>
      <w:tr w:rsidR="00140575" w:rsidRPr="00140575" w14:paraId="3C4663E2" w14:textId="77777777" w:rsidTr="00140575">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78ED2236" w14:textId="77777777" w:rsidR="00140575" w:rsidRPr="00140575" w:rsidRDefault="00140575" w:rsidP="00B6407E">
            <w:pPr>
              <w:numPr>
                <w:ilvl w:val="0"/>
                <w:numId w:val="13"/>
              </w:numPr>
              <w:ind w:left="426"/>
              <w:rPr>
                <w:rFonts w:eastAsia="Calibri"/>
                <w:b/>
              </w:rPr>
            </w:pPr>
            <w:r w:rsidRPr="00140575">
              <w:rPr>
                <w:rFonts w:eastAsia="Calibri"/>
                <w:b/>
              </w:rPr>
              <w:t>Vplyvy navrhovaného materiálu</w:t>
            </w:r>
          </w:p>
        </w:tc>
      </w:tr>
      <w:tr w:rsidR="00140575" w:rsidRPr="00140575" w14:paraId="5DF44B86" w14:textId="77777777" w:rsidTr="00434541">
        <w:tc>
          <w:tcPr>
            <w:tcW w:w="3812" w:type="dxa"/>
            <w:tcBorders>
              <w:top w:val="single" w:sz="4" w:space="0" w:color="auto"/>
              <w:left w:val="single" w:sz="4" w:space="0" w:color="auto"/>
              <w:bottom w:val="nil"/>
              <w:right w:val="single" w:sz="4" w:space="0" w:color="auto"/>
            </w:tcBorders>
            <w:shd w:val="clear" w:color="auto" w:fill="E2E2E2"/>
          </w:tcPr>
          <w:p w14:paraId="7372AF16" w14:textId="77777777" w:rsidR="00140575" w:rsidRPr="00140575" w:rsidRDefault="00140575" w:rsidP="00140575">
            <w:pPr>
              <w:rPr>
                <w:b/>
                <w:sz w:val="20"/>
                <w:szCs w:val="20"/>
                <w:lang w:eastAsia="sk-SK"/>
              </w:rPr>
            </w:pPr>
            <w:r w:rsidRPr="00140575">
              <w:rPr>
                <w:b/>
                <w:sz w:val="20"/>
                <w:szCs w:val="20"/>
                <w:lang w:eastAsia="sk-SK"/>
              </w:rPr>
              <w:t>Vplyvy na rozpočet verejnej správy</w:t>
            </w:r>
          </w:p>
        </w:tc>
        <w:sdt>
          <w:sdtPr>
            <w:rPr>
              <w:b/>
              <w:sz w:val="20"/>
              <w:szCs w:val="20"/>
              <w:lang w:eastAsia="sk-SK"/>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1B3E4F8"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3D63A8E1" w14:textId="77777777" w:rsidR="00140575" w:rsidRPr="00140575" w:rsidRDefault="00140575" w:rsidP="00140575">
            <w:pPr>
              <w:rPr>
                <w:b/>
                <w:sz w:val="20"/>
                <w:szCs w:val="20"/>
                <w:lang w:eastAsia="sk-SK"/>
              </w:rPr>
            </w:pPr>
            <w:r w:rsidRPr="00140575">
              <w:rPr>
                <w:b/>
                <w:sz w:val="20"/>
                <w:szCs w:val="20"/>
                <w:lang w:eastAsia="sk-SK"/>
              </w:rPr>
              <w:t>Pozitívne</w:t>
            </w:r>
          </w:p>
        </w:tc>
        <w:sdt>
          <w:sdtPr>
            <w:rPr>
              <w:b/>
              <w:sz w:val="20"/>
              <w:szCs w:val="20"/>
              <w:lang w:eastAsia="sk-SK"/>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3528EB7"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0139C732" w14:textId="77777777" w:rsidR="00140575" w:rsidRPr="00140575" w:rsidRDefault="00140575" w:rsidP="00140575">
            <w:pPr>
              <w:rPr>
                <w:b/>
                <w:sz w:val="20"/>
                <w:szCs w:val="20"/>
                <w:lang w:eastAsia="sk-SK"/>
              </w:rPr>
            </w:pPr>
            <w:r w:rsidRPr="00140575">
              <w:rPr>
                <w:b/>
                <w:sz w:val="20"/>
                <w:szCs w:val="20"/>
                <w:lang w:eastAsia="sk-SK"/>
              </w:rPr>
              <w:t>Žiadne</w:t>
            </w:r>
          </w:p>
        </w:tc>
        <w:sdt>
          <w:sdtPr>
            <w:rPr>
              <w:b/>
              <w:sz w:val="20"/>
              <w:szCs w:val="20"/>
              <w:lang w:eastAsia="sk-SK"/>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09B6BEF" w14:textId="77777777" w:rsidR="00140575" w:rsidRPr="00140575" w:rsidRDefault="00140575" w:rsidP="00140575">
                <w:pPr>
                  <w:ind w:left="-107" w:right="-108"/>
                  <w:jc w:val="center"/>
                  <w:rPr>
                    <w:b/>
                    <w:sz w:val="20"/>
                    <w:szCs w:val="20"/>
                    <w:lang w:eastAsia="sk-SK"/>
                  </w:rPr>
                </w:pPr>
                <w:r w:rsidRPr="00140575">
                  <w:rPr>
                    <w:rFonts w:eastAsia="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5886E18" w14:textId="77777777" w:rsidR="00140575" w:rsidRPr="00140575" w:rsidRDefault="00140575" w:rsidP="00140575">
            <w:pPr>
              <w:ind w:left="34"/>
              <w:rPr>
                <w:b/>
                <w:sz w:val="20"/>
                <w:szCs w:val="20"/>
                <w:lang w:eastAsia="sk-SK"/>
              </w:rPr>
            </w:pPr>
            <w:r w:rsidRPr="00140575">
              <w:rPr>
                <w:b/>
                <w:sz w:val="20"/>
                <w:szCs w:val="20"/>
                <w:lang w:eastAsia="sk-SK"/>
              </w:rPr>
              <w:t>Negatívne</w:t>
            </w:r>
          </w:p>
        </w:tc>
      </w:tr>
      <w:tr w:rsidR="00140575" w:rsidRPr="00140575" w14:paraId="0ED85B0B" w14:textId="77777777" w:rsidTr="00140575">
        <w:tc>
          <w:tcPr>
            <w:tcW w:w="3812" w:type="dxa"/>
            <w:tcBorders>
              <w:top w:val="nil"/>
              <w:left w:val="single" w:sz="4" w:space="0" w:color="auto"/>
              <w:bottom w:val="single" w:sz="4" w:space="0" w:color="000000"/>
              <w:right w:val="single" w:sz="4" w:space="0" w:color="auto"/>
            </w:tcBorders>
            <w:shd w:val="clear" w:color="auto" w:fill="E2E2E2"/>
          </w:tcPr>
          <w:p w14:paraId="000229BD" w14:textId="77777777" w:rsidR="00140575" w:rsidRPr="00140575" w:rsidRDefault="00140575" w:rsidP="00140575">
            <w:pPr>
              <w:rPr>
                <w:sz w:val="20"/>
                <w:szCs w:val="20"/>
                <w:lang w:eastAsia="sk-SK"/>
              </w:rPr>
            </w:pPr>
            <w:r w:rsidRPr="00140575">
              <w:rPr>
                <w:sz w:val="20"/>
                <w:szCs w:val="20"/>
                <w:lang w:eastAsia="sk-SK"/>
              </w:rPr>
              <w:t xml:space="preserve">    z toho rozpočtovo zabezpečené vplyvy</w:t>
            </w:r>
          </w:p>
        </w:tc>
        <w:sdt>
          <w:sdtPr>
            <w:rPr>
              <w:sz w:val="20"/>
              <w:szCs w:val="20"/>
              <w:lang w:eastAsia="sk-SK"/>
            </w:r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E07EF8E" w14:textId="77777777" w:rsidR="00140575" w:rsidRPr="00140575" w:rsidRDefault="00140575" w:rsidP="00140575">
                <w:pPr>
                  <w:jc w:val="center"/>
                  <w:rPr>
                    <w:sz w:val="20"/>
                    <w:szCs w:val="20"/>
                    <w:lang w:eastAsia="sk-SK"/>
                  </w:rPr>
                </w:pPr>
                <w:r w:rsidRPr="00140575">
                  <w:rPr>
                    <w:rFonts w:eastAsia="MS Gothic" w:hint="eastAsia"/>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417E07C2" w14:textId="77777777" w:rsidR="00140575" w:rsidRPr="00140575" w:rsidRDefault="00140575" w:rsidP="00140575">
            <w:pPr>
              <w:rPr>
                <w:sz w:val="20"/>
                <w:szCs w:val="20"/>
                <w:lang w:eastAsia="sk-SK"/>
              </w:rPr>
            </w:pPr>
            <w:r w:rsidRPr="00140575">
              <w:rPr>
                <w:sz w:val="20"/>
                <w:szCs w:val="20"/>
                <w:lang w:eastAsia="sk-SK"/>
              </w:rPr>
              <w:t>Áno</w:t>
            </w:r>
          </w:p>
        </w:tc>
        <w:sdt>
          <w:sdtPr>
            <w:rPr>
              <w:sz w:val="20"/>
              <w:szCs w:val="20"/>
              <w:lang w:eastAsia="sk-SK"/>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AFC77C5" w14:textId="77777777" w:rsidR="00140575" w:rsidRPr="00140575" w:rsidRDefault="00140575" w:rsidP="00140575">
                <w:pPr>
                  <w:jc w:val="center"/>
                  <w:rPr>
                    <w:sz w:val="20"/>
                    <w:szCs w:val="20"/>
                    <w:lang w:eastAsia="sk-SK"/>
                  </w:rPr>
                </w:pPr>
                <w:r w:rsidRPr="00140575">
                  <w:rPr>
                    <w:rFonts w:ascii="Segoe UI Symbol" w:eastAsia="MS Mincho" w:hAnsi="Segoe UI Symbol" w:cs="Segoe UI Symbol"/>
                    <w:sz w:val="20"/>
                    <w:szCs w:val="20"/>
                    <w:lang w:eastAsia="sk-SK"/>
                  </w:rPr>
                  <w:t>☐</w:t>
                </w:r>
              </w:p>
            </w:tc>
          </w:sdtContent>
        </w:sdt>
        <w:tc>
          <w:tcPr>
            <w:tcW w:w="1133" w:type="dxa"/>
            <w:tcBorders>
              <w:top w:val="single" w:sz="4" w:space="0" w:color="auto"/>
              <w:left w:val="nil"/>
              <w:bottom w:val="single" w:sz="4" w:space="0" w:color="auto"/>
              <w:right w:val="nil"/>
            </w:tcBorders>
          </w:tcPr>
          <w:p w14:paraId="628B6F52" w14:textId="77777777" w:rsidR="00140575" w:rsidRPr="00140575" w:rsidRDefault="00140575" w:rsidP="00140575">
            <w:pPr>
              <w:rPr>
                <w:sz w:val="20"/>
                <w:szCs w:val="20"/>
                <w:lang w:eastAsia="sk-SK"/>
              </w:rPr>
            </w:pPr>
            <w:r w:rsidRPr="00140575">
              <w:rPr>
                <w:sz w:val="20"/>
                <w:szCs w:val="20"/>
                <w:lang w:eastAsia="sk-SK"/>
              </w:rPr>
              <w:t>Nie</w:t>
            </w:r>
          </w:p>
        </w:tc>
        <w:sdt>
          <w:sdtPr>
            <w:rPr>
              <w:sz w:val="20"/>
              <w:szCs w:val="20"/>
              <w:lang w:eastAsia="sk-SK"/>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A3A83D1" w14:textId="77777777" w:rsidR="00140575" w:rsidRPr="00140575" w:rsidRDefault="00140575" w:rsidP="00140575">
                <w:pPr>
                  <w:ind w:left="-107" w:right="-108"/>
                  <w:jc w:val="center"/>
                  <w:rPr>
                    <w:sz w:val="20"/>
                    <w:szCs w:val="20"/>
                    <w:lang w:eastAsia="sk-SK"/>
                  </w:rPr>
                </w:pPr>
                <w:r w:rsidRPr="00140575">
                  <w:rPr>
                    <w:rFonts w:eastAsia="MS Gothic"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DFB966" w14:textId="77777777" w:rsidR="00140575" w:rsidRPr="00140575" w:rsidRDefault="00140575" w:rsidP="00140575">
            <w:pPr>
              <w:ind w:left="34"/>
              <w:rPr>
                <w:sz w:val="20"/>
                <w:szCs w:val="20"/>
                <w:lang w:eastAsia="sk-SK"/>
              </w:rPr>
            </w:pPr>
            <w:r w:rsidRPr="00140575">
              <w:rPr>
                <w:sz w:val="20"/>
                <w:szCs w:val="20"/>
                <w:lang w:eastAsia="sk-SK"/>
              </w:rPr>
              <w:t>Čiastočne</w:t>
            </w:r>
          </w:p>
        </w:tc>
      </w:tr>
      <w:tr w:rsidR="00140575" w:rsidRPr="00140575" w14:paraId="171DF6F5" w14:textId="77777777" w:rsidTr="00140575">
        <w:tc>
          <w:tcPr>
            <w:tcW w:w="3812" w:type="dxa"/>
            <w:tcBorders>
              <w:top w:val="single" w:sz="4" w:space="0" w:color="000000"/>
              <w:left w:val="single" w:sz="4" w:space="0" w:color="auto"/>
              <w:bottom w:val="nil"/>
              <w:right w:val="single" w:sz="4" w:space="0" w:color="auto"/>
            </w:tcBorders>
            <w:shd w:val="clear" w:color="auto" w:fill="E2E2E2"/>
          </w:tcPr>
          <w:p w14:paraId="1D29786F" w14:textId="77777777" w:rsidR="00140575" w:rsidRPr="00140575" w:rsidRDefault="00140575" w:rsidP="00140575">
            <w:pPr>
              <w:rPr>
                <w:b/>
                <w:sz w:val="20"/>
                <w:szCs w:val="20"/>
                <w:lang w:eastAsia="sk-SK"/>
              </w:rPr>
            </w:pPr>
            <w:r w:rsidRPr="00140575">
              <w:rPr>
                <w:b/>
                <w:sz w:val="20"/>
                <w:szCs w:val="20"/>
                <w:lang w:eastAsia="sk-SK"/>
              </w:rPr>
              <w:t>Vplyvy na podnikateľské prostredie</w:t>
            </w:r>
          </w:p>
        </w:tc>
        <w:sdt>
          <w:sdtPr>
            <w:rPr>
              <w:b/>
              <w:sz w:val="20"/>
              <w:szCs w:val="20"/>
              <w:lang w:eastAsia="sk-SK"/>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AFE0015"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5D560396" w14:textId="77777777" w:rsidR="00140575" w:rsidRPr="00140575" w:rsidRDefault="00140575" w:rsidP="00140575">
            <w:pPr>
              <w:ind w:right="-108"/>
              <w:rPr>
                <w:b/>
                <w:sz w:val="20"/>
                <w:szCs w:val="20"/>
                <w:lang w:eastAsia="sk-SK"/>
              </w:rPr>
            </w:pPr>
            <w:r w:rsidRPr="00140575">
              <w:rPr>
                <w:b/>
                <w:sz w:val="20"/>
                <w:szCs w:val="20"/>
                <w:lang w:eastAsia="sk-SK"/>
              </w:rPr>
              <w:t>Pozitívne</w:t>
            </w:r>
          </w:p>
        </w:tc>
        <w:sdt>
          <w:sdtPr>
            <w:rPr>
              <w:b/>
              <w:sz w:val="20"/>
              <w:szCs w:val="20"/>
              <w:lang w:eastAsia="sk-SK"/>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7D48927"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F9E7A14" w14:textId="77777777" w:rsidR="00140575" w:rsidRPr="00140575" w:rsidRDefault="00140575" w:rsidP="00140575">
            <w:pPr>
              <w:rPr>
                <w:b/>
                <w:sz w:val="20"/>
                <w:szCs w:val="20"/>
                <w:lang w:eastAsia="sk-SK"/>
              </w:rPr>
            </w:pPr>
            <w:r w:rsidRPr="00140575">
              <w:rPr>
                <w:b/>
                <w:sz w:val="20"/>
                <w:szCs w:val="20"/>
                <w:lang w:eastAsia="sk-SK"/>
              </w:rPr>
              <w:t>Žiadne</w:t>
            </w:r>
          </w:p>
        </w:tc>
        <w:sdt>
          <w:sdtPr>
            <w:rPr>
              <w:b/>
              <w:sz w:val="20"/>
              <w:szCs w:val="20"/>
              <w:lang w:eastAsia="sk-SK"/>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DBE3419"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4E16CF6" w14:textId="77777777" w:rsidR="00140575" w:rsidRPr="00140575" w:rsidRDefault="00140575" w:rsidP="00140575">
            <w:pPr>
              <w:ind w:left="54"/>
              <w:rPr>
                <w:b/>
                <w:sz w:val="20"/>
                <w:szCs w:val="20"/>
                <w:lang w:eastAsia="sk-SK"/>
              </w:rPr>
            </w:pPr>
            <w:r w:rsidRPr="00140575">
              <w:rPr>
                <w:b/>
                <w:sz w:val="20"/>
                <w:szCs w:val="20"/>
                <w:lang w:eastAsia="sk-SK"/>
              </w:rPr>
              <w:t>Negatívne</w:t>
            </w:r>
          </w:p>
        </w:tc>
      </w:tr>
      <w:tr w:rsidR="00140575" w:rsidRPr="00140575" w14:paraId="400D958E" w14:textId="77777777" w:rsidTr="00140575">
        <w:tc>
          <w:tcPr>
            <w:tcW w:w="3812" w:type="dxa"/>
            <w:tcBorders>
              <w:top w:val="nil"/>
              <w:left w:val="single" w:sz="4" w:space="0" w:color="000000"/>
              <w:bottom w:val="single" w:sz="4" w:space="0" w:color="000000"/>
              <w:right w:val="single" w:sz="4" w:space="0" w:color="000000"/>
            </w:tcBorders>
            <w:shd w:val="clear" w:color="auto" w:fill="E2E2E2"/>
          </w:tcPr>
          <w:p w14:paraId="7397C375" w14:textId="77777777" w:rsidR="00140575" w:rsidRPr="00140575" w:rsidRDefault="00140575" w:rsidP="00140575">
            <w:pPr>
              <w:rPr>
                <w:sz w:val="20"/>
                <w:szCs w:val="20"/>
                <w:lang w:eastAsia="sk-SK"/>
              </w:rPr>
            </w:pPr>
            <w:r w:rsidRPr="00140575">
              <w:rPr>
                <w:sz w:val="20"/>
                <w:szCs w:val="20"/>
                <w:lang w:eastAsia="sk-SK"/>
              </w:rPr>
              <w:t xml:space="preserve">    z toho vplyvy na MSP</w:t>
            </w:r>
          </w:p>
        </w:tc>
        <w:sdt>
          <w:sdtPr>
            <w:rPr>
              <w:sz w:val="20"/>
              <w:szCs w:val="20"/>
              <w:lang w:eastAsia="sk-SK"/>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bottom w:val="single" w:sz="4" w:space="0" w:color="auto"/>
                  <w:right w:val="nil"/>
                </w:tcBorders>
              </w:tcPr>
              <w:p w14:paraId="20325106" w14:textId="77777777" w:rsidR="00140575" w:rsidRPr="00140575" w:rsidRDefault="00140575" w:rsidP="00140575">
                <w:pPr>
                  <w:jc w:val="center"/>
                  <w:rPr>
                    <w:sz w:val="20"/>
                    <w:szCs w:val="20"/>
                    <w:lang w:eastAsia="sk-SK"/>
                  </w:rPr>
                </w:pPr>
                <w:r w:rsidRPr="00140575">
                  <w:rPr>
                    <w:rFonts w:eastAsia="MS Gothic" w:hint="eastAsia"/>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455B0DD9" w14:textId="77777777" w:rsidR="00140575" w:rsidRPr="00140575" w:rsidRDefault="00140575" w:rsidP="00140575">
            <w:pPr>
              <w:ind w:right="-108"/>
              <w:rPr>
                <w:sz w:val="20"/>
                <w:szCs w:val="20"/>
                <w:lang w:eastAsia="sk-SK"/>
              </w:rPr>
            </w:pPr>
            <w:r w:rsidRPr="00140575">
              <w:rPr>
                <w:sz w:val="20"/>
                <w:szCs w:val="20"/>
                <w:lang w:eastAsia="sk-SK"/>
              </w:rPr>
              <w:t>Pozitívne</w:t>
            </w:r>
          </w:p>
        </w:tc>
        <w:sdt>
          <w:sdtPr>
            <w:rPr>
              <w:sz w:val="20"/>
              <w:szCs w:val="20"/>
              <w:lang w:eastAsia="sk-SK"/>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12F2049" w14:textId="77777777" w:rsidR="00140575" w:rsidRPr="00140575" w:rsidRDefault="00140575" w:rsidP="00140575">
                <w:pPr>
                  <w:jc w:val="center"/>
                  <w:rPr>
                    <w:sz w:val="20"/>
                    <w:szCs w:val="20"/>
                    <w:lang w:eastAsia="sk-SK"/>
                  </w:rPr>
                </w:pPr>
                <w:r w:rsidRPr="00140575">
                  <w:rPr>
                    <w:rFonts w:ascii="Segoe UI Symbol" w:eastAsia="MS Mincho" w:hAnsi="Segoe UI Symbol" w:cs="Segoe UI Symbol"/>
                    <w:sz w:val="20"/>
                    <w:szCs w:val="20"/>
                    <w:lang w:eastAsia="sk-SK"/>
                  </w:rPr>
                  <w:t>☐</w:t>
                </w:r>
              </w:p>
            </w:tc>
          </w:sdtContent>
        </w:sdt>
        <w:tc>
          <w:tcPr>
            <w:tcW w:w="1133" w:type="dxa"/>
            <w:tcBorders>
              <w:top w:val="single" w:sz="4" w:space="0" w:color="auto"/>
              <w:left w:val="nil"/>
              <w:bottom w:val="single" w:sz="4" w:space="0" w:color="auto"/>
              <w:right w:val="nil"/>
            </w:tcBorders>
          </w:tcPr>
          <w:p w14:paraId="17F68449" w14:textId="77777777" w:rsidR="00140575" w:rsidRPr="00140575" w:rsidRDefault="00140575" w:rsidP="00140575">
            <w:pPr>
              <w:rPr>
                <w:sz w:val="20"/>
                <w:szCs w:val="20"/>
                <w:lang w:eastAsia="sk-SK"/>
              </w:rPr>
            </w:pPr>
            <w:r w:rsidRPr="00140575">
              <w:rPr>
                <w:sz w:val="20"/>
                <w:szCs w:val="20"/>
                <w:lang w:eastAsia="sk-SK"/>
              </w:rPr>
              <w:t>Žiadne</w:t>
            </w:r>
          </w:p>
        </w:tc>
        <w:sdt>
          <w:sdtPr>
            <w:rPr>
              <w:sz w:val="20"/>
              <w:szCs w:val="20"/>
              <w:lang w:eastAsia="sk-SK"/>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73DB058" w14:textId="77777777" w:rsidR="00140575" w:rsidRPr="00140575" w:rsidRDefault="00140575" w:rsidP="00140575">
                <w:pPr>
                  <w:jc w:val="center"/>
                  <w:rPr>
                    <w:sz w:val="20"/>
                    <w:szCs w:val="20"/>
                    <w:lang w:eastAsia="sk-SK"/>
                  </w:rPr>
                </w:pPr>
                <w:r w:rsidRPr="00140575">
                  <w:rPr>
                    <w:rFonts w:eastAsia="MS Gothic"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4A31947" w14:textId="77777777" w:rsidR="00140575" w:rsidRPr="00140575" w:rsidRDefault="00140575" w:rsidP="00140575">
            <w:pPr>
              <w:ind w:left="54"/>
              <w:rPr>
                <w:sz w:val="20"/>
                <w:szCs w:val="20"/>
                <w:lang w:eastAsia="sk-SK"/>
              </w:rPr>
            </w:pPr>
            <w:r w:rsidRPr="00140575">
              <w:rPr>
                <w:sz w:val="20"/>
                <w:szCs w:val="20"/>
                <w:lang w:eastAsia="sk-SK"/>
              </w:rPr>
              <w:t>Negatívne</w:t>
            </w:r>
          </w:p>
        </w:tc>
      </w:tr>
      <w:tr w:rsidR="00140575" w:rsidRPr="00140575" w14:paraId="78C5AE7F" w14:textId="77777777" w:rsidTr="00140575">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2F3D7A" w14:textId="77777777" w:rsidR="00140575" w:rsidRPr="00140575" w:rsidRDefault="00140575" w:rsidP="00140575">
            <w:pPr>
              <w:rPr>
                <w:b/>
                <w:sz w:val="20"/>
                <w:szCs w:val="20"/>
                <w:lang w:eastAsia="sk-SK"/>
              </w:rPr>
            </w:pPr>
            <w:r w:rsidRPr="00140575">
              <w:rPr>
                <w:b/>
                <w:sz w:val="20"/>
                <w:szCs w:val="20"/>
                <w:lang w:eastAsia="sk-SK"/>
              </w:rPr>
              <w:t>Sociálne vplyvy</w:t>
            </w:r>
          </w:p>
        </w:tc>
        <w:sdt>
          <w:sdtPr>
            <w:rPr>
              <w:b/>
              <w:sz w:val="20"/>
              <w:szCs w:val="20"/>
              <w:lang w:eastAsia="sk-SK"/>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35669CF"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2525E0AD" w14:textId="77777777" w:rsidR="00140575" w:rsidRPr="00140575" w:rsidRDefault="00140575" w:rsidP="00140575">
            <w:pPr>
              <w:ind w:right="-108"/>
              <w:rPr>
                <w:b/>
                <w:sz w:val="20"/>
                <w:szCs w:val="20"/>
                <w:lang w:eastAsia="sk-SK"/>
              </w:rPr>
            </w:pPr>
            <w:r w:rsidRPr="00140575">
              <w:rPr>
                <w:b/>
                <w:sz w:val="20"/>
                <w:szCs w:val="20"/>
                <w:lang w:eastAsia="sk-SK"/>
              </w:rPr>
              <w:t>Pozitívne</w:t>
            </w:r>
          </w:p>
        </w:tc>
        <w:sdt>
          <w:sdtPr>
            <w:rPr>
              <w:b/>
              <w:sz w:val="20"/>
              <w:szCs w:val="20"/>
              <w:lang w:eastAsia="sk-SK"/>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9290259"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54BDE54" w14:textId="77777777" w:rsidR="00140575" w:rsidRPr="00140575" w:rsidRDefault="00140575" w:rsidP="00140575">
            <w:pPr>
              <w:rPr>
                <w:b/>
                <w:sz w:val="20"/>
                <w:szCs w:val="20"/>
                <w:lang w:eastAsia="sk-SK"/>
              </w:rPr>
            </w:pPr>
            <w:r w:rsidRPr="00140575">
              <w:rPr>
                <w:b/>
                <w:sz w:val="20"/>
                <w:szCs w:val="20"/>
                <w:lang w:eastAsia="sk-SK"/>
              </w:rPr>
              <w:t>Žiadne</w:t>
            </w:r>
          </w:p>
        </w:tc>
        <w:sdt>
          <w:sdtPr>
            <w:rPr>
              <w:b/>
              <w:sz w:val="20"/>
              <w:szCs w:val="20"/>
              <w:lang w:eastAsia="sk-SK"/>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A9D4016"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DB08AB1" w14:textId="77777777" w:rsidR="00140575" w:rsidRPr="00140575" w:rsidRDefault="00140575" w:rsidP="00140575">
            <w:pPr>
              <w:ind w:left="54"/>
              <w:rPr>
                <w:b/>
                <w:sz w:val="20"/>
                <w:szCs w:val="20"/>
                <w:lang w:eastAsia="sk-SK"/>
              </w:rPr>
            </w:pPr>
            <w:r w:rsidRPr="00140575">
              <w:rPr>
                <w:b/>
                <w:sz w:val="20"/>
                <w:szCs w:val="20"/>
                <w:lang w:eastAsia="sk-SK"/>
              </w:rPr>
              <w:t>Negatívne</w:t>
            </w:r>
          </w:p>
        </w:tc>
      </w:tr>
      <w:tr w:rsidR="00140575" w:rsidRPr="00140575" w14:paraId="7DFCCEE3" w14:textId="77777777" w:rsidTr="00434541">
        <w:tc>
          <w:tcPr>
            <w:tcW w:w="3812" w:type="dxa"/>
            <w:tcBorders>
              <w:top w:val="single" w:sz="4" w:space="0" w:color="auto"/>
              <w:left w:val="single" w:sz="4" w:space="0" w:color="auto"/>
              <w:bottom w:val="single" w:sz="4" w:space="0" w:color="auto"/>
              <w:right w:val="single" w:sz="4" w:space="0" w:color="auto"/>
            </w:tcBorders>
            <w:shd w:val="clear" w:color="auto" w:fill="E2E2E2"/>
          </w:tcPr>
          <w:p w14:paraId="52C42443" w14:textId="77777777" w:rsidR="00140575" w:rsidRPr="00140575" w:rsidRDefault="00140575" w:rsidP="00140575">
            <w:pPr>
              <w:rPr>
                <w:b/>
                <w:sz w:val="20"/>
                <w:szCs w:val="20"/>
                <w:lang w:eastAsia="sk-SK"/>
              </w:rPr>
            </w:pPr>
            <w:r w:rsidRPr="00140575">
              <w:rPr>
                <w:b/>
                <w:sz w:val="20"/>
                <w:szCs w:val="20"/>
                <w:lang w:eastAsia="sk-SK"/>
              </w:rPr>
              <w:t>Vplyvy na životné prostredie</w:t>
            </w:r>
          </w:p>
        </w:tc>
        <w:sdt>
          <w:sdtPr>
            <w:rPr>
              <w:b/>
              <w:sz w:val="20"/>
              <w:szCs w:val="20"/>
              <w:lang w:eastAsia="sk-SK"/>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9B00E5B"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0223A81B" w14:textId="77777777" w:rsidR="00140575" w:rsidRPr="00140575" w:rsidRDefault="00140575" w:rsidP="00140575">
            <w:pPr>
              <w:ind w:right="-108"/>
              <w:rPr>
                <w:b/>
                <w:sz w:val="20"/>
                <w:szCs w:val="20"/>
                <w:lang w:eastAsia="sk-SK"/>
              </w:rPr>
            </w:pPr>
            <w:r w:rsidRPr="00140575">
              <w:rPr>
                <w:b/>
                <w:sz w:val="20"/>
                <w:szCs w:val="20"/>
                <w:lang w:eastAsia="sk-SK"/>
              </w:rPr>
              <w:t>Pozitívne</w:t>
            </w:r>
          </w:p>
        </w:tc>
        <w:sdt>
          <w:sdtPr>
            <w:rPr>
              <w:b/>
              <w:sz w:val="20"/>
              <w:szCs w:val="20"/>
              <w:lang w:eastAsia="sk-SK"/>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CF4CEA1"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A7C085" w14:textId="77777777" w:rsidR="00140575" w:rsidRPr="00140575" w:rsidRDefault="00140575" w:rsidP="00140575">
            <w:pPr>
              <w:rPr>
                <w:b/>
                <w:sz w:val="20"/>
                <w:szCs w:val="20"/>
                <w:lang w:eastAsia="sk-SK"/>
              </w:rPr>
            </w:pPr>
            <w:r w:rsidRPr="00140575">
              <w:rPr>
                <w:b/>
                <w:sz w:val="20"/>
                <w:szCs w:val="20"/>
                <w:lang w:eastAsia="sk-SK"/>
              </w:rPr>
              <w:t>Žiadne</w:t>
            </w:r>
          </w:p>
        </w:tc>
        <w:sdt>
          <w:sdtPr>
            <w:rPr>
              <w:b/>
              <w:sz w:val="20"/>
              <w:szCs w:val="20"/>
              <w:lang w:eastAsia="sk-SK"/>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C918A7B"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67A5431" w14:textId="77777777" w:rsidR="00140575" w:rsidRPr="00140575" w:rsidRDefault="00140575" w:rsidP="00140575">
            <w:pPr>
              <w:ind w:left="54"/>
              <w:rPr>
                <w:b/>
                <w:sz w:val="20"/>
                <w:szCs w:val="20"/>
                <w:lang w:eastAsia="sk-SK"/>
              </w:rPr>
            </w:pPr>
            <w:r w:rsidRPr="00140575">
              <w:rPr>
                <w:b/>
                <w:sz w:val="20"/>
                <w:szCs w:val="20"/>
                <w:lang w:eastAsia="sk-SK"/>
              </w:rPr>
              <w:t>Negatívne</w:t>
            </w:r>
          </w:p>
        </w:tc>
      </w:tr>
      <w:tr w:rsidR="00140575" w:rsidRPr="00140575" w14:paraId="75EAFE40" w14:textId="77777777" w:rsidTr="00434541">
        <w:tc>
          <w:tcPr>
            <w:tcW w:w="3812" w:type="dxa"/>
            <w:tcBorders>
              <w:top w:val="single" w:sz="4" w:space="0" w:color="auto"/>
              <w:left w:val="single" w:sz="4" w:space="0" w:color="auto"/>
              <w:bottom w:val="single" w:sz="4" w:space="0" w:color="auto"/>
              <w:right w:val="single" w:sz="4" w:space="0" w:color="auto"/>
            </w:tcBorders>
            <w:shd w:val="clear" w:color="auto" w:fill="E2E2E2"/>
          </w:tcPr>
          <w:p w14:paraId="6699DAAA" w14:textId="77777777" w:rsidR="00140575" w:rsidRPr="00140575" w:rsidRDefault="00140575" w:rsidP="00140575">
            <w:pPr>
              <w:rPr>
                <w:b/>
                <w:sz w:val="20"/>
                <w:szCs w:val="20"/>
                <w:lang w:eastAsia="sk-SK"/>
              </w:rPr>
            </w:pPr>
            <w:r w:rsidRPr="00140575">
              <w:rPr>
                <w:b/>
                <w:sz w:val="20"/>
                <w:szCs w:val="20"/>
                <w:lang w:eastAsia="sk-SK"/>
              </w:rPr>
              <w:t>Vplyvy na informatizáciu</w:t>
            </w:r>
          </w:p>
        </w:tc>
        <w:sdt>
          <w:sdtPr>
            <w:rPr>
              <w:b/>
              <w:sz w:val="20"/>
              <w:szCs w:val="20"/>
              <w:lang w:eastAsia="sk-SK"/>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766A3DE"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14:paraId="77A95C01" w14:textId="77777777" w:rsidR="00140575" w:rsidRPr="00140575" w:rsidRDefault="00140575" w:rsidP="00140575">
            <w:pPr>
              <w:ind w:right="-108"/>
              <w:rPr>
                <w:b/>
                <w:sz w:val="20"/>
                <w:szCs w:val="20"/>
                <w:lang w:eastAsia="sk-SK"/>
              </w:rPr>
            </w:pPr>
            <w:r w:rsidRPr="00140575">
              <w:rPr>
                <w:b/>
                <w:sz w:val="20"/>
                <w:szCs w:val="20"/>
                <w:lang w:eastAsia="sk-SK"/>
              </w:rPr>
              <w:t>Pozitívne</w:t>
            </w:r>
          </w:p>
        </w:tc>
        <w:sdt>
          <w:sdtPr>
            <w:rPr>
              <w:b/>
              <w:sz w:val="20"/>
              <w:szCs w:val="20"/>
              <w:lang w:eastAsia="sk-SK"/>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73B82D5" w14:textId="77777777" w:rsidR="00140575" w:rsidRPr="00140575" w:rsidRDefault="00140575" w:rsidP="00140575">
                <w:pPr>
                  <w:jc w:val="center"/>
                  <w:rPr>
                    <w:b/>
                    <w:sz w:val="20"/>
                    <w:szCs w:val="20"/>
                    <w:lang w:eastAsia="sk-SK"/>
                  </w:rPr>
                </w:pPr>
                <w:r w:rsidRPr="00140575">
                  <w:rPr>
                    <w:rFonts w:eastAsia="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116F196" w14:textId="77777777" w:rsidR="00140575" w:rsidRPr="00140575" w:rsidRDefault="00140575" w:rsidP="00140575">
            <w:pPr>
              <w:rPr>
                <w:b/>
                <w:sz w:val="20"/>
                <w:szCs w:val="20"/>
                <w:lang w:eastAsia="sk-SK"/>
              </w:rPr>
            </w:pPr>
            <w:r w:rsidRPr="00140575">
              <w:rPr>
                <w:b/>
                <w:sz w:val="20"/>
                <w:szCs w:val="20"/>
                <w:lang w:eastAsia="sk-SK"/>
              </w:rPr>
              <w:t>Žiadne</w:t>
            </w:r>
          </w:p>
        </w:tc>
        <w:sdt>
          <w:sdtPr>
            <w:rPr>
              <w:b/>
              <w:sz w:val="20"/>
              <w:szCs w:val="20"/>
              <w:lang w:eastAsia="sk-SK"/>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83EB08D" w14:textId="77777777" w:rsidR="00140575" w:rsidRPr="00140575" w:rsidRDefault="00140575" w:rsidP="00140575">
                <w:pPr>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807FFBE" w14:textId="77777777" w:rsidR="00140575" w:rsidRPr="00140575" w:rsidRDefault="00140575" w:rsidP="00140575">
            <w:pPr>
              <w:ind w:left="54"/>
              <w:rPr>
                <w:b/>
                <w:sz w:val="20"/>
                <w:szCs w:val="20"/>
                <w:lang w:eastAsia="sk-SK"/>
              </w:rPr>
            </w:pPr>
            <w:r w:rsidRPr="00140575">
              <w:rPr>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40575" w:rsidRPr="00140575" w14:paraId="31E4F18B" w14:textId="77777777" w:rsidTr="00434541">
        <w:tc>
          <w:tcPr>
            <w:tcW w:w="3812" w:type="dxa"/>
            <w:tcBorders>
              <w:top w:val="single" w:sz="4" w:space="0" w:color="auto"/>
              <w:left w:val="single" w:sz="4" w:space="0" w:color="auto"/>
              <w:bottom w:val="nil"/>
              <w:right w:val="single" w:sz="4" w:space="0" w:color="auto"/>
            </w:tcBorders>
            <w:shd w:val="clear" w:color="auto" w:fill="E2E2E2"/>
          </w:tcPr>
          <w:p w14:paraId="5328E279" w14:textId="77777777" w:rsidR="00140575" w:rsidRPr="00140575" w:rsidRDefault="00140575" w:rsidP="00140575">
            <w:pPr>
              <w:spacing w:after="0" w:line="240" w:lineRule="auto"/>
              <w:ind w:firstLine="0"/>
              <w:jc w:val="left"/>
              <w:rPr>
                <w:b/>
                <w:sz w:val="20"/>
                <w:szCs w:val="20"/>
                <w:lang w:eastAsia="sk-SK"/>
              </w:rPr>
            </w:pPr>
            <w:r w:rsidRPr="00140575">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6285144C" w14:textId="77777777" w:rsidR="00140575" w:rsidRPr="00140575" w:rsidRDefault="00140575" w:rsidP="00140575">
            <w:pPr>
              <w:spacing w:after="0" w:line="240" w:lineRule="auto"/>
              <w:ind w:firstLine="0"/>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2668875F" w14:textId="77777777" w:rsidR="00140575" w:rsidRPr="00140575" w:rsidRDefault="00140575" w:rsidP="00140575">
            <w:pPr>
              <w:spacing w:after="0" w:line="240" w:lineRule="auto"/>
              <w:ind w:right="-108" w:firstLine="0"/>
              <w:jc w:val="left"/>
              <w:rPr>
                <w:b/>
                <w:sz w:val="20"/>
                <w:szCs w:val="20"/>
                <w:lang w:eastAsia="sk-SK"/>
              </w:rPr>
            </w:pPr>
          </w:p>
        </w:tc>
        <w:tc>
          <w:tcPr>
            <w:tcW w:w="569" w:type="dxa"/>
            <w:tcBorders>
              <w:top w:val="single" w:sz="4" w:space="0" w:color="auto"/>
              <w:left w:val="nil"/>
              <w:bottom w:val="nil"/>
              <w:right w:val="nil"/>
            </w:tcBorders>
            <w:shd w:val="clear" w:color="auto" w:fill="auto"/>
          </w:tcPr>
          <w:p w14:paraId="131E003C" w14:textId="77777777" w:rsidR="00140575" w:rsidRPr="00140575" w:rsidRDefault="00140575" w:rsidP="00140575">
            <w:pPr>
              <w:spacing w:after="0" w:line="240" w:lineRule="auto"/>
              <w:ind w:firstLine="0"/>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00FBC489" w14:textId="77777777" w:rsidR="00140575" w:rsidRPr="00140575" w:rsidRDefault="00140575" w:rsidP="00140575">
            <w:pPr>
              <w:spacing w:after="0" w:line="240" w:lineRule="auto"/>
              <w:ind w:firstLine="0"/>
              <w:jc w:val="left"/>
              <w:rPr>
                <w:b/>
                <w:sz w:val="20"/>
                <w:szCs w:val="20"/>
                <w:lang w:eastAsia="sk-SK"/>
              </w:rPr>
            </w:pPr>
          </w:p>
        </w:tc>
        <w:tc>
          <w:tcPr>
            <w:tcW w:w="547" w:type="dxa"/>
            <w:tcBorders>
              <w:top w:val="single" w:sz="4" w:space="0" w:color="auto"/>
              <w:left w:val="nil"/>
              <w:bottom w:val="nil"/>
              <w:right w:val="nil"/>
            </w:tcBorders>
            <w:shd w:val="clear" w:color="auto" w:fill="auto"/>
          </w:tcPr>
          <w:p w14:paraId="55AF5ADD" w14:textId="77777777" w:rsidR="00140575" w:rsidRPr="00140575" w:rsidRDefault="00140575" w:rsidP="00140575">
            <w:pPr>
              <w:spacing w:after="0" w:line="240" w:lineRule="auto"/>
              <w:ind w:firstLine="0"/>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433DB8BD" w14:textId="77777777" w:rsidR="00140575" w:rsidRPr="00140575" w:rsidRDefault="00140575" w:rsidP="00140575">
            <w:pPr>
              <w:spacing w:after="0" w:line="240" w:lineRule="auto"/>
              <w:ind w:left="54" w:firstLine="0"/>
              <w:jc w:val="left"/>
              <w:rPr>
                <w:b/>
                <w:sz w:val="20"/>
                <w:szCs w:val="20"/>
                <w:lang w:eastAsia="sk-SK"/>
              </w:rPr>
            </w:pPr>
          </w:p>
        </w:tc>
      </w:tr>
      <w:tr w:rsidR="00140575" w:rsidRPr="00140575" w14:paraId="0E305572" w14:textId="77777777" w:rsidTr="00434541">
        <w:tc>
          <w:tcPr>
            <w:tcW w:w="3812" w:type="dxa"/>
            <w:tcBorders>
              <w:top w:val="nil"/>
              <w:left w:val="single" w:sz="4" w:space="0" w:color="auto"/>
              <w:bottom w:val="nil"/>
              <w:right w:val="single" w:sz="4" w:space="0" w:color="auto"/>
            </w:tcBorders>
            <w:shd w:val="clear" w:color="auto" w:fill="E2E2E2"/>
          </w:tcPr>
          <w:p w14:paraId="371334E4" w14:textId="77777777" w:rsidR="00140575" w:rsidRPr="00140575" w:rsidRDefault="00140575" w:rsidP="00140575">
            <w:pPr>
              <w:spacing w:after="0" w:line="240" w:lineRule="auto"/>
              <w:ind w:left="196" w:hanging="196"/>
              <w:jc w:val="left"/>
              <w:rPr>
                <w:rFonts w:eastAsia="Calibri"/>
                <w:b/>
                <w:sz w:val="20"/>
                <w:szCs w:val="20"/>
              </w:rPr>
            </w:pPr>
            <w:r w:rsidRPr="00140575">
              <w:rPr>
                <w:rFonts w:eastAsia="Calibri"/>
                <w:b/>
                <w:sz w:val="20"/>
                <w:szCs w:val="20"/>
              </w:rPr>
              <w:t xml:space="preserve">    vplyvy služieb verejnej správy na občana</w:t>
            </w:r>
          </w:p>
        </w:tc>
        <w:sdt>
          <w:sdtPr>
            <w:rPr>
              <w:b/>
              <w:sz w:val="20"/>
              <w:szCs w:val="20"/>
              <w:lang w:eastAsia="sk-SK"/>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76E0EF08" w14:textId="77777777" w:rsidR="00140575" w:rsidRPr="00140575" w:rsidRDefault="00140575" w:rsidP="00140575">
                <w:pPr>
                  <w:spacing w:after="0" w:line="240" w:lineRule="auto"/>
                  <w:ind w:firstLine="0"/>
                  <w:jc w:val="center"/>
                  <w:rPr>
                    <w:b/>
                    <w:sz w:val="20"/>
                    <w:szCs w:val="20"/>
                    <w:lang w:eastAsia="sk-SK"/>
                  </w:rPr>
                </w:pPr>
                <w:r w:rsidRPr="00140575">
                  <w:rPr>
                    <w:rFonts w:eastAsia="MS Gothic" w:hint="eastAsia"/>
                    <w:b/>
                    <w:sz w:val="20"/>
                    <w:szCs w:val="20"/>
                    <w:lang w:eastAsia="sk-SK"/>
                  </w:rPr>
                  <w:t>☐</w:t>
                </w:r>
              </w:p>
            </w:tc>
          </w:sdtContent>
        </w:sdt>
        <w:tc>
          <w:tcPr>
            <w:tcW w:w="1281" w:type="dxa"/>
            <w:tcBorders>
              <w:top w:val="nil"/>
              <w:left w:val="nil"/>
              <w:bottom w:val="nil"/>
              <w:right w:val="nil"/>
            </w:tcBorders>
            <w:shd w:val="clear" w:color="auto" w:fill="auto"/>
          </w:tcPr>
          <w:p w14:paraId="2E3F0ECD" w14:textId="77777777" w:rsidR="00140575" w:rsidRPr="00140575" w:rsidRDefault="00140575" w:rsidP="00140575">
            <w:pPr>
              <w:spacing w:after="0" w:line="240" w:lineRule="auto"/>
              <w:ind w:right="-108" w:firstLine="0"/>
              <w:jc w:val="left"/>
              <w:rPr>
                <w:b/>
                <w:sz w:val="20"/>
                <w:szCs w:val="20"/>
                <w:lang w:eastAsia="sk-SK"/>
              </w:rPr>
            </w:pPr>
            <w:r w:rsidRPr="00140575">
              <w:rPr>
                <w:b/>
                <w:sz w:val="20"/>
                <w:szCs w:val="20"/>
                <w:lang w:eastAsia="sk-SK"/>
              </w:rPr>
              <w:t>Pozitívne</w:t>
            </w:r>
          </w:p>
        </w:tc>
        <w:sdt>
          <w:sdtPr>
            <w:rPr>
              <w:b/>
              <w:sz w:val="20"/>
              <w:szCs w:val="20"/>
              <w:lang w:eastAsia="sk-SK"/>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4427A2EB" w14:textId="77777777" w:rsidR="00140575" w:rsidRPr="00140575" w:rsidRDefault="00140575" w:rsidP="00140575">
                <w:pPr>
                  <w:spacing w:after="0" w:line="240" w:lineRule="auto"/>
                  <w:ind w:firstLine="0"/>
                  <w:jc w:val="center"/>
                  <w:rPr>
                    <w:b/>
                    <w:sz w:val="20"/>
                    <w:szCs w:val="20"/>
                    <w:lang w:eastAsia="sk-SK"/>
                  </w:rPr>
                </w:pPr>
                <w:r w:rsidRPr="00140575">
                  <w:rPr>
                    <w:rFonts w:eastAsia="MS Gothic" w:hint="eastAsia"/>
                    <w:b/>
                    <w:sz w:val="20"/>
                    <w:szCs w:val="20"/>
                    <w:lang w:eastAsia="sk-SK"/>
                  </w:rPr>
                  <w:t>☒</w:t>
                </w:r>
              </w:p>
            </w:tc>
          </w:sdtContent>
        </w:sdt>
        <w:tc>
          <w:tcPr>
            <w:tcW w:w="1133" w:type="dxa"/>
            <w:tcBorders>
              <w:top w:val="nil"/>
              <w:left w:val="nil"/>
              <w:bottom w:val="nil"/>
              <w:right w:val="nil"/>
            </w:tcBorders>
            <w:shd w:val="clear" w:color="auto" w:fill="auto"/>
          </w:tcPr>
          <w:p w14:paraId="3FA1E00C" w14:textId="77777777" w:rsidR="00140575" w:rsidRPr="00140575" w:rsidRDefault="00140575" w:rsidP="00140575">
            <w:pPr>
              <w:spacing w:after="0" w:line="240" w:lineRule="auto"/>
              <w:ind w:firstLine="0"/>
              <w:jc w:val="left"/>
              <w:rPr>
                <w:b/>
                <w:sz w:val="20"/>
                <w:szCs w:val="20"/>
                <w:lang w:eastAsia="sk-SK"/>
              </w:rPr>
            </w:pPr>
            <w:r w:rsidRPr="00140575">
              <w:rPr>
                <w:b/>
                <w:sz w:val="20"/>
                <w:szCs w:val="20"/>
                <w:lang w:eastAsia="sk-SK"/>
              </w:rPr>
              <w:t>Žiadne</w:t>
            </w:r>
          </w:p>
        </w:tc>
        <w:sdt>
          <w:sdtPr>
            <w:rPr>
              <w:b/>
              <w:sz w:val="20"/>
              <w:szCs w:val="20"/>
              <w:lang w:eastAsia="sk-SK"/>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401CFB8F" w14:textId="77777777" w:rsidR="00140575" w:rsidRPr="00140575" w:rsidRDefault="00140575" w:rsidP="00140575">
                <w:pPr>
                  <w:spacing w:after="0" w:line="240" w:lineRule="auto"/>
                  <w:ind w:firstLine="0"/>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97" w:type="dxa"/>
            <w:tcBorders>
              <w:top w:val="nil"/>
              <w:left w:val="nil"/>
              <w:bottom w:val="nil"/>
              <w:right w:val="single" w:sz="4" w:space="0" w:color="auto"/>
            </w:tcBorders>
            <w:shd w:val="clear" w:color="auto" w:fill="auto"/>
          </w:tcPr>
          <w:p w14:paraId="32EB7691" w14:textId="77777777" w:rsidR="00140575" w:rsidRPr="00140575" w:rsidRDefault="00140575" w:rsidP="00140575">
            <w:pPr>
              <w:spacing w:after="0" w:line="240" w:lineRule="auto"/>
              <w:ind w:left="54" w:firstLine="0"/>
              <w:jc w:val="left"/>
              <w:rPr>
                <w:b/>
                <w:sz w:val="20"/>
                <w:szCs w:val="20"/>
                <w:lang w:eastAsia="sk-SK"/>
              </w:rPr>
            </w:pPr>
            <w:r w:rsidRPr="00140575">
              <w:rPr>
                <w:b/>
                <w:sz w:val="20"/>
                <w:szCs w:val="20"/>
                <w:lang w:eastAsia="sk-SK"/>
              </w:rPr>
              <w:t>Negatívne</w:t>
            </w:r>
          </w:p>
        </w:tc>
      </w:tr>
      <w:tr w:rsidR="00140575" w:rsidRPr="00140575" w14:paraId="62A022C9" w14:textId="77777777" w:rsidTr="00434541">
        <w:tc>
          <w:tcPr>
            <w:tcW w:w="3812" w:type="dxa"/>
            <w:tcBorders>
              <w:top w:val="nil"/>
              <w:left w:val="single" w:sz="4" w:space="0" w:color="auto"/>
              <w:bottom w:val="single" w:sz="4" w:space="0" w:color="auto"/>
              <w:right w:val="single" w:sz="4" w:space="0" w:color="auto"/>
            </w:tcBorders>
            <w:shd w:val="clear" w:color="auto" w:fill="E2E2E2"/>
          </w:tcPr>
          <w:p w14:paraId="6F4AB5CD" w14:textId="77777777" w:rsidR="00140575" w:rsidRPr="00140575" w:rsidRDefault="00140575" w:rsidP="00140575">
            <w:pPr>
              <w:spacing w:after="0" w:line="240" w:lineRule="auto"/>
              <w:ind w:left="168" w:hanging="168"/>
              <w:jc w:val="left"/>
              <w:rPr>
                <w:rFonts w:eastAsia="Calibri"/>
                <w:b/>
                <w:sz w:val="20"/>
                <w:szCs w:val="20"/>
              </w:rPr>
            </w:pPr>
            <w:r w:rsidRPr="00140575">
              <w:rPr>
                <w:rFonts w:eastAsia="Calibri"/>
                <w:b/>
                <w:sz w:val="20"/>
                <w:szCs w:val="20"/>
              </w:rPr>
              <w:t xml:space="preserve">    vplyvy na procesy služieb vo verejnej správe</w:t>
            </w:r>
          </w:p>
        </w:tc>
        <w:sdt>
          <w:sdtPr>
            <w:rPr>
              <w:b/>
              <w:sz w:val="20"/>
              <w:szCs w:val="20"/>
              <w:lang w:eastAsia="sk-SK"/>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02D6CF0" w14:textId="77777777" w:rsidR="00140575" w:rsidRPr="00140575" w:rsidRDefault="00140575" w:rsidP="00140575">
                <w:pPr>
                  <w:spacing w:after="0" w:line="240" w:lineRule="auto"/>
                  <w:ind w:firstLine="0"/>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81" w:type="dxa"/>
            <w:tcBorders>
              <w:top w:val="nil"/>
              <w:left w:val="nil"/>
              <w:bottom w:val="single" w:sz="4" w:space="0" w:color="auto"/>
              <w:right w:val="nil"/>
            </w:tcBorders>
            <w:shd w:val="clear" w:color="auto" w:fill="auto"/>
          </w:tcPr>
          <w:p w14:paraId="09B90995" w14:textId="77777777" w:rsidR="00140575" w:rsidRPr="00140575" w:rsidRDefault="00140575" w:rsidP="00140575">
            <w:pPr>
              <w:spacing w:after="0" w:line="240" w:lineRule="auto"/>
              <w:ind w:right="-108" w:firstLine="0"/>
              <w:jc w:val="left"/>
              <w:rPr>
                <w:b/>
                <w:sz w:val="20"/>
                <w:szCs w:val="20"/>
                <w:lang w:eastAsia="sk-SK"/>
              </w:rPr>
            </w:pPr>
            <w:r w:rsidRPr="00140575">
              <w:rPr>
                <w:b/>
                <w:sz w:val="20"/>
                <w:szCs w:val="20"/>
                <w:lang w:eastAsia="sk-SK"/>
              </w:rPr>
              <w:t>Pozitívne</w:t>
            </w:r>
          </w:p>
        </w:tc>
        <w:sdt>
          <w:sdtPr>
            <w:rPr>
              <w:b/>
              <w:sz w:val="20"/>
              <w:szCs w:val="20"/>
              <w:lang w:eastAsia="sk-SK"/>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1AB15D2B" w14:textId="77777777" w:rsidR="00140575" w:rsidRPr="00140575" w:rsidRDefault="00140575" w:rsidP="00140575">
                <w:pPr>
                  <w:spacing w:after="0" w:line="240" w:lineRule="auto"/>
                  <w:ind w:firstLine="0"/>
                  <w:jc w:val="center"/>
                  <w:rPr>
                    <w:b/>
                    <w:sz w:val="20"/>
                    <w:szCs w:val="20"/>
                    <w:lang w:eastAsia="sk-SK"/>
                  </w:rPr>
                </w:pPr>
                <w:r w:rsidRPr="00140575">
                  <w:rPr>
                    <w:rFonts w:eastAsia="MS Gothic" w:hint="eastAsia"/>
                    <w:b/>
                    <w:sz w:val="20"/>
                    <w:szCs w:val="20"/>
                    <w:lang w:eastAsia="sk-SK"/>
                  </w:rPr>
                  <w:t>☒</w:t>
                </w:r>
              </w:p>
            </w:tc>
          </w:sdtContent>
        </w:sdt>
        <w:tc>
          <w:tcPr>
            <w:tcW w:w="1133" w:type="dxa"/>
            <w:tcBorders>
              <w:top w:val="nil"/>
              <w:left w:val="nil"/>
              <w:bottom w:val="single" w:sz="4" w:space="0" w:color="auto"/>
              <w:right w:val="nil"/>
            </w:tcBorders>
            <w:shd w:val="clear" w:color="auto" w:fill="auto"/>
          </w:tcPr>
          <w:p w14:paraId="214FEB67" w14:textId="77777777" w:rsidR="00140575" w:rsidRPr="00140575" w:rsidRDefault="00140575" w:rsidP="00140575">
            <w:pPr>
              <w:spacing w:after="0" w:line="240" w:lineRule="auto"/>
              <w:ind w:firstLine="0"/>
              <w:jc w:val="left"/>
              <w:rPr>
                <w:b/>
                <w:sz w:val="20"/>
                <w:szCs w:val="20"/>
                <w:lang w:eastAsia="sk-SK"/>
              </w:rPr>
            </w:pPr>
            <w:r w:rsidRPr="00140575">
              <w:rPr>
                <w:b/>
                <w:sz w:val="20"/>
                <w:szCs w:val="20"/>
                <w:lang w:eastAsia="sk-SK"/>
              </w:rPr>
              <w:t>Žiadne</w:t>
            </w:r>
          </w:p>
        </w:tc>
        <w:sdt>
          <w:sdtPr>
            <w:rPr>
              <w:b/>
              <w:sz w:val="20"/>
              <w:szCs w:val="20"/>
              <w:lang w:eastAsia="sk-SK"/>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12068B6A" w14:textId="77777777" w:rsidR="00140575" w:rsidRPr="00140575" w:rsidRDefault="00140575" w:rsidP="00140575">
                <w:pPr>
                  <w:spacing w:after="0" w:line="240" w:lineRule="auto"/>
                  <w:ind w:firstLine="0"/>
                  <w:jc w:val="center"/>
                  <w:rPr>
                    <w:b/>
                    <w:sz w:val="20"/>
                    <w:szCs w:val="20"/>
                    <w:lang w:eastAsia="sk-SK"/>
                  </w:rPr>
                </w:pPr>
                <w:r w:rsidRPr="00140575">
                  <w:rPr>
                    <w:rFonts w:ascii="Segoe UI Symbol" w:eastAsia="MS Mincho" w:hAnsi="Segoe UI Symbol" w:cs="Segoe UI Symbol"/>
                    <w:b/>
                    <w:sz w:val="20"/>
                    <w:szCs w:val="20"/>
                    <w:lang w:eastAsia="sk-SK"/>
                  </w:rPr>
                  <w:t>☐</w:t>
                </w:r>
              </w:p>
            </w:tc>
          </w:sdtContent>
        </w:sdt>
        <w:tc>
          <w:tcPr>
            <w:tcW w:w="1297" w:type="dxa"/>
            <w:tcBorders>
              <w:top w:val="nil"/>
              <w:left w:val="nil"/>
              <w:bottom w:val="single" w:sz="4" w:space="0" w:color="auto"/>
              <w:right w:val="single" w:sz="4" w:space="0" w:color="auto"/>
            </w:tcBorders>
            <w:shd w:val="clear" w:color="auto" w:fill="auto"/>
          </w:tcPr>
          <w:p w14:paraId="201F0F71" w14:textId="77777777" w:rsidR="00140575" w:rsidRPr="00140575" w:rsidRDefault="00140575" w:rsidP="00140575">
            <w:pPr>
              <w:spacing w:after="0" w:line="240" w:lineRule="auto"/>
              <w:ind w:left="54" w:firstLine="0"/>
              <w:jc w:val="left"/>
              <w:rPr>
                <w:b/>
                <w:sz w:val="20"/>
                <w:szCs w:val="20"/>
                <w:lang w:eastAsia="sk-SK"/>
              </w:rPr>
            </w:pPr>
            <w:r w:rsidRPr="00140575">
              <w:rPr>
                <w:b/>
                <w:sz w:val="20"/>
                <w:szCs w:val="20"/>
                <w:lang w:eastAsia="sk-SK"/>
              </w:rPr>
              <w:t>Negatívne</w:t>
            </w:r>
          </w:p>
        </w:tc>
      </w:tr>
    </w:tbl>
    <w:p w14:paraId="346376D3" w14:textId="77777777" w:rsidR="00140575" w:rsidRPr="00140575" w:rsidRDefault="00140575" w:rsidP="00140575">
      <w:pPr>
        <w:spacing w:after="0" w:line="240" w:lineRule="auto"/>
        <w:ind w:right="141" w:firstLine="0"/>
        <w:jc w:val="left"/>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40575" w:rsidRPr="00140575" w14:paraId="2E279321" w14:textId="77777777" w:rsidTr="00434541">
        <w:tc>
          <w:tcPr>
            <w:tcW w:w="9176" w:type="dxa"/>
            <w:tcBorders>
              <w:top w:val="single" w:sz="4" w:space="0" w:color="auto"/>
              <w:left w:val="single" w:sz="4" w:space="0" w:color="auto"/>
              <w:bottom w:val="nil"/>
              <w:right w:val="single" w:sz="4" w:space="0" w:color="auto"/>
            </w:tcBorders>
            <w:shd w:val="clear" w:color="auto" w:fill="E2E2E2"/>
          </w:tcPr>
          <w:p w14:paraId="66D25584" w14:textId="77777777" w:rsidR="00140575" w:rsidRPr="00140575" w:rsidRDefault="00140575" w:rsidP="00B6407E">
            <w:pPr>
              <w:numPr>
                <w:ilvl w:val="0"/>
                <w:numId w:val="13"/>
              </w:numPr>
              <w:ind w:left="426"/>
              <w:rPr>
                <w:rFonts w:eastAsia="Calibri"/>
                <w:b/>
              </w:rPr>
            </w:pPr>
            <w:r w:rsidRPr="00140575">
              <w:rPr>
                <w:rFonts w:eastAsia="Calibri"/>
                <w:b/>
              </w:rPr>
              <w:t>Poznámky</w:t>
            </w:r>
          </w:p>
        </w:tc>
      </w:tr>
      <w:tr w:rsidR="00140575" w:rsidRPr="00140575" w14:paraId="200D29DF" w14:textId="77777777" w:rsidTr="0014057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F441B3A" w14:textId="77777777" w:rsidR="00140575" w:rsidRPr="00140575" w:rsidRDefault="00140575" w:rsidP="00140575">
            <w:pPr>
              <w:spacing w:before="120"/>
              <w:rPr>
                <w:szCs w:val="20"/>
                <w:lang w:eastAsia="sk-SK"/>
              </w:rPr>
            </w:pPr>
            <w:r w:rsidRPr="00140575">
              <w:rPr>
                <w:szCs w:val="20"/>
                <w:lang w:eastAsia="sk-SK"/>
              </w:rPr>
              <w:t xml:space="preserve">Návrh zákona má negatívny rozpočtovo zabezpečený vplyv na rozpočet verejnej správy, pozitívny aj negatívny vplyv na podnikateľské prostredie a pozitívny vplyv na informatizáciu. </w:t>
            </w:r>
          </w:p>
          <w:p w14:paraId="32D5496D" w14:textId="77777777" w:rsidR="00140575" w:rsidRPr="00140575" w:rsidRDefault="00140575" w:rsidP="00140575">
            <w:pPr>
              <w:spacing w:before="120"/>
              <w:rPr>
                <w:szCs w:val="20"/>
                <w:lang w:eastAsia="sk-SK"/>
              </w:rPr>
            </w:pPr>
            <w:r w:rsidRPr="00140575">
              <w:rPr>
                <w:szCs w:val="20"/>
                <w:lang w:eastAsia="sk-SK"/>
              </w:rPr>
              <w:t>Pozitívny vplyv návrhu zákona na podnikateľské prostredie prevláda nad negatívnym vplyvom na podnikateľské prostredie, čo predkladateľ vyvodzuje zo skutočnosti, že priamy pozitívny vplyv (fakultatívne využívanie jednotného informačného systému podnikateľskými subjektami) a nepriamy pozitívny vplyv (zvýšenie kvality štátnej štatistiky) na podnikateľské prostredie výrazne prevažuje nad eventuálnymi počiatočne a jednorazovo zvýšenými nákladmi, ktoré zaťažia viac poskytovateľov produkčných IS ako spravodajské jednotky.</w:t>
            </w:r>
          </w:p>
          <w:p w14:paraId="3B6EADC5" w14:textId="77777777" w:rsidR="00140575" w:rsidRPr="00140575" w:rsidRDefault="00140575" w:rsidP="00140575">
            <w:pPr>
              <w:spacing w:before="120"/>
              <w:rPr>
                <w:szCs w:val="20"/>
                <w:lang w:eastAsia="sk-SK"/>
              </w:rPr>
            </w:pPr>
            <w:r w:rsidRPr="00140575">
              <w:rPr>
                <w:szCs w:val="20"/>
                <w:lang w:eastAsia="sk-SK"/>
              </w:rPr>
              <w:t>Podrobnosti o finančnom zabezpečení implementácie návrhu zákona, vplyvoch na podnikateľské prostredie a vplyvoch na informatizáciu sú uvedené v priložených analýzach.</w:t>
            </w:r>
          </w:p>
        </w:tc>
      </w:tr>
      <w:tr w:rsidR="00140575" w:rsidRPr="00140575" w14:paraId="4F165FBE" w14:textId="77777777" w:rsidTr="00140575">
        <w:tc>
          <w:tcPr>
            <w:tcW w:w="9176" w:type="dxa"/>
            <w:tcBorders>
              <w:top w:val="single" w:sz="4" w:space="0" w:color="auto"/>
              <w:left w:val="single" w:sz="4" w:space="0" w:color="auto"/>
              <w:bottom w:val="single" w:sz="4" w:space="0" w:color="FFFFFF"/>
              <w:right w:val="single" w:sz="4" w:space="0" w:color="auto"/>
            </w:tcBorders>
            <w:shd w:val="clear" w:color="auto" w:fill="E2E2E2"/>
          </w:tcPr>
          <w:p w14:paraId="340C188B" w14:textId="77777777" w:rsidR="00140575" w:rsidRPr="00140575" w:rsidRDefault="00140575" w:rsidP="00B6407E">
            <w:pPr>
              <w:numPr>
                <w:ilvl w:val="0"/>
                <w:numId w:val="13"/>
              </w:numPr>
              <w:ind w:left="426"/>
              <w:rPr>
                <w:rFonts w:eastAsia="Calibri"/>
                <w:b/>
              </w:rPr>
            </w:pPr>
            <w:r w:rsidRPr="00140575">
              <w:rPr>
                <w:rFonts w:eastAsia="Calibri"/>
                <w:b/>
              </w:rPr>
              <w:t>Kontakt na spracovateľa</w:t>
            </w:r>
          </w:p>
        </w:tc>
      </w:tr>
      <w:tr w:rsidR="00140575" w:rsidRPr="00140575" w14:paraId="73406C6F" w14:textId="77777777" w:rsidTr="0014057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863CE4C" w14:textId="77777777" w:rsidR="00140575" w:rsidRPr="00140575" w:rsidRDefault="00140575" w:rsidP="00140575">
            <w:pPr>
              <w:rPr>
                <w:szCs w:val="20"/>
                <w:lang w:eastAsia="sk-SK"/>
              </w:rPr>
            </w:pPr>
            <w:r w:rsidRPr="00140575">
              <w:rPr>
                <w:szCs w:val="20"/>
                <w:lang w:eastAsia="sk-SK"/>
              </w:rPr>
              <w:t xml:space="preserve">Ing. Ján Papol, odbor ekonomický, </w:t>
            </w:r>
            <w:hyperlink r:id="rId9" w:history="1">
              <w:r w:rsidRPr="00140575">
                <w:rPr>
                  <w:color w:val="0563C1"/>
                  <w:szCs w:val="20"/>
                  <w:u w:val="single"/>
                  <w:lang w:eastAsia="sk-SK"/>
                </w:rPr>
                <w:t>jan.papol@statistics.sk</w:t>
              </w:r>
            </w:hyperlink>
            <w:r w:rsidRPr="00140575">
              <w:rPr>
                <w:szCs w:val="20"/>
                <w:lang w:eastAsia="sk-SK"/>
              </w:rPr>
              <w:t xml:space="preserve"> – vplyvy na rozpočet verejnej správy</w:t>
            </w:r>
          </w:p>
          <w:p w14:paraId="17EDFE06" w14:textId="77777777" w:rsidR="00140575" w:rsidRPr="00140575" w:rsidRDefault="00140575" w:rsidP="00140575">
            <w:pPr>
              <w:rPr>
                <w:szCs w:val="20"/>
                <w:lang w:eastAsia="sk-SK"/>
              </w:rPr>
            </w:pPr>
            <w:r w:rsidRPr="00140575">
              <w:rPr>
                <w:szCs w:val="20"/>
                <w:lang w:eastAsia="sk-SK"/>
              </w:rPr>
              <w:t xml:space="preserve">Ing. Pavol Vadovič, gen. riaditeľ sekcie informačných systémov, </w:t>
            </w:r>
            <w:hyperlink r:id="rId10" w:history="1">
              <w:r w:rsidRPr="00140575">
                <w:rPr>
                  <w:color w:val="0563C1"/>
                  <w:szCs w:val="20"/>
                  <w:u w:val="single"/>
                  <w:lang w:eastAsia="sk-SK"/>
                </w:rPr>
                <w:t>pavol.vadovic@statistics.sk</w:t>
              </w:r>
            </w:hyperlink>
            <w:r w:rsidRPr="00140575">
              <w:rPr>
                <w:szCs w:val="20"/>
                <w:lang w:eastAsia="sk-SK"/>
              </w:rPr>
              <w:t xml:space="preserve"> – vplyvy na informatizáciu</w:t>
            </w:r>
          </w:p>
          <w:p w14:paraId="2036D970" w14:textId="77777777" w:rsidR="00140575" w:rsidRPr="00140575" w:rsidRDefault="00140575" w:rsidP="00140575">
            <w:pPr>
              <w:rPr>
                <w:i/>
                <w:sz w:val="20"/>
                <w:szCs w:val="20"/>
                <w:lang w:eastAsia="sk-SK"/>
              </w:rPr>
            </w:pPr>
            <w:r w:rsidRPr="00140575">
              <w:rPr>
                <w:szCs w:val="20"/>
                <w:lang w:eastAsia="sk-SK"/>
              </w:rPr>
              <w:t xml:space="preserve">Ing. Helena Glaser-Opitzová, gen. riaditeľka sekcie všeobecnej metodiky a registrov, </w:t>
            </w:r>
            <w:hyperlink r:id="rId11" w:history="1">
              <w:r w:rsidRPr="00140575">
                <w:rPr>
                  <w:color w:val="0563C1"/>
                  <w:szCs w:val="20"/>
                  <w:u w:val="single"/>
                  <w:lang w:eastAsia="sk-SK"/>
                </w:rPr>
                <w:t>helena.glaser-opitzova@statistics.sk</w:t>
              </w:r>
            </w:hyperlink>
            <w:r w:rsidRPr="00140575">
              <w:rPr>
                <w:szCs w:val="20"/>
                <w:lang w:eastAsia="sk-SK"/>
              </w:rPr>
              <w:t xml:space="preserve"> – vplyvy na podnikateľské prostredie</w:t>
            </w:r>
          </w:p>
        </w:tc>
      </w:tr>
      <w:tr w:rsidR="00140575" w:rsidRPr="00140575" w14:paraId="7BB4D933" w14:textId="77777777" w:rsidTr="00140575">
        <w:tc>
          <w:tcPr>
            <w:tcW w:w="9176" w:type="dxa"/>
            <w:tcBorders>
              <w:top w:val="single" w:sz="4" w:space="0" w:color="auto"/>
              <w:left w:val="single" w:sz="4" w:space="0" w:color="auto"/>
              <w:bottom w:val="single" w:sz="4" w:space="0" w:color="FFFFFF"/>
              <w:right w:val="single" w:sz="4" w:space="0" w:color="auto"/>
            </w:tcBorders>
            <w:shd w:val="clear" w:color="auto" w:fill="E2E2E2"/>
          </w:tcPr>
          <w:p w14:paraId="098CDADC" w14:textId="77777777" w:rsidR="00140575" w:rsidRPr="00140575" w:rsidRDefault="00140575" w:rsidP="00B6407E">
            <w:pPr>
              <w:numPr>
                <w:ilvl w:val="0"/>
                <w:numId w:val="13"/>
              </w:numPr>
              <w:ind w:left="426"/>
              <w:rPr>
                <w:rFonts w:eastAsia="Calibri"/>
                <w:b/>
              </w:rPr>
            </w:pPr>
            <w:r w:rsidRPr="00140575">
              <w:rPr>
                <w:rFonts w:eastAsia="Calibri"/>
                <w:b/>
              </w:rPr>
              <w:t>Zdroje</w:t>
            </w:r>
          </w:p>
        </w:tc>
      </w:tr>
      <w:tr w:rsidR="00140575" w:rsidRPr="00140575" w14:paraId="23152D4C" w14:textId="77777777" w:rsidTr="0014057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3FD6AF8" w14:textId="77777777" w:rsidR="00140575" w:rsidRPr="00140575" w:rsidRDefault="00140575" w:rsidP="00140575">
            <w:pPr>
              <w:spacing w:before="120"/>
              <w:rPr>
                <w:i/>
                <w:sz w:val="20"/>
                <w:szCs w:val="20"/>
                <w:lang w:eastAsia="sk-SK"/>
              </w:rPr>
            </w:pPr>
            <w:r w:rsidRPr="00140575">
              <w:rPr>
                <w:i/>
                <w:sz w:val="20"/>
                <w:szCs w:val="20"/>
                <w:lang w:eastAsia="sk-SK"/>
              </w:rPr>
              <w:t>Uveďte zdroje (štatistiky, prieskumy, spoluprácu s odborníkmi a iné), z ktorých ste pri vypracovávaní doložky, príp. analýz vplyvov vychádzali.</w:t>
            </w:r>
          </w:p>
          <w:p w14:paraId="0BFD863C" w14:textId="77777777" w:rsidR="00140575" w:rsidRPr="00140575" w:rsidRDefault="00140575" w:rsidP="00140575">
            <w:pPr>
              <w:rPr>
                <w:i/>
                <w:sz w:val="20"/>
                <w:szCs w:val="20"/>
                <w:lang w:eastAsia="sk-SK"/>
              </w:rPr>
            </w:pPr>
          </w:p>
          <w:p w14:paraId="181372FB" w14:textId="77777777" w:rsidR="00140575" w:rsidRPr="00140575" w:rsidRDefault="00140575" w:rsidP="00140575">
            <w:pPr>
              <w:rPr>
                <w:lang w:eastAsia="sk-SK"/>
              </w:rPr>
            </w:pPr>
            <w:r w:rsidRPr="00140575">
              <w:rPr>
                <w:lang w:eastAsia="sk-SK"/>
              </w:rPr>
              <w:t>Štruktúra nákladov Jednotného informačného systému štatistických údajov je zverejnená na webovom sídle Štatistického úradu Slovenskej republiky:</w:t>
            </w:r>
          </w:p>
          <w:p w14:paraId="3D2ED017" w14:textId="77777777" w:rsidR="00140575" w:rsidRPr="00140575" w:rsidRDefault="00E57CA5" w:rsidP="00140575">
            <w:pPr>
              <w:rPr>
                <w:rFonts w:ascii="Calibri" w:eastAsia="Calibri" w:hAnsi="Calibri" w:cs="Calibri"/>
                <w:color w:val="1F497D"/>
              </w:rPr>
            </w:pPr>
            <w:hyperlink r:id="rId12" w:history="1">
              <w:r w:rsidR="00140575" w:rsidRPr="00140575">
                <w:rPr>
                  <w:rFonts w:eastAsia="Calibri"/>
                  <w:color w:val="0000FF"/>
                  <w:u w:val="single"/>
                  <w:lang w:eastAsia="sk-SK"/>
                </w:rPr>
                <w:t>https://slovak.statistics.sk/wps/portal?urile=wcm:path:/obsah-sk/static-content/onas/cerpanie-prostriedkov-z-eu-op-integrovana-infrastruktura-2014-2020/jednotny-informacny-system-statistickych-udajov-jis-su</w:t>
              </w:r>
            </w:hyperlink>
          </w:p>
          <w:p w14:paraId="47F1D214" w14:textId="77777777" w:rsidR="00140575" w:rsidRPr="00140575" w:rsidRDefault="00140575" w:rsidP="00140575">
            <w:pPr>
              <w:rPr>
                <w:b/>
                <w:sz w:val="20"/>
                <w:szCs w:val="20"/>
                <w:lang w:eastAsia="sk-SK"/>
              </w:rPr>
            </w:pPr>
          </w:p>
        </w:tc>
      </w:tr>
      <w:tr w:rsidR="00140575" w:rsidRPr="00140575" w14:paraId="49E54D34" w14:textId="77777777" w:rsidTr="00434541">
        <w:tc>
          <w:tcPr>
            <w:tcW w:w="9176" w:type="dxa"/>
            <w:tcBorders>
              <w:top w:val="single" w:sz="4" w:space="0" w:color="auto"/>
              <w:left w:val="single" w:sz="4" w:space="0" w:color="auto"/>
              <w:bottom w:val="single" w:sz="4" w:space="0" w:color="auto"/>
              <w:right w:val="single" w:sz="4" w:space="0" w:color="auto"/>
            </w:tcBorders>
            <w:shd w:val="clear" w:color="auto" w:fill="E2E2E2"/>
          </w:tcPr>
          <w:p w14:paraId="7E7782E3" w14:textId="77777777" w:rsidR="00140575" w:rsidRPr="00140575" w:rsidRDefault="00140575" w:rsidP="00B6407E">
            <w:pPr>
              <w:numPr>
                <w:ilvl w:val="0"/>
                <w:numId w:val="13"/>
              </w:numPr>
              <w:ind w:left="426"/>
              <w:rPr>
                <w:rFonts w:eastAsia="Calibri"/>
                <w:b/>
              </w:rPr>
            </w:pPr>
            <w:r w:rsidRPr="00140575">
              <w:rPr>
                <w:rFonts w:eastAsia="Calibri"/>
                <w:b/>
              </w:rPr>
              <w:t>Stanovisko Komisie pre posudzovanie vybraných vplyvov z PPK</w:t>
            </w:r>
          </w:p>
        </w:tc>
      </w:tr>
      <w:tr w:rsidR="00140575" w:rsidRPr="00140575" w14:paraId="0697B2A8" w14:textId="77777777" w:rsidTr="00140575">
        <w:tc>
          <w:tcPr>
            <w:tcW w:w="9176" w:type="dxa"/>
            <w:tcBorders>
              <w:top w:val="single" w:sz="4" w:space="0" w:color="auto"/>
              <w:left w:val="single" w:sz="4" w:space="0" w:color="auto"/>
              <w:bottom w:val="single" w:sz="4" w:space="0" w:color="auto"/>
              <w:right w:val="single" w:sz="4" w:space="0" w:color="auto"/>
            </w:tcBorders>
            <w:shd w:val="clear" w:color="auto" w:fill="FFFFFF"/>
          </w:tcPr>
          <w:p w14:paraId="7CCF9EC6" w14:textId="77777777" w:rsidR="00140575" w:rsidRPr="00140575" w:rsidRDefault="00140575" w:rsidP="00140575">
            <w:pPr>
              <w:spacing w:before="120"/>
              <w:rPr>
                <w:i/>
                <w:sz w:val="20"/>
                <w:szCs w:val="20"/>
                <w:lang w:eastAsia="sk-SK"/>
              </w:rPr>
            </w:pPr>
            <w:r w:rsidRPr="00140575">
              <w:rPr>
                <w:i/>
                <w:sz w:val="20"/>
                <w:szCs w:val="20"/>
                <w:lang w:eastAsia="sk-SK"/>
              </w:rPr>
              <w:t>Uveďte stanovisko Komisie pre posudzovanie vybraných vplyvov, ktoré Vám bolo zaslané v rámci predbežného pripomienkového konania</w:t>
            </w:r>
          </w:p>
          <w:p w14:paraId="440B1ECC" w14:textId="22C800FD" w:rsidR="00140575" w:rsidRDefault="00140575" w:rsidP="00140575">
            <w:pPr>
              <w:spacing w:after="720"/>
              <w:jc w:val="both"/>
              <w:rPr>
                <w:bCs/>
                <w:lang w:eastAsia="sk-SK"/>
              </w:rPr>
            </w:pPr>
            <w:r w:rsidRPr="00140575">
              <w:rPr>
                <w:bCs/>
                <w:lang w:eastAsia="sk-SK"/>
              </w:rPr>
              <w:t xml:space="preserve">Stála pracovná komisia na posudzovanie vybraných vplyvov vyjadruje </w:t>
            </w:r>
            <w:r w:rsidRPr="00140575">
              <w:rPr>
                <w:b/>
                <w:bCs/>
                <w:lang w:eastAsia="sk-SK"/>
              </w:rPr>
              <w:t xml:space="preserve">nesúhlasné stanovisko </w:t>
            </w:r>
            <w:r w:rsidRPr="00140575">
              <w:rPr>
                <w:bCs/>
                <w:lang w:eastAsia="sk-SK"/>
              </w:rPr>
              <w:t>s materiálom predloženým na predbežné pripomienkové konanie.</w:t>
            </w:r>
          </w:p>
          <w:p w14:paraId="79A93E2A" w14:textId="30BA35F8" w:rsidR="00140575" w:rsidRDefault="00140575" w:rsidP="00140575">
            <w:pPr>
              <w:spacing w:after="120"/>
              <w:jc w:val="both"/>
              <w:rPr>
                <w:bCs/>
                <w:lang w:eastAsia="sk-SK"/>
              </w:rPr>
            </w:pPr>
            <w:r w:rsidRPr="00140575">
              <w:rPr>
                <w:bCs/>
                <w:lang w:eastAsia="sk-SK"/>
              </w:rPr>
              <w:lastRenderedPageBreak/>
              <w:t>Komisia uplatnila k materiálu zásadné pripomienky:</w:t>
            </w:r>
          </w:p>
          <w:p w14:paraId="6CC2CB17" w14:textId="77777777" w:rsidR="00140575" w:rsidRPr="00140575" w:rsidRDefault="00140575" w:rsidP="00140575">
            <w:pPr>
              <w:jc w:val="both"/>
              <w:rPr>
                <w:b/>
                <w:bCs/>
                <w:lang w:eastAsia="sk-SK"/>
              </w:rPr>
            </w:pPr>
            <w:r w:rsidRPr="00140575">
              <w:rPr>
                <w:b/>
                <w:bCs/>
                <w:lang w:eastAsia="sk-SK"/>
              </w:rPr>
              <w:t>K doložke vybraných vplyvov</w:t>
            </w:r>
          </w:p>
          <w:p w14:paraId="07F618AF" w14:textId="77777777" w:rsidR="00140575" w:rsidRPr="00140575" w:rsidRDefault="00140575" w:rsidP="00140575">
            <w:pPr>
              <w:jc w:val="both"/>
              <w:rPr>
                <w:bCs/>
                <w:lang w:eastAsia="sk-SK"/>
              </w:rPr>
            </w:pPr>
            <w:r w:rsidRPr="00140575">
              <w:rPr>
                <w:bCs/>
                <w:lang w:eastAsia="sk-SK"/>
              </w:rPr>
              <w:t xml:space="preserve">Komisia žiada predkladateľa, aby v súlade s Jednotnou metodikou na posudzovanie vybraných vplyvov v bode 9. Doložky vybraných vplyvov vyznačil aj negatívne vplyvy na podnikateľské prostredie a v bode 10. Doložky vybraných vplyvov zhrnul vplyvy a uviedol prevládajúci  pozitívny alebo negatívny vplyv. </w:t>
            </w:r>
          </w:p>
          <w:p w14:paraId="071DB7A3" w14:textId="0B3531B3" w:rsidR="00140575" w:rsidRDefault="00140575" w:rsidP="00140575">
            <w:pPr>
              <w:spacing w:after="120"/>
              <w:jc w:val="both"/>
              <w:rPr>
                <w:bCs/>
                <w:lang w:eastAsia="sk-SK"/>
              </w:rPr>
            </w:pPr>
            <w:r w:rsidRPr="00140575">
              <w:rPr>
                <w:bCs/>
                <w:u w:val="single"/>
                <w:lang w:eastAsia="sk-SK"/>
              </w:rPr>
              <w:t>Odôvodnenie</w:t>
            </w:r>
            <w:r w:rsidRPr="00140575">
              <w:rPr>
                <w:bCs/>
                <w:lang w:eastAsia="sk-SK"/>
              </w:rPr>
              <w:t>: Predkladateľ vyznačil v bode 9. Doložky vybraných vplyvov len pozitívne vplyvy na podnikateľské prostredie a v Analýze vplyvov na podnikateľské prostredie vyčíslil úspory administratívnych nákladov spojené so zavádzaním Jednotného informačného systému štatistiky.</w:t>
            </w:r>
          </w:p>
          <w:p w14:paraId="1A1A9553" w14:textId="77777777" w:rsidR="00140575" w:rsidRPr="00140575" w:rsidRDefault="00140575" w:rsidP="00140575">
            <w:pPr>
              <w:jc w:val="both"/>
              <w:rPr>
                <w:b/>
                <w:bCs/>
                <w:lang w:eastAsia="sk-SK"/>
              </w:rPr>
            </w:pPr>
            <w:r w:rsidRPr="00140575">
              <w:rPr>
                <w:b/>
                <w:bCs/>
                <w:lang w:eastAsia="sk-SK"/>
              </w:rPr>
              <w:t>K analýze vplyvov na podnikateľské prostredie</w:t>
            </w:r>
          </w:p>
          <w:p w14:paraId="08DF51F8" w14:textId="2C3D8189" w:rsidR="00140575" w:rsidRPr="00140575" w:rsidRDefault="00140575" w:rsidP="00140575">
            <w:pPr>
              <w:spacing w:after="120"/>
              <w:jc w:val="both"/>
              <w:rPr>
                <w:bCs/>
                <w:color w:val="000000"/>
                <w:lang w:eastAsia="sk-SK"/>
              </w:rPr>
            </w:pPr>
            <w:r w:rsidRPr="00140575">
              <w:rPr>
                <w:bCs/>
                <w:color w:val="000000"/>
                <w:lang w:eastAsia="sk-SK"/>
              </w:rPr>
              <w:t>Komisia žiada predkladateľa, aby dopracoval Analýzu vplyvov na podnikateľské prostredie a</w:t>
            </w:r>
            <w:r w:rsidR="00A94FDD">
              <w:rPr>
                <w:bCs/>
                <w:color w:val="000000"/>
                <w:lang w:eastAsia="sk-SK"/>
              </w:rPr>
              <w:t> </w:t>
            </w:r>
            <w:r w:rsidRPr="00140575">
              <w:rPr>
                <w:bCs/>
                <w:color w:val="000000"/>
                <w:lang w:eastAsia="sk-SK"/>
              </w:rPr>
              <w:t>jednoznačne popísal pozitívne, ale aj negatívne vplyvy na podnikateľské prostredie a v bode 3.3. Analýzy vplyvov na podnikateľské prostredie vyčíslil náklady regulácie.</w:t>
            </w:r>
          </w:p>
          <w:p w14:paraId="7A584F23" w14:textId="659E23DB" w:rsidR="00140575" w:rsidRDefault="00140575" w:rsidP="00140575">
            <w:pPr>
              <w:spacing w:after="120"/>
              <w:jc w:val="both"/>
              <w:rPr>
                <w:bCs/>
                <w:color w:val="000000"/>
                <w:lang w:eastAsia="sk-SK"/>
              </w:rPr>
            </w:pPr>
            <w:r w:rsidRPr="00140575">
              <w:rPr>
                <w:bCs/>
                <w:color w:val="000000"/>
                <w:u w:val="single"/>
                <w:lang w:eastAsia="sk-SK"/>
              </w:rPr>
              <w:t>Odôvodnenie</w:t>
            </w:r>
            <w:r w:rsidRPr="00140575">
              <w:rPr>
                <w:bCs/>
                <w:color w:val="000000"/>
                <w:lang w:eastAsia="sk-SK"/>
              </w:rPr>
              <w:t>: Komisia sa domnieva, že navrhovanou zmenou zákona, napriek jeho určitým pozitívnym vplyvom, dochádza k zavedeniu regulácie spojenej napr. s implementovaním nového informačného systému štátnej štatistiky, ktorý bude vyžadovať súčinnosť minimálne od podnikateľských spravodajských jednotiek. Tieto môžu byť zaťažené dodatočnými nákladmi regulácie.</w:t>
            </w:r>
          </w:p>
          <w:p w14:paraId="28E0ECD3" w14:textId="77777777" w:rsidR="00140575" w:rsidRPr="00140575" w:rsidRDefault="00140575" w:rsidP="00140575">
            <w:pPr>
              <w:jc w:val="both"/>
              <w:rPr>
                <w:b/>
                <w:bCs/>
                <w:color w:val="000000"/>
                <w:lang w:eastAsia="sk-SK"/>
              </w:rPr>
            </w:pPr>
            <w:r w:rsidRPr="00140575">
              <w:rPr>
                <w:b/>
                <w:bCs/>
                <w:color w:val="000000"/>
                <w:lang w:eastAsia="sk-SK"/>
              </w:rPr>
              <w:t>K analýze vplyvov na rozpočet verejnej správy</w:t>
            </w:r>
          </w:p>
          <w:p w14:paraId="57EA1EE9" w14:textId="07BBC651" w:rsidR="00140575" w:rsidRPr="00140575" w:rsidRDefault="00140575" w:rsidP="00140575">
            <w:pPr>
              <w:spacing w:after="120"/>
              <w:jc w:val="both"/>
              <w:rPr>
                <w:bCs/>
                <w:color w:val="000000"/>
                <w:lang w:eastAsia="sk-SK"/>
              </w:rPr>
            </w:pPr>
            <w:r w:rsidRPr="00140575">
              <w:rPr>
                <w:bCs/>
                <w:color w:val="000000"/>
                <w:lang w:eastAsia="sk-SK"/>
              </w:rPr>
              <w:t>Podľa doložky vybraných vplyvov má materiál negatívny, čiastočne rozpočtovo nezabezpečený vplyv na rozpočet verejnej správy. V analýze vplyvov na rozpočet verejnej správy, v tabuľke č. 1  je vplyv kvantifikovaný v roku 2021 v sume 313 516 eur, z toho rozpočtovo nekrytý 312 986 eur, rozdiel 530 eur nie je nikde uvedený, v roku 2022 a 2023 je kvantifikovaný rozpočtovo nezabezpečený vplyv 2</w:t>
            </w:r>
            <w:r w:rsidR="00A94FDD">
              <w:rPr>
                <w:bCs/>
                <w:color w:val="000000"/>
                <w:lang w:eastAsia="sk-SK"/>
              </w:rPr>
              <w:t> </w:t>
            </w:r>
            <w:r w:rsidRPr="00140575">
              <w:rPr>
                <w:bCs/>
                <w:color w:val="000000"/>
                <w:lang w:eastAsia="sk-SK"/>
              </w:rPr>
              <w:t>358</w:t>
            </w:r>
            <w:r w:rsidR="00A94FDD">
              <w:rPr>
                <w:bCs/>
                <w:color w:val="000000"/>
                <w:lang w:eastAsia="sk-SK"/>
              </w:rPr>
              <w:t> </w:t>
            </w:r>
            <w:r w:rsidRPr="00140575">
              <w:rPr>
                <w:bCs/>
                <w:color w:val="000000"/>
                <w:lang w:eastAsia="sk-SK"/>
              </w:rPr>
              <w:t>039 eur. V tabuľke č. 4  je v roku 2022 v riadku „Bežné výdavky (600)“ uvedených 2 358 039 a</w:t>
            </w:r>
            <w:r w:rsidR="00A94FDD">
              <w:rPr>
                <w:bCs/>
                <w:color w:val="000000"/>
                <w:lang w:eastAsia="sk-SK"/>
              </w:rPr>
              <w:t> </w:t>
            </w:r>
            <w:r w:rsidRPr="00140575">
              <w:rPr>
                <w:bCs/>
                <w:color w:val="000000"/>
                <w:lang w:eastAsia="sk-SK"/>
              </w:rPr>
              <w:t>v riadku „Dopad na výdavky verejnej správy celkom“ 2 162 480, rozdiel 185 559 nie je uvedený v</w:t>
            </w:r>
            <w:r w:rsidR="00A94FDD">
              <w:rPr>
                <w:bCs/>
                <w:color w:val="000000"/>
                <w:lang w:eastAsia="sk-SK"/>
              </w:rPr>
              <w:t> </w:t>
            </w:r>
            <w:r w:rsidRPr="00140575">
              <w:rPr>
                <w:bCs/>
                <w:color w:val="000000"/>
                <w:lang w:eastAsia="sk-SK"/>
              </w:rPr>
              <w:t xml:space="preserve">žiadnom riadku. </w:t>
            </w:r>
          </w:p>
          <w:p w14:paraId="4BB0BCB1" w14:textId="77777777" w:rsidR="00140575" w:rsidRPr="00140575" w:rsidRDefault="00140575" w:rsidP="00140575">
            <w:pPr>
              <w:spacing w:after="120"/>
              <w:jc w:val="both"/>
              <w:rPr>
                <w:bCs/>
                <w:color w:val="000000"/>
                <w:lang w:eastAsia="sk-SK"/>
              </w:rPr>
            </w:pPr>
            <w:r w:rsidRPr="00140575">
              <w:rPr>
                <w:bCs/>
                <w:color w:val="000000"/>
                <w:lang w:eastAsia="sk-SK"/>
              </w:rPr>
              <w:t xml:space="preserve">V časti 2.1.1. Financovanie návrhu je uvedené, že „V čase predkladania návrhu zákona sú navrhované výdavky rozpočtovo nekryté – nie sú súčasťou návrhu rozpočtu kapitoly ŠÚ SR na roky 2021 až 2023.Po prerokovaní a schválení týchto výdavkov MF SR budú presunuté do radku „Financovanie zabezpečené v rozpočte“. V tejto súvislosti uvádzame, že výdavky sú zapracované v návrhu rozpočtu kapitoly Všeobecná pokladničná správa na roky 2021 až 2023. V nadväznosti na uvedené Komisia žiada doložku a analýzu vplyvov prepracovať a súčasne uvedené kvantifikácie vzájomne zosúladiť. </w:t>
            </w:r>
          </w:p>
          <w:p w14:paraId="5643A94B" w14:textId="77777777" w:rsidR="00140575" w:rsidRPr="00140575" w:rsidRDefault="00140575" w:rsidP="00140575">
            <w:pPr>
              <w:spacing w:after="120"/>
              <w:jc w:val="both"/>
              <w:rPr>
                <w:bCs/>
                <w:color w:val="000000"/>
                <w:lang w:eastAsia="sk-SK"/>
              </w:rPr>
            </w:pPr>
            <w:r w:rsidRPr="00140575">
              <w:rPr>
                <w:bCs/>
                <w:color w:val="000000"/>
                <w:lang w:eastAsia="sk-SK"/>
              </w:rPr>
              <w:t>Komisia žiada doplniť detailný výpočet nákladov jednotného informačného systému štatistických údajov v detailnom členení, nakoľko bez detailného výpočtu nákladov nie je možno overiť odhadovaný rozpočet. Doplnenie výpočtu nákladov Komisia žiada v detailnom členení na externé/interné IT pozície, riadenie projektu, potrebu investície do HW alebo SW v členení na jednotlivé aktivity/činnosti z pohľadu investičných a prevádzkových nákladov systému.</w:t>
            </w:r>
          </w:p>
          <w:p w14:paraId="7CC277A9" w14:textId="410B82D3" w:rsidR="00140575" w:rsidRPr="00140575" w:rsidRDefault="00140575" w:rsidP="00140575">
            <w:pPr>
              <w:spacing w:after="240"/>
              <w:jc w:val="both"/>
              <w:rPr>
                <w:bCs/>
                <w:color w:val="000000"/>
                <w:lang w:eastAsia="sk-SK"/>
              </w:rPr>
            </w:pPr>
            <w:r w:rsidRPr="00140575">
              <w:rPr>
                <w:bCs/>
                <w:color w:val="000000"/>
                <w:lang w:eastAsia="sk-SK"/>
              </w:rPr>
              <w:t>Zároveň Komisia žiada rozpísať osobné výdavky po profesiách s uvedením hlavných činností a</w:t>
            </w:r>
            <w:r w:rsidR="00A94FDD">
              <w:rPr>
                <w:bCs/>
                <w:color w:val="000000"/>
                <w:lang w:eastAsia="sk-SK"/>
              </w:rPr>
              <w:t> </w:t>
            </w:r>
            <w:r w:rsidRPr="00140575">
              <w:rPr>
                <w:bCs/>
                <w:color w:val="000000"/>
                <w:lang w:eastAsia="sk-SK"/>
              </w:rPr>
              <w:t>určením, či ide o novú alebo prevzatú činnosť, nakoľko bez bližšieho opisu distribúcie priemerných platov podľa jednotlivých profesií nie je možné overiť predpokladané osobné výdavky vo výške 484 tis. eur ročne. Z predkladaného materiálu taktiež nie je zrejmé, ktoré činnosti Centrálnej koordinačnej jednotky sú nové a ktoré budú prevzaté z iných organizačných jednotiek ŠÚ SR. Komisia má za to, že niektoré z hlavných činností CKJ, ako napríklad koordinácia metadát, sú už v súčasnosti vykonávané.</w:t>
            </w:r>
          </w:p>
          <w:p w14:paraId="4B75914B" w14:textId="77777777" w:rsidR="00140575" w:rsidRPr="00140575" w:rsidRDefault="00140575" w:rsidP="00140575">
            <w:pPr>
              <w:jc w:val="both"/>
              <w:rPr>
                <w:b/>
                <w:szCs w:val="20"/>
                <w:lang w:eastAsia="sk-SK"/>
              </w:rPr>
            </w:pPr>
            <w:r w:rsidRPr="00140575">
              <w:rPr>
                <w:b/>
                <w:szCs w:val="20"/>
                <w:lang w:eastAsia="sk-SK"/>
              </w:rPr>
              <w:t>Vyhodnotenie predkladateľa</w:t>
            </w:r>
          </w:p>
          <w:p w14:paraId="7853D0AC" w14:textId="77777777" w:rsidR="00140575" w:rsidRPr="00140575" w:rsidRDefault="00140575" w:rsidP="00140575">
            <w:pPr>
              <w:spacing w:after="120"/>
              <w:jc w:val="both"/>
              <w:rPr>
                <w:szCs w:val="20"/>
                <w:lang w:eastAsia="sk-SK"/>
              </w:rPr>
            </w:pPr>
            <w:r w:rsidRPr="00140575">
              <w:rPr>
                <w:szCs w:val="20"/>
                <w:lang w:eastAsia="sk-SK"/>
              </w:rPr>
              <w:t>Všetky pripomienky boli akceptované a zapracované, ako sa uvádza ďalej.</w:t>
            </w:r>
          </w:p>
          <w:p w14:paraId="42793BF0" w14:textId="77777777" w:rsidR="00140575" w:rsidRPr="00140575" w:rsidRDefault="00140575" w:rsidP="00140575">
            <w:pPr>
              <w:jc w:val="both"/>
              <w:rPr>
                <w:bCs/>
                <w:lang w:eastAsia="sk-SK"/>
              </w:rPr>
            </w:pPr>
            <w:r w:rsidRPr="00140575">
              <w:rPr>
                <w:bCs/>
                <w:u w:val="single"/>
                <w:lang w:eastAsia="sk-SK"/>
              </w:rPr>
              <w:t>K doložke vybraných vplyvov</w:t>
            </w:r>
          </w:p>
          <w:p w14:paraId="3FFD3DEE" w14:textId="1961141F" w:rsidR="00140575" w:rsidRDefault="00140575" w:rsidP="00B6407E">
            <w:pPr>
              <w:numPr>
                <w:ilvl w:val="0"/>
                <w:numId w:val="15"/>
              </w:numPr>
              <w:spacing w:after="480"/>
              <w:jc w:val="both"/>
              <w:rPr>
                <w:bCs/>
                <w:lang w:eastAsia="sk-SK"/>
              </w:rPr>
            </w:pPr>
            <w:r w:rsidRPr="00140575">
              <w:rPr>
                <w:bCs/>
                <w:lang w:eastAsia="sk-SK"/>
              </w:rPr>
              <w:t>Negatívny vplyv bol v prehľade vyznačený a v bode 10. sa deklaruje pozitívny vplyv na podnikateľské prostredie ako celkovo prevažujúci.</w:t>
            </w:r>
          </w:p>
          <w:p w14:paraId="713DA1D5" w14:textId="19FCFC8C" w:rsidR="00140575" w:rsidRPr="00140575" w:rsidRDefault="00140575" w:rsidP="00140575">
            <w:pPr>
              <w:jc w:val="both"/>
              <w:rPr>
                <w:bCs/>
                <w:u w:val="single"/>
                <w:lang w:eastAsia="sk-SK"/>
              </w:rPr>
            </w:pPr>
            <w:r w:rsidRPr="00140575">
              <w:rPr>
                <w:bCs/>
                <w:u w:val="single"/>
                <w:lang w:eastAsia="sk-SK"/>
              </w:rPr>
              <w:lastRenderedPageBreak/>
              <w:t>K analýze vplyvov na podnikateľské prostredie</w:t>
            </w:r>
          </w:p>
          <w:p w14:paraId="6476686E" w14:textId="77777777" w:rsidR="00140575" w:rsidRPr="00140575" w:rsidRDefault="00140575" w:rsidP="00B6407E">
            <w:pPr>
              <w:numPr>
                <w:ilvl w:val="0"/>
                <w:numId w:val="15"/>
              </w:numPr>
              <w:spacing w:after="120"/>
              <w:jc w:val="both"/>
              <w:rPr>
                <w:bCs/>
                <w:lang w:eastAsia="sk-SK"/>
              </w:rPr>
            </w:pPr>
            <w:r w:rsidRPr="00140575">
              <w:rPr>
                <w:bCs/>
                <w:lang w:eastAsia="sk-SK"/>
              </w:rPr>
              <w:t>Analýza bola doplnená v časti 3.3.3 bol doplnené vysvetlenie s konštatovaním že pre podnikateľské subjekty, ktoré využijú JIS ŠÚ bude napriek počiatočným nákladom v konečnom dôsledku prevažovať pozitívny vplyv daného riešenia. Pre subjekty, ktoré dané riešenie nebudú  aktívne využívať, bude vplyv neutrálny.</w:t>
            </w:r>
          </w:p>
          <w:p w14:paraId="2D912E23" w14:textId="77777777" w:rsidR="00140575" w:rsidRPr="00140575" w:rsidRDefault="00140575" w:rsidP="00140575">
            <w:pPr>
              <w:jc w:val="both"/>
              <w:rPr>
                <w:bCs/>
                <w:color w:val="000000"/>
                <w:u w:val="single"/>
                <w:lang w:eastAsia="sk-SK"/>
              </w:rPr>
            </w:pPr>
            <w:r w:rsidRPr="00140575">
              <w:rPr>
                <w:bCs/>
                <w:color w:val="000000"/>
                <w:u w:val="single"/>
                <w:lang w:eastAsia="sk-SK"/>
              </w:rPr>
              <w:t>K analýze vplyvov na rozpočet verejnej správy</w:t>
            </w:r>
          </w:p>
          <w:p w14:paraId="35A3B6F4" w14:textId="77777777" w:rsidR="00140575" w:rsidRPr="00140575" w:rsidRDefault="00140575" w:rsidP="00B6407E">
            <w:pPr>
              <w:numPr>
                <w:ilvl w:val="0"/>
                <w:numId w:val="15"/>
              </w:numPr>
              <w:jc w:val="both"/>
              <w:rPr>
                <w:bCs/>
                <w:u w:val="single"/>
                <w:lang w:eastAsia="sk-SK"/>
              </w:rPr>
            </w:pPr>
            <w:r w:rsidRPr="00140575">
              <w:rPr>
                <w:bCs/>
                <w:lang w:eastAsia="sk-SK"/>
              </w:rPr>
              <w:t>Nezrovnalosti v kvantifikáciách v tabuľkách č. 1 a 4 boli odstránené.</w:t>
            </w:r>
          </w:p>
          <w:p w14:paraId="64AE77FE" w14:textId="77777777" w:rsidR="00140575" w:rsidRPr="00140575" w:rsidRDefault="00140575" w:rsidP="00B6407E">
            <w:pPr>
              <w:numPr>
                <w:ilvl w:val="0"/>
                <w:numId w:val="15"/>
              </w:numPr>
              <w:jc w:val="both"/>
              <w:rPr>
                <w:bCs/>
                <w:u w:val="single"/>
                <w:lang w:eastAsia="sk-SK"/>
              </w:rPr>
            </w:pPr>
            <w:r w:rsidRPr="00140575">
              <w:rPr>
                <w:bCs/>
                <w:lang w:eastAsia="sk-SK"/>
              </w:rPr>
              <w:t>V tabuľke 2.1. Financovanie návrhu došlo k úprave z pohľadu rozpočtového zabezpečenia návrhu zákona: do riadku „Financie zabezpečené v rozpočte“ bola presunutá suma rozpočtových výdavkov zabezpečených vo Všeobecnej pokladničnej správe, v časti 2.1.1. sa zmenil komentár;</w:t>
            </w:r>
          </w:p>
          <w:p w14:paraId="143E44CF" w14:textId="77777777" w:rsidR="00140575" w:rsidRPr="00140575" w:rsidRDefault="00140575" w:rsidP="00B6407E">
            <w:pPr>
              <w:numPr>
                <w:ilvl w:val="0"/>
                <w:numId w:val="15"/>
              </w:numPr>
              <w:jc w:val="both"/>
              <w:rPr>
                <w:bCs/>
                <w:u w:val="single"/>
                <w:lang w:eastAsia="sk-SK"/>
              </w:rPr>
            </w:pPr>
            <w:r w:rsidRPr="00140575">
              <w:rPr>
                <w:bCs/>
                <w:lang w:eastAsia="sk-SK"/>
              </w:rPr>
              <w:t>Ohľadom nákladov jednotného informačného systému štatistických údajov došlo na základe uzatvorenej zmluvy k 15. 10. 2020 k zásadnému zníženiu požadovaných finančných zdrojov na jednotlivé rozpočtové roky a k posunu ukončenia implementácie na posledný štvrťrok roku 2022. Zároveň bola analýza doplnená o požadované informácie ohľadom JIS ŠÚ a v prílohách je predložený detailný výpočet nákladov JIS ŠÚ;</w:t>
            </w:r>
          </w:p>
          <w:p w14:paraId="33E28481" w14:textId="77777777" w:rsidR="00140575" w:rsidRPr="00140575" w:rsidRDefault="00140575" w:rsidP="00B6407E">
            <w:pPr>
              <w:numPr>
                <w:ilvl w:val="0"/>
                <w:numId w:val="15"/>
              </w:numPr>
              <w:spacing w:after="240"/>
              <w:jc w:val="both"/>
              <w:rPr>
                <w:bCs/>
                <w:u w:val="single"/>
                <w:lang w:eastAsia="sk-SK"/>
              </w:rPr>
            </w:pPr>
            <w:r w:rsidRPr="00140575">
              <w:rPr>
                <w:bCs/>
                <w:lang w:eastAsia="sk-SK"/>
              </w:rPr>
              <w:t>Na základe  pripomienky k osobným výdavkom pre zabezpečenie Centrálnej koordinačnej jednotky bol doplnený podrobný popis rozhodujúcich činností s identifikáciou jednotlivých pracovných pozícií a časovým harmonogramom ich napĺňania.</w:t>
            </w:r>
          </w:p>
          <w:p w14:paraId="14021166" w14:textId="77777777" w:rsidR="00140575" w:rsidRPr="00140575" w:rsidRDefault="00140575" w:rsidP="00140575">
            <w:pPr>
              <w:jc w:val="both"/>
              <w:rPr>
                <w:b/>
                <w:lang w:eastAsia="sk-SK"/>
              </w:rPr>
            </w:pPr>
            <w:r w:rsidRPr="00140575">
              <w:rPr>
                <w:b/>
                <w:lang w:eastAsia="sk-SK"/>
              </w:rPr>
              <w:t xml:space="preserve">Po zaslaní stanoviska komisie doručil sekretariát komisie štatistickému úradu z technických príčin dodatočne čiastkové stanovisko Ministerstva investícií, regionálneho rozvoja a informatizácie Slovenskej republiky k návrhu zákona, ktoré nie je v stanovisku komisie zahrnuté. </w:t>
            </w:r>
          </w:p>
          <w:p w14:paraId="2E6222F0" w14:textId="77777777" w:rsidR="00140575" w:rsidRPr="00140575" w:rsidRDefault="00140575" w:rsidP="00140575">
            <w:pPr>
              <w:jc w:val="both"/>
              <w:rPr>
                <w:color w:val="212121"/>
                <w:lang w:eastAsia="sk-SK"/>
              </w:rPr>
            </w:pPr>
            <w:r w:rsidRPr="00140575">
              <w:rPr>
                <w:lang w:eastAsia="sk-SK"/>
              </w:rPr>
              <w:t xml:space="preserve">Ministerstvo vo svojom stanovisku vyjadrilo súhlas, že návrh zákona </w:t>
            </w:r>
            <w:r w:rsidRPr="00140575">
              <w:rPr>
                <w:color w:val="212121"/>
                <w:lang w:eastAsia="sk-SK"/>
              </w:rPr>
              <w:t>predpokladá pozitívny vplyv na informatizáciu spoločnosti a uplatnilo obyčajnú pripomienku: „V bode 6.2. analýzy vplyvov však predkladateľ neuviedol úplne správne údaje tak, ako sú uvedené v MetaIS. Správne treba uviesť kód systému </w:t>
            </w:r>
            <w:r w:rsidRPr="00140575">
              <w:rPr>
                <w:bCs/>
                <w:color w:val="212121"/>
                <w:lang w:eastAsia="sk-SK"/>
              </w:rPr>
              <w:t>isvs_411</w:t>
            </w:r>
            <w:r w:rsidRPr="00140575">
              <w:rPr>
                <w:color w:val="212121"/>
                <w:lang w:eastAsia="sk-SK"/>
              </w:rPr>
              <w:t xml:space="preserve"> a názov je </w:t>
            </w:r>
            <w:r w:rsidRPr="00140575">
              <w:rPr>
                <w:bCs/>
                <w:color w:val="212121"/>
                <w:lang w:eastAsia="sk-SK"/>
              </w:rPr>
              <w:t>Štatistický informačný systém</w:t>
            </w:r>
            <w:r w:rsidRPr="00140575">
              <w:rPr>
                <w:color w:val="212121"/>
                <w:lang w:eastAsia="sk-SK"/>
              </w:rPr>
              <w:t>.“.</w:t>
            </w:r>
          </w:p>
          <w:p w14:paraId="05E32376" w14:textId="77777777" w:rsidR="00140575" w:rsidRPr="00140575" w:rsidRDefault="00140575" w:rsidP="00140575">
            <w:pPr>
              <w:spacing w:after="240"/>
              <w:jc w:val="both"/>
              <w:rPr>
                <w:color w:val="212121"/>
                <w:lang w:eastAsia="sk-SK"/>
              </w:rPr>
            </w:pPr>
            <w:r w:rsidRPr="00140575">
              <w:rPr>
                <w:color w:val="212121"/>
                <w:lang w:eastAsia="sk-SK"/>
              </w:rPr>
              <w:t>Štatistický úrad túto pripomienku akceptoval a zapracoval ju do analýzy vplyvov na informatizáciu.</w:t>
            </w:r>
          </w:p>
          <w:p w14:paraId="75D42A46" w14:textId="77777777" w:rsidR="00140575" w:rsidRPr="00140575" w:rsidRDefault="00140575" w:rsidP="00140575">
            <w:pPr>
              <w:spacing w:after="120"/>
              <w:jc w:val="both"/>
              <w:rPr>
                <w:b/>
                <w:color w:val="212121"/>
                <w:lang w:eastAsia="sk-SK"/>
              </w:rPr>
            </w:pPr>
            <w:r w:rsidRPr="00140575">
              <w:rPr>
                <w:b/>
                <w:color w:val="212121"/>
                <w:lang w:eastAsia="sk-SK"/>
              </w:rPr>
              <w:t xml:space="preserve">Materiál návrhu zákona </w:t>
            </w:r>
            <w:r w:rsidRPr="00140575">
              <w:rPr>
                <w:color w:val="212121"/>
                <w:lang w:eastAsia="sk-SK"/>
              </w:rPr>
              <w:t>bol po vyhodnotení medzirezortného pripomienkového konania v upravenom znení</w:t>
            </w:r>
            <w:r w:rsidRPr="00140575">
              <w:rPr>
                <w:b/>
                <w:color w:val="212121"/>
                <w:lang w:eastAsia="sk-SK"/>
              </w:rPr>
              <w:t xml:space="preserve"> zaslaný komisii na záverečné posúdenie vybraných vplyvov. </w:t>
            </w:r>
            <w:r w:rsidRPr="00140575">
              <w:rPr>
                <w:color w:val="212121"/>
                <w:lang w:eastAsia="sk-SK"/>
              </w:rPr>
              <w:t xml:space="preserve">Stála pracovná komisia na posudzovanie vybraných vplyvov </w:t>
            </w:r>
            <w:r w:rsidRPr="00140575">
              <w:rPr>
                <w:b/>
                <w:color w:val="212121"/>
                <w:lang w:eastAsia="sk-SK"/>
              </w:rPr>
              <w:t>vyjadruje nesúhlasné stanovisko s materiálom predloženým na záverečné posúdenie.</w:t>
            </w:r>
          </w:p>
          <w:p w14:paraId="6766B969" w14:textId="61886844" w:rsidR="00140575" w:rsidRDefault="00140575" w:rsidP="00140575">
            <w:pPr>
              <w:spacing w:after="120"/>
              <w:jc w:val="both"/>
              <w:rPr>
                <w:bCs/>
                <w:lang w:eastAsia="sk-SK"/>
              </w:rPr>
            </w:pPr>
            <w:r w:rsidRPr="00140575">
              <w:rPr>
                <w:bCs/>
                <w:lang w:eastAsia="sk-SK"/>
              </w:rPr>
              <w:t>Komisia uplatnila k materiálu zásadnú pripomienku:</w:t>
            </w:r>
          </w:p>
          <w:p w14:paraId="6AE3E641" w14:textId="77777777" w:rsidR="00140575" w:rsidRPr="00140575" w:rsidRDefault="00140575" w:rsidP="00140575">
            <w:pPr>
              <w:jc w:val="both"/>
              <w:rPr>
                <w:b/>
                <w:lang w:eastAsia="sk-SK"/>
              </w:rPr>
            </w:pPr>
            <w:r w:rsidRPr="00140575">
              <w:rPr>
                <w:b/>
                <w:lang w:eastAsia="sk-SK"/>
              </w:rPr>
              <w:t xml:space="preserve">K vplyvom na rozpočet verejnej správy </w:t>
            </w:r>
          </w:p>
          <w:p w14:paraId="44054825" w14:textId="7ED89663" w:rsidR="00140575" w:rsidRPr="00140575" w:rsidRDefault="00140575" w:rsidP="00140575">
            <w:pPr>
              <w:spacing w:after="120"/>
              <w:jc w:val="both"/>
              <w:rPr>
                <w:lang w:eastAsia="sk-SK"/>
              </w:rPr>
            </w:pPr>
            <w:r w:rsidRPr="00140575">
              <w:rPr>
                <w:lang w:eastAsia="sk-SK"/>
              </w:rPr>
              <w:t>Doložka vplyvov na rozpočet nebola aktualizovaná v zmysle záverov rozporového konania a vyhodnotenia medzirezortného pripomienkového konania. Podľa vyhodnotenia medzirezortného pripomienkového konania žiadal ÚHP „vypustiť výdavky na Tovary a služby v roku 2023 v hodnote viac ako 1 mil. eur na rozvoj informačného systému a dané výdavky žiadať v roku 2022 v súlade s</w:t>
            </w:r>
            <w:r w:rsidR="00A94FDD">
              <w:rPr>
                <w:lang w:eastAsia="sk-SK"/>
              </w:rPr>
              <w:t> </w:t>
            </w:r>
            <w:r w:rsidRPr="00140575">
              <w:rPr>
                <w:lang w:eastAsia="sk-SK"/>
              </w:rPr>
              <w:t>princípmi hodnoty za peniaze“. Predkladateľ uvádza, že pripomienka bola akceptovaná a zmeny budú zapracované v aktualizovanej doložke vplyvov na rozpočet.</w:t>
            </w:r>
          </w:p>
          <w:p w14:paraId="19AD8916" w14:textId="06694AA3" w:rsidR="00140575" w:rsidRDefault="00140575" w:rsidP="00140575">
            <w:pPr>
              <w:spacing w:after="240"/>
              <w:jc w:val="both"/>
              <w:rPr>
                <w:lang w:eastAsia="sk-SK"/>
              </w:rPr>
            </w:pPr>
            <w:r w:rsidRPr="00140575">
              <w:rPr>
                <w:lang w:eastAsia="sk-SK"/>
              </w:rPr>
              <w:t>Výška rozpočtu na rok 2023 je v pôvodnej aj novej doložke vplyvov na rozpočet totožná, vrátane predpokladaných výdavkov na rozvoj informačných systémov. Naďalej preto Komisia žiada upraviť doložku vplyvov v zmysle záverov rozporového konania a výdavky na rozvoj informačného systému žiadať v roku 2022.</w:t>
            </w:r>
          </w:p>
          <w:p w14:paraId="3170DC12" w14:textId="77777777" w:rsidR="00140575" w:rsidRPr="00140575" w:rsidRDefault="00140575" w:rsidP="00140575">
            <w:pPr>
              <w:jc w:val="both"/>
              <w:rPr>
                <w:b/>
                <w:lang w:eastAsia="sk-SK"/>
              </w:rPr>
            </w:pPr>
            <w:r w:rsidRPr="00140575">
              <w:rPr>
                <w:b/>
                <w:lang w:eastAsia="sk-SK"/>
              </w:rPr>
              <w:t>Vyhodnotenie predkladateľa</w:t>
            </w:r>
          </w:p>
          <w:p w14:paraId="51B77887" w14:textId="77777777" w:rsidR="00140575" w:rsidRPr="00140575" w:rsidRDefault="00140575" w:rsidP="00140575">
            <w:pPr>
              <w:spacing w:after="240"/>
              <w:jc w:val="both"/>
              <w:rPr>
                <w:b/>
                <w:sz w:val="20"/>
                <w:szCs w:val="20"/>
                <w:lang w:eastAsia="sk-SK"/>
              </w:rPr>
            </w:pPr>
            <w:r w:rsidRPr="00140575">
              <w:rPr>
                <w:lang w:eastAsia="sk-SK"/>
              </w:rPr>
              <w:t>Pripomienka bola akceptovaná úpravou analýzy vplyvov na rozpočet verejnej správy, na zamestnanosť vo verejnej správe a financovanie návrhu. V upravenej analýze boli výdavky na Tovary a služby v hodnote viac ako 1 mil. eur na rozvoj informačného v roku 2023 vypustené a dané výdavky budú požadované v roku 2022.</w:t>
            </w:r>
          </w:p>
        </w:tc>
      </w:tr>
    </w:tbl>
    <w:p w14:paraId="23583E17" w14:textId="128370A3" w:rsidR="00434541" w:rsidRDefault="00434541" w:rsidP="00572A77">
      <w:pPr>
        <w:ind w:firstLine="0"/>
      </w:pPr>
    </w:p>
    <w:p w14:paraId="28703C2B" w14:textId="77777777" w:rsidR="00434541" w:rsidRPr="00434541" w:rsidRDefault="00434541" w:rsidP="00434541">
      <w:pPr>
        <w:spacing w:after="0" w:line="240" w:lineRule="auto"/>
        <w:ind w:firstLine="0"/>
        <w:jc w:val="center"/>
        <w:rPr>
          <w:b/>
          <w:bCs/>
          <w:sz w:val="28"/>
          <w:szCs w:val="28"/>
          <w:lang w:eastAsia="sk-SK"/>
        </w:rPr>
      </w:pPr>
      <w:r w:rsidRPr="00434541">
        <w:rPr>
          <w:b/>
          <w:bCs/>
          <w:sz w:val="28"/>
          <w:szCs w:val="28"/>
          <w:lang w:eastAsia="sk-SK"/>
        </w:rPr>
        <w:lastRenderedPageBreak/>
        <w:t>Analýza vplyvov na rozpočet verejnej správy,</w:t>
      </w:r>
    </w:p>
    <w:p w14:paraId="74C0F404" w14:textId="77777777" w:rsidR="00434541" w:rsidRPr="00434541" w:rsidRDefault="00434541" w:rsidP="00434541">
      <w:pPr>
        <w:spacing w:after="0" w:line="240" w:lineRule="auto"/>
        <w:ind w:firstLine="0"/>
        <w:jc w:val="center"/>
        <w:rPr>
          <w:b/>
          <w:bCs/>
          <w:sz w:val="28"/>
          <w:szCs w:val="28"/>
          <w:lang w:eastAsia="sk-SK"/>
        </w:rPr>
      </w:pPr>
      <w:r w:rsidRPr="00434541">
        <w:rPr>
          <w:b/>
          <w:bCs/>
          <w:sz w:val="28"/>
          <w:szCs w:val="28"/>
          <w:lang w:eastAsia="sk-SK"/>
        </w:rPr>
        <w:t>na zamestnanosť vo verejnej správe a financovanie návrhu</w:t>
      </w:r>
    </w:p>
    <w:p w14:paraId="295E38B6" w14:textId="77777777" w:rsidR="00434541" w:rsidRPr="00434541" w:rsidRDefault="00434541" w:rsidP="00434541">
      <w:pPr>
        <w:spacing w:after="0" w:line="240" w:lineRule="auto"/>
        <w:ind w:firstLine="0"/>
        <w:jc w:val="right"/>
        <w:rPr>
          <w:b/>
          <w:bCs/>
          <w:lang w:eastAsia="sk-SK"/>
        </w:rPr>
      </w:pPr>
    </w:p>
    <w:p w14:paraId="3E8B90DE" w14:textId="77777777" w:rsidR="00434541" w:rsidRPr="00434541" w:rsidRDefault="00434541" w:rsidP="00434541">
      <w:pPr>
        <w:spacing w:after="0" w:line="240" w:lineRule="auto"/>
        <w:ind w:firstLine="0"/>
        <w:jc w:val="left"/>
        <w:rPr>
          <w:b/>
          <w:bCs/>
          <w:lang w:eastAsia="sk-SK"/>
        </w:rPr>
      </w:pPr>
      <w:r w:rsidRPr="00434541">
        <w:rPr>
          <w:b/>
          <w:bCs/>
          <w:lang w:eastAsia="sk-SK"/>
        </w:rPr>
        <w:t>2.1 Zhrnutie vplyvov na rozpočet verejnej správy v návrhu</w:t>
      </w:r>
    </w:p>
    <w:p w14:paraId="0B416C65" w14:textId="77777777" w:rsidR="00434541" w:rsidRPr="00434541" w:rsidRDefault="00434541" w:rsidP="00434541">
      <w:pPr>
        <w:spacing w:after="0" w:line="240" w:lineRule="auto"/>
        <w:ind w:firstLine="0"/>
        <w:jc w:val="right"/>
        <w:rPr>
          <w:sz w:val="20"/>
          <w:szCs w:val="20"/>
          <w:lang w:eastAsia="sk-SK"/>
        </w:rPr>
      </w:pPr>
    </w:p>
    <w:p w14:paraId="67E806B3" w14:textId="77777777" w:rsidR="00434541" w:rsidRPr="00434541" w:rsidRDefault="00434541" w:rsidP="00434541">
      <w:pPr>
        <w:spacing w:after="0" w:line="240" w:lineRule="auto"/>
        <w:ind w:firstLine="0"/>
        <w:jc w:val="right"/>
        <w:rPr>
          <w:sz w:val="20"/>
          <w:szCs w:val="20"/>
          <w:lang w:eastAsia="sk-SK"/>
        </w:rPr>
      </w:pPr>
      <w:r w:rsidRPr="00434541">
        <w:rPr>
          <w:sz w:val="20"/>
          <w:szCs w:val="20"/>
          <w:lang w:eastAsia="sk-SK"/>
        </w:rPr>
        <w:t xml:space="preserve">Tabuľka č. 1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347"/>
        <w:gridCol w:w="1250"/>
        <w:gridCol w:w="1437"/>
      </w:tblGrid>
      <w:tr w:rsidR="00434541" w:rsidRPr="00434541" w14:paraId="30BC3F6B" w14:textId="77777777" w:rsidTr="00434541">
        <w:trPr>
          <w:cantSplit/>
          <w:trHeight w:val="194"/>
          <w:jc w:val="center"/>
        </w:trPr>
        <w:tc>
          <w:tcPr>
            <w:tcW w:w="4661" w:type="dxa"/>
            <w:vMerge w:val="restart"/>
            <w:shd w:val="clear" w:color="auto" w:fill="BFBFBF"/>
            <w:vAlign w:val="center"/>
          </w:tcPr>
          <w:p w14:paraId="4B560114" w14:textId="77777777" w:rsidR="00434541" w:rsidRPr="00434541" w:rsidRDefault="00434541" w:rsidP="00434541">
            <w:pPr>
              <w:spacing w:after="0" w:line="240" w:lineRule="auto"/>
              <w:ind w:firstLine="0"/>
              <w:jc w:val="center"/>
              <w:rPr>
                <w:b/>
                <w:bCs/>
                <w:lang w:eastAsia="sk-SK"/>
              </w:rPr>
            </w:pPr>
            <w:bookmarkStart w:id="0" w:name="OLE_LINK1"/>
            <w:r w:rsidRPr="00434541">
              <w:rPr>
                <w:b/>
                <w:bCs/>
                <w:lang w:eastAsia="sk-SK"/>
              </w:rPr>
              <w:t>Vplyvy na rozpočet verejnej správy</w:t>
            </w:r>
          </w:p>
        </w:tc>
        <w:tc>
          <w:tcPr>
            <w:tcW w:w="5301" w:type="dxa"/>
            <w:gridSpan w:val="4"/>
            <w:shd w:val="clear" w:color="auto" w:fill="BFBFBF"/>
            <w:vAlign w:val="center"/>
          </w:tcPr>
          <w:p w14:paraId="3D74465D" w14:textId="77777777" w:rsidR="00434541" w:rsidRPr="00434541" w:rsidRDefault="00434541" w:rsidP="00434541">
            <w:pPr>
              <w:spacing w:after="0" w:line="240" w:lineRule="auto"/>
              <w:ind w:firstLine="0"/>
              <w:jc w:val="center"/>
              <w:rPr>
                <w:b/>
                <w:bCs/>
                <w:lang w:eastAsia="sk-SK"/>
              </w:rPr>
            </w:pPr>
            <w:r w:rsidRPr="00434541">
              <w:rPr>
                <w:b/>
                <w:bCs/>
                <w:lang w:eastAsia="sk-SK"/>
              </w:rPr>
              <w:t>Vplyv na rozpočet verejnej správy (v eurách)</w:t>
            </w:r>
          </w:p>
        </w:tc>
      </w:tr>
      <w:tr w:rsidR="00434541" w:rsidRPr="00434541" w14:paraId="41F486EF" w14:textId="77777777" w:rsidTr="00434541">
        <w:trPr>
          <w:cantSplit/>
          <w:trHeight w:val="70"/>
          <w:jc w:val="center"/>
        </w:trPr>
        <w:tc>
          <w:tcPr>
            <w:tcW w:w="4661" w:type="dxa"/>
            <w:vMerge/>
            <w:shd w:val="clear" w:color="auto" w:fill="BFBFBF"/>
            <w:vAlign w:val="center"/>
          </w:tcPr>
          <w:p w14:paraId="40D9B959" w14:textId="77777777" w:rsidR="00434541" w:rsidRPr="00434541" w:rsidRDefault="00434541" w:rsidP="00434541">
            <w:pPr>
              <w:spacing w:after="0" w:line="240" w:lineRule="auto"/>
              <w:ind w:firstLine="0"/>
              <w:jc w:val="center"/>
              <w:rPr>
                <w:b/>
                <w:bCs/>
                <w:lang w:eastAsia="sk-SK"/>
              </w:rPr>
            </w:pPr>
          </w:p>
        </w:tc>
        <w:tc>
          <w:tcPr>
            <w:tcW w:w="1267" w:type="dxa"/>
            <w:shd w:val="clear" w:color="auto" w:fill="BFBFBF"/>
            <w:vAlign w:val="center"/>
          </w:tcPr>
          <w:p w14:paraId="7BA85E20" w14:textId="77777777" w:rsidR="00434541" w:rsidRPr="00434541" w:rsidRDefault="00434541" w:rsidP="00434541">
            <w:pPr>
              <w:spacing w:after="0" w:line="240" w:lineRule="auto"/>
              <w:ind w:firstLine="0"/>
              <w:jc w:val="center"/>
              <w:rPr>
                <w:b/>
                <w:bCs/>
                <w:lang w:eastAsia="sk-SK"/>
              </w:rPr>
            </w:pPr>
            <w:r w:rsidRPr="00434541">
              <w:rPr>
                <w:b/>
                <w:bCs/>
                <w:lang w:eastAsia="sk-SK"/>
              </w:rPr>
              <w:t>2020</w:t>
            </w:r>
          </w:p>
        </w:tc>
        <w:tc>
          <w:tcPr>
            <w:tcW w:w="1347" w:type="dxa"/>
            <w:shd w:val="clear" w:color="auto" w:fill="BFBFBF"/>
            <w:vAlign w:val="center"/>
          </w:tcPr>
          <w:p w14:paraId="052FE6D1" w14:textId="77777777" w:rsidR="00434541" w:rsidRPr="00434541" w:rsidRDefault="00434541" w:rsidP="00434541">
            <w:pPr>
              <w:spacing w:after="0" w:line="240" w:lineRule="auto"/>
              <w:ind w:firstLine="0"/>
              <w:jc w:val="center"/>
              <w:rPr>
                <w:b/>
                <w:bCs/>
                <w:lang w:eastAsia="sk-SK"/>
              </w:rPr>
            </w:pPr>
            <w:r w:rsidRPr="00434541">
              <w:rPr>
                <w:b/>
                <w:bCs/>
                <w:lang w:eastAsia="sk-SK"/>
              </w:rPr>
              <w:t>2021</w:t>
            </w:r>
          </w:p>
        </w:tc>
        <w:tc>
          <w:tcPr>
            <w:tcW w:w="1250" w:type="dxa"/>
            <w:shd w:val="clear" w:color="auto" w:fill="BFBFBF"/>
            <w:vAlign w:val="center"/>
          </w:tcPr>
          <w:p w14:paraId="19B696B3" w14:textId="77777777" w:rsidR="00434541" w:rsidRPr="00434541" w:rsidRDefault="00434541" w:rsidP="00434541">
            <w:pPr>
              <w:spacing w:after="0" w:line="240" w:lineRule="auto"/>
              <w:ind w:firstLine="0"/>
              <w:jc w:val="center"/>
              <w:rPr>
                <w:b/>
                <w:bCs/>
                <w:lang w:eastAsia="sk-SK"/>
              </w:rPr>
            </w:pPr>
            <w:r w:rsidRPr="00434541">
              <w:rPr>
                <w:b/>
                <w:bCs/>
                <w:lang w:eastAsia="sk-SK"/>
              </w:rPr>
              <w:t>2022</w:t>
            </w:r>
          </w:p>
        </w:tc>
        <w:tc>
          <w:tcPr>
            <w:tcW w:w="1437" w:type="dxa"/>
            <w:shd w:val="clear" w:color="auto" w:fill="BFBFBF"/>
            <w:vAlign w:val="center"/>
          </w:tcPr>
          <w:p w14:paraId="0CC02267" w14:textId="77777777" w:rsidR="00434541" w:rsidRPr="00434541" w:rsidRDefault="00434541" w:rsidP="00434541">
            <w:pPr>
              <w:spacing w:after="0" w:line="240" w:lineRule="auto"/>
              <w:ind w:firstLine="0"/>
              <w:jc w:val="center"/>
              <w:rPr>
                <w:b/>
                <w:bCs/>
                <w:lang w:eastAsia="sk-SK"/>
              </w:rPr>
            </w:pPr>
            <w:r w:rsidRPr="00434541">
              <w:rPr>
                <w:b/>
                <w:bCs/>
                <w:lang w:eastAsia="sk-SK"/>
              </w:rPr>
              <w:t>2023</w:t>
            </w:r>
          </w:p>
        </w:tc>
      </w:tr>
      <w:tr w:rsidR="00434541" w:rsidRPr="00434541" w14:paraId="6A8FB316" w14:textId="77777777" w:rsidTr="00434541">
        <w:trPr>
          <w:trHeight w:val="70"/>
          <w:jc w:val="center"/>
        </w:trPr>
        <w:tc>
          <w:tcPr>
            <w:tcW w:w="4661" w:type="dxa"/>
            <w:shd w:val="clear" w:color="auto" w:fill="C0C0C0"/>
            <w:noWrap/>
            <w:vAlign w:val="center"/>
          </w:tcPr>
          <w:p w14:paraId="5CE95D88" w14:textId="77777777" w:rsidR="00434541" w:rsidRPr="00434541" w:rsidRDefault="00434541" w:rsidP="00434541">
            <w:pPr>
              <w:spacing w:after="0" w:line="240" w:lineRule="auto"/>
              <w:ind w:firstLine="0"/>
              <w:jc w:val="left"/>
              <w:rPr>
                <w:lang w:eastAsia="sk-SK"/>
              </w:rPr>
            </w:pPr>
            <w:r w:rsidRPr="00434541">
              <w:rPr>
                <w:b/>
                <w:bCs/>
                <w:lang w:eastAsia="sk-SK"/>
              </w:rPr>
              <w:t>Príjmy verejnej správy celkom</w:t>
            </w:r>
          </w:p>
        </w:tc>
        <w:tc>
          <w:tcPr>
            <w:tcW w:w="1267" w:type="dxa"/>
            <w:shd w:val="clear" w:color="auto" w:fill="C0C0C0"/>
            <w:vAlign w:val="center"/>
          </w:tcPr>
          <w:p w14:paraId="7FB61B05"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C0C0C0"/>
            <w:vAlign w:val="center"/>
          </w:tcPr>
          <w:p w14:paraId="08378F3F"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250" w:type="dxa"/>
            <w:shd w:val="clear" w:color="auto" w:fill="C0C0C0"/>
            <w:vAlign w:val="center"/>
          </w:tcPr>
          <w:p w14:paraId="567F2440"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437" w:type="dxa"/>
            <w:shd w:val="clear" w:color="auto" w:fill="C0C0C0"/>
            <w:vAlign w:val="center"/>
          </w:tcPr>
          <w:p w14:paraId="669E8636"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r>
      <w:tr w:rsidR="00434541" w:rsidRPr="00434541" w14:paraId="506E5323" w14:textId="77777777" w:rsidTr="00434541">
        <w:trPr>
          <w:trHeight w:val="132"/>
          <w:jc w:val="center"/>
        </w:trPr>
        <w:tc>
          <w:tcPr>
            <w:tcW w:w="4661" w:type="dxa"/>
            <w:noWrap/>
            <w:vAlign w:val="center"/>
          </w:tcPr>
          <w:p w14:paraId="25D63B4B" w14:textId="77777777" w:rsidR="00434541" w:rsidRPr="00434541" w:rsidRDefault="00434541" w:rsidP="00434541">
            <w:pPr>
              <w:spacing w:after="0" w:line="240" w:lineRule="auto"/>
              <w:ind w:firstLine="0"/>
              <w:jc w:val="left"/>
              <w:rPr>
                <w:lang w:eastAsia="sk-SK"/>
              </w:rPr>
            </w:pPr>
            <w:r w:rsidRPr="00434541">
              <w:rPr>
                <w:lang w:eastAsia="sk-SK"/>
              </w:rPr>
              <w:t>v tom: za každý subjekt verejnej správy zvlášť</w:t>
            </w:r>
          </w:p>
        </w:tc>
        <w:tc>
          <w:tcPr>
            <w:tcW w:w="1267" w:type="dxa"/>
            <w:noWrap/>
            <w:vAlign w:val="center"/>
          </w:tcPr>
          <w:p w14:paraId="26AD8018"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347" w:type="dxa"/>
            <w:noWrap/>
            <w:vAlign w:val="center"/>
          </w:tcPr>
          <w:p w14:paraId="6917D602"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250" w:type="dxa"/>
            <w:noWrap/>
            <w:vAlign w:val="center"/>
          </w:tcPr>
          <w:p w14:paraId="5279FAE5"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437" w:type="dxa"/>
            <w:noWrap/>
            <w:vAlign w:val="center"/>
          </w:tcPr>
          <w:p w14:paraId="2C9AF9CF" w14:textId="77777777" w:rsidR="00434541" w:rsidRPr="00434541" w:rsidRDefault="00434541" w:rsidP="00434541">
            <w:pPr>
              <w:spacing w:after="0" w:line="240" w:lineRule="auto"/>
              <w:ind w:firstLine="0"/>
              <w:jc w:val="right"/>
              <w:rPr>
                <w:lang w:eastAsia="sk-SK"/>
              </w:rPr>
            </w:pPr>
            <w:r w:rsidRPr="00434541">
              <w:rPr>
                <w:lang w:eastAsia="sk-SK"/>
              </w:rPr>
              <w:t>0</w:t>
            </w:r>
          </w:p>
        </w:tc>
      </w:tr>
      <w:tr w:rsidR="00434541" w:rsidRPr="00434541" w14:paraId="071A5B5F" w14:textId="77777777" w:rsidTr="00434541">
        <w:trPr>
          <w:trHeight w:val="70"/>
          <w:jc w:val="center"/>
        </w:trPr>
        <w:tc>
          <w:tcPr>
            <w:tcW w:w="4661" w:type="dxa"/>
            <w:noWrap/>
            <w:vAlign w:val="center"/>
          </w:tcPr>
          <w:p w14:paraId="337856DC"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xml:space="preserve">z toho:  </w:t>
            </w:r>
          </w:p>
        </w:tc>
        <w:tc>
          <w:tcPr>
            <w:tcW w:w="1267" w:type="dxa"/>
            <w:noWrap/>
            <w:vAlign w:val="center"/>
          </w:tcPr>
          <w:p w14:paraId="2AA8F40A" w14:textId="77777777" w:rsidR="00434541" w:rsidRPr="00434541" w:rsidRDefault="00434541" w:rsidP="00434541">
            <w:pPr>
              <w:spacing w:after="0" w:line="240" w:lineRule="auto"/>
              <w:ind w:firstLine="0"/>
              <w:jc w:val="right"/>
              <w:rPr>
                <w:b/>
                <w:bCs/>
                <w:iCs/>
                <w:lang w:eastAsia="sk-SK"/>
              </w:rPr>
            </w:pPr>
          </w:p>
        </w:tc>
        <w:tc>
          <w:tcPr>
            <w:tcW w:w="1347" w:type="dxa"/>
            <w:noWrap/>
            <w:vAlign w:val="center"/>
          </w:tcPr>
          <w:p w14:paraId="2EA6ED5D" w14:textId="77777777" w:rsidR="00434541" w:rsidRPr="00434541" w:rsidRDefault="00434541" w:rsidP="00434541">
            <w:pPr>
              <w:spacing w:after="0" w:line="240" w:lineRule="auto"/>
              <w:ind w:firstLine="0"/>
              <w:jc w:val="right"/>
              <w:rPr>
                <w:b/>
                <w:bCs/>
                <w:iCs/>
                <w:lang w:eastAsia="sk-SK"/>
              </w:rPr>
            </w:pPr>
          </w:p>
        </w:tc>
        <w:tc>
          <w:tcPr>
            <w:tcW w:w="1250" w:type="dxa"/>
            <w:noWrap/>
            <w:vAlign w:val="center"/>
          </w:tcPr>
          <w:p w14:paraId="54ECD86F" w14:textId="77777777" w:rsidR="00434541" w:rsidRPr="00434541" w:rsidRDefault="00434541" w:rsidP="00434541">
            <w:pPr>
              <w:spacing w:after="0" w:line="240" w:lineRule="auto"/>
              <w:ind w:firstLine="0"/>
              <w:jc w:val="right"/>
              <w:rPr>
                <w:b/>
                <w:bCs/>
                <w:iCs/>
                <w:lang w:eastAsia="sk-SK"/>
              </w:rPr>
            </w:pPr>
          </w:p>
        </w:tc>
        <w:tc>
          <w:tcPr>
            <w:tcW w:w="1437" w:type="dxa"/>
            <w:noWrap/>
            <w:vAlign w:val="center"/>
          </w:tcPr>
          <w:p w14:paraId="1D37F763" w14:textId="77777777" w:rsidR="00434541" w:rsidRPr="00434541" w:rsidRDefault="00434541" w:rsidP="00434541">
            <w:pPr>
              <w:spacing w:after="0" w:line="240" w:lineRule="auto"/>
              <w:ind w:firstLine="0"/>
              <w:jc w:val="right"/>
              <w:rPr>
                <w:b/>
                <w:bCs/>
                <w:iCs/>
                <w:lang w:eastAsia="sk-SK"/>
              </w:rPr>
            </w:pPr>
          </w:p>
        </w:tc>
      </w:tr>
      <w:tr w:rsidR="00434541" w:rsidRPr="00434541" w14:paraId="6E82368B" w14:textId="77777777" w:rsidTr="00434541">
        <w:trPr>
          <w:trHeight w:val="125"/>
          <w:jc w:val="center"/>
        </w:trPr>
        <w:tc>
          <w:tcPr>
            <w:tcW w:w="4661" w:type="dxa"/>
            <w:noWrap/>
            <w:vAlign w:val="center"/>
          </w:tcPr>
          <w:p w14:paraId="19300D27"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ŠR</w:t>
            </w:r>
          </w:p>
        </w:tc>
        <w:tc>
          <w:tcPr>
            <w:tcW w:w="1267" w:type="dxa"/>
            <w:noWrap/>
            <w:vAlign w:val="center"/>
          </w:tcPr>
          <w:p w14:paraId="6375492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2583B7DB"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493114DD"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AFA46FC"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2BEFE81A" w14:textId="77777777" w:rsidTr="00434541">
        <w:trPr>
          <w:trHeight w:val="125"/>
          <w:jc w:val="center"/>
        </w:trPr>
        <w:tc>
          <w:tcPr>
            <w:tcW w:w="4661" w:type="dxa"/>
            <w:noWrap/>
            <w:vAlign w:val="center"/>
          </w:tcPr>
          <w:p w14:paraId="14735C39" w14:textId="77777777" w:rsidR="00434541" w:rsidRPr="00434541" w:rsidRDefault="00434541" w:rsidP="00434541">
            <w:pPr>
              <w:spacing w:after="0" w:line="240" w:lineRule="auto"/>
              <w:ind w:left="259" w:firstLine="0"/>
              <w:jc w:val="left"/>
              <w:rPr>
                <w:b/>
                <w:bCs/>
                <w:i/>
                <w:iCs/>
                <w:lang w:eastAsia="sk-SK"/>
              </w:rPr>
            </w:pPr>
            <w:r w:rsidRPr="00434541">
              <w:rPr>
                <w:bCs/>
                <w:i/>
                <w:iCs/>
                <w:lang w:eastAsia="sk-SK"/>
              </w:rPr>
              <w:t>Rozpočtové prostriedky</w:t>
            </w:r>
          </w:p>
        </w:tc>
        <w:tc>
          <w:tcPr>
            <w:tcW w:w="1267" w:type="dxa"/>
            <w:noWrap/>
            <w:vAlign w:val="center"/>
          </w:tcPr>
          <w:p w14:paraId="28A5B59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78338B16"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6C6BBE28"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C6AE569"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4315FDC6" w14:textId="77777777" w:rsidTr="00434541">
        <w:trPr>
          <w:trHeight w:val="125"/>
          <w:jc w:val="center"/>
        </w:trPr>
        <w:tc>
          <w:tcPr>
            <w:tcW w:w="4661" w:type="dxa"/>
            <w:noWrap/>
            <w:vAlign w:val="center"/>
          </w:tcPr>
          <w:p w14:paraId="2DA80A22" w14:textId="77777777" w:rsidR="00434541" w:rsidRPr="00434541" w:rsidRDefault="00434541" w:rsidP="00434541">
            <w:pPr>
              <w:spacing w:after="0" w:line="240" w:lineRule="auto"/>
              <w:ind w:left="259" w:firstLine="0"/>
              <w:jc w:val="left"/>
              <w:rPr>
                <w:bCs/>
                <w:i/>
                <w:iCs/>
                <w:lang w:eastAsia="sk-SK"/>
              </w:rPr>
            </w:pPr>
            <w:r w:rsidRPr="00434541">
              <w:rPr>
                <w:bCs/>
                <w:i/>
                <w:iCs/>
                <w:lang w:eastAsia="sk-SK"/>
              </w:rPr>
              <w:t>EÚ zdroje</w:t>
            </w:r>
          </w:p>
        </w:tc>
        <w:tc>
          <w:tcPr>
            <w:tcW w:w="1267" w:type="dxa"/>
            <w:noWrap/>
            <w:vAlign w:val="center"/>
          </w:tcPr>
          <w:p w14:paraId="22998847"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347" w:type="dxa"/>
            <w:noWrap/>
            <w:vAlign w:val="center"/>
          </w:tcPr>
          <w:p w14:paraId="770DE208"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250" w:type="dxa"/>
            <w:noWrap/>
            <w:vAlign w:val="center"/>
          </w:tcPr>
          <w:p w14:paraId="6AA54FBB"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437" w:type="dxa"/>
            <w:noWrap/>
            <w:vAlign w:val="center"/>
          </w:tcPr>
          <w:p w14:paraId="62F09877" w14:textId="77777777" w:rsidR="00434541" w:rsidRPr="00434541" w:rsidRDefault="00434541" w:rsidP="00434541">
            <w:pPr>
              <w:spacing w:after="0" w:line="240" w:lineRule="auto"/>
              <w:ind w:firstLine="0"/>
              <w:jc w:val="right"/>
              <w:rPr>
                <w:lang w:eastAsia="sk-SK"/>
              </w:rPr>
            </w:pPr>
            <w:r w:rsidRPr="00434541">
              <w:rPr>
                <w:lang w:eastAsia="sk-SK"/>
              </w:rPr>
              <w:t>0</w:t>
            </w:r>
          </w:p>
        </w:tc>
      </w:tr>
      <w:tr w:rsidR="00434541" w:rsidRPr="00434541" w14:paraId="04E7F192" w14:textId="77777777" w:rsidTr="00434541">
        <w:trPr>
          <w:trHeight w:val="125"/>
          <w:jc w:val="center"/>
        </w:trPr>
        <w:tc>
          <w:tcPr>
            <w:tcW w:w="4661" w:type="dxa"/>
            <w:noWrap/>
            <w:vAlign w:val="center"/>
          </w:tcPr>
          <w:p w14:paraId="3DB56807"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obce</w:t>
            </w:r>
          </w:p>
        </w:tc>
        <w:tc>
          <w:tcPr>
            <w:tcW w:w="1267" w:type="dxa"/>
            <w:noWrap/>
            <w:vAlign w:val="center"/>
          </w:tcPr>
          <w:p w14:paraId="736498E0"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7549BC6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28CD1B47"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5F9C2944"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39CAEAC1" w14:textId="77777777" w:rsidTr="00434541">
        <w:trPr>
          <w:trHeight w:val="125"/>
          <w:jc w:val="center"/>
        </w:trPr>
        <w:tc>
          <w:tcPr>
            <w:tcW w:w="4661" w:type="dxa"/>
            <w:noWrap/>
            <w:vAlign w:val="center"/>
          </w:tcPr>
          <w:p w14:paraId="512B15AD"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vyššie územné celky</w:t>
            </w:r>
          </w:p>
        </w:tc>
        <w:tc>
          <w:tcPr>
            <w:tcW w:w="1267" w:type="dxa"/>
            <w:noWrap/>
            <w:vAlign w:val="center"/>
          </w:tcPr>
          <w:p w14:paraId="7CEB6B0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6E76F6CA"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64E68337"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A44BB1B"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33A309BA" w14:textId="77777777" w:rsidTr="00434541">
        <w:trPr>
          <w:trHeight w:val="125"/>
          <w:jc w:val="center"/>
        </w:trPr>
        <w:tc>
          <w:tcPr>
            <w:tcW w:w="4661" w:type="dxa"/>
            <w:noWrap/>
            <w:vAlign w:val="center"/>
          </w:tcPr>
          <w:p w14:paraId="389CAFFA"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ostatné subjekty verejnej správy</w:t>
            </w:r>
          </w:p>
        </w:tc>
        <w:tc>
          <w:tcPr>
            <w:tcW w:w="1267" w:type="dxa"/>
            <w:noWrap/>
            <w:vAlign w:val="center"/>
          </w:tcPr>
          <w:p w14:paraId="6E17D6B2"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2394527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0C2B828F"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C3C62B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0FF118DF" w14:textId="77777777" w:rsidTr="00434541">
        <w:trPr>
          <w:trHeight w:val="125"/>
          <w:jc w:val="center"/>
        </w:trPr>
        <w:tc>
          <w:tcPr>
            <w:tcW w:w="4661" w:type="dxa"/>
            <w:shd w:val="clear" w:color="auto" w:fill="C0C0C0"/>
            <w:noWrap/>
            <w:vAlign w:val="center"/>
          </w:tcPr>
          <w:p w14:paraId="10B8EDEE" w14:textId="77777777" w:rsidR="00434541" w:rsidRPr="00434541" w:rsidRDefault="00434541" w:rsidP="00434541">
            <w:pPr>
              <w:spacing w:after="0" w:line="240" w:lineRule="auto"/>
              <w:ind w:firstLine="0"/>
              <w:jc w:val="left"/>
              <w:rPr>
                <w:b/>
                <w:bCs/>
                <w:lang w:eastAsia="sk-SK"/>
              </w:rPr>
            </w:pPr>
            <w:r w:rsidRPr="00434541">
              <w:rPr>
                <w:b/>
                <w:bCs/>
                <w:lang w:eastAsia="sk-SK"/>
              </w:rPr>
              <w:t>Výdavky verejnej správy celkom</w:t>
            </w:r>
          </w:p>
        </w:tc>
        <w:tc>
          <w:tcPr>
            <w:tcW w:w="1267" w:type="dxa"/>
            <w:shd w:val="clear" w:color="auto" w:fill="C0C0C0"/>
            <w:noWrap/>
            <w:vAlign w:val="center"/>
          </w:tcPr>
          <w:p w14:paraId="218C7045"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C0C0C0"/>
            <w:noWrap/>
            <w:vAlign w:val="center"/>
          </w:tcPr>
          <w:p w14:paraId="23BBD25F" w14:textId="77777777" w:rsidR="00434541" w:rsidRPr="00434541" w:rsidRDefault="00434541" w:rsidP="00434541">
            <w:pPr>
              <w:spacing w:after="0" w:line="240" w:lineRule="auto"/>
              <w:ind w:firstLine="0"/>
              <w:jc w:val="right"/>
              <w:rPr>
                <w:b/>
                <w:bCs/>
                <w:lang w:eastAsia="sk-SK"/>
              </w:rPr>
            </w:pPr>
            <w:r w:rsidRPr="00434541">
              <w:rPr>
                <w:b/>
                <w:bCs/>
                <w:lang w:eastAsia="sk-SK"/>
              </w:rPr>
              <w:t>209 011</w:t>
            </w:r>
          </w:p>
        </w:tc>
        <w:tc>
          <w:tcPr>
            <w:tcW w:w="1250" w:type="dxa"/>
            <w:shd w:val="clear" w:color="auto" w:fill="C0C0C0"/>
            <w:noWrap/>
            <w:vAlign w:val="center"/>
          </w:tcPr>
          <w:p w14:paraId="77824F0A" w14:textId="77777777" w:rsidR="00434541" w:rsidRPr="00434541" w:rsidRDefault="00434541" w:rsidP="00434541">
            <w:pPr>
              <w:spacing w:after="0" w:line="240" w:lineRule="auto"/>
              <w:ind w:firstLine="0"/>
              <w:jc w:val="right"/>
              <w:rPr>
                <w:b/>
                <w:bCs/>
                <w:lang w:eastAsia="sk-SK"/>
              </w:rPr>
            </w:pPr>
            <w:r w:rsidRPr="00434541">
              <w:rPr>
                <w:b/>
                <w:bCs/>
                <w:lang w:eastAsia="sk-SK"/>
              </w:rPr>
              <w:t>1 614 351</w:t>
            </w:r>
          </w:p>
        </w:tc>
        <w:tc>
          <w:tcPr>
            <w:tcW w:w="1437" w:type="dxa"/>
            <w:shd w:val="clear" w:color="auto" w:fill="C0C0C0"/>
            <w:noWrap/>
            <w:vAlign w:val="center"/>
          </w:tcPr>
          <w:p w14:paraId="5D1F2C3D" w14:textId="77777777" w:rsidR="00434541" w:rsidRPr="00434541" w:rsidRDefault="00434541" w:rsidP="00434541">
            <w:pPr>
              <w:spacing w:after="0" w:line="240" w:lineRule="auto"/>
              <w:ind w:firstLine="0"/>
              <w:jc w:val="right"/>
              <w:rPr>
                <w:b/>
                <w:bCs/>
                <w:lang w:eastAsia="sk-SK"/>
              </w:rPr>
            </w:pPr>
            <w:r w:rsidRPr="00434541">
              <w:rPr>
                <w:b/>
                <w:bCs/>
                <w:lang w:eastAsia="sk-SK"/>
              </w:rPr>
              <w:t xml:space="preserve">484 524   </w:t>
            </w:r>
          </w:p>
        </w:tc>
      </w:tr>
      <w:tr w:rsidR="00434541" w:rsidRPr="00434541" w14:paraId="7CE0B1E1" w14:textId="77777777" w:rsidTr="00434541">
        <w:trPr>
          <w:trHeight w:val="70"/>
          <w:jc w:val="center"/>
        </w:trPr>
        <w:tc>
          <w:tcPr>
            <w:tcW w:w="4661" w:type="dxa"/>
            <w:noWrap/>
            <w:vAlign w:val="center"/>
          </w:tcPr>
          <w:p w14:paraId="2F53EE64" w14:textId="77777777" w:rsidR="00434541" w:rsidRPr="00434541" w:rsidRDefault="00434541" w:rsidP="00434541">
            <w:pPr>
              <w:spacing w:after="0" w:line="240" w:lineRule="auto"/>
              <w:ind w:firstLine="0"/>
              <w:jc w:val="left"/>
              <w:rPr>
                <w:lang w:eastAsia="sk-SK"/>
              </w:rPr>
            </w:pPr>
            <w:r w:rsidRPr="00434541">
              <w:rPr>
                <w:lang w:eastAsia="sk-SK"/>
              </w:rPr>
              <w:t>v tom: za každý subjekt verejnej správy / program zvlášť</w:t>
            </w:r>
          </w:p>
        </w:tc>
        <w:tc>
          <w:tcPr>
            <w:tcW w:w="1267" w:type="dxa"/>
            <w:noWrap/>
            <w:vAlign w:val="center"/>
          </w:tcPr>
          <w:p w14:paraId="41ED41D4"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347" w:type="dxa"/>
            <w:noWrap/>
            <w:vAlign w:val="center"/>
          </w:tcPr>
          <w:p w14:paraId="46033124"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250" w:type="dxa"/>
            <w:noWrap/>
            <w:vAlign w:val="center"/>
          </w:tcPr>
          <w:p w14:paraId="038104BA"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437" w:type="dxa"/>
            <w:noWrap/>
            <w:vAlign w:val="center"/>
          </w:tcPr>
          <w:p w14:paraId="079F1476" w14:textId="77777777" w:rsidR="00434541" w:rsidRPr="00434541" w:rsidRDefault="00434541" w:rsidP="00434541">
            <w:pPr>
              <w:spacing w:after="0" w:line="240" w:lineRule="auto"/>
              <w:ind w:firstLine="0"/>
              <w:jc w:val="right"/>
              <w:rPr>
                <w:lang w:eastAsia="sk-SK"/>
              </w:rPr>
            </w:pPr>
            <w:r w:rsidRPr="00434541">
              <w:rPr>
                <w:lang w:eastAsia="sk-SK"/>
              </w:rPr>
              <w:t>0</w:t>
            </w:r>
          </w:p>
        </w:tc>
      </w:tr>
      <w:tr w:rsidR="00434541" w:rsidRPr="00434541" w14:paraId="7B213E7E" w14:textId="77777777" w:rsidTr="00434541">
        <w:trPr>
          <w:trHeight w:val="70"/>
          <w:jc w:val="center"/>
        </w:trPr>
        <w:tc>
          <w:tcPr>
            <w:tcW w:w="4661" w:type="dxa"/>
            <w:noWrap/>
            <w:vAlign w:val="center"/>
          </w:tcPr>
          <w:p w14:paraId="5314FBB9" w14:textId="77777777" w:rsidR="00434541" w:rsidRPr="00434541" w:rsidRDefault="00434541" w:rsidP="00434541">
            <w:pPr>
              <w:spacing w:after="0" w:line="240" w:lineRule="auto"/>
              <w:ind w:firstLine="0"/>
              <w:jc w:val="left"/>
              <w:rPr>
                <w:lang w:eastAsia="sk-SK"/>
              </w:rPr>
            </w:pPr>
            <w:r w:rsidRPr="00434541">
              <w:rPr>
                <w:i/>
                <w:lang w:eastAsia="sk-SK"/>
              </w:rPr>
              <w:t>Rozpočtové prostriedky</w:t>
            </w:r>
            <w:r w:rsidRPr="00434541">
              <w:rPr>
                <w:lang w:eastAsia="sk-SK"/>
              </w:rPr>
              <w:t xml:space="preserve"> – kapitola Štatistického úradu SR – z toho:</w:t>
            </w:r>
          </w:p>
        </w:tc>
        <w:tc>
          <w:tcPr>
            <w:tcW w:w="1267" w:type="dxa"/>
            <w:noWrap/>
            <w:vAlign w:val="center"/>
          </w:tcPr>
          <w:p w14:paraId="6709D321"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noWrap/>
            <w:vAlign w:val="center"/>
          </w:tcPr>
          <w:p w14:paraId="7EF57A8B" w14:textId="77777777" w:rsidR="00434541" w:rsidRPr="00434541" w:rsidRDefault="00434541" w:rsidP="00434541">
            <w:pPr>
              <w:spacing w:after="0" w:line="240" w:lineRule="auto"/>
              <w:ind w:firstLine="0"/>
              <w:jc w:val="right"/>
              <w:rPr>
                <w:b/>
                <w:bCs/>
                <w:lang w:eastAsia="sk-SK"/>
              </w:rPr>
            </w:pPr>
            <w:r w:rsidRPr="00434541">
              <w:rPr>
                <w:b/>
                <w:bCs/>
                <w:lang w:eastAsia="sk-SK"/>
              </w:rPr>
              <w:t>209 011</w:t>
            </w:r>
          </w:p>
        </w:tc>
        <w:tc>
          <w:tcPr>
            <w:tcW w:w="1250" w:type="dxa"/>
            <w:noWrap/>
            <w:vAlign w:val="center"/>
          </w:tcPr>
          <w:p w14:paraId="2A6B135E" w14:textId="77777777" w:rsidR="00434541" w:rsidRPr="00434541" w:rsidRDefault="00434541" w:rsidP="00434541">
            <w:pPr>
              <w:spacing w:after="0" w:line="240" w:lineRule="auto"/>
              <w:ind w:firstLine="0"/>
              <w:jc w:val="right"/>
              <w:rPr>
                <w:b/>
                <w:bCs/>
                <w:lang w:eastAsia="sk-SK"/>
              </w:rPr>
            </w:pPr>
            <w:r w:rsidRPr="00434541">
              <w:rPr>
                <w:b/>
                <w:bCs/>
                <w:lang w:eastAsia="sk-SK"/>
              </w:rPr>
              <w:t>1 614 351</w:t>
            </w:r>
          </w:p>
        </w:tc>
        <w:tc>
          <w:tcPr>
            <w:tcW w:w="1437" w:type="dxa"/>
            <w:noWrap/>
            <w:vAlign w:val="center"/>
          </w:tcPr>
          <w:p w14:paraId="68D2D423" w14:textId="77777777" w:rsidR="00434541" w:rsidRPr="00434541" w:rsidRDefault="00434541" w:rsidP="00434541">
            <w:pPr>
              <w:spacing w:after="0" w:line="240" w:lineRule="auto"/>
              <w:ind w:firstLine="0"/>
              <w:jc w:val="right"/>
              <w:rPr>
                <w:b/>
                <w:bCs/>
                <w:lang w:eastAsia="sk-SK"/>
              </w:rPr>
            </w:pPr>
            <w:r w:rsidRPr="00434541">
              <w:rPr>
                <w:b/>
                <w:bCs/>
                <w:lang w:eastAsia="sk-SK"/>
              </w:rPr>
              <w:t xml:space="preserve">484 524   </w:t>
            </w:r>
          </w:p>
        </w:tc>
      </w:tr>
      <w:tr w:rsidR="00434541" w:rsidRPr="00434541" w14:paraId="69610F73" w14:textId="77777777" w:rsidTr="00434541">
        <w:trPr>
          <w:trHeight w:val="70"/>
          <w:jc w:val="center"/>
        </w:trPr>
        <w:tc>
          <w:tcPr>
            <w:tcW w:w="4661" w:type="dxa"/>
            <w:noWrap/>
            <w:vAlign w:val="center"/>
          </w:tcPr>
          <w:p w14:paraId="45676AAC" w14:textId="77777777" w:rsidR="00434541" w:rsidRPr="00434541" w:rsidRDefault="00434541" w:rsidP="00434541">
            <w:pPr>
              <w:spacing w:after="0" w:line="240" w:lineRule="auto"/>
              <w:ind w:firstLine="0"/>
              <w:jc w:val="left"/>
              <w:rPr>
                <w:lang w:eastAsia="sk-SK"/>
              </w:rPr>
            </w:pPr>
            <w:r w:rsidRPr="00434541">
              <w:rPr>
                <w:lang w:eastAsia="sk-SK"/>
              </w:rPr>
              <w:t xml:space="preserve">- program 07V – Štatistické zisťovania </w:t>
            </w:r>
          </w:p>
        </w:tc>
        <w:tc>
          <w:tcPr>
            <w:tcW w:w="1267" w:type="dxa"/>
            <w:noWrap/>
            <w:vAlign w:val="center"/>
          </w:tcPr>
          <w:p w14:paraId="2B742EEA"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noWrap/>
            <w:vAlign w:val="center"/>
          </w:tcPr>
          <w:p w14:paraId="23388619" w14:textId="77777777" w:rsidR="00434541" w:rsidRPr="00434541" w:rsidRDefault="00434541" w:rsidP="00434541">
            <w:pPr>
              <w:spacing w:after="0" w:line="240" w:lineRule="auto"/>
              <w:ind w:firstLine="0"/>
              <w:jc w:val="right"/>
              <w:rPr>
                <w:b/>
                <w:bCs/>
                <w:lang w:eastAsia="sk-SK"/>
              </w:rPr>
            </w:pPr>
            <w:r w:rsidRPr="00434541">
              <w:rPr>
                <w:b/>
                <w:bCs/>
                <w:lang w:eastAsia="sk-SK"/>
              </w:rPr>
              <w:t>209 011</w:t>
            </w:r>
          </w:p>
        </w:tc>
        <w:tc>
          <w:tcPr>
            <w:tcW w:w="1250" w:type="dxa"/>
            <w:noWrap/>
            <w:vAlign w:val="center"/>
          </w:tcPr>
          <w:p w14:paraId="4A7D44AC" w14:textId="77777777" w:rsidR="00434541" w:rsidRPr="00434541" w:rsidRDefault="00434541" w:rsidP="00434541">
            <w:pPr>
              <w:spacing w:after="0" w:line="240" w:lineRule="auto"/>
              <w:ind w:firstLine="0"/>
              <w:jc w:val="right"/>
              <w:rPr>
                <w:b/>
                <w:bCs/>
                <w:lang w:eastAsia="sk-SK"/>
              </w:rPr>
            </w:pPr>
            <w:r w:rsidRPr="00434541">
              <w:rPr>
                <w:b/>
                <w:bCs/>
                <w:lang w:eastAsia="sk-SK"/>
              </w:rPr>
              <w:t xml:space="preserve">356 268 </w:t>
            </w:r>
          </w:p>
        </w:tc>
        <w:tc>
          <w:tcPr>
            <w:tcW w:w="1437" w:type="dxa"/>
            <w:noWrap/>
            <w:vAlign w:val="center"/>
          </w:tcPr>
          <w:p w14:paraId="42C06149" w14:textId="77777777" w:rsidR="00434541" w:rsidRPr="00434541" w:rsidRDefault="00434541" w:rsidP="00434541">
            <w:pPr>
              <w:spacing w:after="0" w:line="240" w:lineRule="auto"/>
              <w:ind w:firstLine="0"/>
              <w:jc w:val="right"/>
              <w:rPr>
                <w:b/>
                <w:bCs/>
                <w:lang w:eastAsia="sk-SK"/>
              </w:rPr>
            </w:pPr>
            <w:r w:rsidRPr="00434541">
              <w:rPr>
                <w:b/>
                <w:bCs/>
                <w:lang w:eastAsia="sk-SK"/>
              </w:rPr>
              <w:t>399 020</w:t>
            </w:r>
          </w:p>
        </w:tc>
      </w:tr>
      <w:tr w:rsidR="00434541" w:rsidRPr="00434541" w14:paraId="5BD770C8" w14:textId="77777777" w:rsidTr="00434541">
        <w:trPr>
          <w:trHeight w:val="70"/>
          <w:jc w:val="center"/>
        </w:trPr>
        <w:tc>
          <w:tcPr>
            <w:tcW w:w="4661" w:type="dxa"/>
            <w:noWrap/>
            <w:vAlign w:val="center"/>
          </w:tcPr>
          <w:p w14:paraId="4B9A9820" w14:textId="77777777" w:rsidR="00434541" w:rsidRPr="00434541" w:rsidRDefault="00434541" w:rsidP="00434541">
            <w:pPr>
              <w:spacing w:after="0" w:line="240" w:lineRule="auto"/>
              <w:ind w:firstLine="0"/>
              <w:jc w:val="left"/>
              <w:rPr>
                <w:lang w:eastAsia="sk-SK"/>
              </w:rPr>
            </w:pPr>
            <w:r w:rsidRPr="00434541">
              <w:rPr>
                <w:lang w:eastAsia="sk-SK"/>
              </w:rPr>
              <w:t>- program 0EK0N - Informačné technológie financované zo štátneho rozpočtu – Štatistický úrad SR</w:t>
            </w:r>
          </w:p>
        </w:tc>
        <w:tc>
          <w:tcPr>
            <w:tcW w:w="1267" w:type="dxa"/>
            <w:noWrap/>
            <w:vAlign w:val="center"/>
          </w:tcPr>
          <w:p w14:paraId="04CAEC4E"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noWrap/>
            <w:vAlign w:val="center"/>
          </w:tcPr>
          <w:p w14:paraId="77D8164B"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250" w:type="dxa"/>
            <w:noWrap/>
            <w:vAlign w:val="center"/>
          </w:tcPr>
          <w:p w14:paraId="37DC30A9" w14:textId="77777777" w:rsidR="00434541" w:rsidRPr="00434541" w:rsidRDefault="00434541" w:rsidP="00434541">
            <w:pPr>
              <w:spacing w:after="0" w:line="240" w:lineRule="auto"/>
              <w:ind w:firstLine="0"/>
              <w:jc w:val="right"/>
              <w:rPr>
                <w:b/>
                <w:bCs/>
                <w:lang w:eastAsia="sk-SK"/>
              </w:rPr>
            </w:pPr>
            <w:r w:rsidRPr="00434541">
              <w:rPr>
                <w:b/>
                <w:bCs/>
                <w:lang w:eastAsia="sk-SK"/>
              </w:rPr>
              <w:t>1 258 083</w:t>
            </w:r>
          </w:p>
        </w:tc>
        <w:tc>
          <w:tcPr>
            <w:tcW w:w="1437" w:type="dxa"/>
            <w:noWrap/>
            <w:vAlign w:val="center"/>
          </w:tcPr>
          <w:p w14:paraId="15438F26" w14:textId="77777777" w:rsidR="00434541" w:rsidRPr="00434541" w:rsidRDefault="00434541" w:rsidP="00434541">
            <w:pPr>
              <w:spacing w:after="0" w:line="240" w:lineRule="auto"/>
              <w:ind w:firstLine="0"/>
              <w:jc w:val="right"/>
              <w:rPr>
                <w:b/>
                <w:bCs/>
                <w:lang w:eastAsia="sk-SK"/>
              </w:rPr>
            </w:pPr>
            <w:r w:rsidRPr="00434541">
              <w:rPr>
                <w:b/>
                <w:bCs/>
                <w:lang w:eastAsia="sk-SK"/>
              </w:rPr>
              <w:t xml:space="preserve">85 504 </w:t>
            </w:r>
          </w:p>
        </w:tc>
      </w:tr>
      <w:tr w:rsidR="00434541" w:rsidRPr="00434541" w14:paraId="107E99CA" w14:textId="77777777" w:rsidTr="00434541">
        <w:trPr>
          <w:trHeight w:val="70"/>
          <w:jc w:val="center"/>
        </w:trPr>
        <w:tc>
          <w:tcPr>
            <w:tcW w:w="4661" w:type="dxa"/>
            <w:noWrap/>
            <w:vAlign w:val="center"/>
          </w:tcPr>
          <w:p w14:paraId="730E8989"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xml:space="preserve">z toho: </w:t>
            </w:r>
          </w:p>
        </w:tc>
        <w:tc>
          <w:tcPr>
            <w:tcW w:w="1267" w:type="dxa"/>
            <w:noWrap/>
            <w:vAlign w:val="center"/>
          </w:tcPr>
          <w:p w14:paraId="0FBF47A8" w14:textId="77777777" w:rsidR="00434541" w:rsidRPr="00434541" w:rsidRDefault="00434541" w:rsidP="00434541">
            <w:pPr>
              <w:spacing w:after="0" w:line="240" w:lineRule="auto"/>
              <w:ind w:firstLine="0"/>
              <w:jc w:val="right"/>
              <w:rPr>
                <w:b/>
                <w:bCs/>
                <w:iCs/>
                <w:lang w:eastAsia="sk-SK"/>
              </w:rPr>
            </w:pPr>
          </w:p>
        </w:tc>
        <w:tc>
          <w:tcPr>
            <w:tcW w:w="1347" w:type="dxa"/>
            <w:noWrap/>
            <w:vAlign w:val="center"/>
          </w:tcPr>
          <w:p w14:paraId="382CA750" w14:textId="77777777" w:rsidR="00434541" w:rsidRPr="00434541" w:rsidRDefault="00434541" w:rsidP="00434541">
            <w:pPr>
              <w:spacing w:after="0" w:line="240" w:lineRule="auto"/>
              <w:ind w:firstLine="0"/>
              <w:jc w:val="right"/>
              <w:rPr>
                <w:b/>
                <w:bCs/>
                <w:iCs/>
                <w:lang w:eastAsia="sk-SK"/>
              </w:rPr>
            </w:pPr>
          </w:p>
        </w:tc>
        <w:tc>
          <w:tcPr>
            <w:tcW w:w="1250" w:type="dxa"/>
            <w:noWrap/>
            <w:vAlign w:val="center"/>
          </w:tcPr>
          <w:p w14:paraId="241B7325" w14:textId="77777777" w:rsidR="00434541" w:rsidRPr="00434541" w:rsidRDefault="00434541" w:rsidP="00434541">
            <w:pPr>
              <w:spacing w:after="0" w:line="240" w:lineRule="auto"/>
              <w:ind w:firstLine="0"/>
              <w:jc w:val="right"/>
              <w:rPr>
                <w:b/>
                <w:bCs/>
                <w:iCs/>
                <w:lang w:eastAsia="sk-SK"/>
              </w:rPr>
            </w:pPr>
          </w:p>
        </w:tc>
        <w:tc>
          <w:tcPr>
            <w:tcW w:w="1437" w:type="dxa"/>
            <w:noWrap/>
            <w:vAlign w:val="center"/>
          </w:tcPr>
          <w:p w14:paraId="4C1D0611" w14:textId="77777777" w:rsidR="00434541" w:rsidRPr="00434541" w:rsidRDefault="00434541" w:rsidP="00434541">
            <w:pPr>
              <w:spacing w:after="0" w:line="240" w:lineRule="auto"/>
              <w:ind w:firstLine="0"/>
              <w:jc w:val="right"/>
              <w:rPr>
                <w:b/>
                <w:bCs/>
                <w:iCs/>
                <w:lang w:eastAsia="sk-SK"/>
              </w:rPr>
            </w:pPr>
          </w:p>
        </w:tc>
      </w:tr>
      <w:tr w:rsidR="00434541" w:rsidRPr="00434541" w14:paraId="3BC48888" w14:textId="77777777" w:rsidTr="00434541">
        <w:trPr>
          <w:trHeight w:val="70"/>
          <w:jc w:val="center"/>
        </w:trPr>
        <w:tc>
          <w:tcPr>
            <w:tcW w:w="4661" w:type="dxa"/>
            <w:noWrap/>
            <w:vAlign w:val="center"/>
          </w:tcPr>
          <w:p w14:paraId="63DE852A"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ŠR</w:t>
            </w:r>
          </w:p>
        </w:tc>
        <w:tc>
          <w:tcPr>
            <w:tcW w:w="1267" w:type="dxa"/>
            <w:noWrap/>
            <w:vAlign w:val="center"/>
          </w:tcPr>
          <w:p w14:paraId="6AA79198"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39895F4B" w14:textId="77777777" w:rsidR="00434541" w:rsidRPr="00434541" w:rsidRDefault="00434541" w:rsidP="00434541">
            <w:pPr>
              <w:spacing w:after="0" w:line="240" w:lineRule="auto"/>
              <w:ind w:firstLine="0"/>
              <w:jc w:val="right"/>
              <w:rPr>
                <w:b/>
                <w:bCs/>
                <w:iCs/>
                <w:lang w:eastAsia="sk-SK"/>
              </w:rPr>
            </w:pPr>
            <w:r w:rsidRPr="00434541">
              <w:rPr>
                <w:b/>
                <w:bCs/>
                <w:iCs/>
                <w:lang w:eastAsia="sk-SK"/>
              </w:rPr>
              <w:t>209 011</w:t>
            </w:r>
          </w:p>
        </w:tc>
        <w:tc>
          <w:tcPr>
            <w:tcW w:w="1250" w:type="dxa"/>
            <w:noWrap/>
            <w:vAlign w:val="center"/>
          </w:tcPr>
          <w:p w14:paraId="66198960" w14:textId="77777777" w:rsidR="00434541" w:rsidRPr="00434541" w:rsidRDefault="00434541" w:rsidP="00434541">
            <w:pPr>
              <w:spacing w:after="0" w:line="240" w:lineRule="auto"/>
              <w:ind w:firstLine="0"/>
              <w:jc w:val="right"/>
              <w:rPr>
                <w:b/>
                <w:bCs/>
                <w:iCs/>
                <w:lang w:eastAsia="sk-SK"/>
              </w:rPr>
            </w:pPr>
            <w:r w:rsidRPr="00434541">
              <w:rPr>
                <w:b/>
                <w:bCs/>
                <w:iCs/>
                <w:lang w:eastAsia="sk-SK"/>
              </w:rPr>
              <w:t>1614 351</w:t>
            </w:r>
          </w:p>
        </w:tc>
        <w:tc>
          <w:tcPr>
            <w:tcW w:w="1437" w:type="dxa"/>
            <w:noWrap/>
            <w:vAlign w:val="center"/>
          </w:tcPr>
          <w:p w14:paraId="7CB80C80" w14:textId="77777777" w:rsidR="00434541" w:rsidRPr="00434541" w:rsidRDefault="00434541" w:rsidP="00434541">
            <w:pPr>
              <w:spacing w:after="0" w:line="240" w:lineRule="auto"/>
              <w:ind w:firstLine="0"/>
              <w:jc w:val="right"/>
              <w:rPr>
                <w:b/>
                <w:bCs/>
                <w:iCs/>
                <w:lang w:eastAsia="sk-SK"/>
              </w:rPr>
            </w:pPr>
            <w:r w:rsidRPr="00434541">
              <w:rPr>
                <w:b/>
                <w:bCs/>
                <w:iCs/>
                <w:lang w:eastAsia="sk-SK"/>
              </w:rPr>
              <w:t>484 524</w:t>
            </w:r>
          </w:p>
        </w:tc>
      </w:tr>
      <w:tr w:rsidR="00434541" w:rsidRPr="00434541" w14:paraId="58463590" w14:textId="77777777" w:rsidTr="00434541">
        <w:trPr>
          <w:trHeight w:val="70"/>
          <w:jc w:val="center"/>
        </w:trPr>
        <w:tc>
          <w:tcPr>
            <w:tcW w:w="4661" w:type="dxa"/>
            <w:noWrap/>
            <w:vAlign w:val="center"/>
          </w:tcPr>
          <w:p w14:paraId="7DB690F6" w14:textId="77777777" w:rsidR="00434541" w:rsidRPr="00434541" w:rsidRDefault="00434541" w:rsidP="00434541">
            <w:pPr>
              <w:spacing w:after="0" w:line="240" w:lineRule="auto"/>
              <w:ind w:firstLine="0"/>
              <w:jc w:val="left"/>
              <w:rPr>
                <w:b/>
                <w:bCs/>
                <w:i/>
                <w:iCs/>
                <w:lang w:eastAsia="sk-SK"/>
              </w:rPr>
            </w:pPr>
            <w:r w:rsidRPr="00434541">
              <w:rPr>
                <w:i/>
                <w:lang w:eastAsia="sk-SK"/>
              </w:rPr>
              <w:t>Rozpočtové prostriedky</w:t>
            </w:r>
            <w:r w:rsidRPr="00434541">
              <w:rPr>
                <w:lang w:eastAsia="sk-SK"/>
              </w:rPr>
              <w:t xml:space="preserve"> – kapitola Štatistického úradu SR – z toho:</w:t>
            </w:r>
          </w:p>
        </w:tc>
        <w:tc>
          <w:tcPr>
            <w:tcW w:w="1267" w:type="dxa"/>
            <w:noWrap/>
            <w:vAlign w:val="center"/>
          </w:tcPr>
          <w:p w14:paraId="5FE4191D" w14:textId="77777777" w:rsidR="00434541" w:rsidRPr="00434541" w:rsidRDefault="00434541" w:rsidP="00434541">
            <w:pPr>
              <w:spacing w:after="0" w:line="240" w:lineRule="auto"/>
              <w:ind w:firstLine="0"/>
              <w:jc w:val="right"/>
              <w:rPr>
                <w:b/>
                <w:bCs/>
                <w:iCs/>
                <w:lang w:eastAsia="sk-SK"/>
              </w:rPr>
            </w:pPr>
            <w:r w:rsidRPr="00434541">
              <w:rPr>
                <w:b/>
                <w:bCs/>
                <w:lang w:eastAsia="sk-SK"/>
              </w:rPr>
              <w:t>0</w:t>
            </w:r>
          </w:p>
        </w:tc>
        <w:tc>
          <w:tcPr>
            <w:tcW w:w="1347" w:type="dxa"/>
            <w:noWrap/>
            <w:vAlign w:val="center"/>
          </w:tcPr>
          <w:p w14:paraId="4CA44F2B" w14:textId="77777777" w:rsidR="00434541" w:rsidRPr="00434541" w:rsidRDefault="00434541" w:rsidP="00434541">
            <w:pPr>
              <w:spacing w:after="0" w:line="240" w:lineRule="auto"/>
              <w:ind w:firstLine="0"/>
              <w:jc w:val="right"/>
              <w:rPr>
                <w:b/>
                <w:bCs/>
                <w:iCs/>
                <w:lang w:eastAsia="sk-SK"/>
              </w:rPr>
            </w:pPr>
            <w:r w:rsidRPr="00434541">
              <w:rPr>
                <w:b/>
                <w:bCs/>
                <w:lang w:eastAsia="sk-SK"/>
              </w:rPr>
              <w:t>209 011</w:t>
            </w:r>
          </w:p>
        </w:tc>
        <w:tc>
          <w:tcPr>
            <w:tcW w:w="1250" w:type="dxa"/>
            <w:noWrap/>
            <w:vAlign w:val="center"/>
          </w:tcPr>
          <w:p w14:paraId="567DF219" w14:textId="77777777" w:rsidR="00434541" w:rsidRPr="00434541" w:rsidRDefault="00434541" w:rsidP="00434541">
            <w:pPr>
              <w:spacing w:after="0" w:line="240" w:lineRule="auto"/>
              <w:ind w:firstLine="0"/>
              <w:jc w:val="right"/>
              <w:rPr>
                <w:b/>
                <w:bCs/>
                <w:iCs/>
                <w:lang w:eastAsia="sk-SK"/>
              </w:rPr>
            </w:pPr>
            <w:r w:rsidRPr="00434541">
              <w:rPr>
                <w:b/>
                <w:bCs/>
                <w:lang w:eastAsia="sk-SK"/>
              </w:rPr>
              <w:t>1 614 351</w:t>
            </w:r>
          </w:p>
        </w:tc>
        <w:tc>
          <w:tcPr>
            <w:tcW w:w="1437" w:type="dxa"/>
            <w:noWrap/>
            <w:vAlign w:val="center"/>
          </w:tcPr>
          <w:p w14:paraId="38BD7BE1" w14:textId="77777777" w:rsidR="00434541" w:rsidRPr="00434541" w:rsidRDefault="00434541" w:rsidP="00434541">
            <w:pPr>
              <w:spacing w:after="0" w:line="240" w:lineRule="auto"/>
              <w:ind w:firstLine="0"/>
              <w:jc w:val="right"/>
              <w:rPr>
                <w:b/>
                <w:bCs/>
                <w:iCs/>
                <w:lang w:eastAsia="sk-SK"/>
              </w:rPr>
            </w:pPr>
            <w:r w:rsidRPr="00434541">
              <w:rPr>
                <w:b/>
                <w:bCs/>
                <w:lang w:eastAsia="sk-SK"/>
              </w:rPr>
              <w:t xml:space="preserve">484 524   </w:t>
            </w:r>
          </w:p>
        </w:tc>
      </w:tr>
      <w:tr w:rsidR="00434541" w:rsidRPr="00434541" w14:paraId="2F213FFF" w14:textId="77777777" w:rsidTr="00434541">
        <w:trPr>
          <w:trHeight w:val="70"/>
          <w:jc w:val="center"/>
        </w:trPr>
        <w:tc>
          <w:tcPr>
            <w:tcW w:w="4661" w:type="dxa"/>
            <w:noWrap/>
            <w:vAlign w:val="center"/>
          </w:tcPr>
          <w:p w14:paraId="1881B273" w14:textId="77777777" w:rsidR="00434541" w:rsidRPr="00434541" w:rsidRDefault="00434541" w:rsidP="00434541">
            <w:pPr>
              <w:spacing w:after="0" w:line="240" w:lineRule="auto"/>
              <w:ind w:firstLine="0"/>
              <w:jc w:val="left"/>
              <w:rPr>
                <w:lang w:eastAsia="sk-SK"/>
              </w:rPr>
            </w:pPr>
            <w:r w:rsidRPr="00434541">
              <w:rPr>
                <w:lang w:eastAsia="sk-SK"/>
              </w:rPr>
              <w:t>- program 07V – Štatistické zisťovania</w:t>
            </w:r>
          </w:p>
        </w:tc>
        <w:tc>
          <w:tcPr>
            <w:tcW w:w="1267" w:type="dxa"/>
            <w:noWrap/>
            <w:vAlign w:val="center"/>
          </w:tcPr>
          <w:p w14:paraId="42A7B726"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372A10AF" w14:textId="77777777" w:rsidR="00434541" w:rsidRPr="00434541" w:rsidRDefault="00434541" w:rsidP="00434541">
            <w:pPr>
              <w:spacing w:after="0" w:line="240" w:lineRule="auto"/>
              <w:ind w:firstLine="0"/>
              <w:jc w:val="right"/>
              <w:rPr>
                <w:b/>
                <w:bCs/>
                <w:iCs/>
                <w:lang w:eastAsia="sk-SK"/>
              </w:rPr>
            </w:pPr>
            <w:r w:rsidRPr="00434541">
              <w:rPr>
                <w:b/>
                <w:bCs/>
                <w:lang w:eastAsia="sk-SK"/>
              </w:rPr>
              <w:t>209 011</w:t>
            </w:r>
          </w:p>
        </w:tc>
        <w:tc>
          <w:tcPr>
            <w:tcW w:w="1250" w:type="dxa"/>
            <w:noWrap/>
            <w:vAlign w:val="center"/>
          </w:tcPr>
          <w:p w14:paraId="63CEE848" w14:textId="77777777" w:rsidR="00434541" w:rsidRPr="00434541" w:rsidRDefault="00434541" w:rsidP="00434541">
            <w:pPr>
              <w:spacing w:after="0" w:line="240" w:lineRule="auto"/>
              <w:ind w:firstLine="0"/>
              <w:jc w:val="right"/>
              <w:rPr>
                <w:b/>
                <w:bCs/>
                <w:iCs/>
                <w:lang w:eastAsia="sk-SK"/>
              </w:rPr>
            </w:pPr>
            <w:r w:rsidRPr="00434541">
              <w:rPr>
                <w:b/>
                <w:bCs/>
                <w:lang w:eastAsia="sk-SK"/>
              </w:rPr>
              <w:t>356 268</w:t>
            </w:r>
          </w:p>
        </w:tc>
        <w:tc>
          <w:tcPr>
            <w:tcW w:w="1437" w:type="dxa"/>
            <w:noWrap/>
            <w:vAlign w:val="center"/>
          </w:tcPr>
          <w:p w14:paraId="13B202C7" w14:textId="77777777" w:rsidR="00434541" w:rsidRPr="00434541" w:rsidRDefault="00434541" w:rsidP="00434541">
            <w:pPr>
              <w:spacing w:after="0" w:line="240" w:lineRule="auto"/>
              <w:ind w:firstLine="0"/>
              <w:jc w:val="right"/>
              <w:rPr>
                <w:b/>
                <w:bCs/>
                <w:iCs/>
                <w:lang w:eastAsia="sk-SK"/>
              </w:rPr>
            </w:pPr>
            <w:r w:rsidRPr="00434541">
              <w:rPr>
                <w:b/>
                <w:bCs/>
                <w:lang w:eastAsia="sk-SK"/>
              </w:rPr>
              <w:t>399 020</w:t>
            </w:r>
          </w:p>
        </w:tc>
      </w:tr>
      <w:tr w:rsidR="00434541" w:rsidRPr="00434541" w14:paraId="4B073A56" w14:textId="77777777" w:rsidTr="00434541">
        <w:trPr>
          <w:trHeight w:val="70"/>
          <w:jc w:val="center"/>
        </w:trPr>
        <w:tc>
          <w:tcPr>
            <w:tcW w:w="4661" w:type="dxa"/>
            <w:noWrap/>
            <w:vAlign w:val="center"/>
          </w:tcPr>
          <w:p w14:paraId="29A0D9DA" w14:textId="77777777" w:rsidR="00434541" w:rsidRPr="00434541" w:rsidRDefault="00434541" w:rsidP="00434541">
            <w:pPr>
              <w:spacing w:after="0" w:line="240" w:lineRule="auto"/>
              <w:ind w:firstLine="0"/>
              <w:jc w:val="left"/>
              <w:rPr>
                <w:lang w:eastAsia="sk-SK"/>
              </w:rPr>
            </w:pPr>
            <w:r w:rsidRPr="00434541">
              <w:rPr>
                <w:lang w:eastAsia="sk-SK"/>
              </w:rPr>
              <w:t>- program 0EK0N - Informačné technológie financované zo štátneho rozpočtu – Štatistický úrad SR</w:t>
            </w:r>
          </w:p>
        </w:tc>
        <w:tc>
          <w:tcPr>
            <w:tcW w:w="1267" w:type="dxa"/>
            <w:noWrap/>
            <w:vAlign w:val="center"/>
          </w:tcPr>
          <w:p w14:paraId="1AD24D39"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10E9530F" w14:textId="77777777" w:rsidR="00434541" w:rsidRPr="00434541" w:rsidRDefault="00434541" w:rsidP="00434541">
            <w:pPr>
              <w:spacing w:after="0" w:line="240" w:lineRule="auto"/>
              <w:ind w:firstLine="0"/>
              <w:jc w:val="right"/>
              <w:rPr>
                <w:b/>
                <w:bCs/>
                <w:iCs/>
                <w:lang w:eastAsia="sk-SK"/>
              </w:rPr>
            </w:pPr>
            <w:r w:rsidRPr="00434541">
              <w:rPr>
                <w:b/>
                <w:bCs/>
                <w:lang w:eastAsia="sk-SK"/>
              </w:rPr>
              <w:t xml:space="preserve">0 </w:t>
            </w:r>
          </w:p>
        </w:tc>
        <w:tc>
          <w:tcPr>
            <w:tcW w:w="1250" w:type="dxa"/>
            <w:noWrap/>
            <w:vAlign w:val="center"/>
          </w:tcPr>
          <w:p w14:paraId="622427A3" w14:textId="77777777" w:rsidR="00434541" w:rsidRPr="00434541" w:rsidRDefault="00434541" w:rsidP="00434541">
            <w:pPr>
              <w:spacing w:after="0" w:line="240" w:lineRule="auto"/>
              <w:ind w:firstLine="0"/>
              <w:jc w:val="right"/>
              <w:rPr>
                <w:b/>
                <w:bCs/>
                <w:lang w:eastAsia="sk-SK"/>
              </w:rPr>
            </w:pPr>
            <w:r w:rsidRPr="00434541">
              <w:rPr>
                <w:b/>
                <w:bCs/>
                <w:lang w:eastAsia="sk-SK"/>
              </w:rPr>
              <w:t>1 258 083</w:t>
            </w:r>
          </w:p>
          <w:p w14:paraId="2011731B" w14:textId="77777777" w:rsidR="00434541" w:rsidRPr="00434541" w:rsidRDefault="00434541" w:rsidP="00434541">
            <w:pPr>
              <w:spacing w:after="0" w:line="240" w:lineRule="auto"/>
              <w:ind w:firstLine="0"/>
              <w:jc w:val="right"/>
              <w:rPr>
                <w:b/>
                <w:bCs/>
                <w:iCs/>
                <w:lang w:eastAsia="sk-SK"/>
              </w:rPr>
            </w:pPr>
          </w:p>
        </w:tc>
        <w:tc>
          <w:tcPr>
            <w:tcW w:w="1437" w:type="dxa"/>
            <w:noWrap/>
            <w:vAlign w:val="center"/>
          </w:tcPr>
          <w:p w14:paraId="587992F2" w14:textId="77777777" w:rsidR="00434541" w:rsidRPr="00434541" w:rsidRDefault="00434541" w:rsidP="00434541">
            <w:pPr>
              <w:spacing w:after="0" w:line="240" w:lineRule="auto"/>
              <w:ind w:firstLine="0"/>
              <w:jc w:val="right"/>
              <w:rPr>
                <w:b/>
                <w:bCs/>
                <w:iCs/>
                <w:lang w:eastAsia="sk-SK"/>
              </w:rPr>
            </w:pPr>
            <w:r w:rsidRPr="00434541">
              <w:rPr>
                <w:b/>
                <w:bCs/>
                <w:lang w:eastAsia="sk-SK"/>
              </w:rPr>
              <w:t>85 504</w:t>
            </w:r>
          </w:p>
        </w:tc>
      </w:tr>
      <w:tr w:rsidR="00434541" w:rsidRPr="00434541" w14:paraId="027E309B" w14:textId="77777777" w:rsidTr="00434541">
        <w:trPr>
          <w:trHeight w:val="70"/>
          <w:jc w:val="center"/>
        </w:trPr>
        <w:tc>
          <w:tcPr>
            <w:tcW w:w="4661" w:type="dxa"/>
            <w:noWrap/>
            <w:vAlign w:val="center"/>
          </w:tcPr>
          <w:p w14:paraId="6F55C8B6" w14:textId="77777777" w:rsidR="00434541" w:rsidRPr="00434541" w:rsidRDefault="00434541" w:rsidP="00434541">
            <w:pPr>
              <w:spacing w:after="0" w:line="240" w:lineRule="auto"/>
              <w:ind w:firstLine="0"/>
              <w:jc w:val="left"/>
              <w:rPr>
                <w:bCs/>
                <w:i/>
                <w:iCs/>
                <w:lang w:eastAsia="sk-SK"/>
              </w:rPr>
            </w:pPr>
            <w:r w:rsidRPr="00434541">
              <w:rPr>
                <w:bCs/>
                <w:i/>
                <w:iCs/>
                <w:lang w:eastAsia="sk-SK"/>
              </w:rPr>
              <w:t xml:space="preserve">    EÚ zdroje</w:t>
            </w:r>
          </w:p>
        </w:tc>
        <w:tc>
          <w:tcPr>
            <w:tcW w:w="1267" w:type="dxa"/>
            <w:noWrap/>
            <w:vAlign w:val="center"/>
          </w:tcPr>
          <w:p w14:paraId="4901D54B"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347" w:type="dxa"/>
            <w:noWrap/>
            <w:vAlign w:val="center"/>
          </w:tcPr>
          <w:p w14:paraId="66607CBB"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250" w:type="dxa"/>
            <w:noWrap/>
            <w:vAlign w:val="center"/>
          </w:tcPr>
          <w:p w14:paraId="1E9DEDA6"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437" w:type="dxa"/>
            <w:noWrap/>
            <w:vAlign w:val="center"/>
          </w:tcPr>
          <w:p w14:paraId="2BB2B95F" w14:textId="77777777" w:rsidR="00434541" w:rsidRPr="00434541" w:rsidRDefault="00434541" w:rsidP="00434541">
            <w:pPr>
              <w:spacing w:after="0" w:line="240" w:lineRule="auto"/>
              <w:ind w:firstLine="0"/>
              <w:jc w:val="right"/>
              <w:rPr>
                <w:lang w:eastAsia="sk-SK"/>
              </w:rPr>
            </w:pPr>
            <w:r w:rsidRPr="00434541">
              <w:rPr>
                <w:lang w:eastAsia="sk-SK"/>
              </w:rPr>
              <w:t>0</w:t>
            </w:r>
          </w:p>
        </w:tc>
      </w:tr>
      <w:tr w:rsidR="00434541" w:rsidRPr="00434541" w14:paraId="35B7BB25" w14:textId="77777777" w:rsidTr="00434541">
        <w:trPr>
          <w:trHeight w:val="70"/>
          <w:jc w:val="center"/>
        </w:trPr>
        <w:tc>
          <w:tcPr>
            <w:tcW w:w="4661" w:type="dxa"/>
            <w:noWrap/>
            <w:vAlign w:val="center"/>
          </w:tcPr>
          <w:p w14:paraId="3E1B5B89" w14:textId="77777777" w:rsidR="00434541" w:rsidRPr="00434541" w:rsidRDefault="00434541" w:rsidP="00434541">
            <w:pPr>
              <w:spacing w:after="0" w:line="240" w:lineRule="auto"/>
              <w:ind w:firstLine="0"/>
              <w:jc w:val="left"/>
              <w:rPr>
                <w:bCs/>
                <w:i/>
                <w:iCs/>
                <w:lang w:eastAsia="sk-SK"/>
              </w:rPr>
            </w:pPr>
            <w:r w:rsidRPr="00434541">
              <w:rPr>
                <w:bCs/>
                <w:i/>
                <w:iCs/>
                <w:lang w:eastAsia="sk-SK"/>
              </w:rPr>
              <w:t xml:space="preserve">    spolufinancovanie</w:t>
            </w:r>
          </w:p>
        </w:tc>
        <w:tc>
          <w:tcPr>
            <w:tcW w:w="1267" w:type="dxa"/>
            <w:noWrap/>
            <w:vAlign w:val="center"/>
          </w:tcPr>
          <w:p w14:paraId="3A937D93"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347" w:type="dxa"/>
            <w:noWrap/>
            <w:vAlign w:val="center"/>
          </w:tcPr>
          <w:p w14:paraId="474542F9"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250" w:type="dxa"/>
            <w:noWrap/>
            <w:vAlign w:val="center"/>
          </w:tcPr>
          <w:p w14:paraId="47272ABD" w14:textId="77777777" w:rsidR="00434541" w:rsidRPr="00434541" w:rsidRDefault="00434541" w:rsidP="00434541">
            <w:pPr>
              <w:spacing w:after="0" w:line="240" w:lineRule="auto"/>
              <w:ind w:firstLine="0"/>
              <w:jc w:val="right"/>
              <w:rPr>
                <w:lang w:eastAsia="sk-SK"/>
              </w:rPr>
            </w:pPr>
            <w:r w:rsidRPr="00434541">
              <w:rPr>
                <w:lang w:eastAsia="sk-SK"/>
              </w:rPr>
              <w:t>0</w:t>
            </w:r>
          </w:p>
        </w:tc>
        <w:tc>
          <w:tcPr>
            <w:tcW w:w="1437" w:type="dxa"/>
            <w:noWrap/>
            <w:vAlign w:val="center"/>
          </w:tcPr>
          <w:p w14:paraId="449F7E29" w14:textId="77777777" w:rsidR="00434541" w:rsidRPr="00434541" w:rsidRDefault="00434541" w:rsidP="00434541">
            <w:pPr>
              <w:spacing w:after="0" w:line="240" w:lineRule="auto"/>
              <w:ind w:firstLine="0"/>
              <w:jc w:val="right"/>
              <w:rPr>
                <w:lang w:eastAsia="sk-SK"/>
              </w:rPr>
            </w:pPr>
            <w:r w:rsidRPr="00434541">
              <w:rPr>
                <w:lang w:eastAsia="sk-SK"/>
              </w:rPr>
              <w:t>0</w:t>
            </w:r>
          </w:p>
        </w:tc>
      </w:tr>
      <w:tr w:rsidR="00434541" w:rsidRPr="00434541" w14:paraId="37A1B70C" w14:textId="77777777" w:rsidTr="00434541">
        <w:trPr>
          <w:trHeight w:val="125"/>
          <w:jc w:val="center"/>
        </w:trPr>
        <w:tc>
          <w:tcPr>
            <w:tcW w:w="4661" w:type="dxa"/>
            <w:noWrap/>
            <w:vAlign w:val="center"/>
          </w:tcPr>
          <w:p w14:paraId="64934285" w14:textId="77777777" w:rsidR="00434541" w:rsidRPr="00434541" w:rsidRDefault="00434541" w:rsidP="00434541">
            <w:pPr>
              <w:spacing w:after="0" w:line="240" w:lineRule="auto"/>
              <w:ind w:firstLine="0"/>
              <w:jc w:val="left"/>
              <w:rPr>
                <w:b/>
                <w:bCs/>
                <w:i/>
                <w:iCs/>
                <w:highlight w:val="cyan"/>
                <w:lang w:eastAsia="sk-SK"/>
              </w:rPr>
            </w:pPr>
            <w:r w:rsidRPr="00434541">
              <w:rPr>
                <w:b/>
                <w:bCs/>
                <w:i/>
                <w:iCs/>
                <w:lang w:eastAsia="sk-SK"/>
              </w:rPr>
              <w:t>- vplyv na obce</w:t>
            </w:r>
          </w:p>
        </w:tc>
        <w:tc>
          <w:tcPr>
            <w:tcW w:w="1267" w:type="dxa"/>
            <w:noWrap/>
            <w:vAlign w:val="center"/>
          </w:tcPr>
          <w:p w14:paraId="006BDE7C"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4542D95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3097E0F4"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4D9DBE7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70176A8A" w14:textId="77777777" w:rsidTr="00434541">
        <w:trPr>
          <w:trHeight w:val="125"/>
          <w:jc w:val="center"/>
        </w:trPr>
        <w:tc>
          <w:tcPr>
            <w:tcW w:w="4661" w:type="dxa"/>
            <w:noWrap/>
            <w:vAlign w:val="center"/>
          </w:tcPr>
          <w:p w14:paraId="51F827F1"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vyššie územné celky</w:t>
            </w:r>
          </w:p>
        </w:tc>
        <w:tc>
          <w:tcPr>
            <w:tcW w:w="1267" w:type="dxa"/>
            <w:noWrap/>
            <w:vAlign w:val="center"/>
          </w:tcPr>
          <w:p w14:paraId="38212790"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6AF77F1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33D2EBD9"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3DAEA5B2"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6AD6807D" w14:textId="77777777" w:rsidTr="00434541">
        <w:trPr>
          <w:trHeight w:val="70"/>
          <w:jc w:val="center"/>
        </w:trPr>
        <w:tc>
          <w:tcPr>
            <w:tcW w:w="4661" w:type="dxa"/>
            <w:noWrap/>
            <w:vAlign w:val="center"/>
          </w:tcPr>
          <w:p w14:paraId="4D5F17E8" w14:textId="77777777" w:rsidR="00434541" w:rsidRPr="00434541" w:rsidRDefault="00434541" w:rsidP="00434541">
            <w:pPr>
              <w:spacing w:after="0" w:line="240" w:lineRule="auto"/>
              <w:ind w:firstLine="0"/>
              <w:jc w:val="left"/>
              <w:rPr>
                <w:b/>
                <w:bCs/>
                <w:lang w:eastAsia="sk-SK"/>
              </w:rPr>
            </w:pPr>
            <w:r w:rsidRPr="00434541">
              <w:rPr>
                <w:b/>
                <w:bCs/>
                <w:i/>
                <w:iCs/>
                <w:lang w:eastAsia="sk-SK"/>
              </w:rPr>
              <w:t>- vplyv na ostatné subjekty verejnej správy</w:t>
            </w:r>
          </w:p>
        </w:tc>
        <w:tc>
          <w:tcPr>
            <w:tcW w:w="1267" w:type="dxa"/>
            <w:noWrap/>
            <w:vAlign w:val="center"/>
          </w:tcPr>
          <w:p w14:paraId="54250F26"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2CC305EA"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50C6A51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6FB76CD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5FAD37A1" w14:textId="77777777" w:rsidTr="00434541">
        <w:trPr>
          <w:trHeight w:val="70"/>
          <w:jc w:val="center"/>
        </w:trPr>
        <w:tc>
          <w:tcPr>
            <w:tcW w:w="4661" w:type="dxa"/>
            <w:shd w:val="clear" w:color="auto" w:fill="BFBFBF"/>
            <w:noWrap/>
            <w:vAlign w:val="center"/>
          </w:tcPr>
          <w:p w14:paraId="420C3146" w14:textId="77777777" w:rsidR="00434541" w:rsidRPr="00434541" w:rsidRDefault="00434541" w:rsidP="00434541">
            <w:pPr>
              <w:spacing w:after="0" w:line="240" w:lineRule="auto"/>
              <w:ind w:firstLine="0"/>
              <w:jc w:val="left"/>
              <w:rPr>
                <w:b/>
                <w:bCs/>
                <w:lang w:eastAsia="sk-SK"/>
              </w:rPr>
            </w:pPr>
            <w:r w:rsidRPr="00434541">
              <w:rPr>
                <w:b/>
                <w:bCs/>
                <w:lang w:eastAsia="sk-SK"/>
              </w:rPr>
              <w:t xml:space="preserve">Vplyv na počet zamestnancov </w:t>
            </w:r>
          </w:p>
        </w:tc>
        <w:tc>
          <w:tcPr>
            <w:tcW w:w="1267" w:type="dxa"/>
            <w:shd w:val="clear" w:color="auto" w:fill="BFBFBF"/>
            <w:noWrap/>
            <w:vAlign w:val="center"/>
          </w:tcPr>
          <w:p w14:paraId="68CB19A0"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BFBFBF"/>
            <w:noWrap/>
            <w:vAlign w:val="center"/>
          </w:tcPr>
          <w:p w14:paraId="52A30F1A" w14:textId="77777777" w:rsidR="00434541" w:rsidRPr="00434541" w:rsidRDefault="00434541" w:rsidP="00434541">
            <w:pPr>
              <w:spacing w:after="0" w:line="240" w:lineRule="auto"/>
              <w:ind w:firstLine="0"/>
              <w:jc w:val="right"/>
              <w:rPr>
                <w:b/>
                <w:bCs/>
                <w:lang w:eastAsia="sk-SK"/>
              </w:rPr>
            </w:pPr>
            <w:r w:rsidRPr="00434541">
              <w:rPr>
                <w:b/>
                <w:bCs/>
                <w:lang w:eastAsia="sk-SK"/>
              </w:rPr>
              <w:t>11</w:t>
            </w:r>
          </w:p>
        </w:tc>
        <w:tc>
          <w:tcPr>
            <w:tcW w:w="1250" w:type="dxa"/>
            <w:shd w:val="clear" w:color="auto" w:fill="BFBFBF"/>
            <w:noWrap/>
            <w:vAlign w:val="center"/>
          </w:tcPr>
          <w:p w14:paraId="54873B93" w14:textId="77777777" w:rsidR="00434541" w:rsidRPr="00434541" w:rsidRDefault="00434541" w:rsidP="00434541">
            <w:pPr>
              <w:spacing w:after="0" w:line="240" w:lineRule="auto"/>
              <w:ind w:firstLine="0"/>
              <w:jc w:val="right"/>
              <w:rPr>
                <w:b/>
                <w:bCs/>
                <w:lang w:eastAsia="sk-SK"/>
              </w:rPr>
            </w:pPr>
            <w:r w:rsidRPr="00434541">
              <w:rPr>
                <w:b/>
                <w:bCs/>
                <w:lang w:eastAsia="sk-SK"/>
              </w:rPr>
              <w:t>14</w:t>
            </w:r>
          </w:p>
        </w:tc>
        <w:tc>
          <w:tcPr>
            <w:tcW w:w="1437" w:type="dxa"/>
            <w:shd w:val="clear" w:color="auto" w:fill="BFBFBF"/>
            <w:noWrap/>
            <w:vAlign w:val="center"/>
          </w:tcPr>
          <w:p w14:paraId="63055C27" w14:textId="77777777" w:rsidR="00434541" w:rsidRPr="00434541" w:rsidRDefault="00434541" w:rsidP="00434541">
            <w:pPr>
              <w:spacing w:after="0" w:line="240" w:lineRule="auto"/>
              <w:ind w:firstLine="0"/>
              <w:jc w:val="right"/>
              <w:rPr>
                <w:b/>
                <w:bCs/>
                <w:lang w:eastAsia="sk-SK"/>
              </w:rPr>
            </w:pPr>
            <w:r w:rsidRPr="00434541">
              <w:rPr>
                <w:b/>
                <w:bCs/>
                <w:lang w:eastAsia="sk-SK"/>
              </w:rPr>
              <w:t>17</w:t>
            </w:r>
          </w:p>
        </w:tc>
      </w:tr>
      <w:tr w:rsidR="00434541" w:rsidRPr="00434541" w14:paraId="48DF4B44" w14:textId="77777777" w:rsidTr="00434541">
        <w:trPr>
          <w:trHeight w:val="70"/>
          <w:jc w:val="center"/>
        </w:trPr>
        <w:tc>
          <w:tcPr>
            <w:tcW w:w="4661" w:type="dxa"/>
            <w:noWrap/>
            <w:vAlign w:val="center"/>
          </w:tcPr>
          <w:p w14:paraId="133C182C"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xml:space="preserve">- vplyv na ŠR – </w:t>
            </w:r>
            <w:r w:rsidRPr="00434541">
              <w:rPr>
                <w:bCs/>
                <w:iCs/>
                <w:lang w:eastAsia="sk-SK"/>
              </w:rPr>
              <w:t>Štatistický úrad SR</w:t>
            </w:r>
          </w:p>
        </w:tc>
        <w:tc>
          <w:tcPr>
            <w:tcW w:w="1267" w:type="dxa"/>
            <w:noWrap/>
            <w:vAlign w:val="center"/>
          </w:tcPr>
          <w:p w14:paraId="03780D0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2F9986FD" w14:textId="77777777" w:rsidR="00434541" w:rsidRPr="00434541" w:rsidRDefault="00434541" w:rsidP="00434541">
            <w:pPr>
              <w:spacing w:after="0" w:line="240" w:lineRule="auto"/>
              <w:ind w:firstLine="0"/>
              <w:jc w:val="right"/>
              <w:rPr>
                <w:b/>
                <w:bCs/>
                <w:iCs/>
                <w:lang w:eastAsia="sk-SK"/>
              </w:rPr>
            </w:pPr>
            <w:r w:rsidRPr="00434541">
              <w:rPr>
                <w:b/>
                <w:bCs/>
                <w:iCs/>
                <w:lang w:eastAsia="sk-SK"/>
              </w:rPr>
              <w:t>11</w:t>
            </w:r>
          </w:p>
        </w:tc>
        <w:tc>
          <w:tcPr>
            <w:tcW w:w="1250" w:type="dxa"/>
            <w:noWrap/>
            <w:vAlign w:val="center"/>
          </w:tcPr>
          <w:p w14:paraId="2FDC5487" w14:textId="77777777" w:rsidR="00434541" w:rsidRPr="00434541" w:rsidRDefault="00434541" w:rsidP="00434541">
            <w:pPr>
              <w:spacing w:after="0" w:line="240" w:lineRule="auto"/>
              <w:ind w:firstLine="0"/>
              <w:jc w:val="right"/>
              <w:rPr>
                <w:b/>
                <w:bCs/>
                <w:iCs/>
                <w:lang w:eastAsia="sk-SK"/>
              </w:rPr>
            </w:pPr>
            <w:r w:rsidRPr="00434541">
              <w:rPr>
                <w:b/>
                <w:bCs/>
                <w:iCs/>
                <w:lang w:eastAsia="sk-SK"/>
              </w:rPr>
              <w:t>14</w:t>
            </w:r>
          </w:p>
        </w:tc>
        <w:tc>
          <w:tcPr>
            <w:tcW w:w="1437" w:type="dxa"/>
            <w:noWrap/>
            <w:vAlign w:val="center"/>
          </w:tcPr>
          <w:p w14:paraId="32A396DC" w14:textId="77777777" w:rsidR="00434541" w:rsidRPr="00434541" w:rsidRDefault="00434541" w:rsidP="00434541">
            <w:pPr>
              <w:spacing w:after="0" w:line="240" w:lineRule="auto"/>
              <w:ind w:firstLine="0"/>
              <w:jc w:val="right"/>
              <w:rPr>
                <w:b/>
                <w:bCs/>
                <w:iCs/>
                <w:lang w:eastAsia="sk-SK"/>
              </w:rPr>
            </w:pPr>
            <w:r w:rsidRPr="00434541">
              <w:rPr>
                <w:b/>
                <w:bCs/>
                <w:iCs/>
                <w:lang w:eastAsia="sk-SK"/>
              </w:rPr>
              <w:t>17</w:t>
            </w:r>
          </w:p>
        </w:tc>
      </w:tr>
      <w:tr w:rsidR="00434541" w:rsidRPr="00434541" w14:paraId="35E23906" w14:textId="77777777" w:rsidTr="00434541">
        <w:trPr>
          <w:trHeight w:val="70"/>
          <w:jc w:val="center"/>
        </w:trPr>
        <w:tc>
          <w:tcPr>
            <w:tcW w:w="4661" w:type="dxa"/>
            <w:noWrap/>
            <w:vAlign w:val="center"/>
          </w:tcPr>
          <w:p w14:paraId="39574546"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obce</w:t>
            </w:r>
          </w:p>
        </w:tc>
        <w:tc>
          <w:tcPr>
            <w:tcW w:w="1267" w:type="dxa"/>
            <w:noWrap/>
            <w:vAlign w:val="center"/>
          </w:tcPr>
          <w:p w14:paraId="6409528A"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54B0563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0BE967C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143E5226"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2645BA5C" w14:textId="77777777" w:rsidTr="00434541">
        <w:trPr>
          <w:trHeight w:val="70"/>
          <w:jc w:val="center"/>
        </w:trPr>
        <w:tc>
          <w:tcPr>
            <w:tcW w:w="4661" w:type="dxa"/>
            <w:noWrap/>
            <w:vAlign w:val="center"/>
          </w:tcPr>
          <w:p w14:paraId="42B25E04"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vyššie územné celky</w:t>
            </w:r>
          </w:p>
        </w:tc>
        <w:tc>
          <w:tcPr>
            <w:tcW w:w="1267" w:type="dxa"/>
            <w:noWrap/>
            <w:vAlign w:val="center"/>
          </w:tcPr>
          <w:p w14:paraId="4FCD9A3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1DA1225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49B03E7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09589480"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386987AC" w14:textId="77777777" w:rsidTr="00434541">
        <w:trPr>
          <w:trHeight w:val="70"/>
          <w:jc w:val="center"/>
        </w:trPr>
        <w:tc>
          <w:tcPr>
            <w:tcW w:w="4661" w:type="dxa"/>
            <w:noWrap/>
            <w:vAlign w:val="center"/>
          </w:tcPr>
          <w:p w14:paraId="5C0B1650"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ostatné subjekty verejnej správy</w:t>
            </w:r>
          </w:p>
        </w:tc>
        <w:tc>
          <w:tcPr>
            <w:tcW w:w="1267" w:type="dxa"/>
            <w:noWrap/>
            <w:vAlign w:val="center"/>
          </w:tcPr>
          <w:p w14:paraId="3063F26D"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055800A4"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1C1D3A2B"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284D4C01"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57DBDF00" w14:textId="77777777" w:rsidTr="00434541">
        <w:trPr>
          <w:trHeight w:val="70"/>
          <w:jc w:val="center"/>
        </w:trPr>
        <w:tc>
          <w:tcPr>
            <w:tcW w:w="4661" w:type="dxa"/>
            <w:shd w:val="clear" w:color="auto" w:fill="BFBFBF"/>
            <w:noWrap/>
            <w:vAlign w:val="center"/>
          </w:tcPr>
          <w:p w14:paraId="4386ABFF" w14:textId="77777777" w:rsidR="00434541" w:rsidRPr="00434541" w:rsidRDefault="00434541" w:rsidP="00434541">
            <w:pPr>
              <w:spacing w:after="0" w:line="240" w:lineRule="auto"/>
              <w:ind w:firstLine="0"/>
              <w:jc w:val="left"/>
              <w:rPr>
                <w:b/>
                <w:lang w:eastAsia="sk-SK"/>
              </w:rPr>
            </w:pPr>
            <w:r w:rsidRPr="00434541">
              <w:rPr>
                <w:b/>
                <w:lang w:eastAsia="sk-SK"/>
              </w:rPr>
              <w:t>Vplyv na mzdové výdavky</w:t>
            </w:r>
          </w:p>
        </w:tc>
        <w:tc>
          <w:tcPr>
            <w:tcW w:w="1267" w:type="dxa"/>
            <w:shd w:val="clear" w:color="auto" w:fill="BFBFBF"/>
            <w:noWrap/>
            <w:vAlign w:val="center"/>
          </w:tcPr>
          <w:p w14:paraId="20813FAA" w14:textId="77777777" w:rsidR="00434541" w:rsidRPr="00434541" w:rsidRDefault="00434541" w:rsidP="00434541">
            <w:pPr>
              <w:spacing w:after="0" w:line="240" w:lineRule="auto"/>
              <w:ind w:firstLine="0"/>
              <w:jc w:val="right"/>
              <w:rPr>
                <w:b/>
                <w:lang w:eastAsia="sk-SK"/>
              </w:rPr>
            </w:pPr>
            <w:r w:rsidRPr="00434541">
              <w:rPr>
                <w:b/>
                <w:lang w:eastAsia="sk-SK"/>
              </w:rPr>
              <w:t>0</w:t>
            </w:r>
          </w:p>
        </w:tc>
        <w:tc>
          <w:tcPr>
            <w:tcW w:w="1347" w:type="dxa"/>
            <w:shd w:val="clear" w:color="auto" w:fill="BFBFBF"/>
            <w:noWrap/>
            <w:vAlign w:val="center"/>
          </w:tcPr>
          <w:p w14:paraId="1974110F" w14:textId="77777777" w:rsidR="00434541" w:rsidRPr="00434541" w:rsidRDefault="00434541" w:rsidP="00434541">
            <w:pPr>
              <w:spacing w:after="0" w:line="240" w:lineRule="auto"/>
              <w:ind w:firstLine="0"/>
              <w:jc w:val="right"/>
              <w:rPr>
                <w:b/>
                <w:lang w:eastAsia="sk-SK"/>
              </w:rPr>
            </w:pPr>
            <w:r w:rsidRPr="00434541">
              <w:rPr>
                <w:b/>
                <w:lang w:eastAsia="sk-SK"/>
              </w:rPr>
              <w:t>154 880</w:t>
            </w:r>
          </w:p>
        </w:tc>
        <w:tc>
          <w:tcPr>
            <w:tcW w:w="1250" w:type="dxa"/>
            <w:shd w:val="clear" w:color="auto" w:fill="BFBFBF"/>
            <w:noWrap/>
            <w:vAlign w:val="center"/>
          </w:tcPr>
          <w:p w14:paraId="14BF3E0D" w14:textId="77777777" w:rsidR="00434541" w:rsidRPr="00434541" w:rsidRDefault="00434541" w:rsidP="00434541">
            <w:pPr>
              <w:spacing w:after="0" w:line="240" w:lineRule="auto"/>
              <w:ind w:firstLine="0"/>
              <w:jc w:val="right"/>
              <w:rPr>
                <w:b/>
                <w:lang w:eastAsia="sk-SK"/>
              </w:rPr>
            </w:pPr>
            <w:r w:rsidRPr="00434541">
              <w:rPr>
                <w:b/>
                <w:lang w:eastAsia="sk-SK"/>
              </w:rPr>
              <w:t>295 680</w:t>
            </w:r>
          </w:p>
        </w:tc>
        <w:tc>
          <w:tcPr>
            <w:tcW w:w="1437" w:type="dxa"/>
            <w:shd w:val="clear" w:color="auto" w:fill="BFBFBF"/>
            <w:noWrap/>
            <w:vAlign w:val="center"/>
          </w:tcPr>
          <w:p w14:paraId="07BC24C9" w14:textId="77777777" w:rsidR="00434541" w:rsidRPr="00434541" w:rsidRDefault="00434541" w:rsidP="00434541">
            <w:pPr>
              <w:spacing w:after="0" w:line="240" w:lineRule="auto"/>
              <w:ind w:firstLine="0"/>
              <w:jc w:val="right"/>
              <w:rPr>
                <w:b/>
                <w:lang w:eastAsia="sk-SK"/>
              </w:rPr>
            </w:pPr>
            <w:r w:rsidRPr="00434541">
              <w:rPr>
                <w:b/>
                <w:lang w:eastAsia="sk-SK"/>
              </w:rPr>
              <w:t>359 040</w:t>
            </w:r>
          </w:p>
        </w:tc>
      </w:tr>
      <w:tr w:rsidR="00434541" w:rsidRPr="00434541" w14:paraId="4B768B13" w14:textId="77777777" w:rsidTr="00434541">
        <w:trPr>
          <w:trHeight w:val="70"/>
          <w:jc w:val="center"/>
        </w:trPr>
        <w:tc>
          <w:tcPr>
            <w:tcW w:w="4661" w:type="dxa"/>
            <w:noWrap/>
            <w:vAlign w:val="center"/>
          </w:tcPr>
          <w:p w14:paraId="2906F4BE"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xml:space="preserve">- vplyv na ŠR – </w:t>
            </w:r>
            <w:r w:rsidRPr="00434541">
              <w:rPr>
                <w:bCs/>
                <w:iCs/>
                <w:lang w:eastAsia="sk-SK"/>
              </w:rPr>
              <w:t>Štatistický úrad SR</w:t>
            </w:r>
          </w:p>
        </w:tc>
        <w:tc>
          <w:tcPr>
            <w:tcW w:w="1267" w:type="dxa"/>
            <w:noWrap/>
            <w:vAlign w:val="center"/>
          </w:tcPr>
          <w:p w14:paraId="0AE7EC87"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7E699FCD" w14:textId="77777777" w:rsidR="00434541" w:rsidRPr="00434541" w:rsidRDefault="00434541" w:rsidP="00434541">
            <w:pPr>
              <w:spacing w:after="0" w:line="240" w:lineRule="auto"/>
              <w:ind w:firstLine="0"/>
              <w:jc w:val="right"/>
              <w:rPr>
                <w:b/>
                <w:bCs/>
                <w:iCs/>
                <w:lang w:eastAsia="sk-SK"/>
              </w:rPr>
            </w:pPr>
            <w:r w:rsidRPr="00434541">
              <w:rPr>
                <w:b/>
                <w:bCs/>
                <w:iCs/>
                <w:lang w:eastAsia="sk-SK"/>
              </w:rPr>
              <w:t>154 880</w:t>
            </w:r>
          </w:p>
        </w:tc>
        <w:tc>
          <w:tcPr>
            <w:tcW w:w="1250" w:type="dxa"/>
            <w:noWrap/>
            <w:vAlign w:val="center"/>
          </w:tcPr>
          <w:p w14:paraId="3524747C" w14:textId="77777777" w:rsidR="00434541" w:rsidRPr="00434541" w:rsidRDefault="00434541" w:rsidP="00434541">
            <w:pPr>
              <w:spacing w:after="0" w:line="240" w:lineRule="auto"/>
              <w:ind w:firstLine="0"/>
              <w:jc w:val="right"/>
              <w:rPr>
                <w:b/>
                <w:bCs/>
                <w:iCs/>
                <w:lang w:eastAsia="sk-SK"/>
              </w:rPr>
            </w:pPr>
            <w:r w:rsidRPr="00434541">
              <w:rPr>
                <w:b/>
                <w:bCs/>
                <w:iCs/>
                <w:lang w:eastAsia="sk-SK"/>
              </w:rPr>
              <w:t xml:space="preserve"> 295 680</w:t>
            </w:r>
          </w:p>
        </w:tc>
        <w:tc>
          <w:tcPr>
            <w:tcW w:w="1437" w:type="dxa"/>
            <w:noWrap/>
            <w:vAlign w:val="center"/>
          </w:tcPr>
          <w:p w14:paraId="52957A02" w14:textId="77777777" w:rsidR="00434541" w:rsidRPr="00434541" w:rsidRDefault="00434541" w:rsidP="00434541">
            <w:pPr>
              <w:spacing w:after="0" w:line="240" w:lineRule="auto"/>
              <w:ind w:firstLine="0"/>
              <w:jc w:val="right"/>
              <w:rPr>
                <w:b/>
                <w:bCs/>
                <w:iCs/>
                <w:lang w:eastAsia="sk-SK"/>
              </w:rPr>
            </w:pPr>
            <w:r w:rsidRPr="00434541">
              <w:rPr>
                <w:b/>
                <w:bCs/>
                <w:iCs/>
                <w:lang w:eastAsia="sk-SK"/>
              </w:rPr>
              <w:t>359 040</w:t>
            </w:r>
          </w:p>
        </w:tc>
      </w:tr>
      <w:tr w:rsidR="00434541" w:rsidRPr="00434541" w14:paraId="3CB5048F" w14:textId="77777777" w:rsidTr="00434541">
        <w:trPr>
          <w:trHeight w:val="70"/>
          <w:jc w:val="center"/>
        </w:trPr>
        <w:tc>
          <w:tcPr>
            <w:tcW w:w="4661" w:type="dxa"/>
            <w:noWrap/>
            <w:vAlign w:val="center"/>
          </w:tcPr>
          <w:p w14:paraId="1DC22468"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obce</w:t>
            </w:r>
          </w:p>
        </w:tc>
        <w:tc>
          <w:tcPr>
            <w:tcW w:w="1267" w:type="dxa"/>
            <w:noWrap/>
            <w:vAlign w:val="center"/>
          </w:tcPr>
          <w:p w14:paraId="3BFB6EB7"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37D34084"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3E5EE038"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58CC9D22"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4B2E3356" w14:textId="77777777" w:rsidTr="00434541">
        <w:trPr>
          <w:trHeight w:val="70"/>
          <w:jc w:val="center"/>
        </w:trPr>
        <w:tc>
          <w:tcPr>
            <w:tcW w:w="4661" w:type="dxa"/>
            <w:noWrap/>
            <w:vAlign w:val="center"/>
          </w:tcPr>
          <w:p w14:paraId="077CA850" w14:textId="77777777" w:rsidR="00434541" w:rsidRPr="00434541" w:rsidRDefault="00434541" w:rsidP="00434541">
            <w:pPr>
              <w:spacing w:after="0" w:line="240" w:lineRule="auto"/>
              <w:ind w:firstLine="0"/>
              <w:jc w:val="left"/>
              <w:rPr>
                <w:b/>
                <w:bCs/>
                <w:i/>
                <w:iCs/>
                <w:lang w:eastAsia="sk-SK"/>
              </w:rPr>
            </w:pPr>
            <w:r w:rsidRPr="00434541">
              <w:rPr>
                <w:b/>
                <w:bCs/>
                <w:i/>
                <w:iCs/>
                <w:lang w:eastAsia="sk-SK"/>
              </w:rPr>
              <w:t>- vplyv na vyššie územné celky</w:t>
            </w:r>
          </w:p>
        </w:tc>
        <w:tc>
          <w:tcPr>
            <w:tcW w:w="1267" w:type="dxa"/>
            <w:noWrap/>
            <w:vAlign w:val="center"/>
          </w:tcPr>
          <w:p w14:paraId="5451A7A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5B9A94E7"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544F41D3"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F9D28AB"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4734AEC2" w14:textId="77777777" w:rsidTr="00434541">
        <w:trPr>
          <w:trHeight w:val="70"/>
          <w:jc w:val="center"/>
        </w:trPr>
        <w:tc>
          <w:tcPr>
            <w:tcW w:w="4661" w:type="dxa"/>
            <w:noWrap/>
            <w:vAlign w:val="center"/>
          </w:tcPr>
          <w:p w14:paraId="467456F7" w14:textId="77777777" w:rsidR="00434541" w:rsidRPr="00434541" w:rsidRDefault="00434541" w:rsidP="00434541">
            <w:pPr>
              <w:spacing w:after="0" w:line="240" w:lineRule="auto"/>
              <w:ind w:firstLine="0"/>
              <w:jc w:val="left"/>
              <w:rPr>
                <w:b/>
                <w:bCs/>
                <w:lang w:eastAsia="sk-SK"/>
              </w:rPr>
            </w:pPr>
            <w:r w:rsidRPr="00434541">
              <w:rPr>
                <w:b/>
                <w:bCs/>
                <w:i/>
                <w:iCs/>
                <w:lang w:eastAsia="sk-SK"/>
              </w:rPr>
              <w:t>- vplyv na ostatné subjekty verejnej správy</w:t>
            </w:r>
          </w:p>
        </w:tc>
        <w:tc>
          <w:tcPr>
            <w:tcW w:w="1267" w:type="dxa"/>
            <w:noWrap/>
            <w:vAlign w:val="center"/>
          </w:tcPr>
          <w:p w14:paraId="78390AB5"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347" w:type="dxa"/>
            <w:noWrap/>
            <w:vAlign w:val="center"/>
          </w:tcPr>
          <w:p w14:paraId="3F5CBECF"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250" w:type="dxa"/>
            <w:noWrap/>
            <w:vAlign w:val="center"/>
          </w:tcPr>
          <w:p w14:paraId="6410EB2E"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c>
          <w:tcPr>
            <w:tcW w:w="1437" w:type="dxa"/>
            <w:noWrap/>
            <w:vAlign w:val="center"/>
          </w:tcPr>
          <w:p w14:paraId="781B37B2" w14:textId="77777777" w:rsidR="00434541" w:rsidRPr="00434541" w:rsidRDefault="00434541" w:rsidP="00434541">
            <w:pPr>
              <w:spacing w:after="0" w:line="240" w:lineRule="auto"/>
              <w:ind w:firstLine="0"/>
              <w:jc w:val="right"/>
              <w:rPr>
                <w:b/>
                <w:bCs/>
                <w:iCs/>
                <w:lang w:eastAsia="sk-SK"/>
              </w:rPr>
            </w:pPr>
            <w:r w:rsidRPr="00434541">
              <w:rPr>
                <w:b/>
                <w:bCs/>
                <w:iCs/>
                <w:lang w:eastAsia="sk-SK"/>
              </w:rPr>
              <w:t>0</w:t>
            </w:r>
          </w:p>
        </w:tc>
      </w:tr>
      <w:tr w:rsidR="00434541" w:rsidRPr="00434541" w14:paraId="0A8D1E0C" w14:textId="77777777" w:rsidTr="00434541">
        <w:trPr>
          <w:trHeight w:val="70"/>
          <w:jc w:val="center"/>
        </w:trPr>
        <w:tc>
          <w:tcPr>
            <w:tcW w:w="4661" w:type="dxa"/>
            <w:shd w:val="clear" w:color="auto" w:fill="C0C0C0"/>
            <w:noWrap/>
            <w:vAlign w:val="center"/>
          </w:tcPr>
          <w:p w14:paraId="4B21357F" w14:textId="77777777" w:rsidR="00434541" w:rsidRPr="00434541" w:rsidRDefault="00434541" w:rsidP="00434541">
            <w:pPr>
              <w:spacing w:after="0" w:line="240" w:lineRule="auto"/>
              <w:ind w:firstLine="0"/>
              <w:jc w:val="left"/>
              <w:rPr>
                <w:b/>
                <w:bCs/>
                <w:lang w:eastAsia="sk-SK"/>
              </w:rPr>
            </w:pPr>
            <w:r w:rsidRPr="00434541">
              <w:rPr>
                <w:b/>
                <w:bCs/>
                <w:lang w:eastAsia="sk-SK"/>
              </w:rPr>
              <w:lastRenderedPageBreak/>
              <w:t>Financovanie zabezpečené v rozpočte</w:t>
            </w:r>
          </w:p>
        </w:tc>
        <w:tc>
          <w:tcPr>
            <w:tcW w:w="1267" w:type="dxa"/>
            <w:shd w:val="clear" w:color="auto" w:fill="C0C0C0"/>
            <w:noWrap/>
            <w:vAlign w:val="center"/>
          </w:tcPr>
          <w:p w14:paraId="540E2DFD"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C0C0C0"/>
            <w:noWrap/>
            <w:vAlign w:val="center"/>
          </w:tcPr>
          <w:p w14:paraId="3F072F7B" w14:textId="77777777" w:rsidR="00434541" w:rsidRPr="00434541" w:rsidRDefault="00434541" w:rsidP="00434541">
            <w:pPr>
              <w:spacing w:after="0" w:line="240" w:lineRule="auto"/>
              <w:ind w:firstLine="0"/>
              <w:jc w:val="right"/>
              <w:rPr>
                <w:b/>
                <w:bCs/>
                <w:lang w:eastAsia="sk-SK"/>
              </w:rPr>
            </w:pPr>
            <w:r w:rsidRPr="00434541">
              <w:rPr>
                <w:b/>
                <w:bCs/>
                <w:lang w:eastAsia="sk-SK"/>
              </w:rPr>
              <w:t>209 011</w:t>
            </w:r>
          </w:p>
        </w:tc>
        <w:tc>
          <w:tcPr>
            <w:tcW w:w="1250" w:type="dxa"/>
            <w:shd w:val="clear" w:color="auto" w:fill="C0C0C0"/>
            <w:noWrap/>
            <w:vAlign w:val="center"/>
          </w:tcPr>
          <w:p w14:paraId="11B56318" w14:textId="77777777" w:rsidR="00434541" w:rsidRPr="00434541" w:rsidRDefault="00434541" w:rsidP="00434541">
            <w:pPr>
              <w:spacing w:after="0" w:line="240" w:lineRule="auto"/>
              <w:ind w:firstLine="0"/>
              <w:jc w:val="right"/>
              <w:rPr>
                <w:b/>
                <w:bCs/>
                <w:lang w:eastAsia="sk-SK"/>
              </w:rPr>
            </w:pPr>
            <w:r w:rsidRPr="00434541">
              <w:rPr>
                <w:b/>
                <w:bCs/>
                <w:lang w:eastAsia="sk-SK"/>
              </w:rPr>
              <w:t>1614 351</w:t>
            </w:r>
          </w:p>
        </w:tc>
        <w:tc>
          <w:tcPr>
            <w:tcW w:w="1437" w:type="dxa"/>
            <w:shd w:val="clear" w:color="auto" w:fill="C0C0C0"/>
            <w:noWrap/>
            <w:vAlign w:val="center"/>
          </w:tcPr>
          <w:p w14:paraId="76A74849" w14:textId="77777777" w:rsidR="00434541" w:rsidRPr="00434541" w:rsidRDefault="00434541" w:rsidP="00434541">
            <w:pPr>
              <w:spacing w:after="0" w:line="240" w:lineRule="auto"/>
              <w:ind w:firstLine="0"/>
              <w:jc w:val="right"/>
              <w:rPr>
                <w:b/>
                <w:bCs/>
                <w:lang w:eastAsia="sk-SK"/>
              </w:rPr>
            </w:pPr>
            <w:r w:rsidRPr="00434541">
              <w:rPr>
                <w:b/>
                <w:bCs/>
                <w:lang w:eastAsia="sk-SK"/>
              </w:rPr>
              <w:t xml:space="preserve">484 524   </w:t>
            </w:r>
          </w:p>
        </w:tc>
      </w:tr>
      <w:tr w:rsidR="00434541" w:rsidRPr="00434541" w14:paraId="3DA1FCFC" w14:textId="77777777" w:rsidTr="00434541">
        <w:trPr>
          <w:trHeight w:val="70"/>
          <w:jc w:val="center"/>
        </w:trPr>
        <w:tc>
          <w:tcPr>
            <w:tcW w:w="4661" w:type="dxa"/>
            <w:noWrap/>
            <w:vAlign w:val="center"/>
          </w:tcPr>
          <w:p w14:paraId="62C659D8" w14:textId="77777777" w:rsidR="00434541" w:rsidRPr="00434541" w:rsidRDefault="00434541" w:rsidP="00434541">
            <w:pPr>
              <w:spacing w:after="0" w:line="240" w:lineRule="auto"/>
              <w:ind w:firstLine="0"/>
              <w:jc w:val="left"/>
              <w:rPr>
                <w:lang w:eastAsia="sk-SK"/>
              </w:rPr>
            </w:pPr>
            <w:r w:rsidRPr="00434541">
              <w:rPr>
                <w:lang w:eastAsia="sk-SK"/>
              </w:rPr>
              <w:t xml:space="preserve">v tom: za každý subjekt verejnej správy / program zvlášť </w:t>
            </w:r>
          </w:p>
        </w:tc>
        <w:tc>
          <w:tcPr>
            <w:tcW w:w="1267" w:type="dxa"/>
            <w:noWrap/>
            <w:vAlign w:val="center"/>
          </w:tcPr>
          <w:p w14:paraId="6E71A91B" w14:textId="77777777" w:rsidR="00434541" w:rsidRPr="00434541" w:rsidRDefault="00434541" w:rsidP="00434541">
            <w:pPr>
              <w:spacing w:after="0" w:line="240" w:lineRule="auto"/>
              <w:ind w:firstLine="0"/>
              <w:jc w:val="right"/>
              <w:rPr>
                <w:lang w:eastAsia="sk-SK"/>
              </w:rPr>
            </w:pPr>
          </w:p>
        </w:tc>
        <w:tc>
          <w:tcPr>
            <w:tcW w:w="1347" w:type="dxa"/>
            <w:noWrap/>
            <w:vAlign w:val="center"/>
          </w:tcPr>
          <w:p w14:paraId="19715165" w14:textId="77777777" w:rsidR="00434541" w:rsidRPr="00434541" w:rsidRDefault="00434541" w:rsidP="00434541">
            <w:pPr>
              <w:spacing w:after="0" w:line="240" w:lineRule="auto"/>
              <w:ind w:firstLine="0"/>
              <w:jc w:val="center"/>
              <w:rPr>
                <w:b/>
                <w:bCs/>
                <w:lang w:eastAsia="sk-SK"/>
              </w:rPr>
            </w:pPr>
          </w:p>
        </w:tc>
        <w:tc>
          <w:tcPr>
            <w:tcW w:w="1250" w:type="dxa"/>
            <w:noWrap/>
            <w:vAlign w:val="center"/>
          </w:tcPr>
          <w:p w14:paraId="2B4C486A" w14:textId="77777777" w:rsidR="00434541" w:rsidRPr="00434541" w:rsidRDefault="00434541" w:rsidP="00434541">
            <w:pPr>
              <w:spacing w:after="0" w:line="240" w:lineRule="auto"/>
              <w:ind w:firstLine="0"/>
              <w:jc w:val="right"/>
              <w:rPr>
                <w:b/>
                <w:bCs/>
                <w:lang w:eastAsia="sk-SK"/>
              </w:rPr>
            </w:pPr>
          </w:p>
        </w:tc>
        <w:tc>
          <w:tcPr>
            <w:tcW w:w="1437" w:type="dxa"/>
            <w:noWrap/>
            <w:vAlign w:val="center"/>
          </w:tcPr>
          <w:p w14:paraId="2882D13E" w14:textId="77777777" w:rsidR="00434541" w:rsidRPr="00434541" w:rsidRDefault="00434541" w:rsidP="00434541">
            <w:pPr>
              <w:spacing w:after="0" w:line="240" w:lineRule="auto"/>
              <w:ind w:firstLine="0"/>
              <w:jc w:val="right"/>
              <w:rPr>
                <w:b/>
                <w:bCs/>
                <w:lang w:eastAsia="sk-SK"/>
              </w:rPr>
            </w:pPr>
          </w:p>
        </w:tc>
      </w:tr>
      <w:tr w:rsidR="00434541" w:rsidRPr="00434541" w14:paraId="3A072051" w14:textId="77777777" w:rsidTr="00434541">
        <w:trPr>
          <w:trHeight w:val="70"/>
          <w:jc w:val="center"/>
        </w:trPr>
        <w:tc>
          <w:tcPr>
            <w:tcW w:w="4661" w:type="dxa"/>
            <w:noWrap/>
            <w:vAlign w:val="center"/>
          </w:tcPr>
          <w:p w14:paraId="0A7311A3" w14:textId="77777777" w:rsidR="00434541" w:rsidRPr="00434541" w:rsidRDefault="00434541" w:rsidP="00434541">
            <w:pPr>
              <w:spacing w:after="0" w:line="240" w:lineRule="auto"/>
              <w:ind w:firstLine="0"/>
              <w:jc w:val="left"/>
              <w:rPr>
                <w:lang w:eastAsia="sk-SK"/>
              </w:rPr>
            </w:pPr>
            <w:r w:rsidRPr="00434541">
              <w:rPr>
                <w:lang w:eastAsia="sk-SK"/>
              </w:rPr>
              <w:t>Štatistický úrad SR</w:t>
            </w:r>
          </w:p>
        </w:tc>
        <w:tc>
          <w:tcPr>
            <w:tcW w:w="1267" w:type="dxa"/>
            <w:noWrap/>
            <w:vAlign w:val="center"/>
          </w:tcPr>
          <w:p w14:paraId="7B7855A1"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noWrap/>
            <w:vAlign w:val="center"/>
          </w:tcPr>
          <w:p w14:paraId="527A0343" w14:textId="77777777" w:rsidR="00434541" w:rsidRPr="00434541" w:rsidRDefault="00434541" w:rsidP="00434541">
            <w:pPr>
              <w:spacing w:after="0" w:line="240" w:lineRule="auto"/>
              <w:ind w:firstLine="0"/>
              <w:jc w:val="right"/>
              <w:rPr>
                <w:b/>
                <w:bCs/>
                <w:lang w:eastAsia="sk-SK"/>
              </w:rPr>
            </w:pPr>
            <w:r w:rsidRPr="00434541">
              <w:rPr>
                <w:b/>
                <w:bCs/>
                <w:lang w:eastAsia="sk-SK"/>
              </w:rPr>
              <w:t>209 011</w:t>
            </w:r>
          </w:p>
        </w:tc>
        <w:tc>
          <w:tcPr>
            <w:tcW w:w="1250" w:type="dxa"/>
            <w:noWrap/>
            <w:vAlign w:val="center"/>
          </w:tcPr>
          <w:p w14:paraId="2DDC1242" w14:textId="77777777" w:rsidR="00434541" w:rsidRPr="00434541" w:rsidRDefault="00434541" w:rsidP="00434541">
            <w:pPr>
              <w:spacing w:after="0" w:line="240" w:lineRule="auto"/>
              <w:ind w:firstLine="0"/>
              <w:jc w:val="right"/>
              <w:rPr>
                <w:b/>
                <w:bCs/>
                <w:lang w:eastAsia="sk-SK"/>
              </w:rPr>
            </w:pPr>
            <w:r w:rsidRPr="00434541">
              <w:rPr>
                <w:b/>
                <w:bCs/>
                <w:lang w:eastAsia="sk-SK"/>
              </w:rPr>
              <w:t>1 614 351</w:t>
            </w:r>
          </w:p>
        </w:tc>
        <w:tc>
          <w:tcPr>
            <w:tcW w:w="1437" w:type="dxa"/>
            <w:noWrap/>
            <w:vAlign w:val="center"/>
          </w:tcPr>
          <w:p w14:paraId="6EB53D8C" w14:textId="77777777" w:rsidR="00434541" w:rsidRPr="00434541" w:rsidRDefault="00434541" w:rsidP="00434541">
            <w:pPr>
              <w:spacing w:after="0" w:line="240" w:lineRule="auto"/>
              <w:ind w:firstLine="0"/>
              <w:jc w:val="right"/>
              <w:rPr>
                <w:b/>
                <w:bCs/>
                <w:lang w:eastAsia="sk-SK"/>
              </w:rPr>
            </w:pPr>
            <w:r w:rsidRPr="00434541">
              <w:rPr>
                <w:b/>
                <w:bCs/>
                <w:lang w:eastAsia="sk-SK"/>
              </w:rPr>
              <w:t>484 524</w:t>
            </w:r>
          </w:p>
        </w:tc>
      </w:tr>
      <w:tr w:rsidR="00434541" w:rsidRPr="00434541" w14:paraId="5E7B48FD" w14:textId="77777777" w:rsidTr="00434541">
        <w:trPr>
          <w:trHeight w:val="70"/>
          <w:jc w:val="center"/>
        </w:trPr>
        <w:tc>
          <w:tcPr>
            <w:tcW w:w="4661" w:type="dxa"/>
            <w:shd w:val="clear" w:color="auto" w:fill="BFBFBF"/>
            <w:noWrap/>
            <w:vAlign w:val="center"/>
          </w:tcPr>
          <w:p w14:paraId="3E6F9207" w14:textId="77777777" w:rsidR="00434541" w:rsidRPr="00434541" w:rsidRDefault="00434541" w:rsidP="00434541">
            <w:pPr>
              <w:spacing w:after="0" w:line="240" w:lineRule="auto"/>
              <w:ind w:firstLine="0"/>
              <w:jc w:val="left"/>
              <w:rPr>
                <w:b/>
                <w:lang w:eastAsia="sk-SK"/>
              </w:rPr>
            </w:pPr>
            <w:r w:rsidRPr="00434541">
              <w:rPr>
                <w:b/>
                <w:lang w:eastAsia="sk-SK"/>
              </w:rPr>
              <w:t>Iné ako rozpočtové zdroje</w:t>
            </w:r>
          </w:p>
        </w:tc>
        <w:tc>
          <w:tcPr>
            <w:tcW w:w="1267" w:type="dxa"/>
            <w:shd w:val="clear" w:color="auto" w:fill="BFBFBF"/>
            <w:noWrap/>
            <w:vAlign w:val="center"/>
          </w:tcPr>
          <w:p w14:paraId="5941DEC6"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BFBFBF"/>
            <w:noWrap/>
            <w:vAlign w:val="center"/>
          </w:tcPr>
          <w:p w14:paraId="4F0C2FAA"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250" w:type="dxa"/>
            <w:shd w:val="clear" w:color="auto" w:fill="BFBFBF"/>
            <w:noWrap/>
            <w:vAlign w:val="center"/>
          </w:tcPr>
          <w:p w14:paraId="218D6F84"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437" w:type="dxa"/>
            <w:shd w:val="clear" w:color="auto" w:fill="BFBFBF"/>
            <w:noWrap/>
            <w:vAlign w:val="center"/>
          </w:tcPr>
          <w:p w14:paraId="49FBDDDD"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r>
      <w:tr w:rsidR="00434541" w:rsidRPr="00434541" w14:paraId="4A2FA9F1" w14:textId="77777777" w:rsidTr="00434541">
        <w:trPr>
          <w:trHeight w:val="70"/>
          <w:jc w:val="center"/>
        </w:trPr>
        <w:tc>
          <w:tcPr>
            <w:tcW w:w="4661" w:type="dxa"/>
            <w:shd w:val="clear" w:color="auto" w:fill="A6A6A6"/>
            <w:noWrap/>
            <w:vAlign w:val="center"/>
          </w:tcPr>
          <w:p w14:paraId="3AAC0CB8" w14:textId="77777777" w:rsidR="00434541" w:rsidRPr="00434541" w:rsidRDefault="00434541" w:rsidP="00434541">
            <w:pPr>
              <w:spacing w:after="0" w:line="240" w:lineRule="auto"/>
              <w:ind w:firstLine="0"/>
              <w:jc w:val="left"/>
              <w:rPr>
                <w:b/>
                <w:bCs/>
                <w:lang w:eastAsia="sk-SK"/>
              </w:rPr>
            </w:pPr>
            <w:r w:rsidRPr="00434541">
              <w:rPr>
                <w:b/>
                <w:bCs/>
                <w:lang w:eastAsia="sk-SK"/>
              </w:rPr>
              <w:t>Rozpočtovo nekrytý vplyv / úspora</w:t>
            </w:r>
          </w:p>
        </w:tc>
        <w:tc>
          <w:tcPr>
            <w:tcW w:w="1267" w:type="dxa"/>
            <w:shd w:val="clear" w:color="auto" w:fill="A6A6A6"/>
            <w:noWrap/>
            <w:vAlign w:val="center"/>
          </w:tcPr>
          <w:p w14:paraId="7570BD84"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347" w:type="dxa"/>
            <w:shd w:val="clear" w:color="auto" w:fill="A6A6A6"/>
            <w:noWrap/>
            <w:vAlign w:val="center"/>
          </w:tcPr>
          <w:p w14:paraId="01236685"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250" w:type="dxa"/>
            <w:shd w:val="clear" w:color="auto" w:fill="A6A6A6"/>
            <w:noWrap/>
            <w:vAlign w:val="center"/>
          </w:tcPr>
          <w:p w14:paraId="4620AFA4"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c>
          <w:tcPr>
            <w:tcW w:w="1437" w:type="dxa"/>
            <w:shd w:val="clear" w:color="auto" w:fill="A6A6A6"/>
            <w:noWrap/>
            <w:vAlign w:val="center"/>
          </w:tcPr>
          <w:p w14:paraId="6EFF10AD" w14:textId="77777777" w:rsidR="00434541" w:rsidRPr="00434541" w:rsidRDefault="00434541" w:rsidP="00434541">
            <w:pPr>
              <w:spacing w:after="0" w:line="240" w:lineRule="auto"/>
              <w:ind w:firstLine="0"/>
              <w:jc w:val="right"/>
              <w:rPr>
                <w:b/>
                <w:bCs/>
                <w:lang w:eastAsia="sk-SK"/>
              </w:rPr>
            </w:pPr>
            <w:r w:rsidRPr="00434541">
              <w:rPr>
                <w:b/>
                <w:bCs/>
                <w:lang w:eastAsia="sk-SK"/>
              </w:rPr>
              <w:t>0</w:t>
            </w:r>
          </w:p>
        </w:tc>
      </w:tr>
      <w:bookmarkEnd w:id="0"/>
    </w:tbl>
    <w:p w14:paraId="21976E60" w14:textId="77777777" w:rsidR="00434541" w:rsidRPr="00434541" w:rsidRDefault="00434541" w:rsidP="00434541">
      <w:pPr>
        <w:spacing w:after="200"/>
        <w:ind w:firstLine="0"/>
        <w:jc w:val="left"/>
        <w:rPr>
          <w:b/>
          <w:bCs/>
          <w:lang w:eastAsia="sk-SK"/>
        </w:rPr>
      </w:pPr>
    </w:p>
    <w:p w14:paraId="49721AF6" w14:textId="77777777" w:rsidR="00434541" w:rsidRPr="00434541" w:rsidRDefault="00434541" w:rsidP="00434541">
      <w:pPr>
        <w:spacing w:after="200"/>
        <w:ind w:firstLine="0"/>
        <w:rPr>
          <w:b/>
          <w:bCs/>
          <w:lang w:eastAsia="sk-SK"/>
        </w:rPr>
      </w:pPr>
      <w:r w:rsidRPr="00434541">
        <w:rPr>
          <w:b/>
          <w:bCs/>
          <w:lang w:eastAsia="sk-SK"/>
        </w:rPr>
        <w:t xml:space="preserve">Poznámky: </w:t>
      </w:r>
    </w:p>
    <w:p w14:paraId="39813126" w14:textId="77777777" w:rsidR="00434541" w:rsidRPr="00434541" w:rsidRDefault="00434541" w:rsidP="00434541">
      <w:pPr>
        <w:spacing w:after="200"/>
        <w:ind w:firstLine="0"/>
        <w:rPr>
          <w:bCs/>
          <w:lang w:eastAsia="sk-SK"/>
        </w:rPr>
      </w:pPr>
      <w:r w:rsidRPr="00434541">
        <w:rPr>
          <w:bCs/>
          <w:lang w:eastAsia="sk-SK"/>
        </w:rPr>
        <w:t>Požadované rozpočtové prostriedky na rok 2021 sú iba v oblasti osobných výdavkov na zabezpečenie činnosti Centrálnej koordinačnej jednotky / 11 osôb  od 1. 5. 2021 /.</w:t>
      </w:r>
    </w:p>
    <w:p w14:paraId="2C475A38" w14:textId="77777777" w:rsidR="00434541" w:rsidRPr="00434541" w:rsidRDefault="00434541" w:rsidP="00434541">
      <w:pPr>
        <w:spacing w:after="200"/>
        <w:ind w:firstLine="0"/>
        <w:rPr>
          <w:bCs/>
          <w:lang w:eastAsia="sk-SK"/>
        </w:rPr>
      </w:pPr>
      <w:r w:rsidRPr="00434541">
        <w:rPr>
          <w:bCs/>
          <w:lang w:eastAsia="sk-SK"/>
        </w:rPr>
        <w:t>Požadované rozpočtové prostriedky na rok 2022 sú zvýšené o alikvotnú čiastku na SLA po ukončení a odovzdaní diela k 15. 10 2022  vo výške 97 816 eur  a o osobné výdavky pre ďalších 6 osôb prijatých od 1. 7. 2022 v súvislosti so zabezpečením  implementácie a rutinnej prevádzky JIS ŠÚ.</w:t>
      </w:r>
    </w:p>
    <w:p w14:paraId="485CE0E6" w14:textId="77777777" w:rsidR="00434541" w:rsidRPr="00434541" w:rsidRDefault="00434541" w:rsidP="00434541">
      <w:pPr>
        <w:spacing w:after="200"/>
        <w:ind w:firstLine="0"/>
        <w:rPr>
          <w:bCs/>
          <w:lang w:eastAsia="sk-SK"/>
        </w:rPr>
      </w:pPr>
      <w:r w:rsidRPr="00434541">
        <w:rPr>
          <w:bCs/>
          <w:lang w:eastAsia="sk-SK"/>
        </w:rPr>
        <w:t>Návrh zákona explicitne určuje, že každý iný orgán vykonávajúci štátnu štatistiku ustanoví jednu osobu v postavení vedúceho štátneho zamestnanca, ktorá je zodpovedná za plnenie úloh štátnej štatistiky a určí organizačný útvar zodpovedný za vykonávanie úloh štátnej štatistiky vo svojej vecnej pôsobnosti (čl. I, novelizačný bod 15). Vzhľadom na skutočnosť, že tieto úlohy sú iné orgány vykonávajúce štátnu štatistiku povinné vykonávať už v súčasnosti, návrh zákona nevyvolá potrebu nových štátnozamestnaneckých alebo pracovných miest v príslušnom inom orgáne vykonávajúcom štátnu štatistiku, t. j. nevzniknú dodatočné náklady na platy štátnych zamestnancov ani zamestnancov v pracovnom pomere.</w:t>
      </w:r>
    </w:p>
    <w:p w14:paraId="2E2CA721" w14:textId="77777777" w:rsidR="00434541" w:rsidRPr="00434541" w:rsidRDefault="00434541" w:rsidP="00434541">
      <w:pPr>
        <w:spacing w:after="240" w:line="240" w:lineRule="auto"/>
        <w:ind w:firstLine="0"/>
        <w:rPr>
          <w:b/>
          <w:bCs/>
          <w:lang w:eastAsia="sk-SK"/>
        </w:rPr>
      </w:pPr>
      <w:r w:rsidRPr="00434541">
        <w:rPr>
          <w:b/>
          <w:bCs/>
          <w:lang w:eastAsia="sk-SK"/>
        </w:rPr>
        <w:t>2.1.1. Financovanie návrhu - Návrh na riešenie úbytku príjmov alebo zvýšených výdavkov podľa § 33 ods. 1 zákona č. 523/2004 Z. z. o rozpočtových pravidlách verejnej správy:</w:t>
      </w:r>
    </w:p>
    <w:p w14:paraId="02147316" w14:textId="77777777" w:rsidR="00434541" w:rsidRPr="00434541" w:rsidRDefault="00434541" w:rsidP="00434541">
      <w:pPr>
        <w:pBdr>
          <w:top w:val="single" w:sz="4" w:space="1" w:color="auto"/>
          <w:left w:val="single" w:sz="4" w:space="4" w:color="auto"/>
          <w:bottom w:val="single" w:sz="4" w:space="0" w:color="auto"/>
          <w:right w:val="single" w:sz="4" w:space="4" w:color="auto"/>
        </w:pBdr>
        <w:spacing w:after="0" w:line="240" w:lineRule="auto"/>
        <w:ind w:firstLine="0"/>
        <w:rPr>
          <w:b/>
          <w:bCs/>
          <w:lang w:eastAsia="sk-SK"/>
        </w:rPr>
      </w:pPr>
      <w:r w:rsidRPr="00434541">
        <w:rPr>
          <w:b/>
          <w:bCs/>
          <w:lang w:eastAsia="sk-SK"/>
        </w:rPr>
        <w:t>Financovanie návrhu sa bude realizovať z rozpočtu kapitoly Štatistického úradu SR počnúc rokom 2021. V čase predkladania návrhu zákona sú navrhované výdavky rozpočtovo kryté  –  sú súčasťou návrhu rozpočtu kapitoly VPS. Po schválení návrhu zákona bude predmetná suma presunutá so rozpočtovej kapitoly Štatistického úradu.</w:t>
      </w:r>
    </w:p>
    <w:p w14:paraId="658FBB27" w14:textId="77777777" w:rsidR="00434541" w:rsidRPr="00434541" w:rsidRDefault="00434541" w:rsidP="00434541">
      <w:pPr>
        <w:spacing w:before="240" w:after="0" w:line="240" w:lineRule="auto"/>
        <w:ind w:firstLine="0"/>
        <w:jc w:val="left"/>
        <w:rPr>
          <w:b/>
          <w:bCs/>
          <w:lang w:eastAsia="sk-SK"/>
        </w:rPr>
      </w:pPr>
      <w:r w:rsidRPr="00434541">
        <w:rPr>
          <w:b/>
          <w:bCs/>
          <w:lang w:eastAsia="sk-SK"/>
        </w:rPr>
        <w:t>2.2. Popis a charakteristika návrhu</w:t>
      </w:r>
    </w:p>
    <w:p w14:paraId="560BAECC" w14:textId="77777777" w:rsidR="00434541" w:rsidRPr="00434541" w:rsidRDefault="00434541" w:rsidP="00434541">
      <w:pPr>
        <w:spacing w:after="0" w:line="240" w:lineRule="auto"/>
        <w:ind w:firstLine="0"/>
        <w:jc w:val="left"/>
        <w:rPr>
          <w:lang w:eastAsia="sk-SK"/>
        </w:rPr>
      </w:pPr>
    </w:p>
    <w:p w14:paraId="193D9A9C" w14:textId="77777777" w:rsidR="00434541" w:rsidRPr="00434541" w:rsidRDefault="00434541" w:rsidP="00434541">
      <w:pPr>
        <w:spacing w:after="0" w:line="240" w:lineRule="auto"/>
        <w:ind w:firstLine="0"/>
        <w:rPr>
          <w:b/>
          <w:bCs/>
          <w:lang w:eastAsia="sk-SK"/>
        </w:rPr>
      </w:pPr>
      <w:r w:rsidRPr="00434541">
        <w:rPr>
          <w:b/>
          <w:bCs/>
          <w:lang w:eastAsia="sk-SK"/>
        </w:rPr>
        <w:t>2.2.1. Popis návrhu:</w:t>
      </w:r>
    </w:p>
    <w:p w14:paraId="6B61059F" w14:textId="77777777" w:rsidR="00434541" w:rsidRPr="00434541" w:rsidRDefault="00434541" w:rsidP="00434541">
      <w:pPr>
        <w:spacing w:after="0" w:line="240" w:lineRule="auto"/>
        <w:ind w:firstLine="0"/>
        <w:rPr>
          <w:b/>
          <w:bCs/>
          <w:lang w:eastAsia="sk-SK"/>
        </w:rPr>
      </w:pPr>
    </w:p>
    <w:p w14:paraId="04219263" w14:textId="77777777" w:rsidR="00434541" w:rsidRPr="00434541" w:rsidRDefault="00434541" w:rsidP="00434541">
      <w:pPr>
        <w:spacing w:after="0" w:line="240" w:lineRule="auto"/>
        <w:ind w:firstLine="0"/>
        <w:rPr>
          <w:lang w:eastAsia="sk-SK"/>
        </w:rPr>
      </w:pPr>
      <w:r w:rsidRPr="00434541">
        <w:rPr>
          <w:lang w:eastAsia="sk-SK"/>
        </w:rPr>
        <w:t>Akú problematiku návrh rieši? Kto bude návrh implementovať? Kde sa budú služby poskytovať?</w:t>
      </w:r>
    </w:p>
    <w:p w14:paraId="16F9898E" w14:textId="77777777" w:rsidR="00434541" w:rsidRPr="00434541" w:rsidRDefault="00434541" w:rsidP="00434541">
      <w:pPr>
        <w:ind w:firstLine="0"/>
        <w:rPr>
          <w:rFonts w:eastAsia="Calibri"/>
          <w:szCs w:val="22"/>
        </w:rPr>
      </w:pPr>
      <w:r w:rsidRPr="00434541">
        <w:rPr>
          <w:rFonts w:eastAsia="Calibri"/>
          <w:szCs w:val="22"/>
        </w:rPr>
        <w:t>Návrh zákona sa predkladá ako iniciatívny návrh.</w:t>
      </w:r>
    </w:p>
    <w:p w14:paraId="7E1EB8CA" w14:textId="77777777" w:rsidR="00434541" w:rsidRPr="00434541" w:rsidRDefault="00434541" w:rsidP="00434541">
      <w:pPr>
        <w:adjustRightInd w:val="0"/>
        <w:ind w:firstLine="0"/>
        <w:rPr>
          <w:rFonts w:eastAsia="Calibri"/>
          <w:color w:val="000000"/>
          <w:szCs w:val="22"/>
        </w:rPr>
      </w:pPr>
      <w:r w:rsidRPr="00434541">
        <w:rPr>
          <w:rFonts w:eastAsia="Calibri"/>
          <w:szCs w:val="22"/>
        </w:rPr>
        <w:t>Obsahom predkladaného návrhu zákona sú zmeny vo viacerých aspektoch vykonávania úloh štátnej štatistiky, pričom z pohľadu dopadu na rozpočet verejnej správy je potrebné upozorniť na:</w:t>
      </w:r>
      <w:r w:rsidRPr="00434541">
        <w:rPr>
          <w:rFonts w:eastAsia="Calibri"/>
          <w:color w:val="000000"/>
          <w:szCs w:val="22"/>
        </w:rPr>
        <w:t xml:space="preserve"> zmeny súvisiace s výstupmi schváleného </w:t>
      </w:r>
      <w:r w:rsidRPr="00434541">
        <w:rPr>
          <w:rFonts w:eastAsia="Calibri"/>
          <w:szCs w:val="22"/>
        </w:rPr>
        <w:t>projektu Reformy zberu a spracovania údajov štatistických údajov vo verejnej správe, najmä</w:t>
      </w:r>
    </w:p>
    <w:p w14:paraId="7BA42407" w14:textId="77777777" w:rsidR="00434541" w:rsidRPr="00434541" w:rsidRDefault="00434541" w:rsidP="00B6407E">
      <w:pPr>
        <w:numPr>
          <w:ilvl w:val="1"/>
          <w:numId w:val="3"/>
        </w:numPr>
        <w:tabs>
          <w:tab w:val="clear" w:pos="1440"/>
          <w:tab w:val="num" w:pos="1211"/>
        </w:tabs>
        <w:adjustRightInd w:val="0"/>
        <w:spacing w:after="200"/>
        <w:ind w:left="360"/>
        <w:jc w:val="left"/>
        <w:rPr>
          <w:rFonts w:eastAsia="Calibri"/>
          <w:b/>
          <w:color w:val="000000"/>
          <w:szCs w:val="22"/>
        </w:rPr>
      </w:pPr>
      <w:r w:rsidRPr="00434541">
        <w:rPr>
          <w:rFonts w:eastAsia="Calibri"/>
          <w:b/>
          <w:color w:val="000000"/>
          <w:szCs w:val="22"/>
        </w:rPr>
        <w:lastRenderedPageBreak/>
        <w:t>zriadenie Jednotného informačného systému štátnej štatistiky podľa § 12a návrhu zákona (synonymický názov pre „Jednotný informačný systém štatistických údajov“ podľa schváleného projektu),</w:t>
      </w:r>
    </w:p>
    <w:p w14:paraId="63070A1D" w14:textId="77777777" w:rsidR="00434541" w:rsidRPr="00434541" w:rsidRDefault="00434541" w:rsidP="00B6407E">
      <w:pPr>
        <w:numPr>
          <w:ilvl w:val="1"/>
          <w:numId w:val="3"/>
        </w:numPr>
        <w:tabs>
          <w:tab w:val="clear" w:pos="1440"/>
          <w:tab w:val="num" w:pos="1211"/>
        </w:tabs>
        <w:adjustRightInd w:val="0"/>
        <w:spacing w:after="200"/>
        <w:ind w:left="360"/>
        <w:jc w:val="left"/>
        <w:rPr>
          <w:rFonts w:eastAsia="Calibri"/>
          <w:b/>
          <w:color w:val="000000"/>
          <w:szCs w:val="22"/>
        </w:rPr>
      </w:pPr>
      <w:r w:rsidRPr="00434541">
        <w:rPr>
          <w:rFonts w:eastAsia="Calibri"/>
          <w:b/>
          <w:color w:val="000000"/>
          <w:szCs w:val="22"/>
        </w:rPr>
        <w:t>posilnenie koordinačnej úlohy Štatistického úradu SR a stým súvisiacich personálnych a organizačných opatrení.</w:t>
      </w:r>
    </w:p>
    <w:p w14:paraId="201BF831" w14:textId="77777777" w:rsidR="00434541" w:rsidRPr="00434541" w:rsidRDefault="00434541" w:rsidP="00434541">
      <w:pPr>
        <w:adjustRightInd w:val="0"/>
        <w:ind w:firstLine="0"/>
        <w:rPr>
          <w:rFonts w:eastAsia="Calibri"/>
          <w:szCs w:val="22"/>
        </w:rPr>
      </w:pPr>
      <w:r w:rsidRPr="00434541">
        <w:rPr>
          <w:rFonts w:eastAsia="Calibri"/>
          <w:szCs w:val="22"/>
        </w:rPr>
        <w:t>Materiál predpokladá negatívny vplyv na rozpočet verejnej správy. Tento vplyv je vyvážený pozitívnym vplyvom postupnej implementácie JIS ŠÚ na informatizáciu spoločnosti a na podnikateľské prostredie (odbúranie významnej časti administratívnej záťaže týchto spravodajských jednotiek spojenej s poskytovaním štatistických údajov):</w:t>
      </w:r>
    </w:p>
    <w:p w14:paraId="6C0D3ABA" w14:textId="77777777" w:rsidR="00434541" w:rsidRPr="00434541" w:rsidRDefault="00434541" w:rsidP="00B6407E">
      <w:pPr>
        <w:numPr>
          <w:ilvl w:val="0"/>
          <w:numId w:val="17"/>
        </w:numPr>
        <w:spacing w:after="200" w:line="252" w:lineRule="auto"/>
        <w:ind w:left="360"/>
        <w:jc w:val="left"/>
        <w:rPr>
          <w:rFonts w:eastAsia="Calibri"/>
          <w:szCs w:val="22"/>
        </w:rPr>
      </w:pPr>
      <w:r w:rsidRPr="00434541">
        <w:rPr>
          <w:rFonts w:eastAsia="Calibri"/>
          <w:szCs w:val="22"/>
        </w:rPr>
        <w:t>JIS ŠÚ podporí procesy plánovania, produkcie, šírenia, podpory (úradnej komunikácie medzi orgánmi vykonávajúcimi štátnu štatistiku).</w:t>
      </w:r>
    </w:p>
    <w:p w14:paraId="5292E3FC" w14:textId="77777777" w:rsidR="00434541" w:rsidRPr="00434541" w:rsidRDefault="00434541" w:rsidP="00B6407E">
      <w:pPr>
        <w:numPr>
          <w:ilvl w:val="0"/>
          <w:numId w:val="17"/>
        </w:numPr>
        <w:spacing w:after="200" w:line="252" w:lineRule="auto"/>
        <w:ind w:left="360"/>
        <w:jc w:val="left"/>
        <w:rPr>
          <w:rFonts w:eastAsia="Calibri"/>
          <w:szCs w:val="22"/>
        </w:rPr>
      </w:pPr>
      <w:r w:rsidRPr="00434541">
        <w:rPr>
          <w:rFonts w:eastAsia="Calibri"/>
          <w:szCs w:val="22"/>
        </w:rPr>
        <w:t>Zároveň ide o technickú podporu výkonu niektorých úsekov a agend zapísaných v Centrálnom metainformačnom systéme verejnej správy SR.</w:t>
      </w:r>
    </w:p>
    <w:p w14:paraId="68412278" w14:textId="77777777" w:rsidR="00434541" w:rsidRPr="00434541" w:rsidRDefault="00434541" w:rsidP="00B6407E">
      <w:pPr>
        <w:numPr>
          <w:ilvl w:val="0"/>
          <w:numId w:val="17"/>
        </w:numPr>
        <w:spacing w:after="200" w:line="252" w:lineRule="auto"/>
        <w:ind w:left="360"/>
        <w:jc w:val="left"/>
        <w:rPr>
          <w:rFonts w:eastAsia="Calibri"/>
          <w:szCs w:val="22"/>
        </w:rPr>
      </w:pPr>
      <w:r w:rsidRPr="00434541">
        <w:rPr>
          <w:rFonts w:eastAsia="Calibri"/>
          <w:szCs w:val="22"/>
        </w:rPr>
        <w:t>Vybrané biznis služby budú budované ako SaaS služby, pričom primárnym konzumentom sú odborné útvary Štatistického úradu SR, a budú zároveň prístupné aj tretím subjektom (najmä povinným osobám – spravodajským jednotkám)</w:t>
      </w:r>
    </w:p>
    <w:p w14:paraId="25D45353" w14:textId="77777777" w:rsidR="00434541" w:rsidRPr="00434541" w:rsidRDefault="00434541" w:rsidP="00B6407E">
      <w:pPr>
        <w:numPr>
          <w:ilvl w:val="0"/>
          <w:numId w:val="17"/>
        </w:numPr>
        <w:spacing w:after="200" w:line="252" w:lineRule="auto"/>
        <w:ind w:left="360"/>
        <w:contextualSpacing/>
        <w:jc w:val="left"/>
        <w:rPr>
          <w:rFonts w:eastAsia="Calibri"/>
          <w:szCs w:val="22"/>
        </w:rPr>
      </w:pPr>
      <w:r w:rsidRPr="00434541">
        <w:rPr>
          <w:rFonts w:eastAsia="Calibri"/>
          <w:szCs w:val="22"/>
        </w:rPr>
        <w:t xml:space="preserve"> JIS ŠÚ bude integrálnou súčasťou e-Governmentu podľa platnej NKIVS.</w:t>
      </w:r>
    </w:p>
    <w:p w14:paraId="5D8D690C" w14:textId="77777777" w:rsidR="00434541" w:rsidRPr="00434541" w:rsidRDefault="00434541" w:rsidP="00434541">
      <w:pPr>
        <w:spacing w:after="0" w:line="240" w:lineRule="auto"/>
        <w:ind w:firstLine="0"/>
        <w:jc w:val="left"/>
        <w:rPr>
          <w:b/>
          <w:bCs/>
          <w:lang w:eastAsia="sk-SK"/>
        </w:rPr>
      </w:pPr>
      <w:r w:rsidRPr="00434541">
        <w:rPr>
          <w:b/>
          <w:bCs/>
          <w:lang w:eastAsia="sk-SK"/>
        </w:rPr>
        <w:t>2.2.2. Charakteristika návrhu:</w:t>
      </w:r>
    </w:p>
    <w:p w14:paraId="1503DFA8" w14:textId="77777777" w:rsidR="00434541" w:rsidRPr="00434541" w:rsidRDefault="00434541" w:rsidP="00434541">
      <w:pPr>
        <w:spacing w:after="0" w:line="240" w:lineRule="auto"/>
        <w:ind w:firstLine="0"/>
        <w:jc w:val="left"/>
        <w:rPr>
          <w:lang w:eastAsia="sk-SK"/>
        </w:rPr>
      </w:pPr>
    </w:p>
    <w:p w14:paraId="50A7F1E4" w14:textId="77777777" w:rsidR="00434541" w:rsidRPr="00434541" w:rsidRDefault="00434541" w:rsidP="00434541">
      <w:pPr>
        <w:spacing w:after="0" w:line="240" w:lineRule="auto"/>
        <w:ind w:firstLine="0"/>
        <w:jc w:val="left"/>
        <w:rPr>
          <w:lang w:eastAsia="sk-SK"/>
        </w:rPr>
      </w:pPr>
      <w:r w:rsidRPr="00434541">
        <w:rPr>
          <w:b/>
          <w:bdr w:val="single" w:sz="4" w:space="0" w:color="auto"/>
          <w:lang w:eastAsia="sk-SK"/>
        </w:rPr>
        <w:t xml:space="preserve">     </w:t>
      </w:r>
      <w:r w:rsidRPr="00434541">
        <w:rPr>
          <w:b/>
          <w:lang w:eastAsia="sk-SK"/>
        </w:rPr>
        <w:t xml:space="preserve">  </w:t>
      </w:r>
      <w:r w:rsidRPr="00434541">
        <w:rPr>
          <w:lang w:eastAsia="sk-SK"/>
        </w:rPr>
        <w:t>zmena sadzby</w:t>
      </w:r>
    </w:p>
    <w:p w14:paraId="55F7AB11" w14:textId="77777777" w:rsidR="00434541" w:rsidRPr="00434541" w:rsidRDefault="00434541" w:rsidP="00434541">
      <w:pPr>
        <w:spacing w:after="0" w:line="240" w:lineRule="auto"/>
        <w:ind w:firstLine="0"/>
        <w:jc w:val="left"/>
        <w:rPr>
          <w:lang w:eastAsia="sk-SK"/>
        </w:rPr>
      </w:pPr>
      <w:r w:rsidRPr="00434541">
        <w:rPr>
          <w:bdr w:val="single" w:sz="4" w:space="0" w:color="auto"/>
          <w:lang w:eastAsia="sk-SK"/>
        </w:rPr>
        <w:t xml:space="preserve">     </w:t>
      </w:r>
      <w:r w:rsidRPr="00434541">
        <w:rPr>
          <w:lang w:eastAsia="sk-SK"/>
        </w:rPr>
        <w:t xml:space="preserve">  zmena v nároku</w:t>
      </w:r>
    </w:p>
    <w:p w14:paraId="196A92F4" w14:textId="77777777" w:rsidR="00434541" w:rsidRPr="00434541" w:rsidRDefault="00434541" w:rsidP="00434541">
      <w:pPr>
        <w:spacing w:after="0" w:line="240" w:lineRule="auto"/>
        <w:ind w:firstLine="0"/>
        <w:jc w:val="left"/>
        <w:rPr>
          <w:lang w:eastAsia="sk-SK"/>
        </w:rPr>
      </w:pPr>
      <w:r w:rsidRPr="00434541">
        <w:rPr>
          <w:bdr w:val="single" w:sz="4" w:space="0" w:color="auto"/>
          <w:lang w:eastAsia="sk-SK"/>
        </w:rPr>
        <w:t xml:space="preserve">     </w:t>
      </w:r>
      <w:r w:rsidRPr="00434541">
        <w:rPr>
          <w:lang w:eastAsia="sk-SK"/>
        </w:rPr>
        <w:t xml:space="preserve">  nová služba alebo nariadenie (alebo ich zrušenie)</w:t>
      </w:r>
    </w:p>
    <w:p w14:paraId="28946412" w14:textId="77777777" w:rsidR="00434541" w:rsidRPr="00434541" w:rsidRDefault="00434541" w:rsidP="00434541">
      <w:pPr>
        <w:spacing w:after="0" w:line="240" w:lineRule="auto"/>
        <w:ind w:firstLine="0"/>
        <w:jc w:val="left"/>
        <w:rPr>
          <w:lang w:eastAsia="sk-SK"/>
        </w:rPr>
      </w:pPr>
      <w:r w:rsidRPr="00434541">
        <w:rPr>
          <w:bdr w:val="single" w:sz="4" w:space="0" w:color="auto"/>
          <w:lang w:eastAsia="sk-SK"/>
        </w:rPr>
        <w:t xml:space="preserve">     </w:t>
      </w:r>
      <w:r w:rsidRPr="00434541">
        <w:rPr>
          <w:lang w:eastAsia="sk-SK"/>
        </w:rPr>
        <w:t xml:space="preserve">  kombinovaný návrh</w:t>
      </w:r>
    </w:p>
    <w:p w14:paraId="5FCFE0AD" w14:textId="77777777" w:rsidR="00434541" w:rsidRPr="00434541" w:rsidRDefault="00434541" w:rsidP="00434541">
      <w:pPr>
        <w:spacing w:after="0" w:line="240" w:lineRule="auto"/>
        <w:ind w:firstLine="0"/>
        <w:jc w:val="left"/>
        <w:rPr>
          <w:lang w:eastAsia="sk-SK"/>
        </w:rPr>
      </w:pPr>
      <w:r w:rsidRPr="00434541">
        <w:rPr>
          <w:bdr w:val="single" w:sz="4" w:space="0" w:color="auto"/>
          <w:lang w:eastAsia="sk-SK"/>
        </w:rPr>
        <w:t xml:space="preserve"> x  </w:t>
      </w:r>
      <w:r w:rsidRPr="00434541">
        <w:rPr>
          <w:lang w:eastAsia="sk-SK"/>
        </w:rPr>
        <w:t xml:space="preserve">  iné </w:t>
      </w:r>
    </w:p>
    <w:p w14:paraId="44EB3A65" w14:textId="77777777" w:rsidR="00434541" w:rsidRPr="00434541" w:rsidRDefault="00434541" w:rsidP="00434541">
      <w:pPr>
        <w:spacing w:after="0" w:line="240" w:lineRule="auto"/>
        <w:ind w:firstLine="0"/>
        <w:jc w:val="left"/>
        <w:rPr>
          <w:lang w:eastAsia="sk-SK"/>
        </w:rPr>
      </w:pPr>
    </w:p>
    <w:p w14:paraId="0F2BFD9A" w14:textId="77777777" w:rsidR="00434541" w:rsidRPr="00434541" w:rsidRDefault="00434541" w:rsidP="00434541">
      <w:pPr>
        <w:spacing w:after="0" w:line="240" w:lineRule="auto"/>
        <w:ind w:firstLine="0"/>
        <w:jc w:val="left"/>
        <w:rPr>
          <w:lang w:eastAsia="sk-SK"/>
        </w:rPr>
      </w:pPr>
    </w:p>
    <w:p w14:paraId="25ACA64F" w14:textId="77777777" w:rsidR="00434541" w:rsidRPr="00434541" w:rsidRDefault="00434541" w:rsidP="00434541">
      <w:pPr>
        <w:spacing w:after="0" w:line="240" w:lineRule="auto"/>
        <w:ind w:firstLine="0"/>
        <w:jc w:val="left"/>
        <w:rPr>
          <w:lang w:eastAsia="sk-SK"/>
        </w:rPr>
      </w:pPr>
      <w:r w:rsidRPr="00434541">
        <w:rPr>
          <w:b/>
          <w:bCs/>
          <w:lang w:eastAsia="sk-SK"/>
        </w:rPr>
        <w:t>2.2.3. Predpoklady vývoja objemu aktivít:</w:t>
      </w:r>
    </w:p>
    <w:p w14:paraId="6B74E25D" w14:textId="77777777" w:rsidR="00434541" w:rsidRPr="00434541" w:rsidRDefault="00434541" w:rsidP="00434541">
      <w:pPr>
        <w:spacing w:after="0" w:line="240" w:lineRule="auto"/>
        <w:ind w:firstLine="0"/>
        <w:jc w:val="left"/>
        <w:rPr>
          <w:lang w:eastAsia="sk-SK"/>
        </w:rPr>
      </w:pPr>
    </w:p>
    <w:p w14:paraId="7E1CF66D" w14:textId="77777777" w:rsidR="00434541" w:rsidRPr="00434541" w:rsidRDefault="00434541" w:rsidP="00434541">
      <w:pPr>
        <w:spacing w:after="0" w:line="240" w:lineRule="auto"/>
        <w:ind w:firstLine="708"/>
        <w:rPr>
          <w:lang w:eastAsia="sk-SK"/>
        </w:rPr>
      </w:pPr>
      <w:r w:rsidRPr="00434541">
        <w:rPr>
          <w:lang w:eastAsia="sk-SK"/>
        </w:rPr>
        <w:t>Jasne popíšte, v prípade potreby použite nižšie uvedenú tabuľku. Uveďte aj odhady základov daní a/alebo poplatkov, ak sa ich táto zmena týka.</w:t>
      </w:r>
    </w:p>
    <w:p w14:paraId="3826C27D" w14:textId="77777777" w:rsidR="00434541" w:rsidRPr="00434541" w:rsidRDefault="00434541" w:rsidP="00434541">
      <w:pPr>
        <w:spacing w:after="0" w:line="240" w:lineRule="auto"/>
        <w:ind w:firstLine="0"/>
        <w:jc w:val="right"/>
        <w:rPr>
          <w:sz w:val="20"/>
          <w:szCs w:val="20"/>
          <w:lang w:eastAsia="sk-SK"/>
        </w:rPr>
      </w:pPr>
      <w:r w:rsidRPr="00434541">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34541" w:rsidRPr="00434541" w14:paraId="6E11B83C" w14:textId="77777777" w:rsidTr="00434541">
        <w:trPr>
          <w:cantSplit/>
          <w:trHeight w:val="70"/>
        </w:trPr>
        <w:tc>
          <w:tcPr>
            <w:tcW w:w="4530" w:type="dxa"/>
            <w:vMerge w:val="restart"/>
            <w:shd w:val="clear" w:color="auto" w:fill="BFBFBF"/>
            <w:vAlign w:val="center"/>
          </w:tcPr>
          <w:p w14:paraId="41FFF7DF"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Objem aktivít</w:t>
            </w:r>
          </w:p>
        </w:tc>
        <w:tc>
          <w:tcPr>
            <w:tcW w:w="1134" w:type="dxa"/>
            <w:gridSpan w:val="4"/>
            <w:shd w:val="clear" w:color="auto" w:fill="BFBFBF"/>
            <w:vAlign w:val="center"/>
          </w:tcPr>
          <w:p w14:paraId="13D50446"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Odhadované objemy</w:t>
            </w:r>
          </w:p>
        </w:tc>
      </w:tr>
      <w:tr w:rsidR="00434541" w:rsidRPr="00434541" w14:paraId="35871E89" w14:textId="77777777" w:rsidTr="00434541">
        <w:trPr>
          <w:cantSplit/>
          <w:trHeight w:val="70"/>
        </w:trPr>
        <w:tc>
          <w:tcPr>
            <w:tcW w:w="4530" w:type="dxa"/>
            <w:vMerge/>
            <w:shd w:val="clear" w:color="auto" w:fill="BFBFBF"/>
          </w:tcPr>
          <w:p w14:paraId="38D5C896" w14:textId="77777777" w:rsidR="00434541" w:rsidRPr="00434541" w:rsidRDefault="00434541" w:rsidP="00434541">
            <w:pPr>
              <w:autoSpaceDE w:val="0"/>
              <w:autoSpaceDN w:val="0"/>
              <w:adjustRightInd w:val="0"/>
              <w:spacing w:after="0" w:line="240" w:lineRule="auto"/>
              <w:ind w:firstLine="0"/>
              <w:jc w:val="center"/>
              <w:rPr>
                <w:b/>
                <w:bCs/>
                <w:lang w:eastAsia="sk-SK"/>
              </w:rPr>
            </w:pPr>
          </w:p>
        </w:tc>
        <w:tc>
          <w:tcPr>
            <w:tcW w:w="1134" w:type="dxa"/>
            <w:shd w:val="clear" w:color="auto" w:fill="BFBFBF"/>
            <w:vAlign w:val="center"/>
          </w:tcPr>
          <w:p w14:paraId="7C7D06D1"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r</w:t>
            </w:r>
          </w:p>
        </w:tc>
        <w:tc>
          <w:tcPr>
            <w:tcW w:w="1134" w:type="dxa"/>
            <w:shd w:val="clear" w:color="auto" w:fill="BFBFBF"/>
            <w:vAlign w:val="center"/>
          </w:tcPr>
          <w:p w14:paraId="637B8871"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r + 1</w:t>
            </w:r>
          </w:p>
        </w:tc>
        <w:tc>
          <w:tcPr>
            <w:tcW w:w="1134" w:type="dxa"/>
            <w:shd w:val="clear" w:color="auto" w:fill="BFBFBF"/>
            <w:vAlign w:val="center"/>
          </w:tcPr>
          <w:p w14:paraId="152E5575"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r + 2</w:t>
            </w:r>
          </w:p>
        </w:tc>
        <w:tc>
          <w:tcPr>
            <w:tcW w:w="1134" w:type="dxa"/>
            <w:shd w:val="clear" w:color="auto" w:fill="BFBFBF"/>
            <w:vAlign w:val="center"/>
          </w:tcPr>
          <w:p w14:paraId="2D912D64" w14:textId="77777777" w:rsidR="00434541" w:rsidRPr="00434541" w:rsidRDefault="00434541" w:rsidP="00434541">
            <w:pPr>
              <w:autoSpaceDE w:val="0"/>
              <w:autoSpaceDN w:val="0"/>
              <w:adjustRightInd w:val="0"/>
              <w:spacing w:after="0" w:line="240" w:lineRule="auto"/>
              <w:ind w:firstLine="0"/>
              <w:jc w:val="center"/>
              <w:rPr>
                <w:b/>
                <w:bCs/>
                <w:lang w:eastAsia="sk-SK"/>
              </w:rPr>
            </w:pPr>
            <w:r w:rsidRPr="00434541">
              <w:rPr>
                <w:b/>
                <w:bCs/>
                <w:lang w:eastAsia="sk-SK"/>
              </w:rPr>
              <w:t>r + 3</w:t>
            </w:r>
          </w:p>
        </w:tc>
      </w:tr>
      <w:tr w:rsidR="00434541" w:rsidRPr="00434541" w14:paraId="45B1F128" w14:textId="77777777" w:rsidTr="00434541">
        <w:trPr>
          <w:trHeight w:val="70"/>
        </w:trPr>
        <w:tc>
          <w:tcPr>
            <w:tcW w:w="4530" w:type="dxa"/>
          </w:tcPr>
          <w:p w14:paraId="1BAB3301" w14:textId="77777777" w:rsidR="00434541" w:rsidRPr="00434541" w:rsidRDefault="00434541" w:rsidP="00434541">
            <w:pPr>
              <w:autoSpaceDE w:val="0"/>
              <w:autoSpaceDN w:val="0"/>
              <w:adjustRightInd w:val="0"/>
              <w:spacing w:after="0" w:line="240" w:lineRule="auto"/>
              <w:ind w:firstLine="0"/>
              <w:jc w:val="left"/>
              <w:rPr>
                <w:color w:val="000000"/>
                <w:lang w:eastAsia="sk-SK"/>
              </w:rPr>
            </w:pPr>
            <w:r w:rsidRPr="00434541">
              <w:rPr>
                <w:color w:val="000000"/>
                <w:lang w:eastAsia="sk-SK"/>
              </w:rPr>
              <w:t>Indikátor ABC</w:t>
            </w:r>
          </w:p>
        </w:tc>
        <w:tc>
          <w:tcPr>
            <w:tcW w:w="1134" w:type="dxa"/>
          </w:tcPr>
          <w:p w14:paraId="11D080E9"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06EE326E"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7B1159E2"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63B22E95"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r>
      <w:tr w:rsidR="00434541" w:rsidRPr="00434541" w14:paraId="318AC685" w14:textId="77777777" w:rsidTr="00434541">
        <w:trPr>
          <w:trHeight w:val="70"/>
        </w:trPr>
        <w:tc>
          <w:tcPr>
            <w:tcW w:w="4530" w:type="dxa"/>
          </w:tcPr>
          <w:p w14:paraId="567D5C01" w14:textId="77777777" w:rsidR="00434541" w:rsidRPr="00434541" w:rsidRDefault="00434541" w:rsidP="00434541">
            <w:pPr>
              <w:autoSpaceDE w:val="0"/>
              <w:autoSpaceDN w:val="0"/>
              <w:adjustRightInd w:val="0"/>
              <w:spacing w:after="0" w:line="240" w:lineRule="auto"/>
              <w:ind w:firstLine="0"/>
              <w:jc w:val="left"/>
              <w:rPr>
                <w:color w:val="000000"/>
                <w:lang w:eastAsia="sk-SK"/>
              </w:rPr>
            </w:pPr>
            <w:r w:rsidRPr="00434541">
              <w:rPr>
                <w:color w:val="000000"/>
                <w:lang w:eastAsia="sk-SK"/>
              </w:rPr>
              <w:t>Indikátor KLM</w:t>
            </w:r>
          </w:p>
        </w:tc>
        <w:tc>
          <w:tcPr>
            <w:tcW w:w="1134" w:type="dxa"/>
          </w:tcPr>
          <w:p w14:paraId="223F6F5A"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769F9321"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62DC451C"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37542135"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r>
      <w:tr w:rsidR="00434541" w:rsidRPr="00434541" w14:paraId="40B85AD9" w14:textId="77777777" w:rsidTr="00434541">
        <w:trPr>
          <w:trHeight w:val="70"/>
        </w:trPr>
        <w:tc>
          <w:tcPr>
            <w:tcW w:w="4530" w:type="dxa"/>
          </w:tcPr>
          <w:p w14:paraId="33EEB51C" w14:textId="77777777" w:rsidR="00434541" w:rsidRPr="00434541" w:rsidRDefault="00434541" w:rsidP="00434541">
            <w:pPr>
              <w:autoSpaceDE w:val="0"/>
              <w:autoSpaceDN w:val="0"/>
              <w:adjustRightInd w:val="0"/>
              <w:spacing w:after="0" w:line="240" w:lineRule="auto"/>
              <w:ind w:firstLine="0"/>
              <w:jc w:val="left"/>
              <w:rPr>
                <w:color w:val="000000"/>
                <w:lang w:eastAsia="sk-SK"/>
              </w:rPr>
            </w:pPr>
            <w:r w:rsidRPr="00434541">
              <w:rPr>
                <w:color w:val="000000"/>
                <w:lang w:eastAsia="sk-SK"/>
              </w:rPr>
              <w:t>Indikátor XYZ</w:t>
            </w:r>
          </w:p>
        </w:tc>
        <w:tc>
          <w:tcPr>
            <w:tcW w:w="1134" w:type="dxa"/>
          </w:tcPr>
          <w:p w14:paraId="67A6B003"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00BB4FD1"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2CF1A78B"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c>
          <w:tcPr>
            <w:tcW w:w="1134" w:type="dxa"/>
          </w:tcPr>
          <w:p w14:paraId="4DB55630" w14:textId="77777777" w:rsidR="00434541" w:rsidRPr="00434541" w:rsidRDefault="00434541" w:rsidP="00434541">
            <w:pPr>
              <w:autoSpaceDE w:val="0"/>
              <w:autoSpaceDN w:val="0"/>
              <w:adjustRightInd w:val="0"/>
              <w:spacing w:after="0" w:line="240" w:lineRule="auto"/>
              <w:ind w:firstLine="0"/>
              <w:jc w:val="right"/>
              <w:rPr>
                <w:color w:val="000000"/>
                <w:lang w:eastAsia="sk-SK"/>
              </w:rPr>
            </w:pPr>
          </w:p>
        </w:tc>
      </w:tr>
    </w:tbl>
    <w:p w14:paraId="7B820C19" w14:textId="77777777" w:rsidR="00434541" w:rsidRPr="00434541" w:rsidRDefault="00434541" w:rsidP="00434541">
      <w:pPr>
        <w:spacing w:after="0" w:line="240" w:lineRule="auto"/>
        <w:ind w:firstLine="0"/>
        <w:jc w:val="left"/>
        <w:rPr>
          <w:lang w:eastAsia="sk-SK"/>
        </w:rPr>
      </w:pPr>
    </w:p>
    <w:p w14:paraId="4717100C" w14:textId="77777777" w:rsidR="00434541" w:rsidRPr="00434541" w:rsidRDefault="00434541" w:rsidP="00434541">
      <w:pPr>
        <w:spacing w:after="200"/>
        <w:ind w:firstLine="0"/>
        <w:jc w:val="left"/>
        <w:rPr>
          <w:lang w:eastAsia="sk-SK"/>
        </w:rPr>
      </w:pPr>
      <w:r w:rsidRPr="00434541">
        <w:rPr>
          <w:lang w:eastAsia="sk-SK"/>
        </w:rPr>
        <w:br w:type="page"/>
      </w:r>
    </w:p>
    <w:p w14:paraId="5ACF64AA" w14:textId="77777777" w:rsidR="00434541" w:rsidRPr="00434541" w:rsidRDefault="00434541" w:rsidP="00434541">
      <w:pPr>
        <w:spacing w:line="240" w:lineRule="auto"/>
        <w:ind w:firstLine="0"/>
        <w:jc w:val="left"/>
        <w:rPr>
          <w:b/>
          <w:bCs/>
          <w:lang w:eastAsia="sk-SK"/>
        </w:rPr>
      </w:pPr>
      <w:r w:rsidRPr="00434541">
        <w:rPr>
          <w:b/>
          <w:bCs/>
          <w:lang w:eastAsia="sk-SK"/>
        </w:rPr>
        <w:lastRenderedPageBreak/>
        <w:t>2.2.4. Výpočty vplyvov na verejné financie</w:t>
      </w:r>
    </w:p>
    <w:p w14:paraId="6155B276" w14:textId="77777777" w:rsidR="00434541" w:rsidRPr="00434541" w:rsidRDefault="00434541" w:rsidP="00434541">
      <w:pPr>
        <w:spacing w:after="240" w:line="240" w:lineRule="auto"/>
        <w:ind w:firstLine="0"/>
        <w:rPr>
          <w:lang w:eastAsia="sk-SK"/>
        </w:rPr>
      </w:pPr>
      <w:r w:rsidRPr="00434541">
        <w:rPr>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FAC3781" w14:textId="77777777" w:rsidR="00434541" w:rsidRPr="00434541" w:rsidRDefault="00434541" w:rsidP="00434541">
      <w:pPr>
        <w:spacing w:line="240" w:lineRule="auto"/>
        <w:ind w:firstLine="0"/>
        <w:rPr>
          <w:b/>
          <w:lang w:eastAsia="sk-SK"/>
        </w:rPr>
      </w:pPr>
      <w:r w:rsidRPr="00434541">
        <w:rPr>
          <w:b/>
          <w:lang w:eastAsia="sk-SK"/>
        </w:rPr>
        <w:t>2.2.4a Výdavky súvisiace so vznikom a zabezpečením chodu Centrálnej koordinačnej jednotky</w:t>
      </w:r>
    </w:p>
    <w:p w14:paraId="7CDA1325" w14:textId="77777777" w:rsidR="00434541" w:rsidRPr="00434541" w:rsidRDefault="00434541" w:rsidP="00434541">
      <w:pPr>
        <w:spacing w:line="240" w:lineRule="auto"/>
        <w:ind w:firstLine="0"/>
        <w:rPr>
          <w:b/>
          <w:lang w:eastAsia="sk-SK"/>
        </w:rPr>
      </w:pPr>
      <w:r w:rsidRPr="00434541">
        <w:rPr>
          <w:b/>
          <w:lang w:eastAsia="sk-SK"/>
        </w:rPr>
        <w:t>Pre splnenie zámerov a cieľov obsiahnutých v novele zákona vo vzťahu k úlohám Štatistického úradu SR, je nevyhnutné vytvoriť zodpovedajúce materiálno-technické, technologické a personálne podmienky.</w:t>
      </w:r>
    </w:p>
    <w:p w14:paraId="551D76FD" w14:textId="77777777" w:rsidR="00434541" w:rsidRPr="00434541" w:rsidRDefault="00434541" w:rsidP="00434541">
      <w:pPr>
        <w:spacing w:line="240" w:lineRule="auto"/>
        <w:ind w:firstLine="0"/>
        <w:rPr>
          <w:lang w:eastAsia="sk-SK"/>
        </w:rPr>
      </w:pPr>
      <w:r w:rsidRPr="00434541">
        <w:rPr>
          <w:lang w:eastAsia="sk-SK"/>
        </w:rPr>
        <w:t xml:space="preserve">V tejto súvislosti sa ako najoptimálnejšie riešenie javí vytvorenie </w:t>
      </w:r>
      <w:r w:rsidRPr="00434541">
        <w:rPr>
          <w:b/>
          <w:lang w:eastAsia="sk-SK"/>
        </w:rPr>
        <w:t>Centrálnej koordinačnej</w:t>
      </w:r>
      <w:r w:rsidRPr="00434541">
        <w:rPr>
          <w:lang w:eastAsia="sk-SK"/>
        </w:rPr>
        <w:t xml:space="preserve"> </w:t>
      </w:r>
      <w:r w:rsidRPr="00434541">
        <w:rPr>
          <w:b/>
          <w:lang w:eastAsia="sk-SK"/>
        </w:rPr>
        <w:t>jednotky</w:t>
      </w:r>
      <w:r w:rsidRPr="00434541">
        <w:rPr>
          <w:lang w:eastAsia="sk-SK"/>
        </w:rPr>
        <w:t>, ako súčasti organizačnej štruktúry Štatistického úradu SR.</w:t>
      </w:r>
    </w:p>
    <w:p w14:paraId="666AAE2F" w14:textId="77777777" w:rsidR="00434541" w:rsidRPr="00434541" w:rsidRDefault="00434541" w:rsidP="00434541">
      <w:pPr>
        <w:spacing w:line="240" w:lineRule="auto"/>
        <w:ind w:firstLine="0"/>
        <w:rPr>
          <w:lang w:eastAsia="sk-SK"/>
        </w:rPr>
      </w:pPr>
      <w:r w:rsidRPr="00434541">
        <w:rPr>
          <w:b/>
          <w:lang w:eastAsia="sk-SK"/>
        </w:rPr>
        <w:t>Centrálna koordinačná jednotka</w:t>
      </w:r>
      <w:r w:rsidRPr="00434541">
        <w:rPr>
          <w:lang w:eastAsia="sk-SK"/>
        </w:rPr>
        <w:t xml:space="preserve"> bude vytvorená k 1. 5. 2021. </w:t>
      </w:r>
    </w:p>
    <w:p w14:paraId="25A93EF5" w14:textId="77777777" w:rsidR="00434541" w:rsidRPr="00434541" w:rsidRDefault="00434541" w:rsidP="00434541">
      <w:pPr>
        <w:spacing w:line="240" w:lineRule="auto"/>
        <w:ind w:firstLine="0"/>
        <w:rPr>
          <w:kern w:val="12"/>
          <w:lang w:eastAsia="sk-SK"/>
        </w:rPr>
      </w:pPr>
      <w:r w:rsidRPr="00434541">
        <w:rPr>
          <w:kern w:val="12"/>
          <w:lang w:eastAsia="sk-SK"/>
        </w:rPr>
        <w:t>Kompetencie Centrálnej koordinačnej jednotky budú v rámci koordinačného mechanizmu v súvislosti s realizáciou národného štatistického systému pokryť prinajmenšom tieto oblasti:</w:t>
      </w:r>
    </w:p>
    <w:p w14:paraId="68E0F679"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koordinuje a metodicky usmerňuje orgány vykonávajúce štátnu štatistiku;</w:t>
      </w:r>
    </w:p>
    <w:p w14:paraId="195C6603"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koordinuje tvorbu plánov štatistických činností národného štatistického systému, teda v rámci orgánov vykonávajúcich štátnu štatistiku na vnútroštátnej úrovni (§ 4 v znení podľa návrhu zákona);</w:t>
      </w:r>
    </w:p>
    <w:p w14:paraId="08C243B4"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organizačne zabezpečuje zasadnutia Koordinačnej rady pre štátnu štatistiku, Kolégia predsedu, Štatistickej rady a iných strategicko-koordinačných štruktúr s dosahom na NŠS a EŠS, napr. aj pre monitorovanie a hodnotenie kvality štatistického produkčného procesu v rámci NŠS;</w:t>
      </w:r>
    </w:p>
    <w:p w14:paraId="1FAC163A"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koordinuje prípravu európskeho štatistického programu na vnútroštátnej úrovni a spravuje zoznam iných vnútroštátnych orgánov pre rozvoj, tvorbu a šírenie európskej štatistiky;</w:t>
      </w:r>
    </w:p>
    <w:p w14:paraId="27DD6DA3"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poskytuje súčinnosť osobnému úradu pri vypracúvaní stratégie a plánu vzdelávacích činností a osvetovej a komunikačnej činnosti v rámci NŠS;</w:t>
      </w:r>
    </w:p>
    <w:p w14:paraId="74C3D363"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poskytuje súčinnosť sekcii informačných systémov pri zabezpečovaní tvorby informačného systému a pri plnení úloh súvisiacich s prevádzkou informačného systému;</w:t>
      </w:r>
    </w:p>
    <w:p w14:paraId="1791809E" w14:textId="77777777" w:rsidR="00434541" w:rsidRPr="00434541" w:rsidRDefault="00434541" w:rsidP="00B6407E">
      <w:pPr>
        <w:numPr>
          <w:ilvl w:val="0"/>
          <w:numId w:val="18"/>
        </w:numPr>
        <w:spacing w:after="200" w:line="240" w:lineRule="auto"/>
        <w:jc w:val="left"/>
        <w:rPr>
          <w:kern w:val="12"/>
          <w:lang w:eastAsia="sk-SK"/>
        </w:rPr>
      </w:pPr>
      <w:r w:rsidRPr="00434541">
        <w:rPr>
          <w:kern w:val="12"/>
          <w:lang w:eastAsia="sk-SK"/>
        </w:rPr>
        <w:t xml:space="preserve">plní ďalšie </w:t>
      </w:r>
      <w:r w:rsidRPr="00434541">
        <w:rPr>
          <w:b/>
          <w:bCs/>
          <w:kern w:val="12"/>
          <w:lang w:eastAsia="sk-SK"/>
        </w:rPr>
        <w:t xml:space="preserve">úlohy v oblasti koordinačného riadenia </w:t>
      </w:r>
      <w:r w:rsidRPr="00434541">
        <w:rPr>
          <w:kern w:val="12"/>
          <w:lang w:eastAsia="sk-SK"/>
        </w:rPr>
        <w:t>národného štatistického systému.</w:t>
      </w:r>
    </w:p>
    <w:p w14:paraId="43FFE66B" w14:textId="77777777" w:rsidR="00434541" w:rsidRPr="00434541" w:rsidRDefault="00434541" w:rsidP="00434541">
      <w:pPr>
        <w:spacing w:line="240" w:lineRule="auto"/>
        <w:ind w:firstLine="0"/>
        <w:rPr>
          <w:kern w:val="12"/>
          <w:lang w:eastAsia="sk-SK"/>
        </w:rPr>
      </w:pPr>
      <w:r w:rsidRPr="00434541">
        <w:rPr>
          <w:kern w:val="12"/>
          <w:lang w:eastAsia="sk-SK"/>
        </w:rPr>
        <w:t xml:space="preserve">Centrálna koordinačná jednotka by okrem vyššie uvedených úloh mala pôsobiť ako hlavný </w:t>
      </w:r>
      <w:r w:rsidRPr="00434541">
        <w:rPr>
          <w:b/>
          <w:bCs/>
          <w:kern w:val="12"/>
          <w:lang w:eastAsia="sk-SK"/>
        </w:rPr>
        <w:t>orgán pre metodické a kvalitatívne usmernenia orgánov</w:t>
      </w:r>
      <w:r w:rsidRPr="00434541">
        <w:rPr>
          <w:kern w:val="12"/>
          <w:lang w:eastAsia="sk-SK"/>
        </w:rPr>
        <w:t xml:space="preserve"> </w:t>
      </w:r>
      <w:r w:rsidRPr="00434541">
        <w:rPr>
          <w:b/>
          <w:kern w:val="12"/>
          <w:lang w:eastAsia="sk-SK"/>
        </w:rPr>
        <w:t>pôsobiacich v NŠS</w:t>
      </w:r>
      <w:r w:rsidRPr="00434541">
        <w:rPr>
          <w:kern w:val="12"/>
          <w:lang w:eastAsia="sk-SK"/>
        </w:rPr>
        <w:t xml:space="preserve"> pre zvýšenie kvality a interoperability údajov. Súčasťou právnej úpravy Centrálnej koordinačnej jednotky by mali byť aj kompetencie pre </w:t>
      </w:r>
      <w:r w:rsidRPr="00434541">
        <w:rPr>
          <w:b/>
          <w:bCs/>
          <w:kern w:val="12"/>
          <w:lang w:eastAsia="sk-SK"/>
        </w:rPr>
        <w:t>definovanie indikátorov kvality pre NŠS, vrátane ich cieľových hodnôt a vydávanie interných aktov v oblasti kvality</w:t>
      </w:r>
      <w:r w:rsidRPr="00434541">
        <w:rPr>
          <w:kern w:val="12"/>
          <w:lang w:eastAsia="sk-SK"/>
        </w:rPr>
        <w:t xml:space="preserve">, ktoré budú záväzné pre všetkých členov NŠS. </w:t>
      </w:r>
    </w:p>
    <w:p w14:paraId="4B37797A" w14:textId="77777777" w:rsidR="00434541" w:rsidRPr="00434541" w:rsidRDefault="00434541" w:rsidP="00434541">
      <w:pPr>
        <w:spacing w:line="240" w:lineRule="auto"/>
        <w:ind w:firstLine="0"/>
        <w:rPr>
          <w:kern w:val="12"/>
          <w:lang w:eastAsia="sk-SK"/>
        </w:rPr>
      </w:pPr>
      <w:r w:rsidRPr="00434541">
        <w:rPr>
          <w:kern w:val="12"/>
          <w:lang w:eastAsia="sk-SK"/>
        </w:rPr>
        <w:t xml:space="preserve">Na novovytvorených pracovných miestach pôjde o vykonávanie koncepčných a metodických činností na úrovni NŠS s najširšími vonkajšími a vnútornými väzbami na uplatňovanie koordinačnej role Štatistického úradu SR a systému manažérstva kvality a Kódexu postupov pre európsku štatistiku. </w:t>
      </w:r>
    </w:p>
    <w:p w14:paraId="2A3C18A9" w14:textId="77777777" w:rsidR="00434541" w:rsidRPr="00434541" w:rsidRDefault="00434541" w:rsidP="00434541">
      <w:pPr>
        <w:spacing w:line="240" w:lineRule="auto"/>
        <w:ind w:firstLine="0"/>
        <w:rPr>
          <w:lang w:eastAsia="sk-SK"/>
        </w:rPr>
      </w:pPr>
      <w:r w:rsidRPr="00434541">
        <w:rPr>
          <w:lang w:eastAsia="sk-SK"/>
        </w:rPr>
        <w:lastRenderedPageBreak/>
        <w:t>Konkrétne ide o zabezpečovanie nasledovných nových činností :</w:t>
      </w:r>
    </w:p>
    <w:p w14:paraId="5E8ACEFA"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Stratégia a manažment – 1 FTE</w:t>
      </w:r>
    </w:p>
    <w:p w14:paraId="0E3346E2"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Koordinácia PŠŠZ – 0,5 FTE / od 1. 7. 2022 /</w:t>
      </w:r>
    </w:p>
    <w:p w14:paraId="6032FB74"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Metodická činnosť v rámci NŠS (tvorba a koordinácia prierezových metodík a ich šírenie) – 2 FTE</w:t>
      </w:r>
    </w:p>
    <w:p w14:paraId="1EE5898D"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Formálne a neformálne zabezpečenie koordinácie (komunikácia, propagácia, koordinácia podujatí v rámci NŠS, medzinárodné kontakty) – 1,5 FTE</w:t>
      </w:r>
    </w:p>
    <w:p w14:paraId="66DABC17"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Riadenie kvality v rámci NŠS (audity, poradenstvo, rozvoj systému kvality podľa štandardov EŠS, podpora pre vecne špecifické aspekty systému kvality) – 3,5 FTE</w:t>
      </w:r>
    </w:p>
    <w:p w14:paraId="706E9E56"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Koordinácia metadát a registrov v rámci NŠS – 0,5 FTE / od 1. 7. 2022 /</w:t>
      </w:r>
    </w:p>
    <w:p w14:paraId="5EBD3D3B"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Koordinácia AZÚ v NŠS (vyhľadávanie, koordinácia využívania)</w:t>
      </w:r>
      <w:r w:rsidRPr="00434541">
        <w:rPr>
          <w:kern w:val="12"/>
          <w:sz w:val="20"/>
          <w:lang w:val="en-US"/>
        </w:rPr>
        <w:t xml:space="preserve"> – </w:t>
      </w:r>
      <w:r w:rsidRPr="00434541">
        <w:rPr>
          <w:lang w:eastAsia="sk-SK"/>
        </w:rPr>
        <w:t>0,75 FTE</w:t>
      </w:r>
    </w:p>
    <w:p w14:paraId="1CE2E12B"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Koordinácia produktov tvorených členmi NŠS (koordinácia diseminácie, propagácia produktov) – 0,75 FTE</w:t>
      </w:r>
    </w:p>
    <w:p w14:paraId="46E4F534"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Manažérsky reporting v NŠS – 0,5 FTE</w:t>
      </w:r>
    </w:p>
    <w:p w14:paraId="589FA9C6"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Vzdelávanie a báza znalostí (organizácia školení, podpora tvorby a údržby bázy znalostí) –</w:t>
      </w:r>
      <w:r w:rsidRPr="00434541">
        <w:rPr>
          <w:kern w:val="12"/>
          <w:sz w:val="20"/>
          <w:lang w:val="en-US"/>
        </w:rPr>
        <w:t xml:space="preserve"> </w:t>
      </w:r>
      <w:r w:rsidRPr="00434541">
        <w:rPr>
          <w:lang w:eastAsia="sk-SK"/>
        </w:rPr>
        <w:t>1 FTE</w:t>
      </w:r>
    </w:p>
    <w:p w14:paraId="004101A0"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Metodická a vecná podpora JIS ŠÚ – 2 FTE /od 1. 7. 2022/</w:t>
      </w:r>
    </w:p>
    <w:p w14:paraId="58E811CB" w14:textId="77777777" w:rsidR="00434541" w:rsidRPr="00434541" w:rsidRDefault="00434541" w:rsidP="00B6407E">
      <w:pPr>
        <w:numPr>
          <w:ilvl w:val="0"/>
          <w:numId w:val="3"/>
        </w:numPr>
        <w:spacing w:after="360" w:line="240" w:lineRule="auto"/>
        <w:ind w:left="360"/>
        <w:jc w:val="left"/>
        <w:rPr>
          <w:lang w:eastAsia="sk-SK"/>
        </w:rPr>
      </w:pPr>
      <w:r w:rsidRPr="00434541">
        <w:rPr>
          <w:lang w:eastAsia="sk-SK"/>
        </w:rPr>
        <w:t>Prevádzka, technická podpora , administrácia a rozvoj JIS ŠÚ – 3 FTE /od 1. 7.2022/</w:t>
      </w:r>
    </w:p>
    <w:p w14:paraId="59FF7B34" w14:textId="77777777" w:rsidR="00434541" w:rsidRPr="00434541" w:rsidRDefault="00434541" w:rsidP="00434541">
      <w:pPr>
        <w:spacing w:after="240" w:line="240" w:lineRule="auto"/>
        <w:ind w:firstLine="0"/>
        <w:rPr>
          <w:lang w:eastAsia="sk-SK"/>
        </w:rPr>
      </w:pPr>
      <w:r w:rsidRPr="00434541">
        <w:rPr>
          <w:b/>
          <w:u w:val="single"/>
          <w:lang w:eastAsia="sk-SK"/>
        </w:rPr>
        <w:t xml:space="preserve">Výdavky </w:t>
      </w:r>
      <w:r w:rsidRPr="00434541">
        <w:rPr>
          <w:lang w:eastAsia="sk-SK"/>
        </w:rPr>
        <w:t>/ Centrálna koordinačná jednotka /</w:t>
      </w:r>
    </w:p>
    <w:p w14:paraId="392655AE"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Výdavky na materiálno technické zabezpečenie a bežnú prevádzku, vrátane nákladov spojených s priestorovým umiestnením zamestnancov, budú hradené z rozpočtu Štatistického úradu SR.</w:t>
      </w:r>
    </w:p>
    <w:p w14:paraId="0EB1BB3F" w14:textId="77777777" w:rsidR="00434541" w:rsidRPr="00434541" w:rsidRDefault="00434541" w:rsidP="00B6407E">
      <w:pPr>
        <w:numPr>
          <w:ilvl w:val="0"/>
          <w:numId w:val="3"/>
        </w:numPr>
        <w:spacing w:after="200" w:line="240" w:lineRule="auto"/>
        <w:ind w:left="360"/>
        <w:jc w:val="left"/>
        <w:rPr>
          <w:lang w:eastAsia="sk-SK"/>
        </w:rPr>
      </w:pPr>
      <w:r w:rsidRPr="00434541">
        <w:rPr>
          <w:lang w:eastAsia="sk-SK"/>
        </w:rPr>
        <w:t xml:space="preserve">Osobné výdavky , vrátane systemizovaných miest, sú predmetom predloženej </w:t>
      </w:r>
      <w:r w:rsidRPr="00434541">
        <w:rPr>
          <w:b/>
          <w:lang w:eastAsia="sk-SK"/>
        </w:rPr>
        <w:t>analýzy</w:t>
      </w:r>
      <w:r w:rsidRPr="00434541">
        <w:rPr>
          <w:lang w:eastAsia="sk-SK"/>
        </w:rPr>
        <w:t xml:space="preserve">.  Ide celkovo o </w:t>
      </w:r>
      <w:r w:rsidRPr="00434541">
        <w:rPr>
          <w:b/>
          <w:lang w:eastAsia="sk-SK"/>
        </w:rPr>
        <w:t>17 štátnych zamestnancov - plánované ročné osobné výdavky počnúc rokom 2023: 484 524 eur.</w:t>
      </w:r>
    </w:p>
    <w:p w14:paraId="53691ADB" w14:textId="77777777" w:rsidR="00434541" w:rsidRPr="00434541" w:rsidRDefault="00434541" w:rsidP="00434541">
      <w:pPr>
        <w:spacing w:line="240" w:lineRule="auto"/>
        <w:ind w:left="363" w:firstLine="0"/>
        <w:rPr>
          <w:b/>
          <w:lang w:eastAsia="sk-SK"/>
        </w:rPr>
      </w:pPr>
      <w:r w:rsidRPr="00434541">
        <w:rPr>
          <w:b/>
          <w:lang w:eastAsia="sk-SK"/>
        </w:rPr>
        <w:t>V roku 2021 – 11 zamestnancov od 1. 5 2021 s plánovanými osobnými výdavkami vo výške 209 011 eur.</w:t>
      </w:r>
    </w:p>
    <w:p w14:paraId="02381B87" w14:textId="77777777" w:rsidR="00434541" w:rsidRPr="00434541" w:rsidRDefault="00434541" w:rsidP="00434541">
      <w:pPr>
        <w:spacing w:line="240" w:lineRule="auto"/>
        <w:ind w:left="363" w:firstLine="0"/>
        <w:rPr>
          <w:b/>
          <w:lang w:eastAsia="sk-SK"/>
        </w:rPr>
      </w:pPr>
      <w:r w:rsidRPr="00434541">
        <w:rPr>
          <w:b/>
          <w:lang w:eastAsia="sk-SK"/>
        </w:rPr>
        <w:t>Rok 2022</w:t>
      </w:r>
      <w:r w:rsidRPr="00434541">
        <w:rPr>
          <w:lang w:eastAsia="sk-SK"/>
        </w:rPr>
        <w:t xml:space="preserve"> z dôvodu prác na implementácii diela JIS ŠÚ a zabezpečení jeho rutinnej prevádzky  dôjde od 1. júla k </w:t>
      </w:r>
      <w:r w:rsidRPr="00434541">
        <w:rPr>
          <w:b/>
          <w:lang w:eastAsia="sk-SK"/>
        </w:rPr>
        <w:t xml:space="preserve"> zvýšenie o 6 zamestnancov </w:t>
      </w:r>
      <w:r w:rsidRPr="00434541">
        <w:rPr>
          <w:lang w:eastAsia="sk-SK"/>
        </w:rPr>
        <w:t xml:space="preserve">/ 3 zamestnanci budú z hľadiska rozpočtu zaradení do programu 0EKON – Informačné technológie a traja do programu 07V Štatistické zisťovanie /. </w:t>
      </w:r>
      <w:r w:rsidRPr="00434541">
        <w:rPr>
          <w:b/>
          <w:lang w:eastAsia="sk-SK"/>
        </w:rPr>
        <w:t>Ročné osobné výdavky: 399 020 eur.</w:t>
      </w:r>
    </w:p>
    <w:p w14:paraId="3D84C6F6" w14:textId="77777777" w:rsidR="00434541" w:rsidRPr="00434541" w:rsidRDefault="00434541" w:rsidP="00434541">
      <w:pPr>
        <w:spacing w:line="240" w:lineRule="auto"/>
        <w:ind w:left="363" w:firstLine="0"/>
        <w:rPr>
          <w:lang w:eastAsia="sk-SK"/>
        </w:rPr>
      </w:pPr>
      <w:r w:rsidRPr="00434541">
        <w:rPr>
          <w:lang w:eastAsia="sk-SK"/>
        </w:rPr>
        <w:t>Vzhľadom k charakteru a náročnosti požadovaných činností je nevyhnutné vytvoriť také motivačné prostredie, aby bolo možné požadovať od zamestnancov vysoké odborné znalosti a manažérske zručnosti. Tomu odpovedajú aj požadované finančné zdroje – predpokladaný priemerný mesačný príjem na úrovni cca 1 760 eur.</w:t>
      </w:r>
    </w:p>
    <w:p w14:paraId="29D198B2" w14:textId="77777777" w:rsidR="00434541" w:rsidRPr="00434541" w:rsidRDefault="00434541" w:rsidP="00434541">
      <w:pPr>
        <w:ind w:firstLine="0"/>
        <w:rPr>
          <w:rFonts w:eastAsia="Calibri"/>
          <w:b/>
        </w:rPr>
      </w:pPr>
      <w:r w:rsidRPr="00434541">
        <w:rPr>
          <w:rFonts w:eastAsia="Calibri"/>
          <w:b/>
        </w:rPr>
        <w:t xml:space="preserve">Budovanie JIS ŠÚ je financované z Európskeho fondu regionálneho rozvoja, v rámci operačného programu Integrovaná infraštruktúra 2014 – 2020. </w:t>
      </w:r>
    </w:p>
    <w:p w14:paraId="68DBC086" w14:textId="77777777" w:rsidR="00434541" w:rsidRPr="00434541" w:rsidRDefault="00434541" w:rsidP="00434541">
      <w:pPr>
        <w:spacing w:after="360"/>
        <w:ind w:firstLine="0"/>
        <w:rPr>
          <w:rFonts w:eastAsia="Calibri"/>
          <w:b/>
        </w:rPr>
      </w:pPr>
      <w:r w:rsidRPr="00434541">
        <w:rPr>
          <w:rFonts w:eastAsia="Calibri"/>
          <w:b/>
        </w:rPr>
        <w:lastRenderedPageBreak/>
        <w:t>Výdavky spojené so zabezpečením prevádzky a udržateľného rozvoja budú hradené z prostriedkov štátneho rozpočtu.</w:t>
      </w:r>
    </w:p>
    <w:p w14:paraId="2EAE8835" w14:textId="77777777" w:rsidR="00434541" w:rsidRPr="00434541" w:rsidRDefault="00434541" w:rsidP="00434541">
      <w:pPr>
        <w:keepNext/>
        <w:widowControl w:val="0"/>
        <w:autoSpaceDE w:val="0"/>
        <w:autoSpaceDN w:val="0"/>
        <w:adjustRightInd w:val="0"/>
        <w:spacing w:before="240" w:after="240" w:line="280" w:lineRule="atLeast"/>
        <w:ind w:left="576" w:hanging="576"/>
        <w:outlineLvl w:val="1"/>
        <w:rPr>
          <w:b/>
          <w:bCs/>
          <w:iCs/>
          <w:lang w:val="en-US"/>
        </w:rPr>
      </w:pPr>
      <w:r w:rsidRPr="00434541">
        <w:rPr>
          <w:b/>
          <w:bCs/>
          <w:iCs/>
          <w:lang w:val="en-US"/>
        </w:rPr>
        <w:t>2.2.4b Výdavky a benefity priamo súvisiace s implementáciou a zabezpečením prevádzky projektu JIS ŠÚ</w:t>
      </w:r>
    </w:p>
    <w:p w14:paraId="78AC3197" w14:textId="77777777" w:rsidR="00434541" w:rsidRPr="00434541" w:rsidRDefault="00434541" w:rsidP="00434541">
      <w:pPr>
        <w:spacing w:after="200"/>
        <w:ind w:firstLine="0"/>
        <w:rPr>
          <w:rFonts w:eastAsia="Calibri"/>
          <w:b/>
        </w:rPr>
      </w:pPr>
      <w:r w:rsidRPr="00434541">
        <w:rPr>
          <w:rFonts w:eastAsia="Calibri"/>
          <w:b/>
        </w:rPr>
        <w:t>1. Prevádzkové náklady</w:t>
      </w:r>
    </w:p>
    <w:p w14:paraId="00F773FB" w14:textId="77777777" w:rsidR="00434541" w:rsidRPr="00434541" w:rsidRDefault="00434541" w:rsidP="00434541">
      <w:pPr>
        <w:spacing w:after="200"/>
        <w:ind w:firstLine="0"/>
        <w:rPr>
          <w:rFonts w:eastAsia="Calibri"/>
        </w:rPr>
      </w:pPr>
      <w:r w:rsidRPr="00434541">
        <w:rPr>
          <w:rFonts w:eastAsia="Calibri"/>
        </w:rPr>
        <w:t xml:space="preserve">Prevádzkové náklady predstavujú náklady na zabezpečenie trvalého udržania projektu a skladajú sa z vlastných pracovných pozícií v gescii Štatistického úradu SR a nákladov na prevádzku a rozvoj zabezpečovaných externým dodávateľom systému. </w:t>
      </w:r>
    </w:p>
    <w:p w14:paraId="30291D0E" w14:textId="77777777" w:rsidR="00434541" w:rsidRPr="00434541" w:rsidRDefault="00434541" w:rsidP="00434541">
      <w:pPr>
        <w:spacing w:after="200"/>
        <w:ind w:firstLine="0"/>
        <w:rPr>
          <w:rFonts w:eastAsia="Calibri"/>
        </w:rPr>
      </w:pPr>
      <w:r w:rsidRPr="00434541">
        <w:rPr>
          <w:rFonts w:eastAsia="Calibri"/>
        </w:rPr>
        <w:t>V nasledujúcej tabuľke sú definované prevádzkové náklady projektu a stručný popis nákladových položiek</w:t>
      </w:r>
    </w:p>
    <w:tbl>
      <w:tblPr>
        <w:tblStyle w:val="Mriekatabuky2"/>
        <w:tblpPr w:leftFromText="141" w:rightFromText="141" w:vertAnchor="text" w:tblpY="35"/>
        <w:tblW w:w="9067" w:type="dxa"/>
        <w:tblLook w:val="04A0" w:firstRow="1" w:lastRow="0" w:firstColumn="1" w:lastColumn="0" w:noHBand="0" w:noVBand="1"/>
      </w:tblPr>
      <w:tblGrid>
        <w:gridCol w:w="2689"/>
        <w:gridCol w:w="1417"/>
        <w:gridCol w:w="4961"/>
      </w:tblGrid>
      <w:tr w:rsidR="00434541" w:rsidRPr="00434541" w14:paraId="187AAF7F" w14:textId="77777777" w:rsidTr="00434541">
        <w:trPr>
          <w:tblHeader/>
        </w:trPr>
        <w:tc>
          <w:tcPr>
            <w:tcW w:w="2689" w:type="dxa"/>
            <w:shd w:val="clear" w:color="auto" w:fill="D9D9D9"/>
          </w:tcPr>
          <w:p w14:paraId="344C76C2" w14:textId="77777777" w:rsidR="00434541" w:rsidRPr="00434541" w:rsidRDefault="00434541" w:rsidP="00434541">
            <w:pPr>
              <w:rPr>
                <w:lang w:val="en-US"/>
              </w:rPr>
            </w:pPr>
            <w:r w:rsidRPr="00434541">
              <w:rPr>
                <w:lang w:val="en-US"/>
              </w:rPr>
              <w:t>Rozpočtová položka</w:t>
            </w:r>
          </w:p>
        </w:tc>
        <w:tc>
          <w:tcPr>
            <w:tcW w:w="1417" w:type="dxa"/>
            <w:shd w:val="clear" w:color="auto" w:fill="D9D9D9"/>
          </w:tcPr>
          <w:p w14:paraId="7474B931" w14:textId="77777777" w:rsidR="00434541" w:rsidRPr="00434541" w:rsidRDefault="00434541" w:rsidP="00434541">
            <w:pPr>
              <w:rPr>
                <w:lang w:val="en-US"/>
              </w:rPr>
            </w:pPr>
            <w:r w:rsidRPr="00434541">
              <w:rPr>
                <w:lang w:val="en-US"/>
              </w:rPr>
              <w:t>Ročný náklad</w:t>
            </w:r>
          </w:p>
        </w:tc>
        <w:tc>
          <w:tcPr>
            <w:tcW w:w="4961" w:type="dxa"/>
            <w:shd w:val="clear" w:color="auto" w:fill="D9D9D9"/>
          </w:tcPr>
          <w:p w14:paraId="3CF184A6" w14:textId="77777777" w:rsidR="00434541" w:rsidRPr="00434541" w:rsidRDefault="00434541" w:rsidP="00434541">
            <w:pPr>
              <w:rPr>
                <w:lang w:val="en-US"/>
              </w:rPr>
            </w:pPr>
            <w:r w:rsidRPr="00434541">
              <w:rPr>
                <w:lang w:val="en-US"/>
              </w:rPr>
              <w:t>Popis nákladovej položky</w:t>
            </w:r>
          </w:p>
        </w:tc>
      </w:tr>
      <w:tr w:rsidR="00434541" w:rsidRPr="00434541" w14:paraId="59FA9CA3" w14:textId="77777777" w:rsidTr="00434541">
        <w:tc>
          <w:tcPr>
            <w:tcW w:w="2689" w:type="dxa"/>
          </w:tcPr>
          <w:p w14:paraId="35AB50C9" w14:textId="77777777" w:rsidR="00434541" w:rsidRPr="00434541" w:rsidRDefault="00434541" w:rsidP="00434541">
            <w:pPr>
              <w:rPr>
                <w:lang w:val="en-US"/>
              </w:rPr>
            </w:pPr>
            <w:r w:rsidRPr="00434541">
              <w:rPr>
                <w:lang w:val="en-US"/>
              </w:rPr>
              <w:t xml:space="preserve">Nové riešenie/ </w:t>
            </w:r>
          </w:p>
          <w:p w14:paraId="08470AF6" w14:textId="77777777" w:rsidR="00434541" w:rsidRPr="00434541" w:rsidRDefault="00434541" w:rsidP="00434541">
            <w:pPr>
              <w:rPr>
                <w:lang w:val="en-US"/>
              </w:rPr>
            </w:pPr>
            <w:r w:rsidRPr="00434541">
              <w:rPr>
                <w:lang w:val="en-US"/>
              </w:rPr>
              <w:t>Opravy a udržiavanie</w:t>
            </w:r>
          </w:p>
        </w:tc>
        <w:tc>
          <w:tcPr>
            <w:tcW w:w="1417" w:type="dxa"/>
          </w:tcPr>
          <w:p w14:paraId="287C2DF9" w14:textId="77777777" w:rsidR="00434541" w:rsidRPr="00434541" w:rsidRDefault="00434541" w:rsidP="00434541">
            <w:pPr>
              <w:rPr>
                <w:lang w:val="en-US"/>
              </w:rPr>
            </w:pPr>
            <w:r w:rsidRPr="00434541">
              <w:rPr>
                <w:lang w:val="en-US"/>
              </w:rPr>
              <w:t>469 515 €</w:t>
            </w:r>
          </w:p>
        </w:tc>
        <w:tc>
          <w:tcPr>
            <w:tcW w:w="4961" w:type="dxa"/>
          </w:tcPr>
          <w:p w14:paraId="3EFC828C" w14:textId="77777777" w:rsidR="00434541" w:rsidRPr="00434541" w:rsidRDefault="00434541" w:rsidP="00434541">
            <w:pPr>
              <w:rPr>
                <w:lang w:val="en-US"/>
              </w:rPr>
            </w:pPr>
            <w:r w:rsidRPr="00434541">
              <w:rPr>
                <w:lang w:val="en-US"/>
              </w:rPr>
              <w:t xml:space="preserve">Ide o zabezpečenie údržby a opráv nových komponentov, ktoré budú vybudované v rámci novej dodávky riešenia. </w:t>
            </w:r>
          </w:p>
          <w:p w14:paraId="78290D92" w14:textId="77777777" w:rsidR="00434541" w:rsidRPr="00434541" w:rsidRDefault="00434541" w:rsidP="00434541">
            <w:pPr>
              <w:rPr>
                <w:lang w:val="en-US"/>
              </w:rPr>
            </w:pPr>
            <w:r w:rsidRPr="00434541">
              <w:rPr>
                <w:lang w:val="en-US"/>
              </w:rPr>
              <w:t xml:space="preserve">Náklady boli odhadnuté ako 5% (odporúčaná hodnota UHP) investičných výdavkov vytvoreného diela. </w:t>
            </w:r>
          </w:p>
        </w:tc>
      </w:tr>
      <w:tr w:rsidR="00434541" w:rsidRPr="00434541" w14:paraId="6E176B92" w14:textId="77777777" w:rsidTr="00434541">
        <w:tc>
          <w:tcPr>
            <w:tcW w:w="2689" w:type="dxa"/>
          </w:tcPr>
          <w:p w14:paraId="7E580A21" w14:textId="77777777" w:rsidR="00434541" w:rsidRPr="00434541" w:rsidRDefault="00434541" w:rsidP="00434541">
            <w:pPr>
              <w:rPr>
                <w:lang w:val="en-US"/>
              </w:rPr>
            </w:pPr>
            <w:r w:rsidRPr="00434541">
              <w:rPr>
                <w:lang w:val="en-US"/>
              </w:rPr>
              <w:t xml:space="preserve">Upgrade riešenia/ </w:t>
            </w:r>
          </w:p>
          <w:p w14:paraId="128989EE" w14:textId="77777777" w:rsidR="00434541" w:rsidRPr="00434541" w:rsidRDefault="00434541" w:rsidP="00434541">
            <w:pPr>
              <w:rPr>
                <w:lang w:val="en-US"/>
              </w:rPr>
            </w:pPr>
            <w:r w:rsidRPr="00434541">
              <w:rPr>
                <w:lang w:val="en-US"/>
              </w:rPr>
              <w:t>Ostatné výdavky</w:t>
            </w:r>
          </w:p>
        </w:tc>
        <w:tc>
          <w:tcPr>
            <w:tcW w:w="1417" w:type="dxa"/>
          </w:tcPr>
          <w:p w14:paraId="417D1F57" w14:textId="77777777" w:rsidR="00434541" w:rsidRPr="00434541" w:rsidRDefault="00434541" w:rsidP="00434541">
            <w:pPr>
              <w:rPr>
                <w:lang w:val="en-US"/>
              </w:rPr>
            </w:pPr>
            <w:r w:rsidRPr="00434541">
              <w:rPr>
                <w:lang w:val="en-US"/>
              </w:rPr>
              <w:t>648 000 €</w:t>
            </w:r>
          </w:p>
        </w:tc>
        <w:tc>
          <w:tcPr>
            <w:tcW w:w="4961" w:type="dxa"/>
          </w:tcPr>
          <w:p w14:paraId="78282910" w14:textId="77777777" w:rsidR="00434541" w:rsidRPr="00434541" w:rsidRDefault="00434541" w:rsidP="00434541">
            <w:pPr>
              <w:rPr>
                <w:lang w:val="en-US"/>
              </w:rPr>
            </w:pPr>
            <w:r w:rsidRPr="00434541">
              <w:rPr>
                <w:lang w:val="en-US"/>
              </w:rPr>
              <w:t>Ide o zabezpečenie rozvoja zostatku existujúceho riešenia ako aj komponentov nového riešenia.</w:t>
            </w:r>
          </w:p>
          <w:p w14:paraId="37BC508F" w14:textId="77777777" w:rsidR="00434541" w:rsidRPr="00434541" w:rsidRDefault="00434541" w:rsidP="00434541">
            <w:pPr>
              <w:rPr>
                <w:lang w:val="en-US"/>
              </w:rPr>
            </w:pPr>
            <w:r w:rsidRPr="00434541">
              <w:rPr>
                <w:lang w:val="en-US"/>
              </w:rPr>
              <w:t>Ide o nasledovné položky:</w:t>
            </w:r>
          </w:p>
          <w:p w14:paraId="4E6B60A1" w14:textId="77777777" w:rsidR="00434541" w:rsidRPr="00434541" w:rsidRDefault="00434541" w:rsidP="00434541">
            <w:pPr>
              <w:rPr>
                <w:lang w:val="en-US"/>
              </w:rPr>
            </w:pPr>
            <w:r w:rsidRPr="00434541">
              <w:rPr>
                <w:lang w:val="en-US"/>
              </w:rPr>
              <w:t>Existujúce riešenie – 168 tis.€ ročne (polovica súčasného stavu)</w:t>
            </w:r>
          </w:p>
          <w:p w14:paraId="0866E2CC" w14:textId="77777777" w:rsidR="00434541" w:rsidRPr="00434541" w:rsidRDefault="00434541" w:rsidP="00434541">
            <w:pPr>
              <w:rPr>
                <w:lang w:val="en-US"/>
              </w:rPr>
            </w:pPr>
            <w:r w:rsidRPr="00434541">
              <w:rPr>
                <w:lang w:val="en-US"/>
              </w:rPr>
              <w:t>Nové moduly – 480 tis. € ročne (predpoklad 800 MDs ročne pri sadzbe 600 €/ MD)</w:t>
            </w:r>
          </w:p>
        </w:tc>
      </w:tr>
    </w:tbl>
    <w:p w14:paraId="1386BA7A" w14:textId="77777777" w:rsidR="00434541" w:rsidRPr="00434541" w:rsidRDefault="00434541" w:rsidP="00434541">
      <w:pPr>
        <w:spacing w:after="200"/>
        <w:ind w:firstLine="0"/>
        <w:rPr>
          <w:rFonts w:eastAsia="Calibri"/>
          <w:b/>
          <w:u w:val="single"/>
        </w:rPr>
      </w:pPr>
    </w:p>
    <w:p w14:paraId="32AC864E" w14:textId="77777777" w:rsidR="00434541" w:rsidRPr="00434541" w:rsidRDefault="00434541" w:rsidP="00434541">
      <w:pPr>
        <w:spacing w:after="200"/>
        <w:ind w:firstLine="0"/>
        <w:rPr>
          <w:rFonts w:eastAsia="Calibri"/>
        </w:rPr>
      </w:pPr>
      <w:r w:rsidRPr="00434541">
        <w:rPr>
          <w:rFonts w:eastAsia="Calibri"/>
        </w:rPr>
        <w:t xml:space="preserve">Z uzatvorenej </w:t>
      </w:r>
      <w:r w:rsidRPr="00434541">
        <w:rPr>
          <w:rFonts w:eastAsia="Calibri"/>
          <w:b/>
        </w:rPr>
        <w:t>Zmluvy o dielo na realizáciu projektu JIS ŠÚ</w:t>
      </w:r>
      <w:r w:rsidRPr="00434541">
        <w:rPr>
          <w:rFonts w:eastAsia="Calibri"/>
        </w:rPr>
        <w:t xml:space="preserve"> k 15. 10 2020 vyplýva, že na zabezpečenie prevádzky JIS ŠÚ  ročne –  je potrebné vynaložiť </w:t>
      </w:r>
      <w:r w:rsidRPr="00434541">
        <w:rPr>
          <w:rFonts w:eastAsia="Calibri"/>
          <w:b/>
        </w:rPr>
        <w:t>469 515</w:t>
      </w:r>
      <w:r w:rsidRPr="00434541">
        <w:rPr>
          <w:rFonts w:eastAsia="Calibri"/>
        </w:rPr>
        <w:t xml:space="preserve"> </w:t>
      </w:r>
      <w:r w:rsidRPr="00434541">
        <w:rPr>
          <w:rFonts w:eastAsia="Calibri"/>
          <w:b/>
        </w:rPr>
        <w:t>eu</w:t>
      </w:r>
      <w:r w:rsidRPr="00434541">
        <w:rPr>
          <w:rFonts w:eastAsia="Calibri"/>
        </w:rPr>
        <w:t xml:space="preserve">r . Kapitálový výdavok na rozvoj systému je plánovaný vo výške </w:t>
      </w:r>
      <w:r w:rsidRPr="00434541">
        <w:rPr>
          <w:rFonts w:eastAsia="Calibri"/>
          <w:b/>
        </w:rPr>
        <w:t>648 000 eur</w:t>
      </w:r>
      <w:r w:rsidRPr="00434541">
        <w:rPr>
          <w:rFonts w:eastAsia="Calibri"/>
        </w:rPr>
        <w:t xml:space="preserve"> . V zmysle pripomienky MF SR sú predmetné sumy požadované na rok 2022  -  budú predložené na posúdenie a hodnotenie MF SR.</w:t>
      </w:r>
    </w:p>
    <w:p w14:paraId="1FA929B7" w14:textId="77777777" w:rsidR="00434541" w:rsidRPr="00434541" w:rsidRDefault="00434541" w:rsidP="00434541">
      <w:pPr>
        <w:spacing w:after="200"/>
        <w:ind w:firstLine="0"/>
        <w:rPr>
          <w:rFonts w:eastAsia="Calibri"/>
          <w:b/>
        </w:rPr>
      </w:pPr>
      <w:r w:rsidRPr="00434541">
        <w:rPr>
          <w:rFonts w:eastAsia="Calibri"/>
          <w:b/>
        </w:rPr>
        <w:t>Štruktúra nákladov jednotného informačného systému štatistických údajov</w:t>
      </w:r>
    </w:p>
    <w:p w14:paraId="37B220FB" w14:textId="77777777" w:rsidR="00434541" w:rsidRPr="00434541" w:rsidRDefault="00434541" w:rsidP="00434541">
      <w:pPr>
        <w:spacing w:line="240" w:lineRule="auto"/>
        <w:ind w:firstLine="0"/>
        <w:rPr>
          <w:rFonts w:eastAsia="Calibri"/>
          <w:bCs/>
          <w:color w:val="000000"/>
        </w:rPr>
      </w:pPr>
      <w:r w:rsidRPr="00434541">
        <w:rPr>
          <w:rFonts w:eastAsia="Calibri"/>
          <w:b/>
          <w:i/>
          <w:iCs/>
          <w:color w:val="000000"/>
        </w:rPr>
        <w:t>Projektové náklady</w:t>
      </w:r>
      <w:r w:rsidRPr="00434541">
        <w:rPr>
          <w:rFonts w:eastAsia="Calibri"/>
          <w:bCs/>
          <w:color w:val="000000"/>
        </w:rPr>
        <w:t xml:space="preserve"> sa skladali z:</w:t>
      </w:r>
    </w:p>
    <w:p w14:paraId="47A80C4F" w14:textId="77777777" w:rsidR="00434541" w:rsidRPr="00434541" w:rsidRDefault="00434541" w:rsidP="00B6407E">
      <w:pPr>
        <w:numPr>
          <w:ilvl w:val="0"/>
          <w:numId w:val="20"/>
        </w:numPr>
        <w:spacing w:after="200" w:line="240" w:lineRule="auto"/>
        <w:jc w:val="left"/>
        <w:rPr>
          <w:rFonts w:eastAsia="Calibri"/>
          <w:bCs/>
          <w:color w:val="000000"/>
        </w:rPr>
      </w:pPr>
      <w:r w:rsidRPr="00434541">
        <w:rPr>
          <w:rFonts w:eastAsia="Calibri"/>
          <w:bCs/>
          <w:color w:val="000000"/>
        </w:rPr>
        <w:t>Nákladov na vývoj softvéru -  boli kalkulované na základe Use Case Point analýzy, ktorá sa využíva na nacenovanie softvérových diel, ktoré majú jasne definované procesy. V tomto prípade sa jednalo o procesy GSBPM (General Statistical Business Process Management). Tieto náklady boli následne transformované do členenia podľa profesií a fáz projektu v zmysle metodiky MIRRI a požiadaviek UHP.</w:t>
      </w:r>
    </w:p>
    <w:p w14:paraId="14ED0559" w14:textId="77777777" w:rsidR="00434541" w:rsidRPr="00434541" w:rsidRDefault="00434541" w:rsidP="00B6407E">
      <w:pPr>
        <w:numPr>
          <w:ilvl w:val="0"/>
          <w:numId w:val="20"/>
        </w:numPr>
        <w:spacing w:after="200" w:line="240" w:lineRule="auto"/>
        <w:jc w:val="left"/>
        <w:rPr>
          <w:rFonts w:eastAsia="Calibri"/>
          <w:bCs/>
          <w:color w:val="000000"/>
        </w:rPr>
      </w:pPr>
      <w:r w:rsidRPr="00434541">
        <w:rPr>
          <w:rFonts w:eastAsia="Calibri"/>
          <w:bCs/>
          <w:color w:val="000000"/>
        </w:rPr>
        <w:t>Náklady na PM, kvalitu a povinnú publicitu – boli stanované ako 7% celkových nákladov na Projekt, pričom:</w:t>
      </w:r>
    </w:p>
    <w:p w14:paraId="63F2E838" w14:textId="77777777" w:rsidR="00434541" w:rsidRPr="00434541" w:rsidRDefault="00434541" w:rsidP="00B6407E">
      <w:pPr>
        <w:numPr>
          <w:ilvl w:val="1"/>
          <w:numId w:val="20"/>
        </w:numPr>
        <w:spacing w:after="200" w:line="240" w:lineRule="auto"/>
        <w:jc w:val="left"/>
        <w:rPr>
          <w:rFonts w:eastAsia="Calibri"/>
          <w:bCs/>
          <w:color w:val="000000"/>
        </w:rPr>
      </w:pPr>
      <w:r w:rsidRPr="00434541">
        <w:rPr>
          <w:rFonts w:eastAsia="Calibri"/>
          <w:bCs/>
          <w:color w:val="000000"/>
        </w:rPr>
        <w:t xml:space="preserve"> 4 % predstavujú náklady na strane Štatistického úradu SR </w:t>
      </w:r>
    </w:p>
    <w:p w14:paraId="78C391B8" w14:textId="77777777" w:rsidR="00434541" w:rsidRPr="00434541" w:rsidRDefault="00434541" w:rsidP="00B6407E">
      <w:pPr>
        <w:numPr>
          <w:ilvl w:val="1"/>
          <w:numId w:val="20"/>
        </w:numPr>
        <w:spacing w:after="200" w:line="240" w:lineRule="auto"/>
        <w:jc w:val="left"/>
        <w:rPr>
          <w:rFonts w:eastAsia="Calibri"/>
          <w:bCs/>
          <w:color w:val="000000"/>
        </w:rPr>
      </w:pPr>
      <w:r w:rsidRPr="00434541">
        <w:rPr>
          <w:rFonts w:eastAsia="Calibri"/>
          <w:bCs/>
          <w:color w:val="000000"/>
        </w:rPr>
        <w:t> 3 % predstavujú náklady na strane MIRRI</w:t>
      </w:r>
    </w:p>
    <w:p w14:paraId="01BA36D6" w14:textId="77777777" w:rsidR="00434541" w:rsidRPr="00434541" w:rsidRDefault="00434541" w:rsidP="00434541">
      <w:pPr>
        <w:spacing w:line="240" w:lineRule="auto"/>
        <w:ind w:firstLine="0"/>
        <w:rPr>
          <w:rFonts w:eastAsia="Calibri"/>
          <w:bCs/>
          <w:color w:val="000000"/>
        </w:rPr>
      </w:pPr>
      <w:r w:rsidRPr="00434541">
        <w:rPr>
          <w:rFonts w:eastAsia="Calibri"/>
          <w:b/>
          <w:i/>
          <w:iCs/>
          <w:color w:val="000000"/>
        </w:rPr>
        <w:t>Prevádzkové náklady</w:t>
      </w:r>
      <w:r w:rsidRPr="00434541">
        <w:rPr>
          <w:rFonts w:eastAsia="Calibri"/>
          <w:bCs/>
          <w:color w:val="000000"/>
        </w:rPr>
        <w:t xml:space="preserve"> boli rozdelené do 3 častí:</w:t>
      </w:r>
    </w:p>
    <w:p w14:paraId="5FD64DF0" w14:textId="77777777" w:rsidR="00434541" w:rsidRPr="00434541" w:rsidRDefault="00434541" w:rsidP="00B6407E">
      <w:pPr>
        <w:numPr>
          <w:ilvl w:val="0"/>
          <w:numId w:val="19"/>
        </w:numPr>
        <w:spacing w:after="200" w:line="240" w:lineRule="auto"/>
        <w:jc w:val="left"/>
        <w:rPr>
          <w:rFonts w:eastAsia="Calibri"/>
          <w:bCs/>
          <w:color w:val="000000"/>
        </w:rPr>
      </w:pPr>
      <w:r w:rsidRPr="00434541">
        <w:rPr>
          <w:rFonts w:eastAsia="Calibri"/>
          <w:bCs/>
          <w:color w:val="000000"/>
        </w:rPr>
        <w:lastRenderedPageBreak/>
        <w:t>Zabezpečenie prevádzky prostredníctvom vlastných zdrojov – jedná sa o zabezpečenie prevádzky ako L1 podpory, pričom sa predpokladá, že prevádzku zabezpečia 6 pracovníci pri sadzbe 11€/hodina.</w:t>
      </w:r>
    </w:p>
    <w:p w14:paraId="3B78D1BF" w14:textId="77777777" w:rsidR="00434541" w:rsidRPr="00434541" w:rsidRDefault="00434541" w:rsidP="00B6407E">
      <w:pPr>
        <w:numPr>
          <w:ilvl w:val="0"/>
          <w:numId w:val="19"/>
        </w:numPr>
        <w:spacing w:after="200" w:line="240" w:lineRule="auto"/>
        <w:jc w:val="left"/>
        <w:rPr>
          <w:rFonts w:eastAsia="Calibri"/>
          <w:bCs/>
          <w:color w:val="000000"/>
        </w:rPr>
      </w:pPr>
      <w:r w:rsidRPr="00434541">
        <w:rPr>
          <w:rFonts w:eastAsia="Calibri"/>
          <w:bCs/>
          <w:color w:val="000000"/>
        </w:rPr>
        <w:t>Zabezpečenie prevádzky prostredníctvom SLA – jedná sa o zabezpečenie podpory úrovne L2 – L4, pričom boli kalkulované 2 položky:</w:t>
      </w:r>
    </w:p>
    <w:p w14:paraId="251369E6" w14:textId="77777777" w:rsidR="00434541" w:rsidRPr="00434541" w:rsidRDefault="00434541" w:rsidP="00B6407E">
      <w:pPr>
        <w:numPr>
          <w:ilvl w:val="1"/>
          <w:numId w:val="19"/>
        </w:numPr>
        <w:spacing w:after="200" w:line="240" w:lineRule="auto"/>
        <w:jc w:val="left"/>
        <w:rPr>
          <w:rFonts w:eastAsia="Calibri"/>
          <w:bCs/>
          <w:color w:val="000000"/>
        </w:rPr>
      </w:pPr>
      <w:r w:rsidRPr="00434541">
        <w:rPr>
          <w:rFonts w:eastAsia="Calibri"/>
          <w:bCs/>
          <w:color w:val="000000"/>
        </w:rPr>
        <w:t> zabezpečenie prevádzky nových komponentov ako 5 % z obstarávanej ceny diela</w:t>
      </w:r>
    </w:p>
    <w:p w14:paraId="74D26A67" w14:textId="77777777" w:rsidR="00434541" w:rsidRPr="00434541" w:rsidRDefault="00434541" w:rsidP="00B6407E">
      <w:pPr>
        <w:numPr>
          <w:ilvl w:val="1"/>
          <w:numId w:val="19"/>
        </w:numPr>
        <w:spacing w:after="200" w:line="240" w:lineRule="auto"/>
        <w:jc w:val="left"/>
        <w:rPr>
          <w:rFonts w:eastAsia="Calibri"/>
          <w:bCs/>
          <w:color w:val="000000"/>
        </w:rPr>
      </w:pPr>
      <w:r w:rsidRPr="00434541">
        <w:rPr>
          <w:rFonts w:eastAsia="Calibri"/>
          <w:bCs/>
          <w:color w:val="000000"/>
        </w:rPr>
        <w:t> zabezpečenie prevádzky existujúcich komponentov, pričom projekt predpokladá zachovanie cca 50% funkcionalít a teda aj 50% nákladov na zabezpečenie týchto funkcionalít</w:t>
      </w:r>
    </w:p>
    <w:p w14:paraId="4748E70E" w14:textId="77777777" w:rsidR="00434541" w:rsidRPr="00434541" w:rsidRDefault="00434541" w:rsidP="00B6407E">
      <w:pPr>
        <w:numPr>
          <w:ilvl w:val="0"/>
          <w:numId w:val="19"/>
        </w:numPr>
        <w:spacing w:after="200" w:line="240" w:lineRule="auto"/>
        <w:jc w:val="left"/>
        <w:rPr>
          <w:rFonts w:eastAsia="Calibri"/>
          <w:bCs/>
          <w:color w:val="000000"/>
        </w:rPr>
      </w:pPr>
      <w:r w:rsidRPr="00434541">
        <w:rPr>
          <w:rFonts w:eastAsia="Calibri"/>
          <w:bCs/>
          <w:color w:val="000000"/>
        </w:rPr>
        <w:t>Zabezpečenie rozvoja dodávaného diela – rovnako ako v prípade prevádzky sa jedná o zabezpečenie rozvoja:</w:t>
      </w:r>
    </w:p>
    <w:p w14:paraId="52D4E4D1" w14:textId="77777777" w:rsidR="00434541" w:rsidRPr="00434541" w:rsidRDefault="00434541" w:rsidP="00B6407E">
      <w:pPr>
        <w:numPr>
          <w:ilvl w:val="1"/>
          <w:numId w:val="19"/>
        </w:numPr>
        <w:spacing w:after="200" w:line="240" w:lineRule="auto"/>
        <w:jc w:val="left"/>
        <w:rPr>
          <w:rFonts w:eastAsia="Calibri"/>
          <w:bCs/>
          <w:color w:val="000000"/>
        </w:rPr>
      </w:pPr>
      <w:r w:rsidRPr="00434541">
        <w:rPr>
          <w:rFonts w:eastAsia="Calibri"/>
          <w:bCs/>
          <w:color w:val="000000"/>
        </w:rPr>
        <w:t>nových modulov vo výške 800 MD (jedná sa o rámec, ktorý nemusí byť vyčerpaný)</w:t>
      </w:r>
    </w:p>
    <w:p w14:paraId="4C5B12DF" w14:textId="77777777" w:rsidR="00434541" w:rsidRPr="00434541" w:rsidRDefault="00434541" w:rsidP="00B6407E">
      <w:pPr>
        <w:numPr>
          <w:ilvl w:val="1"/>
          <w:numId w:val="19"/>
        </w:numPr>
        <w:spacing w:after="240" w:line="240" w:lineRule="auto"/>
        <w:jc w:val="left"/>
        <w:rPr>
          <w:rFonts w:eastAsia="Calibri"/>
          <w:bCs/>
          <w:color w:val="000000"/>
        </w:rPr>
      </w:pPr>
      <w:r w:rsidRPr="00434541">
        <w:rPr>
          <w:rFonts w:eastAsia="Calibri"/>
          <w:bCs/>
          <w:color w:val="000000"/>
        </w:rPr>
        <w:t>existujúcich modulov vo výške 50% bežnej spotreby MDs, čo predstavuje 175 MDs</w:t>
      </w:r>
    </w:p>
    <w:p w14:paraId="5CEFD2E5" w14:textId="77777777" w:rsidR="00434541" w:rsidRPr="00434541" w:rsidRDefault="00434541" w:rsidP="00434541">
      <w:pPr>
        <w:spacing w:line="240" w:lineRule="auto"/>
        <w:ind w:firstLine="0"/>
        <w:rPr>
          <w:rFonts w:eastAsia="Calibri"/>
          <w:bCs/>
          <w:color w:val="000000"/>
        </w:rPr>
      </w:pPr>
      <w:r w:rsidRPr="00434541">
        <w:rPr>
          <w:rFonts w:eastAsia="Calibri"/>
          <w:b/>
          <w:i/>
          <w:iCs/>
          <w:color w:val="000000"/>
        </w:rPr>
        <w:t>Detailné rozpočty</w:t>
      </w:r>
      <w:r w:rsidRPr="00434541">
        <w:rPr>
          <w:rFonts w:eastAsia="Calibri"/>
          <w:bCs/>
          <w:color w:val="000000"/>
        </w:rPr>
        <w:t xml:space="preserve"> dávame k dispozícii ako:</w:t>
      </w:r>
    </w:p>
    <w:p w14:paraId="777A8BE1" w14:textId="77777777" w:rsidR="00434541" w:rsidRPr="00434541" w:rsidRDefault="00434541" w:rsidP="00B6407E">
      <w:pPr>
        <w:numPr>
          <w:ilvl w:val="0"/>
          <w:numId w:val="19"/>
        </w:numPr>
        <w:spacing w:after="200" w:line="240" w:lineRule="auto"/>
        <w:jc w:val="left"/>
        <w:rPr>
          <w:rFonts w:eastAsia="Calibri"/>
          <w:bCs/>
          <w:color w:val="000000"/>
        </w:rPr>
      </w:pPr>
      <w:r w:rsidRPr="00434541">
        <w:rPr>
          <w:rFonts w:eastAsia="Calibri"/>
          <w:bCs/>
          <w:color w:val="000000"/>
        </w:rPr>
        <w:t>CBA projektu</w:t>
      </w:r>
    </w:p>
    <w:p w14:paraId="33553E23" w14:textId="77777777" w:rsidR="00434541" w:rsidRPr="00434541" w:rsidRDefault="00434541" w:rsidP="00B6407E">
      <w:pPr>
        <w:numPr>
          <w:ilvl w:val="0"/>
          <w:numId w:val="19"/>
        </w:numPr>
        <w:spacing w:after="200" w:line="240" w:lineRule="auto"/>
        <w:jc w:val="left"/>
        <w:rPr>
          <w:rFonts w:eastAsia="Calibri"/>
          <w:bCs/>
          <w:color w:val="000000"/>
        </w:rPr>
      </w:pPr>
      <w:r w:rsidRPr="00434541">
        <w:rPr>
          <w:rFonts w:eastAsia="Calibri"/>
          <w:bCs/>
          <w:color w:val="000000"/>
        </w:rPr>
        <w:t>Rozpočet v rámci ŽoNFP</w:t>
      </w:r>
    </w:p>
    <w:p w14:paraId="683D80E1" w14:textId="77777777" w:rsidR="00434541" w:rsidRPr="00434541" w:rsidRDefault="00434541" w:rsidP="00B6407E">
      <w:pPr>
        <w:numPr>
          <w:ilvl w:val="0"/>
          <w:numId w:val="19"/>
        </w:numPr>
        <w:spacing w:after="240" w:line="240" w:lineRule="auto"/>
        <w:jc w:val="left"/>
        <w:rPr>
          <w:rFonts w:eastAsia="Calibri"/>
          <w:bCs/>
          <w:color w:val="000000"/>
        </w:rPr>
      </w:pPr>
      <w:r w:rsidRPr="00434541">
        <w:rPr>
          <w:rFonts w:eastAsia="Calibri"/>
          <w:bCs/>
          <w:color w:val="000000"/>
        </w:rPr>
        <w:t>UCP analýza projektu</w:t>
      </w:r>
    </w:p>
    <w:p w14:paraId="1A863279" w14:textId="77777777" w:rsidR="00434541" w:rsidRPr="00434541" w:rsidRDefault="00434541" w:rsidP="00434541">
      <w:pPr>
        <w:spacing w:line="240" w:lineRule="auto"/>
        <w:ind w:firstLine="0"/>
        <w:rPr>
          <w:rFonts w:eastAsia="Calibri"/>
          <w:b/>
          <w:i/>
          <w:iCs/>
          <w:color w:val="000000"/>
        </w:rPr>
      </w:pPr>
      <w:r w:rsidRPr="00434541">
        <w:rPr>
          <w:rFonts w:eastAsia="Calibri"/>
          <w:b/>
          <w:i/>
          <w:iCs/>
          <w:color w:val="000000"/>
        </w:rPr>
        <w:t>Verejné obstarávanie:</w:t>
      </w:r>
    </w:p>
    <w:p w14:paraId="294B13AA" w14:textId="77777777" w:rsidR="00434541" w:rsidRPr="00434541" w:rsidRDefault="00434541" w:rsidP="00434541">
      <w:pPr>
        <w:spacing w:line="240" w:lineRule="auto"/>
        <w:ind w:firstLine="0"/>
        <w:rPr>
          <w:rFonts w:eastAsia="Calibri"/>
          <w:bCs/>
          <w:color w:val="000000"/>
        </w:rPr>
      </w:pPr>
      <w:r w:rsidRPr="00434541">
        <w:rPr>
          <w:rFonts w:eastAsia="Calibri"/>
          <w:bCs/>
          <w:color w:val="000000"/>
        </w:rPr>
        <w:t>V rámci projektu už prebehlo verejné obstarávanie, ktorého PHZ bola na úrovni 15 265 000 € bez DPH. V nasledujúcej tabuľke je uvedené porovnanie PHZ a víťaznej ponuky na úrovni položiek súťaže: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45"/>
        <w:gridCol w:w="2244"/>
        <w:gridCol w:w="2255"/>
      </w:tblGrid>
      <w:tr w:rsidR="00434541" w:rsidRPr="00434541" w14:paraId="53AC8394" w14:textId="77777777" w:rsidTr="00434541">
        <w:tc>
          <w:tcPr>
            <w:tcW w:w="2515" w:type="dxa"/>
            <w:shd w:val="clear" w:color="auto" w:fill="BFBFBF"/>
          </w:tcPr>
          <w:p w14:paraId="403E3414"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Položka súťaže</w:t>
            </w:r>
          </w:p>
        </w:tc>
        <w:tc>
          <w:tcPr>
            <w:tcW w:w="2515" w:type="dxa"/>
            <w:shd w:val="clear" w:color="auto" w:fill="BFBFBF"/>
          </w:tcPr>
          <w:p w14:paraId="2D60BC82"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Predpokladaná hodnota</w:t>
            </w:r>
          </w:p>
        </w:tc>
        <w:tc>
          <w:tcPr>
            <w:tcW w:w="2515" w:type="dxa"/>
            <w:shd w:val="clear" w:color="auto" w:fill="BFBFBF"/>
          </w:tcPr>
          <w:p w14:paraId="732C8783"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Výsledná hodnota</w:t>
            </w:r>
          </w:p>
        </w:tc>
        <w:tc>
          <w:tcPr>
            <w:tcW w:w="2516" w:type="dxa"/>
            <w:shd w:val="clear" w:color="auto" w:fill="BFBFBF"/>
          </w:tcPr>
          <w:p w14:paraId="0E57A6F3"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Rozdiel</w:t>
            </w:r>
          </w:p>
        </w:tc>
      </w:tr>
      <w:tr w:rsidR="00434541" w:rsidRPr="00434541" w14:paraId="20584EAC" w14:textId="77777777" w:rsidTr="00434541">
        <w:tc>
          <w:tcPr>
            <w:tcW w:w="2515" w:type="dxa"/>
            <w:shd w:val="clear" w:color="auto" w:fill="auto"/>
          </w:tcPr>
          <w:p w14:paraId="1C40B3A9"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Dielo</w:t>
            </w:r>
          </w:p>
        </w:tc>
        <w:tc>
          <w:tcPr>
            <w:tcW w:w="2515" w:type="dxa"/>
            <w:shd w:val="clear" w:color="auto" w:fill="auto"/>
          </w:tcPr>
          <w:p w14:paraId="79392DA3"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 xml:space="preserve">7 892 000 € bez DPH </w:t>
            </w:r>
          </w:p>
        </w:tc>
        <w:tc>
          <w:tcPr>
            <w:tcW w:w="2515" w:type="dxa"/>
            <w:shd w:val="clear" w:color="auto" w:fill="auto"/>
          </w:tcPr>
          <w:p w14:paraId="2198BEDA"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6 118 320 € bez DPH</w:t>
            </w:r>
          </w:p>
        </w:tc>
        <w:tc>
          <w:tcPr>
            <w:tcW w:w="2516" w:type="dxa"/>
            <w:shd w:val="clear" w:color="auto" w:fill="auto"/>
          </w:tcPr>
          <w:p w14:paraId="7BDE75C0"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1 773 680 € bez DPH</w:t>
            </w:r>
          </w:p>
        </w:tc>
      </w:tr>
      <w:tr w:rsidR="00434541" w:rsidRPr="00434541" w14:paraId="5BFF22A6" w14:textId="77777777" w:rsidTr="00434541">
        <w:tc>
          <w:tcPr>
            <w:tcW w:w="2515" w:type="dxa"/>
            <w:shd w:val="clear" w:color="auto" w:fill="auto"/>
          </w:tcPr>
          <w:p w14:paraId="76CEE324"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SLA</w:t>
            </w:r>
          </w:p>
        </w:tc>
        <w:tc>
          <w:tcPr>
            <w:tcW w:w="2515" w:type="dxa"/>
            <w:shd w:val="clear" w:color="auto" w:fill="auto"/>
          </w:tcPr>
          <w:p w14:paraId="79ECC0EE"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5 123 000 € bez DPH</w:t>
            </w:r>
          </w:p>
        </w:tc>
        <w:tc>
          <w:tcPr>
            <w:tcW w:w="2515" w:type="dxa"/>
            <w:shd w:val="clear" w:color="auto" w:fill="auto"/>
          </w:tcPr>
          <w:p w14:paraId="0AB2572F"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2 332 500 € bez DPH</w:t>
            </w:r>
          </w:p>
        </w:tc>
        <w:tc>
          <w:tcPr>
            <w:tcW w:w="2516" w:type="dxa"/>
            <w:shd w:val="clear" w:color="auto" w:fill="auto"/>
          </w:tcPr>
          <w:p w14:paraId="76C76F20"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2 800 500 € bez DPH</w:t>
            </w:r>
          </w:p>
        </w:tc>
      </w:tr>
      <w:tr w:rsidR="00434541" w:rsidRPr="00434541" w14:paraId="24E8323D" w14:textId="77777777" w:rsidTr="00434541">
        <w:tc>
          <w:tcPr>
            <w:tcW w:w="2515" w:type="dxa"/>
            <w:shd w:val="clear" w:color="auto" w:fill="auto"/>
          </w:tcPr>
          <w:p w14:paraId="65E1163D" w14:textId="77777777" w:rsidR="00434541" w:rsidRPr="00434541" w:rsidRDefault="00434541" w:rsidP="00434541">
            <w:pPr>
              <w:spacing w:after="200" w:line="240" w:lineRule="auto"/>
              <w:ind w:firstLine="0"/>
              <w:rPr>
                <w:rFonts w:eastAsia="Calibri"/>
                <w:bCs/>
                <w:color w:val="000000"/>
              </w:rPr>
            </w:pPr>
            <w:r w:rsidRPr="00434541">
              <w:rPr>
                <w:rFonts w:eastAsia="Calibri"/>
                <w:bCs/>
                <w:color w:val="000000"/>
              </w:rPr>
              <w:t>Rozvoj</w:t>
            </w:r>
          </w:p>
        </w:tc>
        <w:tc>
          <w:tcPr>
            <w:tcW w:w="2515" w:type="dxa"/>
            <w:shd w:val="clear" w:color="auto" w:fill="auto"/>
          </w:tcPr>
          <w:p w14:paraId="071F1D7F"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2 250 000 € bez DPH</w:t>
            </w:r>
          </w:p>
        </w:tc>
        <w:tc>
          <w:tcPr>
            <w:tcW w:w="2515" w:type="dxa"/>
            <w:shd w:val="clear" w:color="auto" w:fill="auto"/>
          </w:tcPr>
          <w:p w14:paraId="4FBB43DD"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2 193 750 € bez DPH</w:t>
            </w:r>
          </w:p>
        </w:tc>
        <w:tc>
          <w:tcPr>
            <w:tcW w:w="2516" w:type="dxa"/>
            <w:shd w:val="clear" w:color="auto" w:fill="auto"/>
          </w:tcPr>
          <w:p w14:paraId="5E274E00" w14:textId="77777777" w:rsidR="00434541" w:rsidRPr="00434541" w:rsidRDefault="00434541" w:rsidP="00434541">
            <w:pPr>
              <w:spacing w:after="200" w:line="240" w:lineRule="auto"/>
              <w:ind w:firstLine="0"/>
              <w:jc w:val="right"/>
              <w:rPr>
                <w:rFonts w:eastAsia="Calibri"/>
                <w:bCs/>
                <w:color w:val="000000"/>
              </w:rPr>
            </w:pPr>
            <w:r w:rsidRPr="00434541">
              <w:rPr>
                <w:rFonts w:eastAsia="Calibri"/>
                <w:bCs/>
                <w:color w:val="000000"/>
              </w:rPr>
              <w:t>51 250 € bez DPH</w:t>
            </w:r>
          </w:p>
        </w:tc>
      </w:tr>
    </w:tbl>
    <w:p w14:paraId="7ADC18A3" w14:textId="77777777" w:rsidR="00434541" w:rsidRPr="00434541" w:rsidRDefault="00434541" w:rsidP="00434541">
      <w:pPr>
        <w:spacing w:after="200" w:line="240" w:lineRule="auto"/>
        <w:ind w:firstLine="0"/>
        <w:rPr>
          <w:rFonts w:eastAsia="Calibri"/>
          <w:bCs/>
          <w:color w:val="000000"/>
        </w:rPr>
      </w:pPr>
    </w:p>
    <w:p w14:paraId="68AA142E" w14:textId="77777777" w:rsidR="00434541" w:rsidRPr="00434541" w:rsidRDefault="00434541" w:rsidP="00434541">
      <w:pPr>
        <w:spacing w:after="200"/>
        <w:ind w:firstLine="0"/>
        <w:rPr>
          <w:rFonts w:eastAsia="Calibri"/>
          <w:b/>
        </w:rPr>
      </w:pPr>
      <w:r w:rsidRPr="00434541">
        <w:rPr>
          <w:rFonts w:eastAsia="Calibri"/>
          <w:b/>
        </w:rPr>
        <w:t>2. Benefity riešenia</w:t>
      </w:r>
    </w:p>
    <w:p w14:paraId="5FD5295C" w14:textId="77777777" w:rsidR="00434541" w:rsidRPr="00434541" w:rsidRDefault="00434541" w:rsidP="00434541">
      <w:pPr>
        <w:spacing w:after="200"/>
        <w:ind w:firstLine="0"/>
        <w:rPr>
          <w:rFonts w:eastAsia="Calibri"/>
        </w:rPr>
      </w:pPr>
      <w:r w:rsidRPr="00434541">
        <w:rPr>
          <w:rFonts w:eastAsia="Calibri"/>
        </w:rPr>
        <w:t>Benefity riešenia boli identifikované v 2 rovinách:</w:t>
      </w:r>
    </w:p>
    <w:p w14:paraId="0FA0A9E8" w14:textId="77777777" w:rsidR="00434541" w:rsidRPr="00434541" w:rsidRDefault="00434541" w:rsidP="00434541">
      <w:pPr>
        <w:spacing w:after="200"/>
        <w:ind w:firstLine="0"/>
        <w:rPr>
          <w:rFonts w:eastAsia="Calibri"/>
        </w:rPr>
      </w:pPr>
      <w:r w:rsidRPr="00434541">
        <w:rPr>
          <w:rFonts w:eastAsia="Calibri"/>
        </w:rPr>
        <w:t>Úspora nákladov na strane podnikateľských subjektov = zníženie administratívnej náročnosti.</w:t>
      </w:r>
    </w:p>
    <w:p w14:paraId="21A2E9F2" w14:textId="77777777" w:rsidR="00434541" w:rsidRPr="00434541" w:rsidRDefault="00434541" w:rsidP="00434541">
      <w:pPr>
        <w:spacing w:after="200"/>
        <w:ind w:firstLine="0"/>
        <w:rPr>
          <w:rFonts w:eastAsia="Calibri"/>
        </w:rPr>
      </w:pPr>
      <w:r w:rsidRPr="00434541">
        <w:rPr>
          <w:rFonts w:eastAsia="Calibri"/>
        </w:rPr>
        <w:lastRenderedPageBreak/>
        <w:t>Úspora neefektívnych administratívnych nákladov pri zbere, spracovaní a vyhodnotení štatistických údajov na strane Štatistického úradu SR.</w:t>
      </w:r>
    </w:p>
    <w:p w14:paraId="01F5B964" w14:textId="77777777" w:rsidR="00434541" w:rsidRPr="00434541" w:rsidRDefault="00434541" w:rsidP="00434541">
      <w:pPr>
        <w:spacing w:after="200"/>
        <w:ind w:firstLine="0"/>
        <w:rPr>
          <w:rFonts w:eastAsia="Calibri"/>
          <w:u w:val="single"/>
        </w:rPr>
      </w:pPr>
      <w:r w:rsidRPr="00434541">
        <w:rPr>
          <w:rFonts w:eastAsia="Calibri"/>
          <w:u w:val="single"/>
        </w:rPr>
        <w:t>2a. Úspory podnikatelia</w:t>
      </w:r>
    </w:p>
    <w:p w14:paraId="4AD5E7F3" w14:textId="77777777" w:rsidR="00434541" w:rsidRPr="00434541" w:rsidRDefault="00434541" w:rsidP="00434541">
      <w:pPr>
        <w:spacing w:after="200"/>
        <w:ind w:firstLine="0"/>
        <w:rPr>
          <w:rFonts w:eastAsia="Calibri"/>
        </w:rPr>
      </w:pPr>
      <w:r w:rsidRPr="00434541">
        <w:rPr>
          <w:rFonts w:eastAsia="Calibri"/>
        </w:rPr>
        <w:t xml:space="preserve">V súčasnom nastavení zberu a spracovania informácií zo strany podnikateľov, títo „minú“ na štatistické zisťovania v priemere za rok 7 327 380 €, čo vyplýva z dodatočných údajov Štatistického úradu SR, ktoré sa zbierajú popri štatistických zisťovania, čo predstavuje neefektivitu 716 tisíc hodín ročne. </w:t>
      </w:r>
    </w:p>
    <w:p w14:paraId="0B303F15" w14:textId="77777777" w:rsidR="00434541" w:rsidRPr="00434541" w:rsidRDefault="00434541" w:rsidP="00434541">
      <w:pPr>
        <w:spacing w:after="200"/>
        <w:ind w:firstLine="0"/>
        <w:rPr>
          <w:rFonts w:eastAsia="Calibri"/>
        </w:rPr>
      </w:pPr>
      <w:r w:rsidRPr="00434541">
        <w:rPr>
          <w:rFonts w:eastAsia="Calibri"/>
        </w:rPr>
        <w:t xml:space="preserve">Implementácia nástroja a prepojenie zberu priamo s ekonomickými systémami Spravodajských jednotiek sa predpokladá úspora vo vybraných štatistických zisťovaniach na úrovni 231 tisíc hodín, čo predstavuje 2 496 tisíc € ročne, pričom tieto zdroje môžu byť investované do rozvoja podnikateľského prostredia. </w:t>
      </w:r>
    </w:p>
    <w:p w14:paraId="54F0BF07" w14:textId="77777777" w:rsidR="00434541" w:rsidRPr="00434541" w:rsidRDefault="00434541" w:rsidP="00434541">
      <w:pPr>
        <w:spacing w:after="200"/>
        <w:ind w:firstLine="0"/>
        <w:rPr>
          <w:rFonts w:eastAsia="Calibri"/>
          <w:u w:val="single"/>
        </w:rPr>
      </w:pPr>
      <w:r w:rsidRPr="00434541">
        <w:rPr>
          <w:rFonts w:eastAsia="Calibri"/>
          <w:u w:val="single"/>
        </w:rPr>
        <w:t xml:space="preserve">2b. Úspora na strane Štatistického úradu SR </w:t>
      </w:r>
    </w:p>
    <w:p w14:paraId="32DD4470" w14:textId="77777777" w:rsidR="00434541" w:rsidRPr="00434541" w:rsidRDefault="00434541" w:rsidP="00434541">
      <w:pPr>
        <w:spacing w:after="200"/>
        <w:ind w:firstLine="0"/>
        <w:rPr>
          <w:rFonts w:eastAsia="Calibri"/>
        </w:rPr>
      </w:pPr>
      <w:r w:rsidRPr="00434541">
        <w:rPr>
          <w:rFonts w:eastAsia="Calibri"/>
        </w:rPr>
        <w:t>Úspora bola definovaná najmä z titulu odstránenia manuálnych krokov pri zbere a spracovaní štatistických údajov. Identifikovaná kapacita po odborných diskusiách by mala byť využitá na procesy s vysokou pridanou hodnotou pre tvorbu štatistických produktov, ktoré sú v súčasnosti poddimenzované. Nejde teda o priamu finančnú úsporu rozpočtu ale o presmerovanie zdrojov z administratívnych aktivít na aktivity s vysokou pridanou hodnotou bez ďalších dodatočných nárokov a požiadaviek na ľudské zdroje, okrem vybudovania Centrálnej koordinačnej jednotky.</w:t>
      </w:r>
    </w:p>
    <w:p w14:paraId="6D974ECE" w14:textId="77777777" w:rsidR="00434541" w:rsidRPr="00434541" w:rsidRDefault="00434541" w:rsidP="00434541">
      <w:pPr>
        <w:tabs>
          <w:tab w:val="num" w:pos="1080"/>
        </w:tabs>
        <w:spacing w:after="0" w:line="240" w:lineRule="auto"/>
        <w:ind w:firstLine="0"/>
        <w:rPr>
          <w:rFonts w:eastAsia="Calibri"/>
        </w:rPr>
      </w:pPr>
    </w:p>
    <w:p w14:paraId="60B73809" w14:textId="77777777" w:rsidR="00434541" w:rsidRPr="00434541" w:rsidRDefault="00434541" w:rsidP="00434541">
      <w:pPr>
        <w:tabs>
          <w:tab w:val="num" w:pos="1080"/>
        </w:tabs>
        <w:spacing w:after="0" w:line="240" w:lineRule="auto"/>
        <w:ind w:firstLine="0"/>
        <w:rPr>
          <w:rFonts w:eastAsia="Calibri"/>
        </w:rPr>
        <w:sectPr w:rsidR="00434541" w:rsidRPr="00434541" w:rsidSect="00434541">
          <w:headerReference w:type="even"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6FED8D34" w14:textId="77777777" w:rsidR="00434541" w:rsidRPr="00434541" w:rsidRDefault="00434541" w:rsidP="00434541">
      <w:pPr>
        <w:tabs>
          <w:tab w:val="num" w:pos="1080"/>
        </w:tabs>
        <w:spacing w:after="0" w:line="240" w:lineRule="auto"/>
        <w:ind w:firstLine="0"/>
        <w:rPr>
          <w:bCs/>
          <w:lang w:eastAsia="sk-SK"/>
        </w:rPr>
      </w:pPr>
      <w:r w:rsidRPr="00434541">
        <w:rPr>
          <w:bCs/>
          <w:lang w:eastAsia="sk-SK"/>
        </w:rPr>
        <w:lastRenderedPageBreak/>
        <w:t xml:space="preserve">Tabuľka č. 3 </w:t>
      </w:r>
    </w:p>
    <w:p w14:paraId="074EFF3A" w14:textId="77777777" w:rsidR="00434541" w:rsidRPr="00434541" w:rsidRDefault="00434541" w:rsidP="00434541">
      <w:pPr>
        <w:tabs>
          <w:tab w:val="num" w:pos="1080"/>
        </w:tabs>
        <w:spacing w:after="0" w:line="240" w:lineRule="auto"/>
        <w:ind w:firstLine="0"/>
        <w:rPr>
          <w:rFonts w:eastAsia="Calibri"/>
        </w:rPr>
      </w:pPr>
    </w:p>
    <w:p w14:paraId="7CA206F1" w14:textId="77777777" w:rsidR="00434541" w:rsidRPr="00434541" w:rsidRDefault="00434541" w:rsidP="00434541">
      <w:pPr>
        <w:tabs>
          <w:tab w:val="num" w:pos="1080"/>
        </w:tabs>
        <w:spacing w:after="0" w:line="240" w:lineRule="auto"/>
        <w:ind w:firstLine="0"/>
        <w:rPr>
          <w:rFonts w:eastAsia="Calibri"/>
        </w:rPr>
      </w:pPr>
    </w:p>
    <w:p w14:paraId="6EF15890" w14:textId="77777777" w:rsidR="00434541" w:rsidRPr="00434541" w:rsidRDefault="00434541" w:rsidP="00434541">
      <w:pPr>
        <w:tabs>
          <w:tab w:val="num" w:pos="1080"/>
        </w:tabs>
        <w:spacing w:after="0" w:line="240" w:lineRule="auto"/>
        <w:ind w:firstLine="0"/>
        <w:rPr>
          <w:bCs/>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34541" w:rsidRPr="00434541" w14:paraId="1BBCB4A9" w14:textId="77777777" w:rsidTr="0043454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BDF86D2" w14:textId="77777777" w:rsidR="00434541" w:rsidRPr="00434541" w:rsidRDefault="00434541" w:rsidP="00434541">
            <w:pPr>
              <w:spacing w:after="0" w:line="240" w:lineRule="auto"/>
              <w:ind w:firstLine="0"/>
              <w:jc w:val="center"/>
              <w:rPr>
                <w:b/>
                <w:bCs/>
                <w:lang w:eastAsia="sk-SK"/>
              </w:rPr>
            </w:pPr>
            <w:r w:rsidRPr="00434541">
              <w:rPr>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0943FF88" w14:textId="77777777" w:rsidR="00434541" w:rsidRPr="00434541" w:rsidRDefault="00434541" w:rsidP="00434541">
            <w:pPr>
              <w:spacing w:after="0" w:line="240" w:lineRule="auto"/>
              <w:ind w:firstLine="0"/>
              <w:jc w:val="center"/>
              <w:rPr>
                <w:b/>
                <w:bCs/>
                <w:lang w:eastAsia="sk-SK"/>
              </w:rPr>
            </w:pPr>
            <w:r w:rsidRPr="00434541">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0AEC4B3" w14:textId="77777777" w:rsidR="00434541" w:rsidRPr="00434541" w:rsidRDefault="00434541" w:rsidP="00434541">
            <w:pPr>
              <w:spacing w:after="0" w:line="240" w:lineRule="auto"/>
              <w:ind w:firstLine="0"/>
              <w:jc w:val="center"/>
              <w:rPr>
                <w:b/>
                <w:bCs/>
                <w:lang w:eastAsia="sk-SK"/>
              </w:rPr>
            </w:pPr>
            <w:r w:rsidRPr="00434541">
              <w:rPr>
                <w:b/>
                <w:bCs/>
                <w:lang w:eastAsia="sk-SK"/>
              </w:rPr>
              <w:t>poznámka</w:t>
            </w:r>
          </w:p>
        </w:tc>
      </w:tr>
      <w:tr w:rsidR="00434541" w:rsidRPr="00434541" w14:paraId="68B298FC" w14:textId="77777777" w:rsidTr="0043454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16B82A0" w14:textId="77777777" w:rsidR="00434541" w:rsidRPr="00434541" w:rsidRDefault="00434541" w:rsidP="00434541">
            <w:pPr>
              <w:spacing w:after="0" w:line="240" w:lineRule="auto"/>
              <w:ind w:firstLine="0"/>
              <w:jc w:val="left"/>
              <w:rPr>
                <w:b/>
                <w:bCs/>
                <w:color w:val="FFFFFF"/>
                <w:lang w:eastAsia="sk-SK"/>
              </w:rPr>
            </w:pPr>
          </w:p>
        </w:tc>
        <w:tc>
          <w:tcPr>
            <w:tcW w:w="1500" w:type="dxa"/>
            <w:tcBorders>
              <w:top w:val="nil"/>
              <w:left w:val="nil"/>
              <w:bottom w:val="single" w:sz="4" w:space="0" w:color="auto"/>
              <w:right w:val="single" w:sz="4" w:space="0" w:color="auto"/>
            </w:tcBorders>
            <w:shd w:val="clear" w:color="auto" w:fill="BFBFBF"/>
          </w:tcPr>
          <w:p w14:paraId="047EF5B1" w14:textId="77777777" w:rsidR="00434541" w:rsidRPr="00434541" w:rsidRDefault="00434541" w:rsidP="00434541">
            <w:pPr>
              <w:spacing w:after="0" w:line="240" w:lineRule="auto"/>
              <w:ind w:firstLine="0"/>
              <w:jc w:val="center"/>
              <w:rPr>
                <w:b/>
                <w:bCs/>
                <w:lang w:eastAsia="sk-SK"/>
              </w:rPr>
            </w:pPr>
            <w:r w:rsidRPr="00434541">
              <w:rPr>
                <w:b/>
                <w:bCs/>
                <w:lang w:eastAsia="sk-SK"/>
              </w:rPr>
              <w:t>r</w:t>
            </w:r>
          </w:p>
        </w:tc>
        <w:tc>
          <w:tcPr>
            <w:tcW w:w="1500" w:type="dxa"/>
            <w:tcBorders>
              <w:top w:val="nil"/>
              <w:left w:val="nil"/>
              <w:bottom w:val="single" w:sz="4" w:space="0" w:color="auto"/>
              <w:right w:val="single" w:sz="4" w:space="0" w:color="auto"/>
            </w:tcBorders>
            <w:shd w:val="clear" w:color="auto" w:fill="BFBFBF"/>
          </w:tcPr>
          <w:p w14:paraId="15A4384F" w14:textId="77777777" w:rsidR="00434541" w:rsidRPr="00434541" w:rsidRDefault="00434541" w:rsidP="00434541">
            <w:pPr>
              <w:spacing w:after="0" w:line="240" w:lineRule="auto"/>
              <w:ind w:firstLine="0"/>
              <w:jc w:val="center"/>
              <w:rPr>
                <w:b/>
                <w:bCs/>
                <w:lang w:eastAsia="sk-SK"/>
              </w:rPr>
            </w:pPr>
            <w:r w:rsidRPr="00434541">
              <w:rPr>
                <w:b/>
                <w:bCs/>
                <w:lang w:eastAsia="sk-SK"/>
              </w:rPr>
              <w:t>r + 1</w:t>
            </w:r>
          </w:p>
        </w:tc>
        <w:tc>
          <w:tcPr>
            <w:tcW w:w="1500" w:type="dxa"/>
            <w:tcBorders>
              <w:top w:val="nil"/>
              <w:left w:val="nil"/>
              <w:bottom w:val="single" w:sz="4" w:space="0" w:color="auto"/>
              <w:right w:val="single" w:sz="4" w:space="0" w:color="auto"/>
            </w:tcBorders>
            <w:shd w:val="clear" w:color="auto" w:fill="BFBFBF"/>
          </w:tcPr>
          <w:p w14:paraId="5810DA3B" w14:textId="77777777" w:rsidR="00434541" w:rsidRPr="00434541" w:rsidRDefault="00434541" w:rsidP="00434541">
            <w:pPr>
              <w:spacing w:after="0" w:line="240" w:lineRule="auto"/>
              <w:ind w:firstLine="0"/>
              <w:jc w:val="center"/>
              <w:rPr>
                <w:b/>
                <w:bCs/>
                <w:lang w:eastAsia="sk-SK"/>
              </w:rPr>
            </w:pPr>
            <w:r w:rsidRPr="00434541">
              <w:rPr>
                <w:b/>
                <w:bCs/>
                <w:lang w:eastAsia="sk-SK"/>
              </w:rPr>
              <w:t>r + 2</w:t>
            </w:r>
          </w:p>
        </w:tc>
        <w:tc>
          <w:tcPr>
            <w:tcW w:w="1500" w:type="dxa"/>
            <w:tcBorders>
              <w:top w:val="nil"/>
              <w:left w:val="nil"/>
              <w:bottom w:val="single" w:sz="4" w:space="0" w:color="auto"/>
              <w:right w:val="single" w:sz="4" w:space="0" w:color="auto"/>
            </w:tcBorders>
            <w:shd w:val="clear" w:color="auto" w:fill="BFBFBF"/>
          </w:tcPr>
          <w:p w14:paraId="1990F7BB" w14:textId="77777777" w:rsidR="00434541" w:rsidRPr="00434541" w:rsidRDefault="00434541" w:rsidP="00434541">
            <w:pPr>
              <w:spacing w:after="0" w:line="240" w:lineRule="auto"/>
              <w:ind w:firstLine="0"/>
              <w:jc w:val="center"/>
              <w:rPr>
                <w:b/>
                <w:bCs/>
                <w:lang w:eastAsia="sk-SK"/>
              </w:rPr>
            </w:pPr>
            <w:r w:rsidRPr="00434541">
              <w:rPr>
                <w:b/>
                <w:bCs/>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697C82CB" w14:textId="77777777" w:rsidR="00434541" w:rsidRPr="00434541" w:rsidRDefault="00434541" w:rsidP="00434541">
            <w:pPr>
              <w:spacing w:after="0" w:line="240" w:lineRule="auto"/>
              <w:ind w:firstLine="0"/>
              <w:jc w:val="left"/>
              <w:rPr>
                <w:b/>
                <w:bCs/>
                <w:color w:val="FFFFFF"/>
                <w:lang w:eastAsia="sk-SK"/>
              </w:rPr>
            </w:pPr>
          </w:p>
        </w:tc>
      </w:tr>
      <w:tr w:rsidR="00434541" w:rsidRPr="00434541" w14:paraId="40024A37" w14:textId="77777777" w:rsidTr="00434541">
        <w:trPr>
          <w:trHeight w:val="255"/>
        </w:trPr>
        <w:tc>
          <w:tcPr>
            <w:tcW w:w="4950" w:type="dxa"/>
            <w:tcBorders>
              <w:top w:val="nil"/>
              <w:left w:val="single" w:sz="4" w:space="0" w:color="auto"/>
              <w:bottom w:val="single" w:sz="4" w:space="0" w:color="auto"/>
              <w:right w:val="single" w:sz="4" w:space="0" w:color="auto"/>
            </w:tcBorders>
          </w:tcPr>
          <w:p w14:paraId="26A3E353" w14:textId="77777777" w:rsidR="00434541" w:rsidRPr="00434541" w:rsidRDefault="00434541" w:rsidP="00434541">
            <w:pPr>
              <w:spacing w:after="0" w:line="240" w:lineRule="auto"/>
              <w:ind w:firstLine="0"/>
              <w:jc w:val="left"/>
              <w:rPr>
                <w:b/>
                <w:bCs/>
                <w:vertAlign w:val="superscript"/>
                <w:lang w:eastAsia="sk-SK"/>
              </w:rPr>
            </w:pPr>
            <w:r w:rsidRPr="00434541">
              <w:rPr>
                <w:b/>
                <w:bCs/>
                <w:lang w:eastAsia="sk-SK"/>
              </w:rPr>
              <w:t>Daňové príjmy (100)</w:t>
            </w:r>
            <w:r w:rsidRPr="00434541">
              <w:rPr>
                <w:b/>
                <w:bCs/>
                <w:vertAlign w:val="superscript"/>
                <w:lang w:eastAsia="sk-SK"/>
              </w:rPr>
              <w:t>1</w:t>
            </w:r>
          </w:p>
        </w:tc>
        <w:tc>
          <w:tcPr>
            <w:tcW w:w="1500" w:type="dxa"/>
            <w:tcBorders>
              <w:top w:val="nil"/>
              <w:left w:val="nil"/>
              <w:bottom w:val="single" w:sz="4" w:space="0" w:color="auto"/>
              <w:right w:val="single" w:sz="4" w:space="0" w:color="auto"/>
            </w:tcBorders>
          </w:tcPr>
          <w:p w14:paraId="7854B094"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64071E44"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00210454"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0DAFB408" w14:textId="77777777" w:rsidR="00434541" w:rsidRPr="00434541" w:rsidRDefault="00434541" w:rsidP="00434541">
            <w:pPr>
              <w:spacing w:after="0" w:line="240" w:lineRule="auto"/>
              <w:ind w:firstLine="0"/>
              <w:jc w:val="center"/>
              <w:rPr>
                <w:b/>
                <w:bCs/>
                <w:lang w:eastAsia="sk-SK"/>
              </w:rPr>
            </w:pPr>
          </w:p>
        </w:tc>
        <w:tc>
          <w:tcPr>
            <w:tcW w:w="3000" w:type="dxa"/>
            <w:tcBorders>
              <w:top w:val="nil"/>
              <w:left w:val="nil"/>
              <w:bottom w:val="single" w:sz="4" w:space="0" w:color="auto"/>
              <w:right w:val="single" w:sz="4" w:space="0" w:color="auto"/>
            </w:tcBorders>
            <w:noWrap/>
            <w:vAlign w:val="bottom"/>
          </w:tcPr>
          <w:p w14:paraId="289A3C26"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42B8A483" w14:textId="77777777" w:rsidTr="00434541">
        <w:trPr>
          <w:trHeight w:val="255"/>
        </w:trPr>
        <w:tc>
          <w:tcPr>
            <w:tcW w:w="4950" w:type="dxa"/>
            <w:tcBorders>
              <w:top w:val="nil"/>
              <w:left w:val="single" w:sz="4" w:space="0" w:color="auto"/>
              <w:bottom w:val="single" w:sz="4" w:space="0" w:color="auto"/>
              <w:right w:val="single" w:sz="4" w:space="0" w:color="auto"/>
            </w:tcBorders>
          </w:tcPr>
          <w:p w14:paraId="32E5E5D1" w14:textId="77777777" w:rsidR="00434541" w:rsidRPr="00434541" w:rsidRDefault="00434541" w:rsidP="00434541">
            <w:pPr>
              <w:spacing w:after="0" w:line="240" w:lineRule="auto"/>
              <w:ind w:firstLine="0"/>
              <w:jc w:val="left"/>
              <w:rPr>
                <w:b/>
                <w:bCs/>
                <w:lang w:eastAsia="sk-SK"/>
              </w:rPr>
            </w:pPr>
            <w:r w:rsidRPr="00434541">
              <w:rPr>
                <w:b/>
                <w:bCs/>
                <w:lang w:eastAsia="sk-SK"/>
              </w:rPr>
              <w:t>Nedaňové príjmy (200)</w:t>
            </w:r>
            <w:r w:rsidRPr="00434541">
              <w:rPr>
                <w:b/>
                <w:bCs/>
                <w:vertAlign w:val="superscript"/>
                <w:lang w:eastAsia="sk-SK"/>
              </w:rPr>
              <w:t>1</w:t>
            </w:r>
          </w:p>
        </w:tc>
        <w:tc>
          <w:tcPr>
            <w:tcW w:w="1500" w:type="dxa"/>
            <w:tcBorders>
              <w:top w:val="nil"/>
              <w:left w:val="nil"/>
              <w:bottom w:val="single" w:sz="4" w:space="0" w:color="auto"/>
              <w:right w:val="single" w:sz="4" w:space="0" w:color="auto"/>
            </w:tcBorders>
          </w:tcPr>
          <w:p w14:paraId="38AE417E"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10134BF4"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4F558690"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1F1821A0" w14:textId="77777777" w:rsidR="00434541" w:rsidRPr="00434541" w:rsidRDefault="00434541" w:rsidP="00434541">
            <w:pPr>
              <w:spacing w:after="0" w:line="240" w:lineRule="auto"/>
              <w:ind w:firstLine="0"/>
              <w:jc w:val="center"/>
              <w:rPr>
                <w:b/>
                <w:bCs/>
                <w:lang w:eastAsia="sk-SK"/>
              </w:rPr>
            </w:pPr>
          </w:p>
        </w:tc>
        <w:tc>
          <w:tcPr>
            <w:tcW w:w="3000" w:type="dxa"/>
            <w:tcBorders>
              <w:top w:val="nil"/>
              <w:left w:val="nil"/>
              <w:bottom w:val="single" w:sz="4" w:space="0" w:color="auto"/>
              <w:right w:val="single" w:sz="4" w:space="0" w:color="auto"/>
            </w:tcBorders>
            <w:noWrap/>
            <w:vAlign w:val="bottom"/>
          </w:tcPr>
          <w:p w14:paraId="7BCEAC65"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5F5F0ABB" w14:textId="77777777" w:rsidTr="00434541">
        <w:trPr>
          <w:trHeight w:val="255"/>
        </w:trPr>
        <w:tc>
          <w:tcPr>
            <w:tcW w:w="4950" w:type="dxa"/>
            <w:tcBorders>
              <w:top w:val="nil"/>
              <w:left w:val="single" w:sz="4" w:space="0" w:color="auto"/>
              <w:bottom w:val="single" w:sz="4" w:space="0" w:color="auto"/>
              <w:right w:val="single" w:sz="4" w:space="0" w:color="auto"/>
            </w:tcBorders>
          </w:tcPr>
          <w:p w14:paraId="408C1F50" w14:textId="77777777" w:rsidR="00434541" w:rsidRPr="00434541" w:rsidRDefault="00434541" w:rsidP="00434541">
            <w:pPr>
              <w:spacing w:after="0" w:line="240" w:lineRule="auto"/>
              <w:ind w:firstLine="0"/>
              <w:jc w:val="left"/>
              <w:rPr>
                <w:b/>
                <w:bCs/>
                <w:lang w:eastAsia="sk-SK"/>
              </w:rPr>
            </w:pPr>
            <w:r w:rsidRPr="00434541">
              <w:rPr>
                <w:b/>
                <w:bCs/>
                <w:lang w:eastAsia="sk-SK"/>
              </w:rPr>
              <w:t>Granty a transfery (300)</w:t>
            </w:r>
            <w:r w:rsidRPr="00434541">
              <w:rPr>
                <w:b/>
                <w:bCs/>
                <w:vertAlign w:val="superscript"/>
                <w:lang w:eastAsia="sk-SK"/>
              </w:rPr>
              <w:t>1</w:t>
            </w:r>
          </w:p>
        </w:tc>
        <w:tc>
          <w:tcPr>
            <w:tcW w:w="1500" w:type="dxa"/>
            <w:tcBorders>
              <w:top w:val="nil"/>
              <w:left w:val="nil"/>
              <w:bottom w:val="single" w:sz="4" w:space="0" w:color="auto"/>
              <w:right w:val="single" w:sz="4" w:space="0" w:color="auto"/>
            </w:tcBorders>
          </w:tcPr>
          <w:p w14:paraId="5A9A2537"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6692910F"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1FD3E3BD" w14:textId="77777777" w:rsidR="00434541" w:rsidRPr="00434541" w:rsidRDefault="00434541" w:rsidP="00434541">
            <w:pPr>
              <w:spacing w:after="0" w:line="240" w:lineRule="auto"/>
              <w:ind w:firstLine="0"/>
              <w:jc w:val="center"/>
              <w:rPr>
                <w:b/>
                <w:bCs/>
                <w:lang w:eastAsia="sk-SK"/>
              </w:rPr>
            </w:pPr>
          </w:p>
        </w:tc>
        <w:tc>
          <w:tcPr>
            <w:tcW w:w="1500" w:type="dxa"/>
            <w:tcBorders>
              <w:top w:val="nil"/>
              <w:left w:val="nil"/>
              <w:bottom w:val="single" w:sz="4" w:space="0" w:color="auto"/>
              <w:right w:val="single" w:sz="4" w:space="0" w:color="auto"/>
            </w:tcBorders>
          </w:tcPr>
          <w:p w14:paraId="1ED483BB" w14:textId="77777777" w:rsidR="00434541" w:rsidRPr="00434541" w:rsidRDefault="00434541" w:rsidP="00434541">
            <w:pPr>
              <w:spacing w:after="0" w:line="240" w:lineRule="auto"/>
              <w:ind w:firstLine="0"/>
              <w:jc w:val="center"/>
              <w:rPr>
                <w:b/>
                <w:bCs/>
                <w:lang w:eastAsia="sk-SK"/>
              </w:rPr>
            </w:pPr>
          </w:p>
        </w:tc>
        <w:tc>
          <w:tcPr>
            <w:tcW w:w="3000" w:type="dxa"/>
            <w:tcBorders>
              <w:top w:val="nil"/>
              <w:left w:val="nil"/>
              <w:bottom w:val="single" w:sz="4" w:space="0" w:color="auto"/>
              <w:right w:val="single" w:sz="4" w:space="0" w:color="auto"/>
            </w:tcBorders>
            <w:noWrap/>
            <w:vAlign w:val="bottom"/>
          </w:tcPr>
          <w:p w14:paraId="59CE6E01"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3F7B80AD" w14:textId="77777777" w:rsidTr="00434541">
        <w:trPr>
          <w:trHeight w:val="255"/>
        </w:trPr>
        <w:tc>
          <w:tcPr>
            <w:tcW w:w="4950" w:type="dxa"/>
            <w:tcBorders>
              <w:top w:val="nil"/>
              <w:left w:val="single" w:sz="4" w:space="0" w:color="auto"/>
              <w:bottom w:val="single" w:sz="4" w:space="0" w:color="auto"/>
              <w:right w:val="single" w:sz="4" w:space="0" w:color="auto"/>
            </w:tcBorders>
          </w:tcPr>
          <w:p w14:paraId="5C2B9720" w14:textId="77777777" w:rsidR="00434541" w:rsidRPr="00434541" w:rsidRDefault="00434541" w:rsidP="00434541">
            <w:pPr>
              <w:spacing w:after="0" w:line="240" w:lineRule="auto"/>
              <w:ind w:firstLine="0"/>
              <w:jc w:val="left"/>
              <w:rPr>
                <w:b/>
                <w:bCs/>
                <w:lang w:eastAsia="sk-SK"/>
              </w:rPr>
            </w:pPr>
            <w:r w:rsidRPr="00434541">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0F5195BF"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47EA822C"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0A90BE42"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6DDFAF82"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3000" w:type="dxa"/>
            <w:tcBorders>
              <w:top w:val="nil"/>
              <w:left w:val="nil"/>
              <w:bottom w:val="single" w:sz="4" w:space="0" w:color="auto"/>
              <w:right w:val="single" w:sz="4" w:space="0" w:color="auto"/>
            </w:tcBorders>
            <w:noWrap/>
            <w:vAlign w:val="bottom"/>
          </w:tcPr>
          <w:p w14:paraId="395CFDA5"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37E83753" w14:textId="77777777" w:rsidTr="00434541">
        <w:trPr>
          <w:trHeight w:val="255"/>
        </w:trPr>
        <w:tc>
          <w:tcPr>
            <w:tcW w:w="4950" w:type="dxa"/>
            <w:tcBorders>
              <w:top w:val="nil"/>
              <w:left w:val="single" w:sz="4" w:space="0" w:color="auto"/>
              <w:bottom w:val="single" w:sz="4" w:space="0" w:color="auto"/>
              <w:right w:val="single" w:sz="4" w:space="0" w:color="auto"/>
            </w:tcBorders>
          </w:tcPr>
          <w:p w14:paraId="00044F9B" w14:textId="77777777" w:rsidR="00434541" w:rsidRPr="00434541" w:rsidRDefault="00434541" w:rsidP="00434541">
            <w:pPr>
              <w:spacing w:after="0" w:line="240" w:lineRule="auto"/>
              <w:ind w:firstLine="0"/>
              <w:jc w:val="left"/>
              <w:rPr>
                <w:b/>
                <w:bCs/>
                <w:lang w:eastAsia="sk-SK"/>
              </w:rPr>
            </w:pPr>
            <w:r w:rsidRPr="00434541">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06EB038"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716B360D"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39057308"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1500" w:type="dxa"/>
            <w:tcBorders>
              <w:top w:val="nil"/>
              <w:left w:val="nil"/>
              <w:bottom w:val="single" w:sz="4" w:space="0" w:color="auto"/>
              <w:right w:val="single" w:sz="4" w:space="0" w:color="auto"/>
            </w:tcBorders>
            <w:shd w:val="clear" w:color="auto" w:fill="FFFF99"/>
          </w:tcPr>
          <w:p w14:paraId="211AB95F" w14:textId="77777777" w:rsidR="00434541" w:rsidRPr="00434541" w:rsidRDefault="00434541" w:rsidP="00434541">
            <w:pPr>
              <w:spacing w:after="0" w:line="240" w:lineRule="auto"/>
              <w:ind w:firstLine="0"/>
              <w:jc w:val="center"/>
              <w:rPr>
                <w:b/>
                <w:bCs/>
                <w:lang w:eastAsia="sk-SK"/>
              </w:rPr>
            </w:pPr>
            <w:r w:rsidRPr="00434541">
              <w:rPr>
                <w:b/>
                <w:bCs/>
                <w:lang w:eastAsia="sk-SK"/>
              </w:rPr>
              <w:t> </w:t>
            </w:r>
          </w:p>
        </w:tc>
        <w:tc>
          <w:tcPr>
            <w:tcW w:w="3000" w:type="dxa"/>
            <w:tcBorders>
              <w:top w:val="nil"/>
              <w:left w:val="nil"/>
              <w:bottom w:val="single" w:sz="4" w:space="0" w:color="auto"/>
              <w:right w:val="single" w:sz="4" w:space="0" w:color="auto"/>
            </w:tcBorders>
            <w:noWrap/>
            <w:vAlign w:val="bottom"/>
          </w:tcPr>
          <w:p w14:paraId="19464595"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14E841C4" w14:textId="77777777" w:rsidTr="00434541">
        <w:trPr>
          <w:trHeight w:val="255"/>
        </w:trPr>
        <w:tc>
          <w:tcPr>
            <w:tcW w:w="4950" w:type="dxa"/>
            <w:tcBorders>
              <w:top w:val="nil"/>
              <w:left w:val="single" w:sz="4" w:space="0" w:color="auto"/>
              <w:bottom w:val="nil"/>
              <w:right w:val="single" w:sz="4" w:space="0" w:color="auto"/>
            </w:tcBorders>
            <w:shd w:val="clear" w:color="auto" w:fill="BFBFBF"/>
          </w:tcPr>
          <w:p w14:paraId="629F4EF4" w14:textId="77777777" w:rsidR="00434541" w:rsidRPr="00434541" w:rsidRDefault="00434541" w:rsidP="00434541">
            <w:pPr>
              <w:spacing w:after="0" w:line="240" w:lineRule="auto"/>
              <w:ind w:firstLine="0"/>
              <w:jc w:val="left"/>
              <w:rPr>
                <w:b/>
                <w:bCs/>
                <w:lang w:eastAsia="sk-SK"/>
              </w:rPr>
            </w:pPr>
            <w:r w:rsidRPr="00434541">
              <w:rPr>
                <w:b/>
                <w:bCs/>
                <w:lang w:eastAsia="sk-SK"/>
              </w:rPr>
              <w:t>Dopad na príjmy verejnej správy celkom</w:t>
            </w:r>
          </w:p>
        </w:tc>
        <w:tc>
          <w:tcPr>
            <w:tcW w:w="9000" w:type="dxa"/>
            <w:gridSpan w:val="5"/>
            <w:vMerge w:val="restart"/>
            <w:tcBorders>
              <w:top w:val="nil"/>
              <w:left w:val="nil"/>
              <w:right w:val="single" w:sz="4" w:space="0" w:color="auto"/>
            </w:tcBorders>
            <w:shd w:val="clear" w:color="auto" w:fill="BFBFBF"/>
          </w:tcPr>
          <w:p w14:paraId="14A4E4BF" w14:textId="77777777" w:rsidR="00434541" w:rsidRPr="00434541" w:rsidRDefault="00434541" w:rsidP="00434541">
            <w:pPr>
              <w:spacing w:after="0" w:line="240" w:lineRule="auto"/>
              <w:ind w:firstLine="0"/>
              <w:jc w:val="center"/>
              <w:rPr>
                <w:lang w:eastAsia="sk-SK"/>
              </w:rPr>
            </w:pPr>
          </w:p>
        </w:tc>
      </w:tr>
      <w:tr w:rsidR="00434541" w:rsidRPr="00434541" w14:paraId="213E1EB6" w14:textId="77777777" w:rsidTr="00434541">
        <w:trPr>
          <w:trHeight w:val="255"/>
        </w:trPr>
        <w:tc>
          <w:tcPr>
            <w:tcW w:w="4950" w:type="dxa"/>
            <w:tcBorders>
              <w:top w:val="nil"/>
              <w:left w:val="single" w:sz="4" w:space="0" w:color="auto"/>
              <w:bottom w:val="single" w:sz="4" w:space="0" w:color="auto"/>
              <w:right w:val="single" w:sz="4" w:space="0" w:color="auto"/>
            </w:tcBorders>
            <w:shd w:val="clear" w:color="auto" w:fill="BFBFBF"/>
          </w:tcPr>
          <w:p w14:paraId="2D2FAF88" w14:textId="77777777" w:rsidR="00434541" w:rsidRPr="00434541" w:rsidRDefault="00434541" w:rsidP="00434541">
            <w:pPr>
              <w:spacing w:after="0" w:line="240" w:lineRule="auto"/>
              <w:ind w:firstLine="0"/>
              <w:jc w:val="left"/>
              <w:rPr>
                <w:b/>
                <w:bCs/>
                <w:lang w:eastAsia="sk-SK"/>
              </w:rPr>
            </w:pPr>
          </w:p>
        </w:tc>
        <w:tc>
          <w:tcPr>
            <w:tcW w:w="9000" w:type="dxa"/>
            <w:gridSpan w:val="5"/>
            <w:vMerge/>
            <w:tcBorders>
              <w:left w:val="nil"/>
              <w:bottom w:val="single" w:sz="4" w:space="0" w:color="auto"/>
              <w:right w:val="single" w:sz="4" w:space="0" w:color="auto"/>
            </w:tcBorders>
            <w:shd w:val="clear" w:color="auto" w:fill="BFBFBF"/>
          </w:tcPr>
          <w:p w14:paraId="196DB825" w14:textId="77777777" w:rsidR="00434541" w:rsidRPr="00434541" w:rsidRDefault="00434541" w:rsidP="00434541">
            <w:pPr>
              <w:spacing w:after="0" w:line="240" w:lineRule="auto"/>
              <w:ind w:firstLine="0"/>
              <w:jc w:val="left"/>
              <w:rPr>
                <w:lang w:eastAsia="sk-SK"/>
              </w:rPr>
            </w:pPr>
          </w:p>
        </w:tc>
      </w:tr>
    </w:tbl>
    <w:p w14:paraId="672CF997" w14:textId="77777777" w:rsidR="00434541" w:rsidRPr="00434541" w:rsidRDefault="00434541" w:rsidP="00434541">
      <w:pPr>
        <w:tabs>
          <w:tab w:val="num" w:pos="1080"/>
        </w:tabs>
        <w:spacing w:after="0" w:line="240" w:lineRule="auto"/>
        <w:ind w:firstLine="0"/>
        <w:rPr>
          <w:bCs/>
          <w:sz w:val="20"/>
          <w:szCs w:val="20"/>
          <w:lang w:eastAsia="sk-SK"/>
        </w:rPr>
      </w:pPr>
      <w:r w:rsidRPr="00434541">
        <w:rPr>
          <w:bCs/>
          <w:sz w:val="20"/>
          <w:szCs w:val="20"/>
          <w:lang w:eastAsia="sk-SK"/>
        </w:rPr>
        <w:t>1 –  príjmy rozpísať až do položiek platnej ekonomickej klasifikácie</w:t>
      </w:r>
    </w:p>
    <w:p w14:paraId="43700F04" w14:textId="77777777" w:rsidR="00434541" w:rsidRPr="00434541" w:rsidRDefault="00434541" w:rsidP="00434541">
      <w:pPr>
        <w:tabs>
          <w:tab w:val="num" w:pos="1080"/>
        </w:tabs>
        <w:spacing w:after="0" w:line="240" w:lineRule="auto"/>
        <w:ind w:firstLine="0"/>
        <w:rPr>
          <w:bCs/>
          <w:sz w:val="20"/>
          <w:szCs w:val="20"/>
          <w:lang w:eastAsia="sk-SK"/>
        </w:rPr>
      </w:pPr>
    </w:p>
    <w:p w14:paraId="3CFCDB47" w14:textId="77777777" w:rsidR="00434541" w:rsidRPr="00434541" w:rsidRDefault="00434541" w:rsidP="00434541">
      <w:pPr>
        <w:tabs>
          <w:tab w:val="num" w:pos="1080"/>
        </w:tabs>
        <w:spacing w:after="0" w:line="240" w:lineRule="auto"/>
        <w:ind w:firstLine="0"/>
        <w:rPr>
          <w:bCs/>
          <w:szCs w:val="20"/>
          <w:lang w:eastAsia="sk-SK"/>
        </w:rPr>
      </w:pPr>
    </w:p>
    <w:p w14:paraId="4B750FEE" w14:textId="77777777" w:rsidR="00434541" w:rsidRPr="00434541" w:rsidRDefault="00434541" w:rsidP="00434541">
      <w:pPr>
        <w:tabs>
          <w:tab w:val="num" w:pos="1080"/>
        </w:tabs>
        <w:spacing w:after="0" w:line="240" w:lineRule="auto"/>
        <w:ind w:firstLine="0"/>
        <w:rPr>
          <w:b/>
          <w:bCs/>
          <w:szCs w:val="20"/>
          <w:lang w:eastAsia="sk-SK"/>
        </w:rPr>
      </w:pPr>
      <w:r w:rsidRPr="00434541">
        <w:rPr>
          <w:b/>
          <w:bCs/>
          <w:szCs w:val="20"/>
          <w:lang w:eastAsia="sk-SK"/>
        </w:rPr>
        <w:t>Poznámka:</w:t>
      </w:r>
    </w:p>
    <w:p w14:paraId="64F0EED5" w14:textId="77777777" w:rsidR="00434541" w:rsidRPr="00434541" w:rsidRDefault="00434541" w:rsidP="00434541">
      <w:pPr>
        <w:tabs>
          <w:tab w:val="num" w:pos="1080"/>
        </w:tabs>
        <w:spacing w:after="0" w:line="240" w:lineRule="auto"/>
        <w:ind w:firstLine="0"/>
        <w:rPr>
          <w:bCs/>
          <w:szCs w:val="20"/>
          <w:lang w:eastAsia="sk-SK"/>
        </w:rPr>
      </w:pPr>
      <w:r w:rsidRPr="00434541">
        <w:rPr>
          <w:bCs/>
          <w:szCs w:val="20"/>
          <w:lang w:eastAsia="sk-SK"/>
        </w:rPr>
        <w:t>Ak sa vplyv týka viacerých subjektov verejnej správy, vypĺňa sa samostatná tabuľka za každý subjekt.</w:t>
      </w:r>
    </w:p>
    <w:p w14:paraId="0A074543" w14:textId="77777777" w:rsidR="00434541" w:rsidRPr="00434541" w:rsidRDefault="00434541" w:rsidP="00434541">
      <w:pPr>
        <w:spacing w:after="200"/>
        <w:ind w:firstLine="0"/>
        <w:jc w:val="left"/>
        <w:rPr>
          <w:bCs/>
          <w:szCs w:val="20"/>
          <w:lang w:eastAsia="sk-SK"/>
        </w:rPr>
      </w:pPr>
      <w:r w:rsidRPr="00434541">
        <w:rPr>
          <w:bCs/>
          <w:szCs w:val="20"/>
          <w:lang w:eastAsia="sk-SK"/>
        </w:rPr>
        <w:br w:type="page"/>
      </w:r>
    </w:p>
    <w:p w14:paraId="53F8D3AF" w14:textId="77777777" w:rsidR="00434541" w:rsidRPr="00434541" w:rsidRDefault="00434541" w:rsidP="00434541">
      <w:pPr>
        <w:tabs>
          <w:tab w:val="num" w:pos="1080"/>
        </w:tabs>
        <w:spacing w:after="0" w:line="240" w:lineRule="auto"/>
        <w:ind w:right="-32" w:firstLine="0"/>
        <w:jc w:val="right"/>
        <w:rPr>
          <w:bCs/>
          <w:lang w:eastAsia="sk-SK"/>
        </w:rPr>
      </w:pPr>
      <w:r w:rsidRPr="00434541">
        <w:rPr>
          <w:bCs/>
          <w:lang w:eastAsia="sk-SK"/>
        </w:rPr>
        <w:lastRenderedPageBreak/>
        <w:t xml:space="preserve">Tabuľka č. 4 </w:t>
      </w:r>
    </w:p>
    <w:p w14:paraId="0BDDD132" w14:textId="77777777" w:rsidR="00434541" w:rsidRPr="00434541" w:rsidRDefault="00434541" w:rsidP="00434541">
      <w:pPr>
        <w:tabs>
          <w:tab w:val="num" w:pos="1080"/>
        </w:tabs>
        <w:spacing w:after="0" w:line="240" w:lineRule="auto"/>
        <w:ind w:left="708" w:firstLine="0"/>
        <w:rPr>
          <w:bCs/>
          <w:szCs w:val="20"/>
          <w:lang w:eastAsia="sk-SK"/>
        </w:rPr>
      </w:pPr>
      <w:r w:rsidRPr="00434541">
        <w:rPr>
          <w:bCs/>
          <w:szCs w:val="20"/>
          <w:lang w:eastAsia="sk-SK"/>
        </w:rPr>
        <w:t>Štatistický úrad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34541" w:rsidRPr="00434541" w14:paraId="5799E569" w14:textId="77777777" w:rsidTr="0043454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57AF1EDD"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743FEADC"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321ED50" w14:textId="77777777" w:rsidR="00434541" w:rsidRPr="00434541" w:rsidRDefault="00434541" w:rsidP="00434541">
            <w:pPr>
              <w:spacing w:after="0" w:line="240" w:lineRule="auto"/>
              <w:ind w:firstLine="0"/>
              <w:jc w:val="center"/>
              <w:rPr>
                <w:b/>
                <w:bCs/>
                <w:lang w:eastAsia="sk-SK"/>
              </w:rPr>
            </w:pPr>
            <w:r w:rsidRPr="00434541">
              <w:rPr>
                <w:b/>
                <w:bCs/>
                <w:lang w:eastAsia="sk-SK"/>
              </w:rPr>
              <w:t>poznámka</w:t>
            </w:r>
          </w:p>
        </w:tc>
      </w:tr>
      <w:tr w:rsidR="00434541" w:rsidRPr="00434541" w14:paraId="7086931E" w14:textId="77777777" w:rsidTr="0043454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602D4B2" w14:textId="77777777" w:rsidR="00434541" w:rsidRPr="00434541" w:rsidRDefault="00434541" w:rsidP="00434541">
            <w:pPr>
              <w:spacing w:after="0" w:line="240" w:lineRule="auto"/>
              <w:ind w:firstLine="0"/>
              <w:jc w:val="left"/>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75A68B8D"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cPr>
          <w:p w14:paraId="114486BA"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14:paraId="0CF153A2"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14:paraId="21221AF6" w14:textId="77777777" w:rsidR="00434541" w:rsidRPr="00434541" w:rsidRDefault="00434541" w:rsidP="00434541">
            <w:pPr>
              <w:spacing w:after="0" w:line="240" w:lineRule="auto"/>
              <w:ind w:firstLine="0"/>
              <w:jc w:val="center"/>
              <w:rPr>
                <w:b/>
                <w:bCs/>
                <w:lang w:eastAsia="sk-SK"/>
              </w:rPr>
            </w:pPr>
            <w:r w:rsidRPr="00434541">
              <w:rPr>
                <w:b/>
                <w:bCs/>
                <w:lang w:eastAsia="sk-SK"/>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14:paraId="3471102E" w14:textId="77777777" w:rsidR="00434541" w:rsidRPr="00434541" w:rsidRDefault="00434541" w:rsidP="00434541">
            <w:pPr>
              <w:spacing w:after="0" w:line="240" w:lineRule="auto"/>
              <w:ind w:firstLine="0"/>
              <w:jc w:val="left"/>
              <w:rPr>
                <w:b/>
                <w:bCs/>
                <w:color w:val="FFFFFF"/>
                <w:lang w:eastAsia="sk-SK"/>
              </w:rPr>
            </w:pPr>
          </w:p>
        </w:tc>
      </w:tr>
      <w:tr w:rsidR="00434541" w:rsidRPr="00434541" w14:paraId="283D906E" w14:textId="77777777" w:rsidTr="00434541">
        <w:trPr>
          <w:trHeight w:val="255"/>
        </w:trPr>
        <w:tc>
          <w:tcPr>
            <w:tcW w:w="7070" w:type="dxa"/>
            <w:tcBorders>
              <w:top w:val="nil"/>
              <w:left w:val="single" w:sz="4" w:space="0" w:color="auto"/>
              <w:bottom w:val="single" w:sz="4" w:space="0" w:color="auto"/>
              <w:right w:val="single" w:sz="4" w:space="0" w:color="auto"/>
            </w:tcBorders>
          </w:tcPr>
          <w:p w14:paraId="75C6E101" w14:textId="77777777" w:rsidR="00434541" w:rsidRPr="00434541" w:rsidRDefault="00434541" w:rsidP="00434541">
            <w:pPr>
              <w:spacing w:after="0" w:line="240" w:lineRule="auto"/>
              <w:ind w:firstLine="0"/>
              <w:jc w:val="left"/>
              <w:rPr>
                <w:b/>
                <w:bCs/>
                <w:sz w:val="20"/>
                <w:szCs w:val="20"/>
                <w:lang w:eastAsia="sk-SK"/>
              </w:rPr>
            </w:pPr>
            <w:r w:rsidRPr="00434541">
              <w:rPr>
                <w:b/>
                <w:bCs/>
                <w:sz w:val="20"/>
                <w:szCs w:val="20"/>
                <w:lang w:eastAsia="sk-SK"/>
              </w:rPr>
              <w:t>Bežné výdavky (600)</w:t>
            </w:r>
          </w:p>
        </w:tc>
        <w:tc>
          <w:tcPr>
            <w:tcW w:w="1540" w:type="dxa"/>
            <w:tcBorders>
              <w:top w:val="nil"/>
              <w:left w:val="nil"/>
              <w:bottom w:val="single" w:sz="4" w:space="0" w:color="auto"/>
              <w:right w:val="single" w:sz="4" w:space="0" w:color="auto"/>
            </w:tcBorders>
          </w:tcPr>
          <w:p w14:paraId="69B2CDFC" w14:textId="77777777" w:rsidR="00434541" w:rsidRPr="00434541" w:rsidRDefault="00434541" w:rsidP="00434541">
            <w:pPr>
              <w:spacing w:after="0" w:line="240" w:lineRule="auto"/>
              <w:ind w:firstLine="0"/>
              <w:jc w:val="center"/>
              <w:rPr>
                <w:b/>
                <w:bCs/>
                <w:sz w:val="20"/>
                <w:szCs w:val="20"/>
                <w:highlight w:val="yellow"/>
                <w:lang w:eastAsia="sk-SK"/>
              </w:rPr>
            </w:pPr>
            <w:r w:rsidRPr="00434541">
              <w:rPr>
                <w:b/>
                <w:bCs/>
                <w:sz w:val="20"/>
                <w:szCs w:val="20"/>
                <w:lang w:eastAsia="sk-SK"/>
              </w:rPr>
              <w:t>0</w:t>
            </w:r>
          </w:p>
        </w:tc>
        <w:tc>
          <w:tcPr>
            <w:tcW w:w="1540" w:type="dxa"/>
            <w:tcBorders>
              <w:top w:val="nil"/>
              <w:left w:val="nil"/>
              <w:bottom w:val="single" w:sz="4" w:space="0" w:color="auto"/>
              <w:right w:val="single" w:sz="4" w:space="0" w:color="auto"/>
            </w:tcBorders>
          </w:tcPr>
          <w:p w14:paraId="0B9528AC" w14:textId="77777777" w:rsidR="00434541" w:rsidRPr="00434541" w:rsidRDefault="00434541" w:rsidP="00434541">
            <w:pPr>
              <w:spacing w:after="0" w:line="240" w:lineRule="auto"/>
              <w:ind w:firstLine="0"/>
              <w:jc w:val="center"/>
              <w:rPr>
                <w:b/>
                <w:bCs/>
                <w:sz w:val="20"/>
                <w:szCs w:val="20"/>
                <w:highlight w:val="yellow"/>
                <w:lang w:eastAsia="sk-SK"/>
              </w:rPr>
            </w:pPr>
            <w:r w:rsidRPr="00434541">
              <w:rPr>
                <w:b/>
                <w:bCs/>
                <w:sz w:val="20"/>
                <w:szCs w:val="20"/>
                <w:lang w:eastAsia="sk-SK"/>
              </w:rPr>
              <w:t>209 011</w:t>
            </w:r>
          </w:p>
        </w:tc>
        <w:tc>
          <w:tcPr>
            <w:tcW w:w="1540" w:type="dxa"/>
            <w:tcBorders>
              <w:top w:val="nil"/>
              <w:left w:val="nil"/>
              <w:bottom w:val="single" w:sz="4" w:space="0" w:color="auto"/>
              <w:right w:val="single" w:sz="4" w:space="0" w:color="auto"/>
            </w:tcBorders>
          </w:tcPr>
          <w:p w14:paraId="74460614" w14:textId="77777777" w:rsidR="00434541" w:rsidRPr="00434541" w:rsidRDefault="00434541" w:rsidP="00434541">
            <w:pPr>
              <w:spacing w:after="0" w:line="240" w:lineRule="auto"/>
              <w:ind w:firstLine="0"/>
              <w:jc w:val="center"/>
              <w:rPr>
                <w:b/>
                <w:bCs/>
                <w:sz w:val="20"/>
                <w:szCs w:val="20"/>
                <w:highlight w:val="yellow"/>
                <w:lang w:eastAsia="sk-SK"/>
              </w:rPr>
            </w:pPr>
            <w:r w:rsidRPr="00434541">
              <w:rPr>
                <w:b/>
                <w:bCs/>
                <w:sz w:val="20"/>
                <w:szCs w:val="20"/>
                <w:lang w:eastAsia="sk-SK"/>
              </w:rPr>
              <w:t>966 351</w:t>
            </w:r>
          </w:p>
        </w:tc>
        <w:tc>
          <w:tcPr>
            <w:tcW w:w="1540" w:type="dxa"/>
            <w:tcBorders>
              <w:top w:val="nil"/>
              <w:left w:val="nil"/>
              <w:bottom w:val="single" w:sz="4" w:space="0" w:color="auto"/>
              <w:right w:val="single" w:sz="4" w:space="0" w:color="auto"/>
            </w:tcBorders>
          </w:tcPr>
          <w:p w14:paraId="3D6424ED" w14:textId="77777777" w:rsidR="00434541" w:rsidRPr="00434541" w:rsidRDefault="00434541" w:rsidP="00434541">
            <w:pPr>
              <w:spacing w:after="0" w:line="240" w:lineRule="auto"/>
              <w:ind w:firstLine="0"/>
              <w:jc w:val="center"/>
              <w:rPr>
                <w:b/>
                <w:bCs/>
                <w:highlight w:val="yellow"/>
                <w:lang w:eastAsia="sk-SK"/>
              </w:rPr>
            </w:pPr>
            <w:r w:rsidRPr="00434541">
              <w:rPr>
                <w:b/>
                <w:bCs/>
                <w:sz w:val="20"/>
                <w:szCs w:val="20"/>
                <w:lang w:eastAsia="sk-SK"/>
              </w:rPr>
              <w:t>484 524 </w:t>
            </w:r>
          </w:p>
        </w:tc>
        <w:tc>
          <w:tcPr>
            <w:tcW w:w="2220" w:type="dxa"/>
            <w:tcBorders>
              <w:top w:val="nil"/>
              <w:left w:val="nil"/>
              <w:bottom w:val="single" w:sz="4" w:space="0" w:color="auto"/>
              <w:right w:val="single" w:sz="4" w:space="0" w:color="auto"/>
            </w:tcBorders>
            <w:noWrap/>
            <w:vAlign w:val="bottom"/>
          </w:tcPr>
          <w:p w14:paraId="45E97515"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09AB9FE0" w14:textId="77777777" w:rsidTr="00434541">
        <w:trPr>
          <w:trHeight w:val="255"/>
        </w:trPr>
        <w:tc>
          <w:tcPr>
            <w:tcW w:w="7070" w:type="dxa"/>
            <w:tcBorders>
              <w:top w:val="nil"/>
              <w:left w:val="single" w:sz="4" w:space="0" w:color="auto"/>
              <w:bottom w:val="single" w:sz="4" w:space="0" w:color="auto"/>
              <w:right w:val="single" w:sz="4" w:space="0" w:color="auto"/>
            </w:tcBorders>
          </w:tcPr>
          <w:p w14:paraId="5CDA91B8"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8151DCE"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6D253921"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154 880</w:t>
            </w:r>
          </w:p>
        </w:tc>
        <w:tc>
          <w:tcPr>
            <w:tcW w:w="1540" w:type="dxa"/>
            <w:tcBorders>
              <w:top w:val="nil"/>
              <w:left w:val="nil"/>
              <w:bottom w:val="single" w:sz="4" w:space="0" w:color="auto"/>
              <w:right w:val="single" w:sz="4" w:space="0" w:color="auto"/>
            </w:tcBorders>
          </w:tcPr>
          <w:p w14:paraId="480DAA43"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295 680</w:t>
            </w:r>
          </w:p>
        </w:tc>
        <w:tc>
          <w:tcPr>
            <w:tcW w:w="1540" w:type="dxa"/>
            <w:tcBorders>
              <w:top w:val="nil"/>
              <w:left w:val="nil"/>
              <w:bottom w:val="single" w:sz="4" w:space="0" w:color="auto"/>
              <w:right w:val="single" w:sz="4" w:space="0" w:color="auto"/>
            </w:tcBorders>
          </w:tcPr>
          <w:p w14:paraId="4F49AF2B" w14:textId="77777777" w:rsidR="00434541" w:rsidRPr="00434541" w:rsidRDefault="00434541" w:rsidP="00434541">
            <w:pPr>
              <w:spacing w:after="0" w:line="240" w:lineRule="auto"/>
              <w:ind w:firstLine="0"/>
              <w:jc w:val="center"/>
              <w:rPr>
                <w:lang w:eastAsia="sk-SK"/>
              </w:rPr>
            </w:pPr>
            <w:r w:rsidRPr="00434541">
              <w:rPr>
                <w:sz w:val="20"/>
                <w:szCs w:val="20"/>
                <w:lang w:eastAsia="sk-SK"/>
              </w:rPr>
              <w:t>359 040</w:t>
            </w:r>
          </w:p>
        </w:tc>
        <w:tc>
          <w:tcPr>
            <w:tcW w:w="2220" w:type="dxa"/>
            <w:tcBorders>
              <w:top w:val="nil"/>
              <w:left w:val="nil"/>
              <w:bottom w:val="single" w:sz="4" w:space="0" w:color="auto"/>
              <w:right w:val="single" w:sz="4" w:space="0" w:color="auto"/>
            </w:tcBorders>
            <w:noWrap/>
            <w:vAlign w:val="bottom"/>
          </w:tcPr>
          <w:p w14:paraId="58D1F4DD"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618AEBF2" w14:textId="77777777" w:rsidTr="00434541">
        <w:trPr>
          <w:trHeight w:val="255"/>
        </w:trPr>
        <w:tc>
          <w:tcPr>
            <w:tcW w:w="7070" w:type="dxa"/>
            <w:tcBorders>
              <w:top w:val="nil"/>
              <w:left w:val="single" w:sz="4" w:space="0" w:color="auto"/>
              <w:bottom w:val="single" w:sz="4" w:space="0" w:color="auto"/>
              <w:right w:val="single" w:sz="4" w:space="0" w:color="auto"/>
            </w:tcBorders>
          </w:tcPr>
          <w:p w14:paraId="182102D5" w14:textId="77777777" w:rsidR="00434541" w:rsidRPr="00434541" w:rsidRDefault="00434541" w:rsidP="00434541">
            <w:pPr>
              <w:spacing w:after="0" w:line="240" w:lineRule="auto"/>
              <w:ind w:firstLine="0"/>
              <w:jc w:val="left"/>
              <w:rPr>
                <w:sz w:val="20"/>
                <w:szCs w:val="20"/>
                <w:vertAlign w:val="superscript"/>
                <w:lang w:eastAsia="sk-SK"/>
              </w:rPr>
            </w:pPr>
            <w:r w:rsidRPr="00434541">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5767088"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6BC7F25C"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54 131</w:t>
            </w:r>
          </w:p>
        </w:tc>
        <w:tc>
          <w:tcPr>
            <w:tcW w:w="1540" w:type="dxa"/>
            <w:tcBorders>
              <w:top w:val="nil"/>
              <w:left w:val="nil"/>
              <w:bottom w:val="single" w:sz="4" w:space="0" w:color="auto"/>
              <w:right w:val="single" w:sz="4" w:space="0" w:color="auto"/>
            </w:tcBorders>
          </w:tcPr>
          <w:p w14:paraId="70A9B545"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103 340</w:t>
            </w:r>
          </w:p>
        </w:tc>
        <w:tc>
          <w:tcPr>
            <w:tcW w:w="1540" w:type="dxa"/>
            <w:tcBorders>
              <w:top w:val="nil"/>
              <w:left w:val="nil"/>
              <w:bottom w:val="single" w:sz="4" w:space="0" w:color="auto"/>
              <w:right w:val="single" w:sz="4" w:space="0" w:color="auto"/>
            </w:tcBorders>
          </w:tcPr>
          <w:p w14:paraId="399C1007" w14:textId="77777777" w:rsidR="00434541" w:rsidRPr="00434541" w:rsidRDefault="00434541" w:rsidP="00434541">
            <w:pPr>
              <w:spacing w:after="0" w:line="240" w:lineRule="auto"/>
              <w:ind w:firstLine="0"/>
              <w:jc w:val="center"/>
              <w:rPr>
                <w:lang w:eastAsia="sk-SK"/>
              </w:rPr>
            </w:pPr>
            <w:r w:rsidRPr="00434541">
              <w:rPr>
                <w:sz w:val="20"/>
                <w:szCs w:val="20"/>
                <w:lang w:eastAsia="sk-SK"/>
              </w:rPr>
              <w:t>125 484</w:t>
            </w:r>
          </w:p>
        </w:tc>
        <w:tc>
          <w:tcPr>
            <w:tcW w:w="2220" w:type="dxa"/>
            <w:tcBorders>
              <w:top w:val="nil"/>
              <w:left w:val="nil"/>
              <w:bottom w:val="single" w:sz="4" w:space="0" w:color="auto"/>
              <w:right w:val="single" w:sz="4" w:space="0" w:color="auto"/>
            </w:tcBorders>
            <w:noWrap/>
            <w:vAlign w:val="bottom"/>
          </w:tcPr>
          <w:p w14:paraId="331FAF0A"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49612FDF" w14:textId="77777777" w:rsidTr="00434541">
        <w:trPr>
          <w:trHeight w:val="255"/>
        </w:trPr>
        <w:tc>
          <w:tcPr>
            <w:tcW w:w="7070" w:type="dxa"/>
            <w:tcBorders>
              <w:top w:val="nil"/>
              <w:left w:val="single" w:sz="4" w:space="0" w:color="auto"/>
              <w:bottom w:val="single" w:sz="4" w:space="0" w:color="auto"/>
              <w:right w:val="single" w:sz="4" w:space="0" w:color="auto"/>
            </w:tcBorders>
          </w:tcPr>
          <w:p w14:paraId="298A9089" w14:textId="77777777" w:rsidR="00434541" w:rsidRPr="00434541" w:rsidRDefault="00434541" w:rsidP="00434541">
            <w:pPr>
              <w:spacing w:after="0" w:line="240" w:lineRule="auto"/>
              <w:ind w:firstLine="0"/>
              <w:jc w:val="left"/>
              <w:rPr>
                <w:sz w:val="20"/>
                <w:szCs w:val="20"/>
                <w:vertAlign w:val="superscript"/>
                <w:lang w:eastAsia="sk-SK"/>
              </w:rPr>
            </w:pPr>
            <w:r w:rsidRPr="00434541">
              <w:rPr>
                <w:sz w:val="20"/>
                <w:szCs w:val="20"/>
                <w:lang w:eastAsia="sk-SK"/>
              </w:rPr>
              <w:t xml:space="preserve">  Tovary a služby (630)</w:t>
            </w:r>
            <w:r w:rsidRPr="00434541">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3D7A7A5"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4347308B"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1D1E28E7"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567 331</w:t>
            </w:r>
          </w:p>
        </w:tc>
        <w:tc>
          <w:tcPr>
            <w:tcW w:w="1540" w:type="dxa"/>
            <w:tcBorders>
              <w:top w:val="nil"/>
              <w:left w:val="nil"/>
              <w:bottom w:val="single" w:sz="4" w:space="0" w:color="auto"/>
              <w:right w:val="single" w:sz="4" w:space="0" w:color="auto"/>
            </w:tcBorders>
          </w:tcPr>
          <w:p w14:paraId="2913E8AE" w14:textId="77777777" w:rsidR="00434541" w:rsidRPr="00434541" w:rsidRDefault="00434541" w:rsidP="00434541">
            <w:pPr>
              <w:spacing w:after="0" w:line="240" w:lineRule="auto"/>
              <w:ind w:firstLine="0"/>
              <w:jc w:val="center"/>
              <w:rPr>
                <w:lang w:eastAsia="sk-SK"/>
              </w:rPr>
            </w:pPr>
            <w:r w:rsidRPr="00434541">
              <w:rPr>
                <w:sz w:val="20"/>
                <w:szCs w:val="20"/>
                <w:lang w:eastAsia="sk-SK"/>
              </w:rPr>
              <w:t>0</w:t>
            </w:r>
          </w:p>
        </w:tc>
        <w:tc>
          <w:tcPr>
            <w:tcW w:w="2220" w:type="dxa"/>
            <w:tcBorders>
              <w:top w:val="nil"/>
              <w:left w:val="nil"/>
              <w:bottom w:val="single" w:sz="4" w:space="0" w:color="auto"/>
              <w:right w:val="single" w:sz="4" w:space="0" w:color="auto"/>
            </w:tcBorders>
            <w:noWrap/>
            <w:vAlign w:val="bottom"/>
          </w:tcPr>
          <w:p w14:paraId="7BD22EFA"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50C2F7E9" w14:textId="77777777" w:rsidTr="00434541">
        <w:trPr>
          <w:trHeight w:val="255"/>
        </w:trPr>
        <w:tc>
          <w:tcPr>
            <w:tcW w:w="7070" w:type="dxa"/>
            <w:tcBorders>
              <w:top w:val="nil"/>
              <w:left w:val="single" w:sz="4" w:space="0" w:color="auto"/>
              <w:bottom w:val="single" w:sz="4" w:space="0" w:color="auto"/>
              <w:right w:val="single" w:sz="4" w:space="0" w:color="auto"/>
            </w:tcBorders>
          </w:tcPr>
          <w:p w14:paraId="30764C03"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Bežné transfery (640)</w:t>
            </w:r>
            <w:r w:rsidRPr="00434541">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54EEC4D"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7FCC1E4F"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54B3C2D2"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0F45D187"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2220" w:type="dxa"/>
            <w:tcBorders>
              <w:top w:val="nil"/>
              <w:left w:val="nil"/>
              <w:bottom w:val="single" w:sz="4" w:space="0" w:color="auto"/>
              <w:right w:val="single" w:sz="4" w:space="0" w:color="auto"/>
            </w:tcBorders>
            <w:noWrap/>
            <w:vAlign w:val="bottom"/>
          </w:tcPr>
          <w:p w14:paraId="0483D65A"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61631B04" w14:textId="77777777" w:rsidTr="00434541">
        <w:trPr>
          <w:trHeight w:val="255"/>
        </w:trPr>
        <w:tc>
          <w:tcPr>
            <w:tcW w:w="7070" w:type="dxa"/>
            <w:tcBorders>
              <w:top w:val="nil"/>
              <w:left w:val="single" w:sz="4" w:space="0" w:color="auto"/>
              <w:bottom w:val="single" w:sz="4" w:space="0" w:color="auto"/>
              <w:right w:val="single" w:sz="4" w:space="0" w:color="auto"/>
            </w:tcBorders>
            <w:vAlign w:val="center"/>
          </w:tcPr>
          <w:p w14:paraId="62AD8ED8"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Splácanie úrokov a ostatné platby súvisiace s </w:t>
            </w:r>
            <w:r w:rsidRPr="00434541">
              <w:rPr>
                <w:rFonts w:eastAsia="Calibri"/>
                <w:sz w:val="22"/>
                <w:szCs w:val="22"/>
              </w:rPr>
              <w:t xml:space="preserve"> </w:t>
            </w:r>
            <w:r w:rsidRPr="00434541">
              <w:rPr>
                <w:sz w:val="20"/>
                <w:szCs w:val="20"/>
                <w:lang w:eastAsia="sk-SK"/>
              </w:rPr>
              <w:t>úverom, pôžičkou, návratnou finančnou výpomocou a finančným prenájmom (650)</w:t>
            </w:r>
            <w:r w:rsidRPr="00434541">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374DCF35"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3F12FCD2"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5679D297"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1A90BD94"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2220" w:type="dxa"/>
            <w:tcBorders>
              <w:top w:val="nil"/>
              <w:left w:val="nil"/>
              <w:bottom w:val="single" w:sz="4" w:space="0" w:color="auto"/>
              <w:right w:val="single" w:sz="4" w:space="0" w:color="auto"/>
            </w:tcBorders>
            <w:noWrap/>
            <w:vAlign w:val="bottom"/>
          </w:tcPr>
          <w:p w14:paraId="3DC59E9F" w14:textId="77777777" w:rsidR="00434541" w:rsidRPr="00434541" w:rsidRDefault="00434541" w:rsidP="00434541">
            <w:pPr>
              <w:spacing w:after="0" w:line="240" w:lineRule="auto"/>
              <w:ind w:firstLine="0"/>
              <w:jc w:val="left"/>
              <w:rPr>
                <w:lang w:eastAsia="sk-SK"/>
              </w:rPr>
            </w:pPr>
          </w:p>
        </w:tc>
      </w:tr>
      <w:tr w:rsidR="00434541" w:rsidRPr="00434541" w14:paraId="682D2E6C" w14:textId="77777777" w:rsidTr="00434541">
        <w:trPr>
          <w:trHeight w:val="255"/>
        </w:trPr>
        <w:tc>
          <w:tcPr>
            <w:tcW w:w="7070" w:type="dxa"/>
            <w:tcBorders>
              <w:top w:val="nil"/>
              <w:left w:val="single" w:sz="4" w:space="0" w:color="auto"/>
              <w:bottom w:val="single" w:sz="4" w:space="0" w:color="auto"/>
              <w:right w:val="single" w:sz="4" w:space="0" w:color="auto"/>
            </w:tcBorders>
          </w:tcPr>
          <w:p w14:paraId="32105FD1" w14:textId="77777777" w:rsidR="00434541" w:rsidRPr="00434541" w:rsidRDefault="00434541" w:rsidP="00434541">
            <w:pPr>
              <w:spacing w:after="0" w:line="240" w:lineRule="auto"/>
              <w:ind w:firstLine="0"/>
              <w:jc w:val="left"/>
              <w:rPr>
                <w:b/>
                <w:bCs/>
                <w:sz w:val="20"/>
                <w:szCs w:val="20"/>
                <w:lang w:eastAsia="sk-SK"/>
              </w:rPr>
            </w:pPr>
            <w:r w:rsidRPr="00434541">
              <w:rPr>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93895F7"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0</w:t>
            </w:r>
          </w:p>
        </w:tc>
        <w:tc>
          <w:tcPr>
            <w:tcW w:w="1540" w:type="dxa"/>
            <w:tcBorders>
              <w:top w:val="nil"/>
              <w:left w:val="nil"/>
              <w:bottom w:val="single" w:sz="4" w:space="0" w:color="auto"/>
              <w:right w:val="single" w:sz="4" w:space="0" w:color="auto"/>
            </w:tcBorders>
          </w:tcPr>
          <w:p w14:paraId="4ADDF1AE"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0</w:t>
            </w:r>
          </w:p>
        </w:tc>
        <w:tc>
          <w:tcPr>
            <w:tcW w:w="1540" w:type="dxa"/>
            <w:tcBorders>
              <w:top w:val="nil"/>
              <w:left w:val="nil"/>
              <w:bottom w:val="single" w:sz="4" w:space="0" w:color="auto"/>
              <w:right w:val="single" w:sz="4" w:space="0" w:color="auto"/>
            </w:tcBorders>
          </w:tcPr>
          <w:p w14:paraId="3F8D8EF5"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648 000</w:t>
            </w:r>
          </w:p>
        </w:tc>
        <w:tc>
          <w:tcPr>
            <w:tcW w:w="1540" w:type="dxa"/>
            <w:tcBorders>
              <w:top w:val="nil"/>
              <w:left w:val="nil"/>
              <w:bottom w:val="single" w:sz="4" w:space="0" w:color="auto"/>
              <w:right w:val="single" w:sz="4" w:space="0" w:color="auto"/>
            </w:tcBorders>
          </w:tcPr>
          <w:p w14:paraId="34B21250" w14:textId="77777777" w:rsidR="00434541" w:rsidRPr="00434541" w:rsidRDefault="00434541" w:rsidP="00434541">
            <w:pPr>
              <w:spacing w:after="0" w:line="240" w:lineRule="auto"/>
              <w:ind w:firstLine="0"/>
              <w:jc w:val="center"/>
              <w:rPr>
                <w:b/>
                <w:bCs/>
                <w:lang w:eastAsia="sk-SK"/>
              </w:rPr>
            </w:pPr>
            <w:r w:rsidRPr="00434541">
              <w:rPr>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2E756194"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3432B1E2" w14:textId="77777777" w:rsidTr="00434541">
        <w:trPr>
          <w:trHeight w:val="255"/>
        </w:trPr>
        <w:tc>
          <w:tcPr>
            <w:tcW w:w="7070" w:type="dxa"/>
            <w:tcBorders>
              <w:top w:val="nil"/>
              <w:left w:val="single" w:sz="4" w:space="0" w:color="auto"/>
              <w:bottom w:val="single" w:sz="4" w:space="0" w:color="auto"/>
              <w:right w:val="single" w:sz="4" w:space="0" w:color="auto"/>
            </w:tcBorders>
          </w:tcPr>
          <w:p w14:paraId="285AE643"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Obstarávanie kapitálových aktív (710)</w:t>
            </w:r>
            <w:r w:rsidRPr="00434541">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24069F0"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3C2CEE9C"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22CAA905"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648 000</w:t>
            </w:r>
          </w:p>
        </w:tc>
        <w:tc>
          <w:tcPr>
            <w:tcW w:w="1540" w:type="dxa"/>
            <w:tcBorders>
              <w:top w:val="nil"/>
              <w:left w:val="nil"/>
              <w:bottom w:val="single" w:sz="4" w:space="0" w:color="auto"/>
              <w:right w:val="single" w:sz="4" w:space="0" w:color="auto"/>
            </w:tcBorders>
          </w:tcPr>
          <w:p w14:paraId="53C2F032"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2220" w:type="dxa"/>
            <w:tcBorders>
              <w:top w:val="nil"/>
              <w:left w:val="nil"/>
              <w:bottom w:val="single" w:sz="4" w:space="0" w:color="auto"/>
              <w:right w:val="single" w:sz="4" w:space="0" w:color="auto"/>
            </w:tcBorders>
            <w:noWrap/>
            <w:vAlign w:val="bottom"/>
          </w:tcPr>
          <w:p w14:paraId="78857DA9"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2A0B44F4" w14:textId="77777777" w:rsidTr="00434541">
        <w:trPr>
          <w:trHeight w:val="255"/>
        </w:trPr>
        <w:tc>
          <w:tcPr>
            <w:tcW w:w="7070" w:type="dxa"/>
            <w:tcBorders>
              <w:top w:val="nil"/>
              <w:left w:val="single" w:sz="4" w:space="0" w:color="auto"/>
              <w:bottom w:val="single" w:sz="4" w:space="0" w:color="auto"/>
              <w:right w:val="single" w:sz="4" w:space="0" w:color="auto"/>
            </w:tcBorders>
          </w:tcPr>
          <w:p w14:paraId="17DEFDC0" w14:textId="77777777" w:rsidR="00434541" w:rsidRPr="00434541" w:rsidRDefault="00434541" w:rsidP="00434541">
            <w:pPr>
              <w:spacing w:after="0" w:line="240" w:lineRule="auto"/>
              <w:ind w:firstLine="0"/>
              <w:jc w:val="left"/>
              <w:rPr>
                <w:sz w:val="20"/>
                <w:szCs w:val="20"/>
                <w:lang w:eastAsia="sk-SK"/>
              </w:rPr>
            </w:pPr>
            <w:r w:rsidRPr="00434541">
              <w:rPr>
                <w:sz w:val="20"/>
                <w:szCs w:val="20"/>
                <w:lang w:eastAsia="sk-SK"/>
              </w:rPr>
              <w:t xml:space="preserve">  Kapitálové transfery (720)</w:t>
            </w:r>
            <w:r w:rsidRPr="00434541">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60B96FA3"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44FCA598"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2B6988D8"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1540" w:type="dxa"/>
            <w:tcBorders>
              <w:top w:val="nil"/>
              <w:left w:val="nil"/>
              <w:bottom w:val="single" w:sz="4" w:space="0" w:color="auto"/>
              <w:right w:val="single" w:sz="4" w:space="0" w:color="auto"/>
            </w:tcBorders>
          </w:tcPr>
          <w:p w14:paraId="0AB38B08" w14:textId="77777777" w:rsidR="00434541" w:rsidRPr="00434541" w:rsidRDefault="00434541" w:rsidP="00434541">
            <w:pPr>
              <w:spacing w:after="0" w:line="240" w:lineRule="auto"/>
              <w:ind w:firstLine="0"/>
              <w:jc w:val="center"/>
              <w:rPr>
                <w:sz w:val="20"/>
                <w:szCs w:val="20"/>
                <w:lang w:eastAsia="sk-SK"/>
              </w:rPr>
            </w:pPr>
            <w:r w:rsidRPr="00434541">
              <w:rPr>
                <w:sz w:val="20"/>
                <w:szCs w:val="20"/>
                <w:lang w:eastAsia="sk-SK"/>
              </w:rPr>
              <w:t>0</w:t>
            </w:r>
          </w:p>
        </w:tc>
        <w:tc>
          <w:tcPr>
            <w:tcW w:w="2220" w:type="dxa"/>
            <w:tcBorders>
              <w:top w:val="nil"/>
              <w:left w:val="nil"/>
              <w:bottom w:val="single" w:sz="4" w:space="0" w:color="auto"/>
              <w:right w:val="single" w:sz="4" w:space="0" w:color="auto"/>
            </w:tcBorders>
            <w:noWrap/>
            <w:vAlign w:val="bottom"/>
          </w:tcPr>
          <w:p w14:paraId="24E96D1A"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7CD0AC3B" w14:textId="77777777" w:rsidTr="00434541">
        <w:trPr>
          <w:trHeight w:val="255"/>
        </w:trPr>
        <w:tc>
          <w:tcPr>
            <w:tcW w:w="7070" w:type="dxa"/>
            <w:tcBorders>
              <w:top w:val="nil"/>
              <w:left w:val="single" w:sz="4" w:space="0" w:color="auto"/>
              <w:bottom w:val="single" w:sz="4" w:space="0" w:color="auto"/>
              <w:right w:val="single" w:sz="4" w:space="0" w:color="auto"/>
            </w:tcBorders>
          </w:tcPr>
          <w:p w14:paraId="0D611B90" w14:textId="77777777" w:rsidR="00434541" w:rsidRPr="00434541" w:rsidRDefault="00434541" w:rsidP="00434541">
            <w:pPr>
              <w:spacing w:after="0" w:line="240" w:lineRule="auto"/>
              <w:ind w:firstLine="0"/>
              <w:jc w:val="left"/>
              <w:rPr>
                <w:b/>
                <w:bCs/>
                <w:sz w:val="20"/>
                <w:szCs w:val="20"/>
                <w:lang w:eastAsia="sk-SK"/>
              </w:rPr>
            </w:pPr>
            <w:r w:rsidRPr="00434541">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16B0B66"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14:paraId="62A128B6"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14:paraId="5BA3B418"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cPr>
          <w:p w14:paraId="3240DEBA"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0 </w:t>
            </w:r>
          </w:p>
        </w:tc>
        <w:tc>
          <w:tcPr>
            <w:tcW w:w="2220" w:type="dxa"/>
            <w:tcBorders>
              <w:top w:val="nil"/>
              <w:left w:val="nil"/>
              <w:bottom w:val="single" w:sz="4" w:space="0" w:color="auto"/>
              <w:right w:val="single" w:sz="4" w:space="0" w:color="auto"/>
            </w:tcBorders>
            <w:noWrap/>
            <w:vAlign w:val="bottom"/>
          </w:tcPr>
          <w:p w14:paraId="7DAD4F85"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3B57AAE8" w14:textId="77777777" w:rsidTr="0043454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6C6C4AA4" w14:textId="77777777" w:rsidR="00434541" w:rsidRPr="00434541" w:rsidRDefault="00434541" w:rsidP="00434541">
            <w:pPr>
              <w:spacing w:after="0" w:line="240" w:lineRule="auto"/>
              <w:ind w:firstLine="0"/>
              <w:jc w:val="left"/>
              <w:rPr>
                <w:b/>
                <w:bCs/>
                <w:sz w:val="20"/>
                <w:szCs w:val="20"/>
                <w:lang w:eastAsia="sk-SK"/>
              </w:rPr>
            </w:pPr>
            <w:r w:rsidRPr="00434541">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1178757C"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 xml:space="preserve">0 </w:t>
            </w:r>
          </w:p>
        </w:tc>
        <w:tc>
          <w:tcPr>
            <w:tcW w:w="1540" w:type="dxa"/>
            <w:tcBorders>
              <w:top w:val="single" w:sz="4" w:space="0" w:color="auto"/>
              <w:left w:val="nil"/>
              <w:bottom w:val="single" w:sz="4" w:space="0" w:color="auto"/>
              <w:right w:val="single" w:sz="4" w:space="0" w:color="auto"/>
            </w:tcBorders>
            <w:shd w:val="clear" w:color="auto" w:fill="BFBFBF"/>
          </w:tcPr>
          <w:p w14:paraId="553FCBEB"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209 011</w:t>
            </w:r>
          </w:p>
        </w:tc>
        <w:tc>
          <w:tcPr>
            <w:tcW w:w="1540" w:type="dxa"/>
            <w:tcBorders>
              <w:top w:val="single" w:sz="4" w:space="0" w:color="auto"/>
              <w:left w:val="nil"/>
              <w:bottom w:val="single" w:sz="4" w:space="0" w:color="auto"/>
              <w:right w:val="single" w:sz="4" w:space="0" w:color="auto"/>
            </w:tcBorders>
            <w:shd w:val="clear" w:color="auto" w:fill="BFBFBF"/>
          </w:tcPr>
          <w:p w14:paraId="0B7EE737" w14:textId="77777777" w:rsidR="00434541" w:rsidRPr="00434541" w:rsidRDefault="00434541" w:rsidP="00434541">
            <w:pPr>
              <w:spacing w:after="0" w:line="240" w:lineRule="auto"/>
              <w:ind w:firstLine="0"/>
              <w:jc w:val="center"/>
              <w:rPr>
                <w:b/>
                <w:bCs/>
                <w:sz w:val="20"/>
                <w:szCs w:val="20"/>
                <w:lang w:eastAsia="sk-SK"/>
              </w:rPr>
            </w:pPr>
            <w:r w:rsidRPr="00434541">
              <w:rPr>
                <w:b/>
                <w:bCs/>
                <w:sz w:val="20"/>
                <w:szCs w:val="20"/>
                <w:lang w:eastAsia="sk-SK"/>
              </w:rPr>
              <w:t>1 614 351</w:t>
            </w:r>
          </w:p>
        </w:tc>
        <w:tc>
          <w:tcPr>
            <w:tcW w:w="1540" w:type="dxa"/>
            <w:tcBorders>
              <w:top w:val="single" w:sz="4" w:space="0" w:color="auto"/>
              <w:left w:val="nil"/>
              <w:bottom w:val="single" w:sz="4" w:space="0" w:color="auto"/>
              <w:right w:val="single" w:sz="4" w:space="0" w:color="auto"/>
            </w:tcBorders>
            <w:shd w:val="clear" w:color="auto" w:fill="BFBFBF"/>
          </w:tcPr>
          <w:p w14:paraId="1E78F197" w14:textId="77777777" w:rsidR="00434541" w:rsidRPr="00434541" w:rsidRDefault="00434541" w:rsidP="00434541">
            <w:pPr>
              <w:spacing w:after="0" w:line="240" w:lineRule="auto"/>
              <w:ind w:firstLine="0"/>
              <w:jc w:val="center"/>
              <w:rPr>
                <w:b/>
                <w:bCs/>
                <w:lang w:eastAsia="sk-SK"/>
              </w:rPr>
            </w:pPr>
            <w:r w:rsidRPr="00434541">
              <w:rPr>
                <w:b/>
                <w:bCs/>
                <w:sz w:val="20"/>
                <w:lang w:eastAsia="sk-SK"/>
              </w:rPr>
              <w:t>484 524</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0D8E1B5" w14:textId="77777777" w:rsidR="00434541" w:rsidRPr="00434541" w:rsidRDefault="00434541" w:rsidP="00434541">
            <w:pPr>
              <w:spacing w:after="0" w:line="240" w:lineRule="auto"/>
              <w:ind w:firstLine="0"/>
              <w:jc w:val="left"/>
              <w:rPr>
                <w:lang w:eastAsia="sk-SK"/>
              </w:rPr>
            </w:pPr>
            <w:r w:rsidRPr="00434541">
              <w:rPr>
                <w:lang w:eastAsia="sk-SK"/>
              </w:rPr>
              <w:t> </w:t>
            </w:r>
          </w:p>
        </w:tc>
      </w:tr>
    </w:tbl>
    <w:p w14:paraId="2D444B11" w14:textId="77777777" w:rsidR="00434541" w:rsidRPr="00434541" w:rsidRDefault="00434541" w:rsidP="00434541">
      <w:pPr>
        <w:tabs>
          <w:tab w:val="num" w:pos="1080"/>
        </w:tabs>
        <w:spacing w:after="0" w:line="240" w:lineRule="auto"/>
        <w:ind w:firstLine="0"/>
        <w:rPr>
          <w:bCs/>
          <w:sz w:val="20"/>
          <w:szCs w:val="20"/>
          <w:lang w:eastAsia="sk-SK"/>
        </w:rPr>
      </w:pPr>
      <w:r w:rsidRPr="00434541">
        <w:rPr>
          <w:bCs/>
          <w:sz w:val="20"/>
          <w:szCs w:val="20"/>
          <w:lang w:eastAsia="sk-SK"/>
        </w:rPr>
        <w:t xml:space="preserve">Poznámka :* </w:t>
      </w:r>
    </w:p>
    <w:p w14:paraId="30009B47" w14:textId="77777777" w:rsidR="00434541" w:rsidRPr="00434541" w:rsidRDefault="00434541" w:rsidP="00434541">
      <w:pPr>
        <w:spacing w:after="200"/>
        <w:ind w:firstLine="0"/>
        <w:jc w:val="left"/>
        <w:rPr>
          <w:bCs/>
          <w:lang w:eastAsia="sk-SK"/>
        </w:rPr>
      </w:pPr>
      <w:r w:rsidRPr="00434541">
        <w:rPr>
          <w:bCs/>
          <w:lang w:eastAsia="sk-SK"/>
        </w:rPr>
        <w:br w:type="page"/>
      </w:r>
    </w:p>
    <w:p w14:paraId="2251ACF1" w14:textId="77777777" w:rsidR="00434541" w:rsidRPr="00434541" w:rsidRDefault="00434541" w:rsidP="00434541">
      <w:pPr>
        <w:tabs>
          <w:tab w:val="num" w:pos="1080"/>
        </w:tabs>
        <w:spacing w:after="0" w:line="240" w:lineRule="auto"/>
        <w:ind w:firstLine="0"/>
        <w:jc w:val="right"/>
        <w:rPr>
          <w:bCs/>
          <w:lang w:eastAsia="sk-SK"/>
        </w:rPr>
      </w:pPr>
      <w:r w:rsidRPr="00434541">
        <w:rPr>
          <w:bCs/>
          <w:lang w:eastAsia="sk-SK"/>
        </w:rPr>
        <w:lastRenderedPageBreak/>
        <w:t xml:space="preserve">                 Tabuľka č.5</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34541" w:rsidRPr="00434541" w14:paraId="2FEDAFDF" w14:textId="77777777" w:rsidTr="0043454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2644B3B" w14:textId="77777777" w:rsidR="00434541" w:rsidRPr="00434541" w:rsidRDefault="00434541" w:rsidP="00434541">
            <w:pPr>
              <w:spacing w:after="0" w:line="240" w:lineRule="auto"/>
              <w:ind w:firstLine="0"/>
              <w:jc w:val="center"/>
              <w:rPr>
                <w:b/>
                <w:bCs/>
                <w:lang w:eastAsia="sk-SK"/>
              </w:rPr>
            </w:pPr>
            <w:r w:rsidRPr="00434541">
              <w:rPr>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4CA6DA51" w14:textId="77777777" w:rsidR="00434541" w:rsidRPr="00434541" w:rsidRDefault="00434541" w:rsidP="00434541">
            <w:pPr>
              <w:spacing w:after="0" w:line="240" w:lineRule="auto"/>
              <w:ind w:firstLine="0"/>
              <w:jc w:val="center"/>
              <w:rPr>
                <w:b/>
                <w:bCs/>
                <w:lang w:eastAsia="sk-SK"/>
              </w:rPr>
            </w:pPr>
            <w:r w:rsidRPr="00434541">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81244FF" w14:textId="77777777" w:rsidR="00434541" w:rsidRPr="00434541" w:rsidRDefault="00434541" w:rsidP="00434541">
            <w:pPr>
              <w:spacing w:after="0" w:line="240" w:lineRule="auto"/>
              <w:ind w:firstLine="0"/>
              <w:jc w:val="center"/>
              <w:rPr>
                <w:b/>
                <w:bCs/>
                <w:lang w:eastAsia="sk-SK"/>
              </w:rPr>
            </w:pPr>
            <w:r w:rsidRPr="00434541">
              <w:rPr>
                <w:b/>
                <w:bCs/>
                <w:lang w:eastAsia="sk-SK"/>
              </w:rPr>
              <w:t>poznámka</w:t>
            </w:r>
          </w:p>
        </w:tc>
      </w:tr>
      <w:tr w:rsidR="00434541" w:rsidRPr="00434541" w14:paraId="4D3C2F8F" w14:textId="77777777" w:rsidTr="0043454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C80D18E" w14:textId="77777777" w:rsidR="00434541" w:rsidRPr="00434541" w:rsidRDefault="00434541" w:rsidP="00434541">
            <w:pPr>
              <w:spacing w:after="0" w:line="240" w:lineRule="auto"/>
              <w:ind w:firstLine="0"/>
              <w:jc w:val="left"/>
              <w:rPr>
                <w:b/>
                <w:bCs/>
                <w:lang w:eastAsia="sk-SK"/>
              </w:rPr>
            </w:pPr>
          </w:p>
        </w:tc>
        <w:tc>
          <w:tcPr>
            <w:tcW w:w="1698" w:type="dxa"/>
            <w:tcBorders>
              <w:top w:val="nil"/>
              <w:left w:val="nil"/>
              <w:bottom w:val="single" w:sz="4" w:space="0" w:color="auto"/>
              <w:right w:val="single" w:sz="4" w:space="0" w:color="auto"/>
            </w:tcBorders>
            <w:shd w:val="clear" w:color="auto" w:fill="BFBFBF"/>
          </w:tcPr>
          <w:p w14:paraId="04F422BC" w14:textId="77777777" w:rsidR="00434541" w:rsidRPr="00434541" w:rsidRDefault="00434541" w:rsidP="00434541">
            <w:pPr>
              <w:spacing w:after="0" w:line="240" w:lineRule="auto"/>
              <w:ind w:firstLine="0"/>
              <w:jc w:val="center"/>
              <w:rPr>
                <w:b/>
                <w:bCs/>
                <w:lang w:eastAsia="sk-SK"/>
              </w:rPr>
            </w:pPr>
            <w:r w:rsidRPr="00434541">
              <w:rPr>
                <w:b/>
                <w:bCs/>
                <w:lang w:eastAsia="sk-SK"/>
              </w:rPr>
              <w:t>2020</w:t>
            </w:r>
          </w:p>
        </w:tc>
        <w:tc>
          <w:tcPr>
            <w:tcW w:w="1788" w:type="dxa"/>
            <w:tcBorders>
              <w:top w:val="nil"/>
              <w:left w:val="nil"/>
              <w:bottom w:val="single" w:sz="4" w:space="0" w:color="auto"/>
              <w:right w:val="single" w:sz="4" w:space="0" w:color="auto"/>
            </w:tcBorders>
            <w:shd w:val="clear" w:color="auto" w:fill="BFBFBF"/>
          </w:tcPr>
          <w:p w14:paraId="24E53A39" w14:textId="77777777" w:rsidR="00434541" w:rsidRPr="00434541" w:rsidRDefault="00434541" w:rsidP="00434541">
            <w:pPr>
              <w:spacing w:after="0" w:line="240" w:lineRule="auto"/>
              <w:ind w:firstLine="0"/>
              <w:jc w:val="center"/>
              <w:rPr>
                <w:b/>
                <w:bCs/>
                <w:lang w:eastAsia="sk-SK"/>
              </w:rPr>
            </w:pPr>
            <w:r w:rsidRPr="00434541">
              <w:rPr>
                <w:b/>
                <w:bCs/>
                <w:lang w:eastAsia="sk-SK"/>
              </w:rPr>
              <w:t>2021</w:t>
            </w:r>
          </w:p>
        </w:tc>
        <w:tc>
          <w:tcPr>
            <w:tcW w:w="2418" w:type="dxa"/>
            <w:gridSpan w:val="2"/>
            <w:tcBorders>
              <w:top w:val="nil"/>
              <w:left w:val="nil"/>
              <w:bottom w:val="single" w:sz="4" w:space="0" w:color="auto"/>
              <w:right w:val="single" w:sz="4" w:space="0" w:color="auto"/>
            </w:tcBorders>
            <w:shd w:val="clear" w:color="auto" w:fill="BFBFBF"/>
          </w:tcPr>
          <w:p w14:paraId="08F771D4" w14:textId="77777777" w:rsidR="00434541" w:rsidRPr="00434541" w:rsidRDefault="00434541" w:rsidP="00434541">
            <w:pPr>
              <w:spacing w:after="0" w:line="240" w:lineRule="auto"/>
              <w:ind w:firstLine="0"/>
              <w:jc w:val="center"/>
              <w:rPr>
                <w:b/>
                <w:bCs/>
                <w:lang w:eastAsia="sk-SK"/>
              </w:rPr>
            </w:pPr>
            <w:r w:rsidRPr="00434541">
              <w:rPr>
                <w:b/>
                <w:bCs/>
                <w:lang w:eastAsia="sk-SK"/>
              </w:rPr>
              <w:t>2022</w:t>
            </w:r>
          </w:p>
        </w:tc>
        <w:tc>
          <w:tcPr>
            <w:tcW w:w="1722" w:type="dxa"/>
            <w:tcBorders>
              <w:top w:val="nil"/>
              <w:left w:val="nil"/>
              <w:bottom w:val="single" w:sz="4" w:space="0" w:color="auto"/>
              <w:right w:val="single" w:sz="4" w:space="0" w:color="auto"/>
            </w:tcBorders>
            <w:shd w:val="clear" w:color="auto" w:fill="BFBFBF"/>
          </w:tcPr>
          <w:p w14:paraId="17D692AE" w14:textId="77777777" w:rsidR="00434541" w:rsidRPr="00434541" w:rsidRDefault="00434541" w:rsidP="00434541">
            <w:pPr>
              <w:spacing w:after="0" w:line="240" w:lineRule="auto"/>
              <w:ind w:firstLine="0"/>
              <w:jc w:val="center"/>
              <w:rPr>
                <w:b/>
                <w:bCs/>
                <w:lang w:eastAsia="sk-SK"/>
              </w:rPr>
            </w:pPr>
            <w:r w:rsidRPr="00434541">
              <w:rPr>
                <w:b/>
                <w:bCs/>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1DC5EDB0" w14:textId="77777777" w:rsidR="00434541" w:rsidRPr="00434541" w:rsidRDefault="00434541" w:rsidP="00434541">
            <w:pPr>
              <w:spacing w:after="0" w:line="240" w:lineRule="auto"/>
              <w:ind w:firstLine="0"/>
              <w:jc w:val="left"/>
              <w:rPr>
                <w:b/>
                <w:bCs/>
                <w:color w:val="FFFFFF"/>
                <w:lang w:eastAsia="sk-SK"/>
              </w:rPr>
            </w:pPr>
          </w:p>
        </w:tc>
      </w:tr>
      <w:tr w:rsidR="00434541" w:rsidRPr="00434541" w14:paraId="2F6D50C3" w14:textId="77777777" w:rsidTr="00434541">
        <w:trPr>
          <w:trHeight w:val="255"/>
        </w:trPr>
        <w:tc>
          <w:tcPr>
            <w:tcW w:w="6188" w:type="dxa"/>
            <w:tcBorders>
              <w:top w:val="nil"/>
              <w:left w:val="single" w:sz="4" w:space="0" w:color="auto"/>
              <w:bottom w:val="single" w:sz="4" w:space="0" w:color="auto"/>
              <w:right w:val="single" w:sz="4" w:space="0" w:color="auto"/>
            </w:tcBorders>
          </w:tcPr>
          <w:p w14:paraId="18F96AC0" w14:textId="77777777" w:rsidR="00434541" w:rsidRPr="00434541" w:rsidRDefault="00434541" w:rsidP="00434541">
            <w:pPr>
              <w:spacing w:after="0" w:line="240" w:lineRule="auto"/>
              <w:ind w:firstLine="0"/>
              <w:jc w:val="left"/>
              <w:rPr>
                <w:b/>
                <w:bCs/>
                <w:lang w:eastAsia="sk-SK"/>
              </w:rPr>
            </w:pPr>
            <w:r w:rsidRPr="00434541">
              <w:rPr>
                <w:b/>
                <w:bCs/>
                <w:lang w:eastAsia="sk-SK"/>
              </w:rPr>
              <w:t>Počet zamestnancov celkom</w:t>
            </w:r>
          </w:p>
        </w:tc>
        <w:tc>
          <w:tcPr>
            <w:tcW w:w="1698" w:type="dxa"/>
            <w:tcBorders>
              <w:top w:val="nil"/>
              <w:left w:val="nil"/>
              <w:bottom w:val="single" w:sz="4" w:space="0" w:color="auto"/>
              <w:right w:val="single" w:sz="4" w:space="0" w:color="auto"/>
            </w:tcBorders>
          </w:tcPr>
          <w:p w14:paraId="33810D82"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nil"/>
              <w:left w:val="nil"/>
              <w:bottom w:val="single" w:sz="4" w:space="0" w:color="auto"/>
              <w:right w:val="single" w:sz="4" w:space="0" w:color="auto"/>
            </w:tcBorders>
          </w:tcPr>
          <w:p w14:paraId="78F0122F" w14:textId="77777777" w:rsidR="00434541" w:rsidRPr="00434541" w:rsidRDefault="00434541" w:rsidP="00434541">
            <w:pPr>
              <w:spacing w:after="0" w:line="240" w:lineRule="auto"/>
              <w:ind w:firstLine="0"/>
              <w:jc w:val="center"/>
              <w:rPr>
                <w:b/>
                <w:bCs/>
                <w:lang w:eastAsia="sk-SK"/>
              </w:rPr>
            </w:pPr>
            <w:r w:rsidRPr="00434541">
              <w:rPr>
                <w:b/>
                <w:bCs/>
                <w:lang w:eastAsia="sk-SK"/>
              </w:rPr>
              <w:t>11*</w:t>
            </w:r>
          </w:p>
        </w:tc>
        <w:tc>
          <w:tcPr>
            <w:tcW w:w="2418" w:type="dxa"/>
            <w:gridSpan w:val="2"/>
            <w:tcBorders>
              <w:top w:val="nil"/>
              <w:left w:val="nil"/>
              <w:bottom w:val="single" w:sz="4" w:space="0" w:color="auto"/>
              <w:right w:val="single" w:sz="4" w:space="0" w:color="auto"/>
            </w:tcBorders>
          </w:tcPr>
          <w:p w14:paraId="2CF68CBC" w14:textId="77777777" w:rsidR="00434541" w:rsidRPr="00434541" w:rsidRDefault="00434541" w:rsidP="00434541">
            <w:pPr>
              <w:spacing w:after="0" w:line="240" w:lineRule="auto"/>
              <w:ind w:firstLine="0"/>
              <w:jc w:val="center"/>
              <w:rPr>
                <w:b/>
                <w:bCs/>
                <w:lang w:eastAsia="sk-SK"/>
              </w:rPr>
            </w:pPr>
            <w:r w:rsidRPr="00434541">
              <w:rPr>
                <w:b/>
                <w:bCs/>
                <w:lang w:eastAsia="sk-SK"/>
              </w:rPr>
              <w:t>14</w:t>
            </w:r>
          </w:p>
        </w:tc>
        <w:tc>
          <w:tcPr>
            <w:tcW w:w="1722" w:type="dxa"/>
            <w:tcBorders>
              <w:top w:val="nil"/>
              <w:left w:val="nil"/>
              <w:bottom w:val="single" w:sz="4" w:space="0" w:color="auto"/>
              <w:right w:val="single" w:sz="4" w:space="0" w:color="auto"/>
            </w:tcBorders>
          </w:tcPr>
          <w:p w14:paraId="0981E549" w14:textId="77777777" w:rsidR="00434541" w:rsidRPr="00434541" w:rsidRDefault="00434541" w:rsidP="00434541">
            <w:pPr>
              <w:spacing w:after="0" w:line="240" w:lineRule="auto"/>
              <w:ind w:firstLine="0"/>
              <w:jc w:val="center"/>
              <w:rPr>
                <w:b/>
                <w:bCs/>
                <w:lang w:eastAsia="sk-SK"/>
              </w:rPr>
            </w:pPr>
            <w:r w:rsidRPr="00434541">
              <w:rPr>
                <w:b/>
                <w:bCs/>
                <w:lang w:eastAsia="sk-SK"/>
              </w:rPr>
              <w:t>17</w:t>
            </w:r>
          </w:p>
        </w:tc>
        <w:tc>
          <w:tcPr>
            <w:tcW w:w="1620" w:type="dxa"/>
            <w:gridSpan w:val="2"/>
            <w:tcBorders>
              <w:top w:val="nil"/>
              <w:left w:val="nil"/>
              <w:bottom w:val="single" w:sz="4" w:space="0" w:color="auto"/>
              <w:right w:val="single" w:sz="4" w:space="0" w:color="auto"/>
            </w:tcBorders>
            <w:noWrap/>
            <w:vAlign w:val="bottom"/>
          </w:tcPr>
          <w:p w14:paraId="5745E4F4"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6F9F13BB" w14:textId="77777777" w:rsidTr="00434541">
        <w:trPr>
          <w:trHeight w:val="255"/>
        </w:trPr>
        <w:tc>
          <w:tcPr>
            <w:tcW w:w="6188" w:type="dxa"/>
            <w:tcBorders>
              <w:top w:val="nil"/>
              <w:left w:val="single" w:sz="4" w:space="0" w:color="auto"/>
              <w:bottom w:val="single" w:sz="4" w:space="0" w:color="auto"/>
              <w:right w:val="single" w:sz="4" w:space="0" w:color="auto"/>
            </w:tcBorders>
          </w:tcPr>
          <w:p w14:paraId="0FC026CE" w14:textId="77777777" w:rsidR="00434541" w:rsidRPr="00434541" w:rsidRDefault="00434541" w:rsidP="00434541">
            <w:pPr>
              <w:spacing w:after="0" w:line="240" w:lineRule="auto"/>
              <w:ind w:firstLine="0"/>
              <w:jc w:val="left"/>
              <w:rPr>
                <w:b/>
                <w:bCs/>
                <w:lang w:eastAsia="sk-SK"/>
              </w:rPr>
            </w:pPr>
            <w:r w:rsidRPr="00434541">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99D57C5"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single" w:sz="4" w:space="0" w:color="auto"/>
              <w:left w:val="nil"/>
              <w:bottom w:val="single" w:sz="4" w:space="0" w:color="auto"/>
              <w:right w:val="single" w:sz="4" w:space="0" w:color="auto"/>
            </w:tcBorders>
          </w:tcPr>
          <w:p w14:paraId="043CFD7B" w14:textId="77777777" w:rsidR="00434541" w:rsidRPr="00434541" w:rsidRDefault="00434541" w:rsidP="00434541">
            <w:pPr>
              <w:spacing w:after="0" w:line="240" w:lineRule="auto"/>
              <w:ind w:firstLine="0"/>
              <w:jc w:val="center"/>
              <w:rPr>
                <w:b/>
                <w:bCs/>
                <w:lang w:eastAsia="sk-SK"/>
              </w:rPr>
            </w:pPr>
            <w:r w:rsidRPr="00434541">
              <w:rPr>
                <w:b/>
                <w:bCs/>
                <w:lang w:eastAsia="sk-SK"/>
              </w:rPr>
              <w:t>11</w:t>
            </w:r>
          </w:p>
        </w:tc>
        <w:tc>
          <w:tcPr>
            <w:tcW w:w="2418" w:type="dxa"/>
            <w:gridSpan w:val="2"/>
            <w:tcBorders>
              <w:top w:val="single" w:sz="4" w:space="0" w:color="auto"/>
              <w:left w:val="nil"/>
              <w:bottom w:val="single" w:sz="4" w:space="0" w:color="auto"/>
              <w:right w:val="single" w:sz="4" w:space="0" w:color="auto"/>
            </w:tcBorders>
          </w:tcPr>
          <w:p w14:paraId="32D51427" w14:textId="77777777" w:rsidR="00434541" w:rsidRPr="00434541" w:rsidRDefault="00434541" w:rsidP="00434541">
            <w:pPr>
              <w:spacing w:after="0" w:line="240" w:lineRule="auto"/>
              <w:ind w:firstLine="0"/>
              <w:jc w:val="center"/>
              <w:rPr>
                <w:b/>
                <w:bCs/>
                <w:lang w:eastAsia="sk-SK"/>
              </w:rPr>
            </w:pPr>
            <w:r w:rsidRPr="00434541">
              <w:rPr>
                <w:b/>
                <w:bCs/>
                <w:lang w:eastAsia="sk-SK"/>
              </w:rPr>
              <w:t>14</w:t>
            </w:r>
          </w:p>
        </w:tc>
        <w:tc>
          <w:tcPr>
            <w:tcW w:w="1722" w:type="dxa"/>
            <w:tcBorders>
              <w:top w:val="single" w:sz="4" w:space="0" w:color="auto"/>
              <w:left w:val="nil"/>
              <w:bottom w:val="single" w:sz="4" w:space="0" w:color="auto"/>
              <w:right w:val="single" w:sz="4" w:space="0" w:color="auto"/>
            </w:tcBorders>
          </w:tcPr>
          <w:p w14:paraId="3372E60C" w14:textId="77777777" w:rsidR="00434541" w:rsidRPr="00434541" w:rsidRDefault="00434541" w:rsidP="00434541">
            <w:pPr>
              <w:spacing w:after="0" w:line="240" w:lineRule="auto"/>
              <w:ind w:firstLine="0"/>
              <w:jc w:val="center"/>
              <w:rPr>
                <w:b/>
                <w:bCs/>
                <w:lang w:eastAsia="sk-SK"/>
              </w:rPr>
            </w:pPr>
            <w:r w:rsidRPr="00434541">
              <w:rPr>
                <w:b/>
                <w:bCs/>
                <w:lang w:eastAsia="sk-SK"/>
              </w:rPr>
              <w:t>17</w:t>
            </w:r>
          </w:p>
        </w:tc>
        <w:tc>
          <w:tcPr>
            <w:tcW w:w="1620" w:type="dxa"/>
            <w:gridSpan w:val="2"/>
            <w:tcBorders>
              <w:top w:val="nil"/>
              <w:left w:val="nil"/>
              <w:bottom w:val="single" w:sz="4" w:space="0" w:color="auto"/>
              <w:right w:val="single" w:sz="4" w:space="0" w:color="auto"/>
            </w:tcBorders>
            <w:noWrap/>
            <w:vAlign w:val="bottom"/>
          </w:tcPr>
          <w:p w14:paraId="59F037F2" w14:textId="77777777" w:rsidR="00434541" w:rsidRPr="00434541" w:rsidRDefault="00434541" w:rsidP="00434541">
            <w:pPr>
              <w:spacing w:after="0" w:line="240" w:lineRule="auto"/>
              <w:ind w:firstLine="0"/>
              <w:jc w:val="left"/>
              <w:rPr>
                <w:lang w:eastAsia="sk-SK"/>
              </w:rPr>
            </w:pPr>
          </w:p>
        </w:tc>
      </w:tr>
      <w:tr w:rsidR="00434541" w:rsidRPr="00434541" w14:paraId="076CC560" w14:textId="77777777" w:rsidTr="00434541">
        <w:trPr>
          <w:trHeight w:val="255"/>
        </w:trPr>
        <w:tc>
          <w:tcPr>
            <w:tcW w:w="6188" w:type="dxa"/>
            <w:tcBorders>
              <w:top w:val="nil"/>
              <w:left w:val="single" w:sz="4" w:space="0" w:color="auto"/>
              <w:bottom w:val="single" w:sz="4" w:space="0" w:color="auto"/>
              <w:right w:val="single" w:sz="4" w:space="0" w:color="auto"/>
            </w:tcBorders>
          </w:tcPr>
          <w:p w14:paraId="44C4DE73" w14:textId="77777777" w:rsidR="00434541" w:rsidRPr="00434541" w:rsidRDefault="00434541" w:rsidP="00434541">
            <w:pPr>
              <w:spacing w:after="0" w:line="240" w:lineRule="auto"/>
              <w:ind w:firstLine="0"/>
              <w:jc w:val="left"/>
              <w:rPr>
                <w:b/>
                <w:bCs/>
                <w:lang w:eastAsia="sk-SK"/>
              </w:rPr>
            </w:pPr>
            <w:r w:rsidRPr="00434541">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F96C2CF"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single" w:sz="4" w:space="0" w:color="auto"/>
              <w:left w:val="nil"/>
              <w:bottom w:val="single" w:sz="4" w:space="0" w:color="auto"/>
              <w:right w:val="single" w:sz="4" w:space="0" w:color="auto"/>
            </w:tcBorders>
          </w:tcPr>
          <w:p w14:paraId="65BC61A7" w14:textId="77777777" w:rsidR="00434541" w:rsidRPr="00434541" w:rsidRDefault="00434541" w:rsidP="00434541">
            <w:pPr>
              <w:spacing w:after="0" w:line="240" w:lineRule="auto"/>
              <w:ind w:firstLine="0"/>
              <w:jc w:val="center"/>
              <w:rPr>
                <w:b/>
                <w:bCs/>
                <w:lang w:eastAsia="sk-SK"/>
              </w:rPr>
            </w:pPr>
            <w:r w:rsidRPr="00434541">
              <w:rPr>
                <w:b/>
                <w:bCs/>
                <w:lang w:eastAsia="sk-SK"/>
              </w:rPr>
              <w:t>1 760</w:t>
            </w:r>
          </w:p>
        </w:tc>
        <w:tc>
          <w:tcPr>
            <w:tcW w:w="2418" w:type="dxa"/>
            <w:gridSpan w:val="2"/>
            <w:tcBorders>
              <w:top w:val="single" w:sz="4" w:space="0" w:color="auto"/>
              <w:left w:val="nil"/>
              <w:bottom w:val="single" w:sz="4" w:space="0" w:color="auto"/>
              <w:right w:val="single" w:sz="4" w:space="0" w:color="auto"/>
            </w:tcBorders>
          </w:tcPr>
          <w:p w14:paraId="06FB3770" w14:textId="77777777" w:rsidR="00434541" w:rsidRPr="00434541" w:rsidRDefault="00434541" w:rsidP="00434541">
            <w:pPr>
              <w:spacing w:after="0" w:line="240" w:lineRule="auto"/>
              <w:ind w:firstLine="0"/>
              <w:jc w:val="center"/>
              <w:rPr>
                <w:b/>
                <w:bCs/>
                <w:lang w:eastAsia="sk-SK"/>
              </w:rPr>
            </w:pPr>
            <w:r w:rsidRPr="00434541">
              <w:rPr>
                <w:b/>
                <w:bCs/>
                <w:lang w:eastAsia="sk-SK"/>
              </w:rPr>
              <w:t>1 760</w:t>
            </w:r>
          </w:p>
        </w:tc>
        <w:tc>
          <w:tcPr>
            <w:tcW w:w="1722" w:type="dxa"/>
            <w:tcBorders>
              <w:top w:val="single" w:sz="4" w:space="0" w:color="auto"/>
              <w:left w:val="nil"/>
              <w:bottom w:val="single" w:sz="4" w:space="0" w:color="auto"/>
              <w:right w:val="single" w:sz="4" w:space="0" w:color="auto"/>
            </w:tcBorders>
          </w:tcPr>
          <w:p w14:paraId="6E8A6926" w14:textId="77777777" w:rsidR="00434541" w:rsidRPr="00434541" w:rsidRDefault="00434541" w:rsidP="00434541">
            <w:pPr>
              <w:spacing w:after="0" w:line="240" w:lineRule="auto"/>
              <w:ind w:firstLine="0"/>
              <w:jc w:val="center"/>
              <w:rPr>
                <w:b/>
                <w:bCs/>
                <w:lang w:eastAsia="sk-SK"/>
              </w:rPr>
            </w:pPr>
            <w:r w:rsidRPr="00434541">
              <w:rPr>
                <w:b/>
                <w:bCs/>
                <w:lang w:eastAsia="sk-SK"/>
              </w:rPr>
              <w:t>1 760</w:t>
            </w:r>
          </w:p>
        </w:tc>
        <w:tc>
          <w:tcPr>
            <w:tcW w:w="1620" w:type="dxa"/>
            <w:gridSpan w:val="2"/>
            <w:tcBorders>
              <w:top w:val="nil"/>
              <w:left w:val="nil"/>
              <w:bottom w:val="single" w:sz="4" w:space="0" w:color="auto"/>
              <w:right w:val="single" w:sz="4" w:space="0" w:color="auto"/>
            </w:tcBorders>
            <w:noWrap/>
            <w:vAlign w:val="bottom"/>
          </w:tcPr>
          <w:p w14:paraId="4EF0D01D"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56EE7B72" w14:textId="77777777" w:rsidTr="00434541">
        <w:trPr>
          <w:trHeight w:val="255"/>
        </w:trPr>
        <w:tc>
          <w:tcPr>
            <w:tcW w:w="6188" w:type="dxa"/>
            <w:tcBorders>
              <w:top w:val="nil"/>
              <w:left w:val="single" w:sz="4" w:space="0" w:color="auto"/>
              <w:bottom w:val="single" w:sz="4" w:space="0" w:color="auto"/>
              <w:right w:val="single" w:sz="4" w:space="0" w:color="auto"/>
            </w:tcBorders>
          </w:tcPr>
          <w:p w14:paraId="72DCA95F" w14:textId="77777777" w:rsidR="00434541" w:rsidRPr="00434541" w:rsidRDefault="00434541" w:rsidP="00434541">
            <w:pPr>
              <w:spacing w:after="0" w:line="240" w:lineRule="auto"/>
              <w:ind w:firstLine="0"/>
              <w:jc w:val="left"/>
              <w:rPr>
                <w:lang w:eastAsia="sk-SK"/>
              </w:rPr>
            </w:pPr>
            <w:r w:rsidRPr="00434541">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65A95E1" w14:textId="77777777" w:rsidR="00434541" w:rsidRPr="00434541" w:rsidRDefault="00434541" w:rsidP="00434541">
            <w:pPr>
              <w:spacing w:after="0" w:line="240" w:lineRule="auto"/>
              <w:ind w:firstLine="0"/>
              <w:jc w:val="center"/>
              <w:rPr>
                <w:lang w:eastAsia="sk-SK"/>
              </w:rPr>
            </w:pPr>
            <w:r w:rsidRPr="00434541">
              <w:rPr>
                <w:lang w:eastAsia="sk-SK"/>
              </w:rPr>
              <w:t>0</w:t>
            </w:r>
          </w:p>
        </w:tc>
        <w:tc>
          <w:tcPr>
            <w:tcW w:w="1788" w:type="dxa"/>
            <w:tcBorders>
              <w:top w:val="single" w:sz="4" w:space="0" w:color="auto"/>
              <w:left w:val="nil"/>
              <w:bottom w:val="single" w:sz="4" w:space="0" w:color="auto"/>
              <w:right w:val="single" w:sz="4" w:space="0" w:color="auto"/>
            </w:tcBorders>
          </w:tcPr>
          <w:p w14:paraId="2C348FAA" w14:textId="77777777" w:rsidR="00434541" w:rsidRPr="00434541" w:rsidRDefault="00434541" w:rsidP="00434541">
            <w:pPr>
              <w:spacing w:after="0" w:line="240" w:lineRule="auto"/>
              <w:ind w:firstLine="0"/>
              <w:jc w:val="center"/>
              <w:rPr>
                <w:lang w:eastAsia="sk-SK"/>
              </w:rPr>
            </w:pPr>
            <w:r w:rsidRPr="00434541">
              <w:rPr>
                <w:lang w:eastAsia="sk-SK"/>
              </w:rPr>
              <w:t> </w:t>
            </w:r>
            <w:r w:rsidRPr="00434541">
              <w:rPr>
                <w:bCs/>
                <w:lang w:eastAsia="sk-SK"/>
              </w:rPr>
              <w:t>1 760</w:t>
            </w:r>
          </w:p>
        </w:tc>
        <w:tc>
          <w:tcPr>
            <w:tcW w:w="2418" w:type="dxa"/>
            <w:gridSpan w:val="2"/>
            <w:tcBorders>
              <w:top w:val="single" w:sz="4" w:space="0" w:color="auto"/>
              <w:left w:val="nil"/>
              <w:bottom w:val="single" w:sz="4" w:space="0" w:color="auto"/>
              <w:right w:val="single" w:sz="4" w:space="0" w:color="auto"/>
            </w:tcBorders>
          </w:tcPr>
          <w:p w14:paraId="777825B3" w14:textId="77777777" w:rsidR="00434541" w:rsidRPr="00434541" w:rsidRDefault="00434541" w:rsidP="00434541">
            <w:pPr>
              <w:spacing w:after="0" w:line="240" w:lineRule="auto"/>
              <w:ind w:firstLine="0"/>
              <w:jc w:val="center"/>
              <w:rPr>
                <w:lang w:eastAsia="sk-SK"/>
              </w:rPr>
            </w:pPr>
            <w:r w:rsidRPr="00434541">
              <w:rPr>
                <w:lang w:eastAsia="sk-SK"/>
              </w:rPr>
              <w:t> 1 760</w:t>
            </w:r>
          </w:p>
        </w:tc>
        <w:tc>
          <w:tcPr>
            <w:tcW w:w="1722" w:type="dxa"/>
            <w:tcBorders>
              <w:top w:val="single" w:sz="4" w:space="0" w:color="auto"/>
              <w:left w:val="nil"/>
              <w:bottom w:val="single" w:sz="4" w:space="0" w:color="auto"/>
              <w:right w:val="single" w:sz="4" w:space="0" w:color="auto"/>
            </w:tcBorders>
          </w:tcPr>
          <w:p w14:paraId="574B4607" w14:textId="77777777" w:rsidR="00434541" w:rsidRPr="00434541" w:rsidRDefault="00434541" w:rsidP="00434541">
            <w:pPr>
              <w:spacing w:after="0" w:line="240" w:lineRule="auto"/>
              <w:ind w:firstLine="0"/>
              <w:jc w:val="center"/>
              <w:rPr>
                <w:lang w:eastAsia="sk-SK"/>
              </w:rPr>
            </w:pPr>
            <w:r w:rsidRPr="00434541">
              <w:rPr>
                <w:lang w:eastAsia="sk-SK"/>
              </w:rPr>
              <w:t>1 760 </w:t>
            </w:r>
          </w:p>
        </w:tc>
        <w:tc>
          <w:tcPr>
            <w:tcW w:w="1620" w:type="dxa"/>
            <w:gridSpan w:val="2"/>
            <w:tcBorders>
              <w:top w:val="nil"/>
              <w:left w:val="nil"/>
              <w:bottom w:val="single" w:sz="4" w:space="0" w:color="auto"/>
              <w:right w:val="single" w:sz="4" w:space="0" w:color="auto"/>
            </w:tcBorders>
            <w:noWrap/>
            <w:vAlign w:val="bottom"/>
          </w:tcPr>
          <w:p w14:paraId="7DCA5A13"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18DEF919" w14:textId="77777777" w:rsidTr="00434541">
        <w:trPr>
          <w:trHeight w:val="255"/>
        </w:trPr>
        <w:tc>
          <w:tcPr>
            <w:tcW w:w="6188" w:type="dxa"/>
            <w:tcBorders>
              <w:top w:val="nil"/>
              <w:left w:val="single" w:sz="4" w:space="0" w:color="auto"/>
              <w:bottom w:val="single" w:sz="4" w:space="0" w:color="auto"/>
              <w:right w:val="single" w:sz="4" w:space="0" w:color="auto"/>
            </w:tcBorders>
            <w:shd w:val="clear" w:color="auto" w:fill="BFBFBF"/>
          </w:tcPr>
          <w:p w14:paraId="160297AA" w14:textId="77777777" w:rsidR="00434541" w:rsidRPr="00434541" w:rsidRDefault="00434541" w:rsidP="00434541">
            <w:pPr>
              <w:spacing w:after="0" w:line="240" w:lineRule="auto"/>
              <w:ind w:firstLine="0"/>
              <w:jc w:val="left"/>
              <w:rPr>
                <w:b/>
                <w:bCs/>
                <w:lang w:eastAsia="sk-SK"/>
              </w:rPr>
            </w:pPr>
            <w:r w:rsidRPr="00434541">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7C8100AA"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nil"/>
              <w:left w:val="nil"/>
              <w:bottom w:val="single" w:sz="4" w:space="0" w:color="auto"/>
              <w:right w:val="single" w:sz="4" w:space="0" w:color="auto"/>
            </w:tcBorders>
            <w:shd w:val="clear" w:color="auto" w:fill="BFBFBF"/>
          </w:tcPr>
          <w:p w14:paraId="7C036487" w14:textId="77777777" w:rsidR="00434541" w:rsidRPr="00434541" w:rsidRDefault="00434541" w:rsidP="00434541">
            <w:pPr>
              <w:spacing w:after="0" w:line="240" w:lineRule="auto"/>
              <w:ind w:firstLine="0"/>
              <w:jc w:val="center"/>
              <w:rPr>
                <w:b/>
                <w:bCs/>
                <w:lang w:eastAsia="sk-SK"/>
              </w:rPr>
            </w:pPr>
            <w:r w:rsidRPr="00434541">
              <w:rPr>
                <w:b/>
                <w:bCs/>
                <w:lang w:eastAsia="sk-SK"/>
              </w:rPr>
              <w:t>209 011</w:t>
            </w:r>
          </w:p>
        </w:tc>
        <w:tc>
          <w:tcPr>
            <w:tcW w:w="2418" w:type="dxa"/>
            <w:gridSpan w:val="2"/>
            <w:tcBorders>
              <w:top w:val="nil"/>
              <w:left w:val="nil"/>
              <w:bottom w:val="single" w:sz="4" w:space="0" w:color="auto"/>
              <w:right w:val="single" w:sz="4" w:space="0" w:color="auto"/>
            </w:tcBorders>
            <w:shd w:val="clear" w:color="auto" w:fill="BFBFBF"/>
          </w:tcPr>
          <w:p w14:paraId="2934891A" w14:textId="77777777" w:rsidR="00434541" w:rsidRPr="00434541" w:rsidRDefault="00434541" w:rsidP="00434541">
            <w:pPr>
              <w:spacing w:after="0" w:line="240" w:lineRule="auto"/>
              <w:ind w:firstLine="0"/>
              <w:jc w:val="center"/>
              <w:rPr>
                <w:b/>
                <w:bCs/>
                <w:lang w:eastAsia="sk-SK"/>
              </w:rPr>
            </w:pPr>
            <w:r w:rsidRPr="00434541">
              <w:rPr>
                <w:b/>
                <w:bCs/>
                <w:lang w:eastAsia="sk-SK"/>
              </w:rPr>
              <w:t>399 020</w:t>
            </w:r>
          </w:p>
        </w:tc>
        <w:tc>
          <w:tcPr>
            <w:tcW w:w="1722" w:type="dxa"/>
            <w:tcBorders>
              <w:top w:val="nil"/>
              <w:left w:val="nil"/>
              <w:bottom w:val="single" w:sz="4" w:space="0" w:color="auto"/>
              <w:right w:val="single" w:sz="4" w:space="0" w:color="auto"/>
            </w:tcBorders>
            <w:shd w:val="clear" w:color="auto" w:fill="BFBFBF"/>
          </w:tcPr>
          <w:p w14:paraId="5F7C803D" w14:textId="77777777" w:rsidR="00434541" w:rsidRPr="00434541" w:rsidRDefault="00434541" w:rsidP="00434541">
            <w:pPr>
              <w:spacing w:after="0" w:line="240" w:lineRule="auto"/>
              <w:ind w:firstLine="0"/>
              <w:jc w:val="center"/>
              <w:rPr>
                <w:b/>
                <w:bCs/>
                <w:lang w:eastAsia="sk-SK"/>
              </w:rPr>
            </w:pPr>
            <w:r w:rsidRPr="00434541">
              <w:rPr>
                <w:b/>
                <w:bCs/>
                <w:lang w:eastAsia="sk-SK"/>
              </w:rPr>
              <w:t>484 524</w:t>
            </w:r>
          </w:p>
        </w:tc>
        <w:tc>
          <w:tcPr>
            <w:tcW w:w="1620" w:type="dxa"/>
            <w:gridSpan w:val="2"/>
            <w:tcBorders>
              <w:top w:val="nil"/>
              <w:left w:val="nil"/>
              <w:bottom w:val="single" w:sz="4" w:space="0" w:color="auto"/>
              <w:right w:val="single" w:sz="4" w:space="0" w:color="auto"/>
            </w:tcBorders>
            <w:shd w:val="clear" w:color="auto" w:fill="BFBFBF"/>
            <w:noWrap/>
            <w:vAlign w:val="bottom"/>
          </w:tcPr>
          <w:p w14:paraId="46507D2D" w14:textId="77777777" w:rsidR="00434541" w:rsidRPr="00434541" w:rsidRDefault="00434541" w:rsidP="00434541">
            <w:pPr>
              <w:spacing w:after="0" w:line="240" w:lineRule="auto"/>
              <w:ind w:firstLine="0"/>
              <w:jc w:val="left"/>
              <w:rPr>
                <w:b/>
                <w:bCs/>
                <w:lang w:eastAsia="sk-SK"/>
              </w:rPr>
            </w:pPr>
            <w:r w:rsidRPr="00434541">
              <w:rPr>
                <w:b/>
                <w:bCs/>
                <w:lang w:eastAsia="sk-SK"/>
              </w:rPr>
              <w:t> </w:t>
            </w:r>
          </w:p>
        </w:tc>
      </w:tr>
      <w:tr w:rsidR="00434541" w:rsidRPr="00434541" w14:paraId="52FC22A6" w14:textId="77777777" w:rsidTr="00434541">
        <w:trPr>
          <w:trHeight w:val="255"/>
        </w:trPr>
        <w:tc>
          <w:tcPr>
            <w:tcW w:w="6188" w:type="dxa"/>
            <w:tcBorders>
              <w:top w:val="nil"/>
              <w:left w:val="single" w:sz="4" w:space="0" w:color="auto"/>
              <w:bottom w:val="single" w:sz="4" w:space="0" w:color="auto"/>
              <w:right w:val="single" w:sz="4" w:space="0" w:color="auto"/>
            </w:tcBorders>
          </w:tcPr>
          <w:p w14:paraId="3D06EE14" w14:textId="77777777" w:rsidR="00434541" w:rsidRPr="00434541" w:rsidRDefault="00434541" w:rsidP="00434541">
            <w:pPr>
              <w:spacing w:after="0" w:line="240" w:lineRule="auto"/>
              <w:ind w:firstLine="0"/>
              <w:jc w:val="left"/>
              <w:rPr>
                <w:b/>
                <w:bCs/>
                <w:lang w:eastAsia="sk-SK"/>
              </w:rPr>
            </w:pPr>
            <w:r w:rsidRPr="00434541">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DE83F5F"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nil"/>
              <w:left w:val="nil"/>
              <w:bottom w:val="single" w:sz="4" w:space="0" w:color="auto"/>
              <w:right w:val="single" w:sz="4" w:space="0" w:color="auto"/>
            </w:tcBorders>
          </w:tcPr>
          <w:p w14:paraId="61D3EBA3" w14:textId="77777777" w:rsidR="00434541" w:rsidRPr="00434541" w:rsidRDefault="00434541" w:rsidP="00434541">
            <w:pPr>
              <w:spacing w:after="0" w:line="240" w:lineRule="auto"/>
              <w:ind w:firstLine="0"/>
              <w:jc w:val="center"/>
              <w:rPr>
                <w:b/>
                <w:bCs/>
                <w:lang w:eastAsia="sk-SK"/>
              </w:rPr>
            </w:pPr>
            <w:r w:rsidRPr="00434541">
              <w:rPr>
                <w:b/>
                <w:bCs/>
                <w:lang w:eastAsia="sk-SK"/>
              </w:rPr>
              <w:t>154 880</w:t>
            </w:r>
          </w:p>
        </w:tc>
        <w:tc>
          <w:tcPr>
            <w:tcW w:w="2418" w:type="dxa"/>
            <w:gridSpan w:val="2"/>
            <w:tcBorders>
              <w:top w:val="nil"/>
              <w:left w:val="nil"/>
              <w:bottom w:val="single" w:sz="4" w:space="0" w:color="auto"/>
              <w:right w:val="single" w:sz="4" w:space="0" w:color="auto"/>
            </w:tcBorders>
          </w:tcPr>
          <w:p w14:paraId="1A03BB09" w14:textId="77777777" w:rsidR="00434541" w:rsidRPr="00434541" w:rsidRDefault="00434541" w:rsidP="00434541">
            <w:pPr>
              <w:spacing w:after="0" w:line="240" w:lineRule="auto"/>
              <w:ind w:firstLine="0"/>
              <w:jc w:val="center"/>
              <w:rPr>
                <w:b/>
                <w:bCs/>
                <w:lang w:eastAsia="sk-SK"/>
              </w:rPr>
            </w:pPr>
            <w:r w:rsidRPr="00434541">
              <w:rPr>
                <w:b/>
                <w:bCs/>
                <w:lang w:eastAsia="sk-SK"/>
              </w:rPr>
              <w:t>295 680</w:t>
            </w:r>
          </w:p>
        </w:tc>
        <w:tc>
          <w:tcPr>
            <w:tcW w:w="1722" w:type="dxa"/>
            <w:tcBorders>
              <w:top w:val="nil"/>
              <w:left w:val="nil"/>
              <w:bottom w:val="single" w:sz="4" w:space="0" w:color="auto"/>
              <w:right w:val="single" w:sz="4" w:space="0" w:color="auto"/>
            </w:tcBorders>
          </w:tcPr>
          <w:p w14:paraId="1C2B148D" w14:textId="77777777" w:rsidR="00434541" w:rsidRPr="00434541" w:rsidRDefault="00434541" w:rsidP="00434541">
            <w:pPr>
              <w:spacing w:after="0" w:line="240" w:lineRule="auto"/>
              <w:ind w:firstLine="0"/>
              <w:jc w:val="center"/>
              <w:rPr>
                <w:b/>
                <w:bCs/>
                <w:lang w:eastAsia="sk-SK"/>
              </w:rPr>
            </w:pPr>
            <w:r w:rsidRPr="00434541">
              <w:rPr>
                <w:b/>
                <w:bCs/>
                <w:lang w:eastAsia="sk-SK"/>
              </w:rPr>
              <w:t>359 040</w:t>
            </w:r>
          </w:p>
        </w:tc>
        <w:tc>
          <w:tcPr>
            <w:tcW w:w="1620" w:type="dxa"/>
            <w:gridSpan w:val="2"/>
            <w:tcBorders>
              <w:top w:val="nil"/>
              <w:left w:val="nil"/>
              <w:bottom w:val="single" w:sz="4" w:space="0" w:color="auto"/>
              <w:right w:val="single" w:sz="4" w:space="0" w:color="auto"/>
            </w:tcBorders>
            <w:noWrap/>
            <w:vAlign w:val="bottom"/>
          </w:tcPr>
          <w:p w14:paraId="3BC01541" w14:textId="77777777" w:rsidR="00434541" w:rsidRPr="00434541" w:rsidRDefault="00434541" w:rsidP="00434541">
            <w:pPr>
              <w:spacing w:after="0" w:line="240" w:lineRule="auto"/>
              <w:ind w:firstLine="0"/>
              <w:jc w:val="left"/>
              <w:rPr>
                <w:b/>
                <w:bCs/>
                <w:lang w:eastAsia="sk-SK"/>
              </w:rPr>
            </w:pPr>
            <w:r w:rsidRPr="00434541">
              <w:rPr>
                <w:b/>
                <w:bCs/>
                <w:lang w:eastAsia="sk-SK"/>
              </w:rPr>
              <w:t> </w:t>
            </w:r>
          </w:p>
        </w:tc>
      </w:tr>
      <w:tr w:rsidR="00434541" w:rsidRPr="00434541" w14:paraId="793DEA3E" w14:textId="77777777" w:rsidTr="00434541">
        <w:trPr>
          <w:trHeight w:val="255"/>
        </w:trPr>
        <w:tc>
          <w:tcPr>
            <w:tcW w:w="6188" w:type="dxa"/>
            <w:tcBorders>
              <w:top w:val="nil"/>
              <w:left w:val="single" w:sz="4" w:space="0" w:color="auto"/>
              <w:bottom w:val="single" w:sz="4" w:space="0" w:color="auto"/>
              <w:right w:val="single" w:sz="4" w:space="0" w:color="auto"/>
            </w:tcBorders>
          </w:tcPr>
          <w:p w14:paraId="2DCA1173" w14:textId="77777777" w:rsidR="00434541" w:rsidRPr="00434541" w:rsidRDefault="00434541" w:rsidP="00434541">
            <w:pPr>
              <w:spacing w:after="0" w:line="240" w:lineRule="auto"/>
              <w:ind w:firstLine="0"/>
              <w:jc w:val="left"/>
              <w:rPr>
                <w:lang w:eastAsia="sk-SK"/>
              </w:rPr>
            </w:pPr>
            <w:r w:rsidRPr="00434541">
              <w:rPr>
                <w:b/>
                <w:bCs/>
                <w:lang w:eastAsia="sk-SK"/>
              </w:rPr>
              <w:t xml:space="preserve">   z toho vplyv na ŠR</w:t>
            </w:r>
          </w:p>
        </w:tc>
        <w:tc>
          <w:tcPr>
            <w:tcW w:w="1698" w:type="dxa"/>
            <w:tcBorders>
              <w:top w:val="nil"/>
              <w:left w:val="nil"/>
              <w:bottom w:val="single" w:sz="4" w:space="0" w:color="auto"/>
              <w:right w:val="single" w:sz="4" w:space="0" w:color="auto"/>
            </w:tcBorders>
          </w:tcPr>
          <w:p w14:paraId="3C0C25C5" w14:textId="77777777" w:rsidR="00434541" w:rsidRPr="00434541" w:rsidRDefault="00434541" w:rsidP="00434541">
            <w:pPr>
              <w:spacing w:after="0" w:line="240" w:lineRule="auto"/>
              <w:ind w:firstLine="0"/>
              <w:jc w:val="center"/>
              <w:rPr>
                <w:lang w:eastAsia="sk-SK"/>
              </w:rPr>
            </w:pPr>
            <w:r w:rsidRPr="00434541">
              <w:rPr>
                <w:lang w:eastAsia="sk-SK"/>
              </w:rPr>
              <w:t>0</w:t>
            </w:r>
          </w:p>
        </w:tc>
        <w:tc>
          <w:tcPr>
            <w:tcW w:w="1788" w:type="dxa"/>
            <w:tcBorders>
              <w:top w:val="nil"/>
              <w:left w:val="nil"/>
              <w:bottom w:val="single" w:sz="4" w:space="0" w:color="auto"/>
              <w:right w:val="single" w:sz="4" w:space="0" w:color="auto"/>
            </w:tcBorders>
          </w:tcPr>
          <w:p w14:paraId="3911CADD" w14:textId="77777777" w:rsidR="00434541" w:rsidRPr="00434541" w:rsidRDefault="00434541" w:rsidP="00434541">
            <w:pPr>
              <w:spacing w:after="0" w:line="240" w:lineRule="auto"/>
              <w:ind w:firstLine="0"/>
              <w:jc w:val="center"/>
              <w:rPr>
                <w:lang w:eastAsia="sk-SK"/>
              </w:rPr>
            </w:pPr>
            <w:r w:rsidRPr="00434541">
              <w:rPr>
                <w:lang w:eastAsia="sk-SK"/>
              </w:rPr>
              <w:t>154 880</w:t>
            </w:r>
          </w:p>
        </w:tc>
        <w:tc>
          <w:tcPr>
            <w:tcW w:w="2418" w:type="dxa"/>
            <w:gridSpan w:val="2"/>
            <w:tcBorders>
              <w:top w:val="nil"/>
              <w:left w:val="nil"/>
              <w:bottom w:val="single" w:sz="4" w:space="0" w:color="auto"/>
              <w:right w:val="single" w:sz="4" w:space="0" w:color="auto"/>
            </w:tcBorders>
          </w:tcPr>
          <w:p w14:paraId="7AA04105" w14:textId="77777777" w:rsidR="00434541" w:rsidRPr="00434541" w:rsidRDefault="00434541" w:rsidP="00434541">
            <w:pPr>
              <w:spacing w:after="0" w:line="240" w:lineRule="auto"/>
              <w:ind w:firstLine="0"/>
              <w:jc w:val="center"/>
              <w:rPr>
                <w:lang w:eastAsia="sk-SK"/>
              </w:rPr>
            </w:pPr>
            <w:r w:rsidRPr="00434541">
              <w:rPr>
                <w:bCs/>
                <w:lang w:eastAsia="sk-SK"/>
              </w:rPr>
              <w:t>295 680</w:t>
            </w:r>
          </w:p>
        </w:tc>
        <w:tc>
          <w:tcPr>
            <w:tcW w:w="1722" w:type="dxa"/>
            <w:tcBorders>
              <w:top w:val="nil"/>
              <w:left w:val="nil"/>
              <w:bottom w:val="single" w:sz="4" w:space="0" w:color="auto"/>
              <w:right w:val="single" w:sz="4" w:space="0" w:color="auto"/>
            </w:tcBorders>
          </w:tcPr>
          <w:p w14:paraId="70EB5A9E" w14:textId="77777777" w:rsidR="00434541" w:rsidRPr="00434541" w:rsidRDefault="00434541" w:rsidP="00434541">
            <w:pPr>
              <w:spacing w:after="0" w:line="240" w:lineRule="auto"/>
              <w:ind w:firstLine="0"/>
              <w:jc w:val="center"/>
              <w:rPr>
                <w:lang w:eastAsia="sk-SK"/>
              </w:rPr>
            </w:pPr>
            <w:r w:rsidRPr="00434541">
              <w:rPr>
                <w:bCs/>
                <w:lang w:eastAsia="sk-SK"/>
              </w:rPr>
              <w:t>359 040</w:t>
            </w:r>
          </w:p>
        </w:tc>
        <w:tc>
          <w:tcPr>
            <w:tcW w:w="1620" w:type="dxa"/>
            <w:gridSpan w:val="2"/>
            <w:tcBorders>
              <w:top w:val="nil"/>
              <w:left w:val="nil"/>
              <w:bottom w:val="single" w:sz="4" w:space="0" w:color="auto"/>
              <w:right w:val="single" w:sz="4" w:space="0" w:color="auto"/>
            </w:tcBorders>
            <w:noWrap/>
            <w:vAlign w:val="bottom"/>
          </w:tcPr>
          <w:p w14:paraId="10005EB4"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68FC4183" w14:textId="77777777" w:rsidTr="00434541">
        <w:trPr>
          <w:trHeight w:val="255"/>
        </w:trPr>
        <w:tc>
          <w:tcPr>
            <w:tcW w:w="6188" w:type="dxa"/>
            <w:tcBorders>
              <w:top w:val="nil"/>
              <w:left w:val="single" w:sz="4" w:space="0" w:color="auto"/>
              <w:bottom w:val="single" w:sz="4" w:space="0" w:color="auto"/>
              <w:right w:val="single" w:sz="4" w:space="0" w:color="auto"/>
            </w:tcBorders>
          </w:tcPr>
          <w:p w14:paraId="575037F8" w14:textId="77777777" w:rsidR="00434541" w:rsidRPr="00434541" w:rsidRDefault="00434541" w:rsidP="00434541">
            <w:pPr>
              <w:spacing w:after="0" w:line="240" w:lineRule="auto"/>
              <w:ind w:firstLine="0"/>
              <w:jc w:val="left"/>
              <w:rPr>
                <w:b/>
                <w:bCs/>
                <w:lang w:eastAsia="sk-SK"/>
              </w:rPr>
            </w:pPr>
            <w:r w:rsidRPr="00434541">
              <w:rPr>
                <w:b/>
                <w:bCs/>
                <w:lang w:eastAsia="sk-SK"/>
              </w:rPr>
              <w:t>Poistné a príspevok do poisťovní (620)</w:t>
            </w:r>
          </w:p>
        </w:tc>
        <w:tc>
          <w:tcPr>
            <w:tcW w:w="1698" w:type="dxa"/>
            <w:tcBorders>
              <w:top w:val="nil"/>
              <w:left w:val="nil"/>
              <w:bottom w:val="single" w:sz="4" w:space="0" w:color="auto"/>
              <w:right w:val="single" w:sz="4" w:space="0" w:color="auto"/>
            </w:tcBorders>
          </w:tcPr>
          <w:p w14:paraId="3B801137" w14:textId="77777777" w:rsidR="00434541" w:rsidRPr="00434541" w:rsidRDefault="00434541" w:rsidP="00434541">
            <w:pPr>
              <w:spacing w:after="0" w:line="240" w:lineRule="auto"/>
              <w:ind w:firstLine="0"/>
              <w:jc w:val="center"/>
              <w:rPr>
                <w:b/>
                <w:bCs/>
                <w:lang w:eastAsia="sk-SK"/>
              </w:rPr>
            </w:pPr>
            <w:r w:rsidRPr="00434541">
              <w:rPr>
                <w:b/>
                <w:bCs/>
                <w:lang w:eastAsia="sk-SK"/>
              </w:rPr>
              <w:t>0</w:t>
            </w:r>
          </w:p>
        </w:tc>
        <w:tc>
          <w:tcPr>
            <w:tcW w:w="1788" w:type="dxa"/>
            <w:tcBorders>
              <w:top w:val="nil"/>
              <w:left w:val="nil"/>
              <w:bottom w:val="single" w:sz="4" w:space="0" w:color="auto"/>
              <w:right w:val="single" w:sz="4" w:space="0" w:color="auto"/>
            </w:tcBorders>
          </w:tcPr>
          <w:p w14:paraId="3B2148F1" w14:textId="77777777" w:rsidR="00434541" w:rsidRPr="00434541" w:rsidRDefault="00434541" w:rsidP="00434541">
            <w:pPr>
              <w:spacing w:after="0" w:line="240" w:lineRule="auto"/>
              <w:ind w:firstLine="0"/>
              <w:jc w:val="center"/>
              <w:rPr>
                <w:b/>
                <w:bCs/>
                <w:lang w:eastAsia="sk-SK"/>
              </w:rPr>
            </w:pPr>
            <w:r w:rsidRPr="00434541">
              <w:rPr>
                <w:b/>
                <w:bCs/>
                <w:lang w:eastAsia="sk-SK"/>
              </w:rPr>
              <w:t xml:space="preserve">54 131  </w:t>
            </w:r>
          </w:p>
        </w:tc>
        <w:tc>
          <w:tcPr>
            <w:tcW w:w="2418" w:type="dxa"/>
            <w:gridSpan w:val="2"/>
            <w:tcBorders>
              <w:top w:val="nil"/>
              <w:left w:val="nil"/>
              <w:bottom w:val="single" w:sz="4" w:space="0" w:color="auto"/>
              <w:right w:val="single" w:sz="4" w:space="0" w:color="auto"/>
            </w:tcBorders>
          </w:tcPr>
          <w:p w14:paraId="06F816DA" w14:textId="77777777" w:rsidR="00434541" w:rsidRPr="00434541" w:rsidRDefault="00434541" w:rsidP="00434541">
            <w:pPr>
              <w:spacing w:after="0" w:line="240" w:lineRule="auto"/>
              <w:ind w:firstLine="0"/>
              <w:jc w:val="center"/>
              <w:rPr>
                <w:b/>
                <w:bCs/>
                <w:lang w:eastAsia="sk-SK"/>
              </w:rPr>
            </w:pPr>
            <w:r w:rsidRPr="00434541">
              <w:rPr>
                <w:b/>
                <w:lang w:eastAsia="sk-SK"/>
              </w:rPr>
              <w:t>103 340</w:t>
            </w:r>
          </w:p>
        </w:tc>
        <w:tc>
          <w:tcPr>
            <w:tcW w:w="1722" w:type="dxa"/>
            <w:tcBorders>
              <w:top w:val="nil"/>
              <w:left w:val="nil"/>
              <w:bottom w:val="single" w:sz="4" w:space="0" w:color="auto"/>
              <w:right w:val="single" w:sz="4" w:space="0" w:color="auto"/>
            </w:tcBorders>
          </w:tcPr>
          <w:p w14:paraId="76915FBD" w14:textId="77777777" w:rsidR="00434541" w:rsidRPr="00434541" w:rsidRDefault="00434541" w:rsidP="00434541">
            <w:pPr>
              <w:spacing w:after="0" w:line="240" w:lineRule="auto"/>
              <w:ind w:firstLine="0"/>
              <w:jc w:val="center"/>
              <w:rPr>
                <w:b/>
                <w:bCs/>
                <w:lang w:eastAsia="sk-SK"/>
              </w:rPr>
            </w:pPr>
            <w:r w:rsidRPr="00434541">
              <w:rPr>
                <w:b/>
                <w:lang w:eastAsia="sk-SK"/>
              </w:rPr>
              <w:t>125 484</w:t>
            </w:r>
          </w:p>
        </w:tc>
        <w:tc>
          <w:tcPr>
            <w:tcW w:w="1620" w:type="dxa"/>
            <w:gridSpan w:val="2"/>
            <w:tcBorders>
              <w:top w:val="nil"/>
              <w:left w:val="nil"/>
              <w:bottom w:val="single" w:sz="4" w:space="0" w:color="auto"/>
              <w:right w:val="single" w:sz="4" w:space="0" w:color="auto"/>
            </w:tcBorders>
            <w:noWrap/>
            <w:vAlign w:val="bottom"/>
          </w:tcPr>
          <w:p w14:paraId="4212DEDB" w14:textId="77777777" w:rsidR="00434541" w:rsidRPr="00434541" w:rsidRDefault="00434541" w:rsidP="00434541">
            <w:pPr>
              <w:spacing w:after="0" w:line="240" w:lineRule="auto"/>
              <w:ind w:firstLine="0"/>
              <w:jc w:val="left"/>
              <w:rPr>
                <w:b/>
                <w:bCs/>
                <w:lang w:eastAsia="sk-SK"/>
              </w:rPr>
            </w:pPr>
            <w:r w:rsidRPr="00434541">
              <w:rPr>
                <w:b/>
                <w:bCs/>
                <w:lang w:eastAsia="sk-SK"/>
              </w:rPr>
              <w:t> </w:t>
            </w:r>
          </w:p>
        </w:tc>
      </w:tr>
      <w:tr w:rsidR="00434541" w:rsidRPr="00434541" w14:paraId="33C62114" w14:textId="77777777" w:rsidTr="00434541">
        <w:trPr>
          <w:trHeight w:val="255"/>
        </w:trPr>
        <w:tc>
          <w:tcPr>
            <w:tcW w:w="6188" w:type="dxa"/>
            <w:tcBorders>
              <w:top w:val="nil"/>
              <w:left w:val="single" w:sz="4" w:space="0" w:color="auto"/>
              <w:bottom w:val="single" w:sz="4" w:space="0" w:color="auto"/>
              <w:right w:val="single" w:sz="4" w:space="0" w:color="auto"/>
            </w:tcBorders>
          </w:tcPr>
          <w:p w14:paraId="306A2325" w14:textId="77777777" w:rsidR="00434541" w:rsidRPr="00434541" w:rsidRDefault="00434541" w:rsidP="00434541">
            <w:pPr>
              <w:spacing w:after="0" w:line="240" w:lineRule="auto"/>
              <w:ind w:firstLine="0"/>
              <w:jc w:val="left"/>
              <w:rPr>
                <w:lang w:eastAsia="sk-SK"/>
              </w:rPr>
            </w:pPr>
            <w:r w:rsidRPr="00434541">
              <w:rPr>
                <w:b/>
                <w:bCs/>
                <w:lang w:eastAsia="sk-SK"/>
              </w:rPr>
              <w:t xml:space="preserve">   z toho vplyv na ŠR</w:t>
            </w:r>
          </w:p>
        </w:tc>
        <w:tc>
          <w:tcPr>
            <w:tcW w:w="1698" w:type="dxa"/>
            <w:tcBorders>
              <w:top w:val="nil"/>
              <w:left w:val="nil"/>
              <w:bottom w:val="single" w:sz="4" w:space="0" w:color="auto"/>
              <w:right w:val="single" w:sz="4" w:space="0" w:color="auto"/>
            </w:tcBorders>
          </w:tcPr>
          <w:p w14:paraId="72D31323" w14:textId="77777777" w:rsidR="00434541" w:rsidRPr="00434541" w:rsidRDefault="00434541" w:rsidP="00434541">
            <w:pPr>
              <w:spacing w:after="0" w:line="240" w:lineRule="auto"/>
              <w:ind w:firstLine="0"/>
              <w:jc w:val="center"/>
              <w:rPr>
                <w:lang w:eastAsia="sk-SK"/>
              </w:rPr>
            </w:pPr>
            <w:r w:rsidRPr="00434541">
              <w:rPr>
                <w:lang w:eastAsia="sk-SK"/>
              </w:rPr>
              <w:t>0</w:t>
            </w:r>
          </w:p>
        </w:tc>
        <w:tc>
          <w:tcPr>
            <w:tcW w:w="1788" w:type="dxa"/>
            <w:tcBorders>
              <w:top w:val="nil"/>
              <w:left w:val="nil"/>
              <w:bottom w:val="single" w:sz="4" w:space="0" w:color="auto"/>
              <w:right w:val="single" w:sz="4" w:space="0" w:color="auto"/>
            </w:tcBorders>
          </w:tcPr>
          <w:p w14:paraId="2692179C" w14:textId="77777777" w:rsidR="00434541" w:rsidRPr="00434541" w:rsidRDefault="00434541" w:rsidP="00434541">
            <w:pPr>
              <w:spacing w:after="0" w:line="240" w:lineRule="auto"/>
              <w:ind w:firstLine="0"/>
              <w:jc w:val="center"/>
              <w:rPr>
                <w:lang w:eastAsia="sk-SK"/>
              </w:rPr>
            </w:pPr>
            <w:r w:rsidRPr="00434541">
              <w:rPr>
                <w:lang w:eastAsia="sk-SK"/>
              </w:rPr>
              <w:t>54 131</w:t>
            </w:r>
          </w:p>
        </w:tc>
        <w:tc>
          <w:tcPr>
            <w:tcW w:w="2418" w:type="dxa"/>
            <w:gridSpan w:val="2"/>
            <w:tcBorders>
              <w:top w:val="nil"/>
              <w:left w:val="nil"/>
              <w:bottom w:val="single" w:sz="4" w:space="0" w:color="auto"/>
              <w:right w:val="single" w:sz="4" w:space="0" w:color="auto"/>
            </w:tcBorders>
          </w:tcPr>
          <w:p w14:paraId="4DA072BE" w14:textId="77777777" w:rsidR="00434541" w:rsidRPr="00434541" w:rsidRDefault="00434541" w:rsidP="00434541">
            <w:pPr>
              <w:spacing w:after="0" w:line="240" w:lineRule="auto"/>
              <w:ind w:firstLine="0"/>
              <w:jc w:val="center"/>
              <w:rPr>
                <w:lang w:eastAsia="sk-SK"/>
              </w:rPr>
            </w:pPr>
            <w:r w:rsidRPr="00434541">
              <w:rPr>
                <w:lang w:eastAsia="sk-SK"/>
              </w:rPr>
              <w:t>103 340</w:t>
            </w:r>
          </w:p>
        </w:tc>
        <w:tc>
          <w:tcPr>
            <w:tcW w:w="1722" w:type="dxa"/>
            <w:tcBorders>
              <w:top w:val="nil"/>
              <w:left w:val="nil"/>
              <w:bottom w:val="single" w:sz="4" w:space="0" w:color="auto"/>
              <w:right w:val="single" w:sz="4" w:space="0" w:color="auto"/>
            </w:tcBorders>
          </w:tcPr>
          <w:p w14:paraId="1F5ED045" w14:textId="77777777" w:rsidR="00434541" w:rsidRPr="00434541" w:rsidRDefault="00434541" w:rsidP="00434541">
            <w:pPr>
              <w:spacing w:after="0" w:line="240" w:lineRule="auto"/>
              <w:ind w:firstLine="0"/>
              <w:jc w:val="center"/>
              <w:rPr>
                <w:lang w:eastAsia="sk-SK"/>
              </w:rPr>
            </w:pPr>
            <w:r w:rsidRPr="00434541">
              <w:rPr>
                <w:lang w:eastAsia="sk-SK"/>
              </w:rPr>
              <w:t>125 484</w:t>
            </w:r>
          </w:p>
        </w:tc>
        <w:tc>
          <w:tcPr>
            <w:tcW w:w="1620" w:type="dxa"/>
            <w:gridSpan w:val="2"/>
            <w:tcBorders>
              <w:top w:val="nil"/>
              <w:left w:val="nil"/>
              <w:bottom w:val="single" w:sz="4" w:space="0" w:color="auto"/>
              <w:right w:val="single" w:sz="4" w:space="0" w:color="auto"/>
            </w:tcBorders>
            <w:noWrap/>
            <w:vAlign w:val="bottom"/>
          </w:tcPr>
          <w:p w14:paraId="1368BA77" w14:textId="77777777" w:rsidR="00434541" w:rsidRPr="00434541" w:rsidRDefault="00434541" w:rsidP="00434541">
            <w:pPr>
              <w:spacing w:after="0" w:line="240" w:lineRule="auto"/>
              <w:ind w:firstLine="0"/>
              <w:jc w:val="left"/>
              <w:rPr>
                <w:lang w:eastAsia="sk-SK"/>
              </w:rPr>
            </w:pPr>
            <w:r w:rsidRPr="00434541">
              <w:rPr>
                <w:lang w:eastAsia="sk-SK"/>
              </w:rPr>
              <w:t> </w:t>
            </w:r>
          </w:p>
        </w:tc>
      </w:tr>
      <w:tr w:rsidR="00434541" w:rsidRPr="00434541" w14:paraId="7F2583A9" w14:textId="77777777" w:rsidTr="00434541">
        <w:trPr>
          <w:trHeight w:val="255"/>
        </w:trPr>
        <w:tc>
          <w:tcPr>
            <w:tcW w:w="6188" w:type="dxa"/>
            <w:tcBorders>
              <w:top w:val="nil"/>
              <w:left w:val="nil"/>
              <w:bottom w:val="nil"/>
              <w:right w:val="nil"/>
            </w:tcBorders>
            <w:noWrap/>
            <w:vAlign w:val="bottom"/>
          </w:tcPr>
          <w:p w14:paraId="52EFB86F" w14:textId="77777777" w:rsidR="00434541" w:rsidRPr="00434541" w:rsidRDefault="00434541" w:rsidP="00434541">
            <w:pPr>
              <w:spacing w:after="0" w:line="240" w:lineRule="auto"/>
              <w:ind w:firstLine="0"/>
              <w:jc w:val="left"/>
              <w:rPr>
                <w:lang w:eastAsia="sk-SK"/>
              </w:rPr>
            </w:pPr>
          </w:p>
        </w:tc>
        <w:tc>
          <w:tcPr>
            <w:tcW w:w="1698" w:type="dxa"/>
            <w:tcBorders>
              <w:top w:val="nil"/>
              <w:left w:val="nil"/>
              <w:bottom w:val="nil"/>
              <w:right w:val="nil"/>
            </w:tcBorders>
            <w:noWrap/>
            <w:vAlign w:val="bottom"/>
          </w:tcPr>
          <w:p w14:paraId="51834EB1" w14:textId="77777777" w:rsidR="00434541" w:rsidRPr="00434541" w:rsidRDefault="00434541" w:rsidP="00434541">
            <w:pPr>
              <w:spacing w:after="0" w:line="240" w:lineRule="auto"/>
              <w:ind w:firstLine="0"/>
              <w:jc w:val="left"/>
              <w:rPr>
                <w:lang w:eastAsia="sk-SK"/>
              </w:rPr>
            </w:pPr>
          </w:p>
        </w:tc>
        <w:tc>
          <w:tcPr>
            <w:tcW w:w="1788" w:type="dxa"/>
            <w:tcBorders>
              <w:top w:val="nil"/>
              <w:left w:val="nil"/>
              <w:bottom w:val="nil"/>
              <w:right w:val="nil"/>
            </w:tcBorders>
            <w:noWrap/>
            <w:vAlign w:val="bottom"/>
          </w:tcPr>
          <w:p w14:paraId="356ECA5F" w14:textId="77777777" w:rsidR="00434541" w:rsidRPr="00434541" w:rsidRDefault="00434541" w:rsidP="00434541">
            <w:pPr>
              <w:spacing w:after="0" w:line="240" w:lineRule="auto"/>
              <w:ind w:firstLine="0"/>
              <w:jc w:val="left"/>
              <w:rPr>
                <w:lang w:eastAsia="sk-SK"/>
              </w:rPr>
            </w:pPr>
          </w:p>
        </w:tc>
        <w:tc>
          <w:tcPr>
            <w:tcW w:w="2418" w:type="dxa"/>
            <w:gridSpan w:val="2"/>
            <w:tcBorders>
              <w:top w:val="nil"/>
              <w:left w:val="nil"/>
              <w:bottom w:val="nil"/>
              <w:right w:val="nil"/>
            </w:tcBorders>
            <w:noWrap/>
            <w:vAlign w:val="bottom"/>
          </w:tcPr>
          <w:p w14:paraId="765671D4" w14:textId="77777777" w:rsidR="00434541" w:rsidRPr="00434541" w:rsidRDefault="00434541" w:rsidP="00434541">
            <w:pPr>
              <w:spacing w:after="0" w:line="240" w:lineRule="auto"/>
              <w:ind w:firstLine="0"/>
              <w:jc w:val="left"/>
              <w:rPr>
                <w:lang w:eastAsia="sk-SK"/>
              </w:rPr>
            </w:pPr>
          </w:p>
        </w:tc>
        <w:tc>
          <w:tcPr>
            <w:tcW w:w="1722" w:type="dxa"/>
            <w:tcBorders>
              <w:top w:val="nil"/>
              <w:left w:val="nil"/>
              <w:bottom w:val="nil"/>
              <w:right w:val="nil"/>
            </w:tcBorders>
            <w:noWrap/>
            <w:vAlign w:val="bottom"/>
          </w:tcPr>
          <w:p w14:paraId="6D59D19E" w14:textId="77777777" w:rsidR="00434541" w:rsidRPr="00434541" w:rsidRDefault="00434541" w:rsidP="00434541">
            <w:pPr>
              <w:spacing w:after="0" w:line="240" w:lineRule="auto"/>
              <w:ind w:firstLine="0"/>
              <w:jc w:val="left"/>
              <w:rPr>
                <w:lang w:eastAsia="sk-SK"/>
              </w:rPr>
            </w:pPr>
          </w:p>
        </w:tc>
        <w:tc>
          <w:tcPr>
            <w:tcW w:w="1620" w:type="dxa"/>
            <w:gridSpan w:val="2"/>
            <w:tcBorders>
              <w:top w:val="nil"/>
              <w:left w:val="nil"/>
              <w:bottom w:val="nil"/>
              <w:right w:val="nil"/>
            </w:tcBorders>
            <w:noWrap/>
            <w:vAlign w:val="bottom"/>
          </w:tcPr>
          <w:p w14:paraId="29CB8120" w14:textId="77777777" w:rsidR="00434541" w:rsidRPr="00434541" w:rsidRDefault="00434541" w:rsidP="00434541">
            <w:pPr>
              <w:spacing w:after="0" w:line="240" w:lineRule="auto"/>
              <w:ind w:firstLine="0"/>
              <w:jc w:val="left"/>
              <w:rPr>
                <w:lang w:eastAsia="sk-SK"/>
              </w:rPr>
            </w:pPr>
          </w:p>
        </w:tc>
      </w:tr>
      <w:tr w:rsidR="00434541" w:rsidRPr="00434541" w14:paraId="3C9FD06F" w14:textId="77777777" w:rsidTr="00434541">
        <w:trPr>
          <w:trHeight w:val="255"/>
        </w:trPr>
        <w:tc>
          <w:tcPr>
            <w:tcW w:w="6188" w:type="dxa"/>
            <w:tcBorders>
              <w:top w:val="nil"/>
              <w:left w:val="nil"/>
              <w:bottom w:val="nil"/>
              <w:right w:val="nil"/>
            </w:tcBorders>
          </w:tcPr>
          <w:p w14:paraId="5D38DED5" w14:textId="77777777" w:rsidR="00434541" w:rsidRPr="00434541" w:rsidRDefault="00434541" w:rsidP="00434541">
            <w:pPr>
              <w:spacing w:after="0" w:line="240" w:lineRule="auto"/>
              <w:ind w:firstLine="0"/>
              <w:jc w:val="left"/>
              <w:rPr>
                <w:b/>
                <w:bCs/>
                <w:lang w:eastAsia="sk-SK"/>
              </w:rPr>
            </w:pPr>
            <w:r w:rsidRPr="00434541">
              <w:rPr>
                <w:b/>
                <w:bCs/>
                <w:lang w:eastAsia="sk-SK"/>
              </w:rPr>
              <w:t>Poznámky: *11 zamestnancov od 1. 5. 2021</w:t>
            </w:r>
          </w:p>
          <w:p w14:paraId="69C975B5" w14:textId="77777777" w:rsidR="00434541" w:rsidRPr="00434541" w:rsidRDefault="00434541" w:rsidP="00434541">
            <w:pPr>
              <w:spacing w:after="0" w:line="240" w:lineRule="auto"/>
              <w:ind w:firstLine="0"/>
              <w:jc w:val="left"/>
              <w:rPr>
                <w:b/>
                <w:bCs/>
                <w:lang w:eastAsia="sk-SK"/>
              </w:rPr>
            </w:pPr>
          </w:p>
        </w:tc>
        <w:tc>
          <w:tcPr>
            <w:tcW w:w="1698" w:type="dxa"/>
            <w:tcBorders>
              <w:top w:val="nil"/>
              <w:left w:val="nil"/>
              <w:bottom w:val="nil"/>
              <w:right w:val="nil"/>
            </w:tcBorders>
            <w:noWrap/>
            <w:vAlign w:val="bottom"/>
          </w:tcPr>
          <w:p w14:paraId="70B582E8" w14:textId="77777777" w:rsidR="00434541" w:rsidRPr="00434541" w:rsidRDefault="00434541" w:rsidP="00434541">
            <w:pPr>
              <w:spacing w:after="0" w:line="240" w:lineRule="auto"/>
              <w:ind w:firstLine="0"/>
              <w:jc w:val="left"/>
              <w:rPr>
                <w:lang w:eastAsia="sk-SK"/>
              </w:rPr>
            </w:pPr>
          </w:p>
        </w:tc>
        <w:tc>
          <w:tcPr>
            <w:tcW w:w="1788" w:type="dxa"/>
            <w:tcBorders>
              <w:top w:val="nil"/>
              <w:left w:val="nil"/>
              <w:bottom w:val="nil"/>
              <w:right w:val="nil"/>
            </w:tcBorders>
            <w:noWrap/>
            <w:vAlign w:val="bottom"/>
          </w:tcPr>
          <w:p w14:paraId="7E6BFC88" w14:textId="77777777" w:rsidR="00434541" w:rsidRPr="00434541" w:rsidRDefault="00434541" w:rsidP="00434541">
            <w:pPr>
              <w:spacing w:after="0" w:line="240" w:lineRule="auto"/>
              <w:ind w:firstLine="0"/>
              <w:jc w:val="left"/>
              <w:rPr>
                <w:lang w:eastAsia="sk-SK"/>
              </w:rPr>
            </w:pPr>
          </w:p>
        </w:tc>
        <w:tc>
          <w:tcPr>
            <w:tcW w:w="2418" w:type="dxa"/>
            <w:gridSpan w:val="2"/>
            <w:tcBorders>
              <w:top w:val="nil"/>
              <w:left w:val="nil"/>
              <w:bottom w:val="nil"/>
              <w:right w:val="nil"/>
            </w:tcBorders>
            <w:noWrap/>
            <w:vAlign w:val="bottom"/>
          </w:tcPr>
          <w:p w14:paraId="0FC3F029" w14:textId="77777777" w:rsidR="00434541" w:rsidRPr="00434541" w:rsidRDefault="00434541" w:rsidP="00434541">
            <w:pPr>
              <w:spacing w:after="0" w:line="240" w:lineRule="auto"/>
              <w:ind w:firstLine="0"/>
              <w:jc w:val="left"/>
              <w:rPr>
                <w:lang w:eastAsia="sk-SK"/>
              </w:rPr>
            </w:pPr>
          </w:p>
        </w:tc>
        <w:tc>
          <w:tcPr>
            <w:tcW w:w="1722" w:type="dxa"/>
            <w:tcBorders>
              <w:top w:val="nil"/>
              <w:left w:val="nil"/>
              <w:bottom w:val="nil"/>
              <w:right w:val="nil"/>
            </w:tcBorders>
            <w:noWrap/>
            <w:vAlign w:val="bottom"/>
          </w:tcPr>
          <w:p w14:paraId="6AE10705" w14:textId="77777777" w:rsidR="00434541" w:rsidRPr="00434541" w:rsidRDefault="00434541" w:rsidP="00434541">
            <w:pPr>
              <w:spacing w:after="0" w:line="240" w:lineRule="auto"/>
              <w:ind w:firstLine="0"/>
              <w:jc w:val="left"/>
              <w:rPr>
                <w:lang w:eastAsia="sk-SK"/>
              </w:rPr>
            </w:pPr>
          </w:p>
        </w:tc>
        <w:tc>
          <w:tcPr>
            <w:tcW w:w="1620" w:type="dxa"/>
            <w:gridSpan w:val="2"/>
            <w:tcBorders>
              <w:top w:val="nil"/>
              <w:left w:val="nil"/>
              <w:bottom w:val="nil"/>
              <w:right w:val="nil"/>
            </w:tcBorders>
            <w:noWrap/>
            <w:vAlign w:val="bottom"/>
          </w:tcPr>
          <w:p w14:paraId="55D73883" w14:textId="77777777" w:rsidR="00434541" w:rsidRPr="00434541" w:rsidRDefault="00434541" w:rsidP="00434541">
            <w:pPr>
              <w:spacing w:after="0" w:line="240" w:lineRule="auto"/>
              <w:ind w:firstLine="0"/>
              <w:jc w:val="left"/>
              <w:rPr>
                <w:lang w:eastAsia="sk-SK"/>
              </w:rPr>
            </w:pPr>
          </w:p>
        </w:tc>
      </w:tr>
      <w:tr w:rsidR="00434541" w:rsidRPr="00434541" w14:paraId="587F86BE" w14:textId="77777777" w:rsidTr="00434541">
        <w:trPr>
          <w:trHeight w:val="255"/>
        </w:trPr>
        <w:tc>
          <w:tcPr>
            <w:tcW w:w="13814" w:type="dxa"/>
            <w:gridSpan w:val="6"/>
            <w:tcBorders>
              <w:top w:val="nil"/>
              <w:left w:val="nil"/>
              <w:bottom w:val="nil"/>
              <w:right w:val="nil"/>
            </w:tcBorders>
            <w:noWrap/>
          </w:tcPr>
          <w:p w14:paraId="5A0BF9CE" w14:textId="77777777" w:rsidR="00434541" w:rsidRPr="00434541" w:rsidRDefault="00434541" w:rsidP="00434541">
            <w:pPr>
              <w:tabs>
                <w:tab w:val="num" w:pos="1080"/>
              </w:tabs>
              <w:spacing w:after="0" w:line="240" w:lineRule="auto"/>
              <w:ind w:firstLine="0"/>
              <w:rPr>
                <w:bCs/>
                <w:szCs w:val="20"/>
                <w:lang w:eastAsia="sk-SK"/>
              </w:rPr>
            </w:pPr>
            <w:r w:rsidRPr="00434541">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87B389E" w14:textId="77777777" w:rsidR="00434541" w:rsidRPr="00434541" w:rsidRDefault="00434541" w:rsidP="00434541">
            <w:pPr>
              <w:spacing w:after="0" w:line="240" w:lineRule="auto"/>
              <w:ind w:firstLine="0"/>
              <w:jc w:val="left"/>
              <w:rPr>
                <w:lang w:eastAsia="sk-SK"/>
              </w:rPr>
            </w:pPr>
            <w:r w:rsidRPr="00434541">
              <w:rPr>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A37C4A3" w14:textId="77777777" w:rsidR="00434541" w:rsidRPr="00434541" w:rsidRDefault="00434541" w:rsidP="00434541">
            <w:pPr>
              <w:spacing w:after="0" w:line="240" w:lineRule="auto"/>
              <w:ind w:firstLine="0"/>
              <w:jc w:val="left"/>
              <w:rPr>
                <w:lang w:eastAsia="sk-SK"/>
              </w:rPr>
            </w:pPr>
          </w:p>
        </w:tc>
      </w:tr>
      <w:tr w:rsidR="00434541" w:rsidRPr="00434541" w14:paraId="3993EE5F" w14:textId="77777777" w:rsidTr="00434541">
        <w:trPr>
          <w:trHeight w:val="255"/>
        </w:trPr>
        <w:tc>
          <w:tcPr>
            <w:tcW w:w="10394" w:type="dxa"/>
            <w:gridSpan w:val="4"/>
            <w:tcBorders>
              <w:top w:val="nil"/>
              <w:left w:val="nil"/>
              <w:bottom w:val="nil"/>
              <w:right w:val="nil"/>
            </w:tcBorders>
            <w:noWrap/>
            <w:vAlign w:val="bottom"/>
          </w:tcPr>
          <w:p w14:paraId="2F610596" w14:textId="77777777" w:rsidR="00434541" w:rsidRPr="00434541" w:rsidRDefault="00434541" w:rsidP="00434541">
            <w:pPr>
              <w:spacing w:after="0" w:line="240" w:lineRule="auto"/>
              <w:ind w:firstLine="0"/>
              <w:jc w:val="left"/>
              <w:rPr>
                <w:lang w:eastAsia="sk-SK"/>
              </w:rPr>
            </w:pPr>
            <w:r w:rsidRPr="00434541">
              <w:rPr>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82007CF" w14:textId="77777777" w:rsidR="00434541" w:rsidRPr="00434541" w:rsidRDefault="00434541" w:rsidP="00434541">
            <w:pPr>
              <w:spacing w:after="0" w:line="240" w:lineRule="auto"/>
              <w:ind w:firstLine="0"/>
              <w:jc w:val="left"/>
              <w:rPr>
                <w:lang w:eastAsia="sk-SK"/>
              </w:rPr>
            </w:pPr>
          </w:p>
        </w:tc>
        <w:tc>
          <w:tcPr>
            <w:tcW w:w="2352" w:type="dxa"/>
            <w:gridSpan w:val="2"/>
            <w:tcBorders>
              <w:top w:val="nil"/>
              <w:left w:val="nil"/>
              <w:bottom w:val="nil"/>
              <w:right w:val="nil"/>
            </w:tcBorders>
            <w:noWrap/>
            <w:vAlign w:val="bottom"/>
          </w:tcPr>
          <w:p w14:paraId="3FD87281" w14:textId="77777777" w:rsidR="00434541" w:rsidRPr="00434541" w:rsidRDefault="00434541" w:rsidP="00434541">
            <w:pPr>
              <w:spacing w:after="0" w:line="240" w:lineRule="auto"/>
              <w:ind w:firstLine="0"/>
              <w:jc w:val="left"/>
              <w:rPr>
                <w:lang w:eastAsia="sk-SK"/>
              </w:rPr>
            </w:pPr>
          </w:p>
        </w:tc>
        <w:tc>
          <w:tcPr>
            <w:tcW w:w="990" w:type="dxa"/>
            <w:tcBorders>
              <w:top w:val="nil"/>
              <w:left w:val="nil"/>
              <w:bottom w:val="nil"/>
              <w:right w:val="nil"/>
            </w:tcBorders>
            <w:noWrap/>
            <w:vAlign w:val="bottom"/>
          </w:tcPr>
          <w:p w14:paraId="6DADA4B0" w14:textId="77777777" w:rsidR="00434541" w:rsidRPr="00434541" w:rsidRDefault="00434541" w:rsidP="00434541">
            <w:pPr>
              <w:spacing w:after="0" w:line="240" w:lineRule="auto"/>
              <w:ind w:firstLine="0"/>
              <w:jc w:val="left"/>
              <w:rPr>
                <w:lang w:eastAsia="sk-SK"/>
              </w:rPr>
            </w:pPr>
          </w:p>
        </w:tc>
      </w:tr>
    </w:tbl>
    <w:p w14:paraId="7B2C84DB" w14:textId="77777777" w:rsidR="00434541" w:rsidRPr="00434541" w:rsidRDefault="00434541" w:rsidP="00434541">
      <w:pPr>
        <w:spacing w:after="0" w:line="240" w:lineRule="auto"/>
        <w:ind w:firstLine="0"/>
        <w:jc w:val="center"/>
        <w:rPr>
          <w:rFonts w:eastAsia="Calibri"/>
          <w:sz w:val="22"/>
          <w:szCs w:val="22"/>
        </w:rPr>
      </w:pPr>
    </w:p>
    <w:p w14:paraId="75F1B74C" w14:textId="77777777" w:rsidR="00434541" w:rsidRPr="00434541" w:rsidRDefault="00434541" w:rsidP="00434541">
      <w:pPr>
        <w:spacing w:after="0" w:line="240" w:lineRule="auto"/>
        <w:ind w:firstLine="0"/>
        <w:rPr>
          <w:rFonts w:eastAsia="Calibri"/>
          <w:szCs w:val="22"/>
        </w:rPr>
      </w:pPr>
      <w:r w:rsidRPr="00434541">
        <w:rPr>
          <w:rFonts w:eastAsia="Calibri"/>
          <w:szCs w:val="22"/>
        </w:rPr>
        <w:t>Zoznam skratiek použitých v analýze</w:t>
      </w:r>
    </w:p>
    <w:tbl>
      <w:tblPr>
        <w:tblStyle w:val="Mriekatabuky2"/>
        <w:tblW w:w="5000" w:type="pct"/>
        <w:tblLook w:val="04A0" w:firstRow="1" w:lastRow="0" w:firstColumn="1" w:lastColumn="0" w:noHBand="0" w:noVBand="1"/>
      </w:tblPr>
      <w:tblGrid>
        <w:gridCol w:w="1030"/>
        <w:gridCol w:w="12966"/>
      </w:tblGrid>
      <w:tr w:rsidR="00434541" w:rsidRPr="00434541" w14:paraId="0A26ACEE" w14:textId="77777777" w:rsidTr="00434541">
        <w:tc>
          <w:tcPr>
            <w:tcW w:w="368" w:type="pct"/>
          </w:tcPr>
          <w:p w14:paraId="5511D49F" w14:textId="77777777" w:rsidR="00434541" w:rsidRPr="00434541" w:rsidRDefault="00434541" w:rsidP="00434541">
            <w:pPr>
              <w:rPr>
                <w:lang w:val="en-US"/>
              </w:rPr>
            </w:pPr>
            <w:r w:rsidRPr="00434541">
              <w:rPr>
                <w:lang w:val="en-US"/>
              </w:rPr>
              <w:t>AZÚ</w:t>
            </w:r>
          </w:p>
        </w:tc>
        <w:tc>
          <w:tcPr>
            <w:tcW w:w="4632" w:type="pct"/>
          </w:tcPr>
          <w:p w14:paraId="2816B4E6" w14:textId="77777777" w:rsidR="00434541" w:rsidRPr="00434541" w:rsidRDefault="00434541" w:rsidP="00434541">
            <w:pPr>
              <w:rPr>
                <w:lang w:val="en-US"/>
              </w:rPr>
            </w:pPr>
            <w:r w:rsidRPr="00434541">
              <w:rPr>
                <w:lang w:eastAsia="sk-SK"/>
              </w:rPr>
              <w:t>administratívne zdroje údajov definované v § 2 písm. l) zákona č. 540/2001 Z. z. [redefinované v § 2 ods. 2 písm. l) návrhu zákona], zjednodušene zdroje údajov využiteľné na štatistické účely, pričom ide najmä o informačné systémy verejnej správy</w:t>
            </w:r>
          </w:p>
        </w:tc>
      </w:tr>
      <w:tr w:rsidR="00434541" w:rsidRPr="00434541" w14:paraId="103547AA" w14:textId="77777777" w:rsidTr="00434541">
        <w:tc>
          <w:tcPr>
            <w:tcW w:w="368" w:type="pct"/>
          </w:tcPr>
          <w:p w14:paraId="08C4E3FB" w14:textId="77777777" w:rsidR="00434541" w:rsidRPr="00434541" w:rsidRDefault="00434541" w:rsidP="00434541">
            <w:pPr>
              <w:rPr>
                <w:lang w:val="en-US"/>
              </w:rPr>
            </w:pPr>
            <w:r w:rsidRPr="00434541">
              <w:rPr>
                <w:lang w:val="en-US"/>
              </w:rPr>
              <w:t>EŠS</w:t>
            </w:r>
          </w:p>
        </w:tc>
        <w:tc>
          <w:tcPr>
            <w:tcW w:w="4632" w:type="pct"/>
          </w:tcPr>
          <w:p w14:paraId="046ACC89" w14:textId="77777777" w:rsidR="00434541" w:rsidRPr="00434541" w:rsidRDefault="00434541" w:rsidP="00434541">
            <w:pPr>
              <w:rPr>
                <w:lang w:val="en-US"/>
              </w:rPr>
            </w:pPr>
            <w:r w:rsidRPr="00434541">
              <w:rPr>
                <w:lang w:val="en-US"/>
              </w:rPr>
              <w:t xml:space="preserve">Európsky štatistický systém podľa čl. 4 nariadenia (ES) č. 223/2009 v platnom znení predstavuje </w:t>
            </w:r>
            <w:r w:rsidRPr="00434541">
              <w:rPr>
                <w:shd w:val="clear" w:color="auto" w:fill="FFFFFF"/>
                <w:lang w:val="en-US"/>
              </w:rPr>
              <w:t>partnerstvo medzi štatistickým orgánom Spoločenstva, ktorým je Komisia (Eurostat), a národnými štatistickými úradmi a inými vnútroštátnymi orgánmi zodpovednými v každom členskom štáte za rozvoj, tvorbu a šírenie európskej štatistiky.</w:t>
            </w:r>
          </w:p>
        </w:tc>
      </w:tr>
      <w:tr w:rsidR="00434541" w:rsidRPr="00434541" w14:paraId="024CFDA9" w14:textId="77777777" w:rsidTr="00434541">
        <w:tc>
          <w:tcPr>
            <w:tcW w:w="368" w:type="pct"/>
          </w:tcPr>
          <w:p w14:paraId="670AF875" w14:textId="77777777" w:rsidR="00434541" w:rsidRPr="00434541" w:rsidRDefault="00434541" w:rsidP="00434541">
            <w:r w:rsidRPr="00434541">
              <w:rPr>
                <w:lang w:val="en-US"/>
              </w:rPr>
              <w:t>EÚ</w:t>
            </w:r>
          </w:p>
        </w:tc>
        <w:tc>
          <w:tcPr>
            <w:tcW w:w="4632" w:type="pct"/>
          </w:tcPr>
          <w:p w14:paraId="2AEA8715" w14:textId="77777777" w:rsidR="00434541" w:rsidRPr="00434541" w:rsidRDefault="00434541" w:rsidP="00434541">
            <w:pPr>
              <w:rPr>
                <w:lang w:val="en-US"/>
              </w:rPr>
            </w:pPr>
            <w:r w:rsidRPr="00434541">
              <w:t>Európska</w:t>
            </w:r>
            <w:r w:rsidRPr="00434541">
              <w:rPr>
                <w:lang w:val="en-US"/>
              </w:rPr>
              <w:t xml:space="preserve"> </w:t>
            </w:r>
            <w:r w:rsidRPr="00434541">
              <w:t>únia</w:t>
            </w:r>
          </w:p>
        </w:tc>
      </w:tr>
      <w:tr w:rsidR="00434541" w:rsidRPr="00434541" w14:paraId="1ECAB447" w14:textId="77777777" w:rsidTr="00434541">
        <w:tc>
          <w:tcPr>
            <w:tcW w:w="368" w:type="pct"/>
          </w:tcPr>
          <w:p w14:paraId="5EABE561" w14:textId="77777777" w:rsidR="00434541" w:rsidRPr="00434541" w:rsidRDefault="00434541" w:rsidP="00434541">
            <w:pPr>
              <w:rPr>
                <w:lang w:val="en-US"/>
              </w:rPr>
            </w:pPr>
            <w:r w:rsidRPr="00434541">
              <w:rPr>
                <w:lang w:val="en-US"/>
              </w:rPr>
              <w:t>FTE</w:t>
            </w:r>
          </w:p>
        </w:tc>
        <w:tc>
          <w:tcPr>
            <w:tcW w:w="4632" w:type="pct"/>
          </w:tcPr>
          <w:p w14:paraId="038BA1CC" w14:textId="77777777" w:rsidR="00434541" w:rsidRPr="00434541" w:rsidRDefault="00434541" w:rsidP="00434541">
            <w:pPr>
              <w:rPr>
                <w:lang w:val="en-US"/>
              </w:rPr>
            </w:pPr>
            <w:r w:rsidRPr="00434541">
              <w:rPr>
                <w:lang w:val="en-US"/>
              </w:rPr>
              <w:t>Full Time Equivalent – jednotka vyjadrujúca mieru zapojenia pracovníka</w:t>
            </w:r>
          </w:p>
        </w:tc>
      </w:tr>
      <w:tr w:rsidR="00434541" w:rsidRPr="00434541" w14:paraId="4BDA61CD" w14:textId="77777777" w:rsidTr="00434541">
        <w:tc>
          <w:tcPr>
            <w:tcW w:w="368" w:type="pct"/>
          </w:tcPr>
          <w:p w14:paraId="6172BEDD" w14:textId="77777777" w:rsidR="00434541" w:rsidRPr="00434541" w:rsidRDefault="00434541" w:rsidP="00434541">
            <w:pPr>
              <w:rPr>
                <w:lang w:val="en-US"/>
              </w:rPr>
            </w:pPr>
            <w:r w:rsidRPr="00434541">
              <w:rPr>
                <w:bCs/>
                <w:lang w:val="en-US"/>
              </w:rPr>
              <w:t xml:space="preserve">GSBPM </w:t>
            </w:r>
          </w:p>
        </w:tc>
        <w:tc>
          <w:tcPr>
            <w:tcW w:w="4632" w:type="pct"/>
          </w:tcPr>
          <w:p w14:paraId="0A111189" w14:textId="77777777" w:rsidR="00434541" w:rsidRPr="00434541" w:rsidRDefault="00434541" w:rsidP="00434541">
            <w:pPr>
              <w:rPr>
                <w:lang w:val="en-US"/>
              </w:rPr>
            </w:pPr>
            <w:r w:rsidRPr="00434541">
              <w:rPr>
                <w:bCs/>
                <w:lang w:val="en-US"/>
              </w:rPr>
              <w:t xml:space="preserve">Generic Statistical Business Process Management, </w:t>
            </w:r>
            <w:r w:rsidRPr="00434541">
              <w:rPr>
                <w:lang w:val="en-US"/>
              </w:rPr>
              <w:t xml:space="preserve">model pre produkciu a manažment štatistických informácií, ktory uľahčuje komunikáciu v rámci európskeho, ale aj širšieho štatistického systému, ktorého členom je aj Štatistický úrad SR; zvýšenie efektívnosti sa dosahuje industrializáciou štatistických procesov, čo si vyžaduje prijatie štandardov, opakovane použiteľnej infraštruktúry a metadátami riadené systémy (voľne citované podľa Glaser-Opitzová, H.: Modernizácia štatistických procesov prostredníctvom Integrovaného štatistického informačného systému, Zborník abstraktov z 18. slovenskej štatistickej </w:t>
            </w:r>
            <w:r w:rsidRPr="00434541">
              <w:rPr>
                <w:lang w:val="en-US"/>
              </w:rPr>
              <w:lastRenderedPageBreak/>
              <w:t>konferencie: Štatistika v krajinách V4 (25 rokov po vzniku zoskupenia) Košice, 23. – 25. júna 2016. Slovenská štatistická a demografická spoločnosť. Bratislava. Prvé vydanie, 2016. ISBN 978-80-88946-72-4.</w:t>
            </w:r>
          </w:p>
        </w:tc>
      </w:tr>
      <w:tr w:rsidR="00434541" w:rsidRPr="00434541" w14:paraId="372C8B65" w14:textId="77777777" w:rsidTr="00434541">
        <w:tc>
          <w:tcPr>
            <w:tcW w:w="368" w:type="pct"/>
          </w:tcPr>
          <w:p w14:paraId="13E6D5AF" w14:textId="77777777" w:rsidR="00434541" w:rsidRPr="00434541" w:rsidRDefault="00434541" w:rsidP="00434541">
            <w:pPr>
              <w:rPr>
                <w:lang w:val="en-US"/>
              </w:rPr>
            </w:pPr>
            <w:r w:rsidRPr="00434541">
              <w:rPr>
                <w:lang w:val="en-US"/>
              </w:rPr>
              <w:lastRenderedPageBreak/>
              <w:t>JIS ŠÚ</w:t>
            </w:r>
          </w:p>
        </w:tc>
        <w:tc>
          <w:tcPr>
            <w:tcW w:w="4632" w:type="pct"/>
          </w:tcPr>
          <w:p w14:paraId="19A056BF" w14:textId="77777777" w:rsidR="00434541" w:rsidRPr="00434541" w:rsidRDefault="00434541" w:rsidP="00434541">
            <w:pPr>
              <w:rPr>
                <w:lang w:val="en-US"/>
              </w:rPr>
            </w:pPr>
            <w:r w:rsidRPr="00434541">
              <w:rPr>
                <w:lang w:val="en-US"/>
              </w:rPr>
              <w:t>Jednotný informačný system štatistických údajov, synonymický názov pre Jednotný system štátnej štatistiky podľa § 12a návrhu zákona, používaný v dokumentoch projektu Reforma zberu a spracovania štatistických údajov vo verejnej správe</w:t>
            </w:r>
          </w:p>
        </w:tc>
      </w:tr>
      <w:tr w:rsidR="00434541" w:rsidRPr="00434541" w14:paraId="0C9CD91E" w14:textId="77777777" w:rsidTr="00434541">
        <w:tc>
          <w:tcPr>
            <w:tcW w:w="368" w:type="pct"/>
          </w:tcPr>
          <w:p w14:paraId="42EC6966" w14:textId="77777777" w:rsidR="00434541" w:rsidRPr="00434541" w:rsidRDefault="00434541" w:rsidP="00434541">
            <w:pPr>
              <w:rPr>
                <w:lang w:val="en-US"/>
              </w:rPr>
            </w:pPr>
            <w:r w:rsidRPr="00434541">
              <w:rPr>
                <w:lang w:val="en-US"/>
              </w:rPr>
              <w:t>MIRRI</w:t>
            </w:r>
          </w:p>
        </w:tc>
        <w:tc>
          <w:tcPr>
            <w:tcW w:w="4632" w:type="pct"/>
          </w:tcPr>
          <w:p w14:paraId="02944161" w14:textId="77777777" w:rsidR="00434541" w:rsidRPr="00434541" w:rsidRDefault="00434541" w:rsidP="00434541">
            <w:pPr>
              <w:rPr>
                <w:lang w:val="en-US"/>
              </w:rPr>
            </w:pPr>
            <w:r w:rsidRPr="00434541">
              <w:rPr>
                <w:lang w:val="en-US"/>
              </w:rPr>
              <w:t>Ministerstvo investícií, regionálneho rozvoja a informatizácie Slovenskej republiky</w:t>
            </w:r>
          </w:p>
        </w:tc>
      </w:tr>
      <w:tr w:rsidR="00434541" w:rsidRPr="00434541" w14:paraId="0E390EFE" w14:textId="77777777" w:rsidTr="00434541">
        <w:tc>
          <w:tcPr>
            <w:tcW w:w="368" w:type="pct"/>
          </w:tcPr>
          <w:p w14:paraId="78421430" w14:textId="77777777" w:rsidR="00434541" w:rsidRPr="00434541" w:rsidRDefault="00434541" w:rsidP="00434541">
            <w:pPr>
              <w:rPr>
                <w:lang w:val="en-US"/>
              </w:rPr>
            </w:pPr>
            <w:r w:rsidRPr="00434541">
              <w:rPr>
                <w:lang w:val="en-US"/>
              </w:rPr>
              <w:t>MD</w:t>
            </w:r>
          </w:p>
        </w:tc>
        <w:tc>
          <w:tcPr>
            <w:tcW w:w="4632" w:type="pct"/>
          </w:tcPr>
          <w:p w14:paraId="1A0D606E" w14:textId="77777777" w:rsidR="00434541" w:rsidRPr="00434541" w:rsidRDefault="00434541" w:rsidP="00434541">
            <w:pPr>
              <w:rPr>
                <w:lang w:val="en-US"/>
              </w:rPr>
            </w:pPr>
            <w:r w:rsidRPr="00434541">
              <w:rPr>
                <w:lang w:val="en-US"/>
              </w:rPr>
              <w:t>Man-day, teda pracovný čas jednej osoby zodpovedajúci jednému pracovnému dňu, spravidla 8 hodinám</w:t>
            </w:r>
          </w:p>
        </w:tc>
      </w:tr>
      <w:tr w:rsidR="00434541" w:rsidRPr="00434541" w14:paraId="16E02793" w14:textId="77777777" w:rsidTr="00434541">
        <w:tc>
          <w:tcPr>
            <w:tcW w:w="368" w:type="pct"/>
          </w:tcPr>
          <w:p w14:paraId="3E00CE23" w14:textId="77777777" w:rsidR="00434541" w:rsidRPr="00434541" w:rsidRDefault="00434541" w:rsidP="00434541">
            <w:pPr>
              <w:rPr>
                <w:lang w:val="en-US"/>
              </w:rPr>
            </w:pPr>
            <w:r w:rsidRPr="00434541">
              <w:rPr>
                <w:lang w:val="en-US"/>
              </w:rPr>
              <w:t>NKIVS</w:t>
            </w:r>
          </w:p>
        </w:tc>
        <w:tc>
          <w:tcPr>
            <w:tcW w:w="4632" w:type="pct"/>
          </w:tcPr>
          <w:p w14:paraId="3FF0E078" w14:textId="77777777" w:rsidR="00434541" w:rsidRPr="00434541" w:rsidRDefault="00434541" w:rsidP="00434541">
            <w:pPr>
              <w:rPr>
                <w:lang w:val="en-US"/>
              </w:rPr>
            </w:pPr>
            <w:r w:rsidRPr="00434541">
              <w:rPr>
                <w:lang w:val="en-US"/>
              </w:rPr>
              <w:t>Národná koncepcia informatizácie verejnej správy</w:t>
            </w:r>
          </w:p>
        </w:tc>
      </w:tr>
      <w:tr w:rsidR="00434541" w:rsidRPr="00434541" w14:paraId="4EA40941" w14:textId="77777777" w:rsidTr="00434541">
        <w:tc>
          <w:tcPr>
            <w:tcW w:w="368" w:type="pct"/>
          </w:tcPr>
          <w:p w14:paraId="305AECEC" w14:textId="77777777" w:rsidR="00434541" w:rsidRPr="00434541" w:rsidRDefault="00434541" w:rsidP="00434541">
            <w:pPr>
              <w:rPr>
                <w:lang w:val="en-US"/>
              </w:rPr>
            </w:pPr>
            <w:r w:rsidRPr="00434541">
              <w:rPr>
                <w:lang w:val="en-US"/>
              </w:rPr>
              <w:t>NŠS</w:t>
            </w:r>
          </w:p>
        </w:tc>
        <w:tc>
          <w:tcPr>
            <w:tcW w:w="4632" w:type="pct"/>
          </w:tcPr>
          <w:p w14:paraId="2B3FEE41" w14:textId="77777777" w:rsidR="00434541" w:rsidRPr="00434541" w:rsidRDefault="00434541" w:rsidP="00434541">
            <w:pPr>
              <w:rPr>
                <w:lang w:val="en-US"/>
              </w:rPr>
            </w:pPr>
            <w:r w:rsidRPr="00434541">
              <w:rPr>
                <w:lang w:val="en-US"/>
              </w:rPr>
              <w:t>Národný štatistický system, t. j. systém v rámci štátnej správy v Slovenskej republike tvorený orgánmi vykonávajúcimi štátnu štatistiku, ktoré plnia úlohy štátnej štatistiky najmä vykonávaním štátnych štatistických zisťovaní podľa programu štátnych štatistických zisťovaní a zabezpečovaním európskych štatistík podľa Európskeho štatistického programu na vnútroštátnej úrovni, ich činnosťami a vzájomnými vzťahmi, oprávneniami a povinnosťami vymedzenými zákonom č. 540/2001 Z. z. v znení neskorších predpisov a právne záväznými aktami EÚ. Tento systém je koordinovaný Štatistickým úradom SR. Termín používa odborná štatistická prax a dokumenty projektu Reformy zberu a spracovania štatististických údajov vo verejnej správe.</w:t>
            </w:r>
          </w:p>
        </w:tc>
      </w:tr>
      <w:tr w:rsidR="00434541" w:rsidRPr="00434541" w14:paraId="57CE9382" w14:textId="77777777" w:rsidTr="00434541">
        <w:tc>
          <w:tcPr>
            <w:tcW w:w="368" w:type="pct"/>
          </w:tcPr>
          <w:p w14:paraId="0603F40F" w14:textId="77777777" w:rsidR="00434541" w:rsidRPr="00434541" w:rsidRDefault="00434541" w:rsidP="00434541">
            <w:pPr>
              <w:rPr>
                <w:lang w:val="en-US"/>
              </w:rPr>
            </w:pPr>
            <w:r w:rsidRPr="00434541">
              <w:rPr>
                <w:lang w:val="en-US"/>
              </w:rPr>
              <w:t>PM</w:t>
            </w:r>
          </w:p>
        </w:tc>
        <w:tc>
          <w:tcPr>
            <w:tcW w:w="4632" w:type="pct"/>
          </w:tcPr>
          <w:p w14:paraId="60B69713" w14:textId="77777777" w:rsidR="00434541" w:rsidRPr="00434541" w:rsidRDefault="00434541" w:rsidP="00434541">
            <w:pPr>
              <w:rPr>
                <w:lang w:val="en-US"/>
              </w:rPr>
            </w:pPr>
            <w:r w:rsidRPr="00434541">
              <w:rPr>
                <w:lang w:val="en-US"/>
              </w:rPr>
              <w:t>projektový manažment</w:t>
            </w:r>
          </w:p>
        </w:tc>
      </w:tr>
      <w:tr w:rsidR="00434541" w:rsidRPr="00434541" w14:paraId="25808FED" w14:textId="77777777" w:rsidTr="00434541">
        <w:tc>
          <w:tcPr>
            <w:tcW w:w="368" w:type="pct"/>
          </w:tcPr>
          <w:p w14:paraId="2AFDD9BD" w14:textId="77777777" w:rsidR="00434541" w:rsidRPr="00434541" w:rsidRDefault="00434541" w:rsidP="00434541">
            <w:r w:rsidRPr="00434541">
              <w:rPr>
                <w:lang w:val="en-US"/>
              </w:rPr>
              <w:t>SaaS</w:t>
            </w:r>
          </w:p>
        </w:tc>
        <w:tc>
          <w:tcPr>
            <w:tcW w:w="4632" w:type="pct"/>
          </w:tcPr>
          <w:p w14:paraId="6796F6A2" w14:textId="77777777" w:rsidR="00434541" w:rsidRPr="00434541" w:rsidRDefault="00434541" w:rsidP="00434541">
            <w:pPr>
              <w:rPr>
                <w:lang w:val="en-US"/>
              </w:rPr>
            </w:pPr>
            <w:r w:rsidRPr="00434541">
              <w:rPr>
                <w:shd w:val="clear" w:color="auto" w:fill="FFFFFF"/>
                <w:lang w:val="en-US"/>
              </w:rPr>
              <w:t>Software as a service, Softvér ako </w:t>
            </w:r>
            <w:r w:rsidRPr="00434541">
              <w:rPr>
                <w:bCs/>
                <w:shd w:val="clear" w:color="auto" w:fill="FFFFFF"/>
                <w:lang w:val="en-US"/>
              </w:rPr>
              <w:t xml:space="preserve">služba, teda </w:t>
            </w:r>
            <w:r w:rsidRPr="00434541">
              <w:rPr>
                <w:shd w:val="clear" w:color="auto" w:fill="FFFFFF"/>
                <w:lang w:val="en-US"/>
              </w:rPr>
              <w:t>model nasadenia softvéru, pri ktorom dochádza k hosťovaniu aplikácie Štatistickým úradom Slovenskej republiky ako prevádzkovateľom </w:t>
            </w:r>
            <w:r w:rsidRPr="00434541">
              <w:rPr>
                <w:bCs/>
                <w:shd w:val="clear" w:color="auto" w:fill="FFFFFF"/>
                <w:lang w:val="en-US"/>
              </w:rPr>
              <w:t>služby</w:t>
            </w:r>
            <w:r w:rsidRPr="00434541">
              <w:rPr>
                <w:shd w:val="clear" w:color="auto" w:fill="FFFFFF"/>
                <w:lang w:val="en-US"/>
              </w:rPr>
              <w:t>.</w:t>
            </w:r>
          </w:p>
        </w:tc>
      </w:tr>
      <w:tr w:rsidR="00434541" w:rsidRPr="00434541" w14:paraId="231D0BB2" w14:textId="77777777" w:rsidTr="00434541">
        <w:tc>
          <w:tcPr>
            <w:tcW w:w="368" w:type="pct"/>
          </w:tcPr>
          <w:p w14:paraId="501E403A" w14:textId="77777777" w:rsidR="00434541" w:rsidRPr="00434541" w:rsidRDefault="00434541" w:rsidP="00434541">
            <w:pPr>
              <w:rPr>
                <w:lang w:val="en-US"/>
              </w:rPr>
            </w:pPr>
            <w:r w:rsidRPr="00434541">
              <w:rPr>
                <w:lang w:val="en-US"/>
              </w:rPr>
              <w:t>SLA</w:t>
            </w:r>
          </w:p>
        </w:tc>
        <w:tc>
          <w:tcPr>
            <w:tcW w:w="4632" w:type="pct"/>
          </w:tcPr>
          <w:p w14:paraId="3392D5B3" w14:textId="77777777" w:rsidR="00434541" w:rsidRPr="00434541" w:rsidRDefault="00434541" w:rsidP="00434541">
            <w:pPr>
              <w:rPr>
                <w:lang w:val="en-US"/>
              </w:rPr>
            </w:pPr>
            <w:r w:rsidRPr="00434541">
              <w:t>dohoda</w:t>
            </w:r>
            <w:r w:rsidRPr="00434541">
              <w:rPr>
                <w:lang w:val="en-US"/>
              </w:rPr>
              <w:t xml:space="preserve"> o úrovni poskytovaných služieb a manažmente zmien</w:t>
            </w:r>
          </w:p>
        </w:tc>
      </w:tr>
      <w:tr w:rsidR="00434541" w:rsidRPr="00434541" w14:paraId="2EE8DB0F" w14:textId="77777777" w:rsidTr="00434541">
        <w:tc>
          <w:tcPr>
            <w:tcW w:w="368" w:type="pct"/>
          </w:tcPr>
          <w:p w14:paraId="2C567312" w14:textId="77777777" w:rsidR="00434541" w:rsidRPr="00434541" w:rsidRDefault="00434541" w:rsidP="00434541">
            <w:pPr>
              <w:rPr>
                <w:lang w:val="en-US"/>
              </w:rPr>
            </w:pPr>
            <w:r w:rsidRPr="00434541">
              <w:rPr>
                <w:lang w:val="en-US"/>
              </w:rPr>
              <w:t>SR</w:t>
            </w:r>
          </w:p>
        </w:tc>
        <w:tc>
          <w:tcPr>
            <w:tcW w:w="4632" w:type="pct"/>
          </w:tcPr>
          <w:p w14:paraId="0B89575A" w14:textId="77777777" w:rsidR="00434541" w:rsidRPr="00434541" w:rsidRDefault="00434541" w:rsidP="00434541">
            <w:pPr>
              <w:rPr>
                <w:lang w:val="en-US"/>
              </w:rPr>
            </w:pPr>
            <w:r w:rsidRPr="00434541">
              <w:rPr>
                <w:lang w:val="en-US"/>
              </w:rPr>
              <w:t>Slovenská republika</w:t>
            </w:r>
          </w:p>
        </w:tc>
      </w:tr>
      <w:tr w:rsidR="00434541" w:rsidRPr="00434541" w14:paraId="5FE9FE72" w14:textId="77777777" w:rsidTr="00434541">
        <w:tc>
          <w:tcPr>
            <w:tcW w:w="368" w:type="pct"/>
          </w:tcPr>
          <w:p w14:paraId="36288D3D" w14:textId="77777777" w:rsidR="00434541" w:rsidRPr="00434541" w:rsidRDefault="00434541" w:rsidP="00434541">
            <w:pPr>
              <w:rPr>
                <w:lang w:val="en-US"/>
              </w:rPr>
            </w:pPr>
            <w:r w:rsidRPr="00434541">
              <w:rPr>
                <w:lang w:val="en-US"/>
              </w:rPr>
              <w:t>ŠR</w:t>
            </w:r>
          </w:p>
        </w:tc>
        <w:tc>
          <w:tcPr>
            <w:tcW w:w="4632" w:type="pct"/>
          </w:tcPr>
          <w:p w14:paraId="4CBF3F3E" w14:textId="77777777" w:rsidR="00434541" w:rsidRPr="00434541" w:rsidRDefault="00434541" w:rsidP="00434541">
            <w:pPr>
              <w:rPr>
                <w:lang w:val="en-US"/>
              </w:rPr>
            </w:pPr>
            <w:r w:rsidRPr="00434541">
              <w:rPr>
                <w:lang w:val="en-US"/>
              </w:rPr>
              <w:t>štátny rozpočet</w:t>
            </w:r>
          </w:p>
        </w:tc>
      </w:tr>
      <w:tr w:rsidR="00434541" w:rsidRPr="00434541" w14:paraId="70ADC049" w14:textId="77777777" w:rsidTr="00434541">
        <w:tc>
          <w:tcPr>
            <w:tcW w:w="368" w:type="pct"/>
          </w:tcPr>
          <w:p w14:paraId="2ED33BD9" w14:textId="77777777" w:rsidR="00434541" w:rsidRPr="00434541" w:rsidRDefault="00434541" w:rsidP="00434541">
            <w:pPr>
              <w:rPr>
                <w:lang w:val="en-US"/>
              </w:rPr>
            </w:pPr>
            <w:r w:rsidRPr="00434541">
              <w:rPr>
                <w:lang w:val="en-US"/>
              </w:rPr>
              <w:t>UHP</w:t>
            </w:r>
          </w:p>
        </w:tc>
        <w:tc>
          <w:tcPr>
            <w:tcW w:w="4632" w:type="pct"/>
          </w:tcPr>
          <w:p w14:paraId="78ABC4E7" w14:textId="77777777" w:rsidR="00434541" w:rsidRPr="00434541" w:rsidRDefault="00434541" w:rsidP="00434541">
            <w:pPr>
              <w:rPr>
                <w:lang w:val="en-US"/>
              </w:rPr>
            </w:pPr>
            <w:r w:rsidRPr="00434541">
              <w:rPr>
                <w:lang w:val="en-US"/>
              </w:rPr>
              <w:t>Útvar hodnoty za peniaze Ministerstva financií Slovenskej republiky</w:t>
            </w:r>
          </w:p>
        </w:tc>
      </w:tr>
      <w:tr w:rsidR="00434541" w:rsidRPr="00434541" w14:paraId="569E47B5" w14:textId="77777777" w:rsidTr="00434541">
        <w:tc>
          <w:tcPr>
            <w:tcW w:w="368" w:type="pct"/>
          </w:tcPr>
          <w:p w14:paraId="54B69FCA" w14:textId="77777777" w:rsidR="00434541" w:rsidRPr="00434541" w:rsidRDefault="00434541" w:rsidP="00434541">
            <w:pPr>
              <w:rPr>
                <w:lang w:val="en-US"/>
              </w:rPr>
            </w:pPr>
            <w:r w:rsidRPr="00434541">
              <w:rPr>
                <w:lang w:val="en-US"/>
              </w:rPr>
              <w:t>VPS</w:t>
            </w:r>
          </w:p>
        </w:tc>
        <w:tc>
          <w:tcPr>
            <w:tcW w:w="4632" w:type="pct"/>
          </w:tcPr>
          <w:p w14:paraId="7D1CD82E" w14:textId="77777777" w:rsidR="00434541" w:rsidRPr="00434541" w:rsidRDefault="00434541" w:rsidP="00434541">
            <w:pPr>
              <w:rPr>
                <w:lang w:val="en-US"/>
              </w:rPr>
            </w:pPr>
            <w:r w:rsidRPr="00434541">
              <w:rPr>
                <w:lang w:val="en-US"/>
              </w:rPr>
              <w:t>Všeobecná pokladničná správa  -  rozpočtová kapitola</w:t>
            </w:r>
          </w:p>
        </w:tc>
      </w:tr>
    </w:tbl>
    <w:p w14:paraId="3896C433" w14:textId="77777777" w:rsidR="00BD4E96" w:rsidRDefault="00BD4E96" w:rsidP="00434541">
      <w:pPr>
        <w:ind w:firstLine="0"/>
        <w:sectPr w:rsidR="00BD4E96" w:rsidSect="00434541">
          <w:footerReference w:type="even" r:id="rId18"/>
          <w:footerReference w:type="default" r:id="rId19"/>
          <w:pgSz w:w="16840" w:h="11900" w:orient="landscape"/>
          <w:pgMar w:top="1417" w:right="1417" w:bottom="1417" w:left="1417" w:header="720" w:footer="720" w:gutter="0"/>
          <w:cols w:space="720"/>
          <w:docGrid w:linePitch="360"/>
        </w:sectPr>
      </w:pPr>
    </w:p>
    <w:tbl>
      <w:tblPr>
        <w:tblStyle w:val="Mriekatabuky3"/>
        <w:tblW w:w="0" w:type="auto"/>
        <w:tblLook w:val="04A0" w:firstRow="1" w:lastRow="0" w:firstColumn="1" w:lastColumn="0" w:noHBand="0" w:noVBand="1"/>
      </w:tblPr>
      <w:tblGrid>
        <w:gridCol w:w="9062"/>
      </w:tblGrid>
      <w:tr w:rsidR="00BD4E96" w:rsidRPr="00BD4E96" w14:paraId="5D9BA507" w14:textId="77777777" w:rsidTr="00BD4E96">
        <w:trPr>
          <w:trHeight w:val="567"/>
        </w:trPr>
        <w:tc>
          <w:tcPr>
            <w:tcW w:w="9212" w:type="dxa"/>
            <w:shd w:val="clear" w:color="auto" w:fill="D9D9D9"/>
          </w:tcPr>
          <w:p w14:paraId="13529AC8" w14:textId="77777777" w:rsidR="00BD4E96" w:rsidRPr="00BD4E96" w:rsidRDefault="00BD4E96" w:rsidP="00BD4E96">
            <w:pPr>
              <w:jc w:val="center"/>
              <w:rPr>
                <w:b/>
                <w:szCs w:val="20"/>
                <w:lang w:eastAsia="sk-SK"/>
              </w:rPr>
            </w:pPr>
            <w:r w:rsidRPr="00BD4E96">
              <w:rPr>
                <w:b/>
                <w:sz w:val="28"/>
                <w:szCs w:val="20"/>
                <w:lang w:eastAsia="sk-SK"/>
              </w:rPr>
              <w:lastRenderedPageBreak/>
              <w:t xml:space="preserve">Analýza vplyvov na podnikateľské prostredie </w:t>
            </w:r>
          </w:p>
          <w:p w14:paraId="6308A480" w14:textId="77777777" w:rsidR="00BD4E96" w:rsidRPr="00BD4E96" w:rsidRDefault="00BD4E96" w:rsidP="00BD4E96">
            <w:pPr>
              <w:jc w:val="center"/>
              <w:rPr>
                <w:b/>
                <w:sz w:val="20"/>
                <w:szCs w:val="20"/>
                <w:lang w:eastAsia="sk-SK"/>
              </w:rPr>
            </w:pPr>
            <w:r w:rsidRPr="00BD4E96">
              <w:rPr>
                <w:b/>
                <w:szCs w:val="20"/>
                <w:lang w:eastAsia="sk-SK"/>
              </w:rPr>
              <w:t>(vrátane testu MSP)</w:t>
            </w:r>
          </w:p>
        </w:tc>
      </w:tr>
      <w:tr w:rsidR="00BD4E96" w:rsidRPr="00BD4E96" w14:paraId="073F8381" w14:textId="77777777" w:rsidTr="00BD4E96">
        <w:trPr>
          <w:trHeight w:val="567"/>
        </w:trPr>
        <w:tc>
          <w:tcPr>
            <w:tcW w:w="9212" w:type="dxa"/>
            <w:shd w:val="clear" w:color="auto" w:fill="D9D9D9"/>
          </w:tcPr>
          <w:p w14:paraId="3716F847" w14:textId="77777777" w:rsidR="00BD4E96" w:rsidRPr="00BD4E96" w:rsidRDefault="00BD4E96" w:rsidP="00BD4E96">
            <w:pPr>
              <w:rPr>
                <w:b/>
                <w:szCs w:val="20"/>
                <w:lang w:eastAsia="sk-SK"/>
              </w:rPr>
            </w:pPr>
            <w:r w:rsidRPr="00BD4E96">
              <w:rPr>
                <w:b/>
                <w:szCs w:val="20"/>
                <w:lang w:eastAsia="sk-SK"/>
              </w:rPr>
              <w:t>Materiál bude mať vplyv s ohľadom na veľkostnú kategóriu podnikov:</w:t>
            </w:r>
          </w:p>
        </w:tc>
      </w:tr>
      <w:tr w:rsidR="00BD4E96" w:rsidRPr="00BD4E96" w14:paraId="12B1BB25" w14:textId="77777777" w:rsidTr="00620946">
        <w:trPr>
          <w:trHeight w:val="567"/>
        </w:trPr>
        <w:tc>
          <w:tcPr>
            <w:tcW w:w="9212" w:type="dxa"/>
            <w:shd w:val="clear" w:color="auto" w:fill="auto"/>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BD4E96" w:rsidRPr="00BD4E96" w14:paraId="75B3E6B1" w14:textId="77777777" w:rsidTr="00620946">
              <w:sdt>
                <w:sdtPr>
                  <w:rPr>
                    <w:sz w:val="20"/>
                    <w:szCs w:val="20"/>
                    <w:lang w:eastAsia="sk-SK"/>
                  </w:rPr>
                  <w:id w:val="43339831"/>
                  <w14:checkbox>
                    <w14:checked w14:val="0"/>
                    <w14:checkedState w14:val="2612" w14:font="MS Gothic"/>
                    <w14:uncheckedState w14:val="2610" w14:font="MS Gothic"/>
                  </w14:checkbox>
                </w:sdtPr>
                <w:sdtEndPr/>
                <w:sdtContent>
                  <w:tc>
                    <w:tcPr>
                      <w:tcW w:w="436" w:type="dxa"/>
                    </w:tcPr>
                    <w:p w14:paraId="2AA498D2" w14:textId="77777777" w:rsidR="00BD4E96" w:rsidRPr="00BD4E96" w:rsidRDefault="00BD4E96" w:rsidP="00BD4E96">
                      <w:pPr>
                        <w:jc w:val="center"/>
                        <w:rPr>
                          <w:sz w:val="20"/>
                          <w:szCs w:val="20"/>
                          <w:lang w:eastAsia="sk-SK"/>
                        </w:rPr>
                      </w:pPr>
                      <w:r w:rsidRPr="00BD4E96">
                        <w:rPr>
                          <w:rFonts w:ascii="Segoe UI Symbol" w:eastAsia="MS Mincho" w:hAnsi="Segoe UI Symbol" w:cs="Segoe UI Symbol"/>
                          <w:sz w:val="20"/>
                          <w:szCs w:val="20"/>
                          <w:lang w:eastAsia="sk-SK"/>
                        </w:rPr>
                        <w:t>☐</w:t>
                      </w:r>
                    </w:p>
                  </w:tc>
                </w:sdtContent>
              </w:sdt>
              <w:tc>
                <w:tcPr>
                  <w:tcW w:w="8545" w:type="dxa"/>
                </w:tcPr>
                <w:p w14:paraId="07878988" w14:textId="77777777" w:rsidR="00BD4E96" w:rsidRPr="00BD4E96" w:rsidRDefault="00BD4E96" w:rsidP="00BD4E96">
                  <w:pPr>
                    <w:rPr>
                      <w:b/>
                      <w:sz w:val="20"/>
                      <w:szCs w:val="20"/>
                      <w:lang w:eastAsia="sk-SK"/>
                    </w:rPr>
                  </w:pPr>
                  <w:r w:rsidRPr="00BD4E96">
                    <w:rPr>
                      <w:b/>
                      <w:sz w:val="20"/>
                      <w:szCs w:val="20"/>
                      <w:lang w:eastAsia="sk-SK"/>
                    </w:rPr>
                    <w:t xml:space="preserve">iba na MSP (0 - 249 zamestnancov) </w:t>
                  </w:r>
                </w:p>
              </w:tc>
            </w:tr>
            <w:tr w:rsidR="00BD4E96" w:rsidRPr="00BD4E96" w14:paraId="062B7F90" w14:textId="77777777" w:rsidTr="00620946">
              <w:sdt>
                <w:sdtPr>
                  <w:rPr>
                    <w:sz w:val="20"/>
                    <w:szCs w:val="20"/>
                    <w:lang w:eastAsia="sk-SK"/>
                  </w:rPr>
                  <w:id w:val="-79453833"/>
                  <w14:checkbox>
                    <w14:checked w14:val="0"/>
                    <w14:checkedState w14:val="2612" w14:font="MS Gothic"/>
                    <w14:uncheckedState w14:val="2610" w14:font="MS Gothic"/>
                  </w14:checkbox>
                </w:sdtPr>
                <w:sdtEndPr/>
                <w:sdtContent>
                  <w:tc>
                    <w:tcPr>
                      <w:tcW w:w="436" w:type="dxa"/>
                    </w:tcPr>
                    <w:p w14:paraId="11A60EA9" w14:textId="77777777" w:rsidR="00BD4E96" w:rsidRPr="00BD4E96" w:rsidRDefault="00BD4E96" w:rsidP="00BD4E96">
                      <w:pPr>
                        <w:jc w:val="center"/>
                        <w:rPr>
                          <w:sz w:val="20"/>
                          <w:szCs w:val="20"/>
                          <w:lang w:eastAsia="sk-SK"/>
                        </w:rPr>
                      </w:pPr>
                      <w:r w:rsidRPr="00BD4E96">
                        <w:rPr>
                          <w:rFonts w:ascii="Segoe UI Symbol" w:eastAsia="MS Mincho" w:hAnsi="Segoe UI Symbol" w:cs="Segoe UI Symbol"/>
                          <w:sz w:val="20"/>
                          <w:szCs w:val="20"/>
                          <w:lang w:eastAsia="sk-SK"/>
                        </w:rPr>
                        <w:t>☐</w:t>
                      </w:r>
                    </w:p>
                  </w:tc>
                </w:sdtContent>
              </w:sdt>
              <w:tc>
                <w:tcPr>
                  <w:tcW w:w="8545" w:type="dxa"/>
                </w:tcPr>
                <w:p w14:paraId="2A8D34B3" w14:textId="77777777" w:rsidR="00BD4E96" w:rsidRPr="00BD4E96" w:rsidRDefault="00BD4E96" w:rsidP="00BD4E96">
                  <w:pPr>
                    <w:rPr>
                      <w:b/>
                      <w:sz w:val="20"/>
                      <w:szCs w:val="20"/>
                      <w:lang w:eastAsia="sk-SK"/>
                    </w:rPr>
                  </w:pPr>
                  <w:r w:rsidRPr="00BD4E96">
                    <w:rPr>
                      <w:b/>
                      <w:sz w:val="20"/>
                      <w:szCs w:val="20"/>
                      <w:lang w:eastAsia="sk-SK"/>
                    </w:rPr>
                    <w:t>iba na veľké podniky (250 a viac zamestnancov)</w:t>
                  </w:r>
                </w:p>
              </w:tc>
            </w:tr>
            <w:tr w:rsidR="00BD4E96" w:rsidRPr="00BD4E96" w14:paraId="53522119" w14:textId="77777777" w:rsidTr="00620946">
              <w:sdt>
                <w:sdtPr>
                  <w:rPr>
                    <w:sz w:val="20"/>
                    <w:szCs w:val="20"/>
                    <w:lang w:eastAsia="sk-SK"/>
                  </w:rPr>
                  <w:id w:val="1290634502"/>
                  <w14:checkbox>
                    <w14:checked w14:val="1"/>
                    <w14:checkedState w14:val="2612" w14:font="MS Gothic"/>
                    <w14:uncheckedState w14:val="2610" w14:font="MS Gothic"/>
                  </w14:checkbox>
                </w:sdtPr>
                <w:sdtEndPr/>
                <w:sdtContent>
                  <w:tc>
                    <w:tcPr>
                      <w:tcW w:w="436" w:type="dxa"/>
                    </w:tcPr>
                    <w:p w14:paraId="4DC96432" w14:textId="77777777" w:rsidR="00BD4E96" w:rsidRPr="00BD4E96" w:rsidRDefault="00BD4E96" w:rsidP="00BD4E96">
                      <w:pPr>
                        <w:jc w:val="center"/>
                        <w:rPr>
                          <w:sz w:val="20"/>
                          <w:szCs w:val="20"/>
                          <w:lang w:eastAsia="sk-SK"/>
                        </w:rPr>
                      </w:pPr>
                      <w:r w:rsidRPr="00BD4E96">
                        <w:rPr>
                          <w:rFonts w:eastAsia="MS Gothic" w:hint="eastAsia"/>
                          <w:sz w:val="20"/>
                          <w:szCs w:val="20"/>
                          <w:lang w:eastAsia="sk-SK"/>
                        </w:rPr>
                        <w:t>☒</w:t>
                      </w:r>
                    </w:p>
                  </w:tc>
                </w:sdtContent>
              </w:sdt>
              <w:tc>
                <w:tcPr>
                  <w:tcW w:w="8545" w:type="dxa"/>
                </w:tcPr>
                <w:p w14:paraId="4215A46F" w14:textId="77777777" w:rsidR="00BD4E96" w:rsidRPr="00BD4E96" w:rsidRDefault="00BD4E96" w:rsidP="00BD4E96">
                  <w:pPr>
                    <w:rPr>
                      <w:sz w:val="20"/>
                      <w:szCs w:val="20"/>
                      <w:lang w:eastAsia="sk-SK"/>
                    </w:rPr>
                  </w:pPr>
                  <w:r w:rsidRPr="00BD4E96">
                    <w:rPr>
                      <w:b/>
                      <w:sz w:val="20"/>
                      <w:szCs w:val="20"/>
                      <w:lang w:eastAsia="sk-SK"/>
                    </w:rPr>
                    <w:t>na všetky kategórie podnikov</w:t>
                  </w:r>
                </w:p>
              </w:tc>
            </w:tr>
          </w:tbl>
          <w:p w14:paraId="10CC8FB5" w14:textId="77777777" w:rsidR="00BD4E96" w:rsidRPr="00BD4E96" w:rsidRDefault="00BD4E96" w:rsidP="00BD4E96">
            <w:pPr>
              <w:rPr>
                <w:b/>
                <w:sz w:val="20"/>
                <w:szCs w:val="20"/>
                <w:lang w:eastAsia="sk-SK"/>
              </w:rPr>
            </w:pPr>
          </w:p>
        </w:tc>
      </w:tr>
      <w:tr w:rsidR="00BD4E96" w:rsidRPr="00BD4E96" w14:paraId="5506D4BE" w14:textId="77777777" w:rsidTr="00BD4E96">
        <w:tc>
          <w:tcPr>
            <w:tcW w:w="9212" w:type="dxa"/>
            <w:shd w:val="clear" w:color="auto" w:fill="D9D9D9"/>
          </w:tcPr>
          <w:p w14:paraId="47652A3F" w14:textId="77777777" w:rsidR="00BD4E96" w:rsidRPr="00BD4E96" w:rsidRDefault="00BD4E96" w:rsidP="00BD4E96">
            <w:pPr>
              <w:rPr>
                <w:b/>
                <w:szCs w:val="20"/>
                <w:lang w:eastAsia="sk-SK"/>
              </w:rPr>
            </w:pPr>
            <w:r w:rsidRPr="00BD4E96">
              <w:rPr>
                <w:b/>
                <w:szCs w:val="20"/>
                <w:lang w:eastAsia="sk-SK"/>
              </w:rPr>
              <w:t>3.1 Dotknuté podnikateľské subjekty</w:t>
            </w:r>
          </w:p>
          <w:p w14:paraId="0F128862" w14:textId="77777777" w:rsidR="00BD4E96" w:rsidRPr="00BD4E96" w:rsidRDefault="00BD4E96" w:rsidP="00BD4E96">
            <w:pPr>
              <w:ind w:left="284"/>
              <w:rPr>
                <w:b/>
                <w:sz w:val="20"/>
                <w:szCs w:val="20"/>
                <w:lang w:eastAsia="sk-SK"/>
              </w:rPr>
            </w:pPr>
            <w:r w:rsidRPr="00BD4E96">
              <w:rPr>
                <w:szCs w:val="20"/>
                <w:lang w:eastAsia="sk-SK"/>
              </w:rPr>
              <w:t xml:space="preserve"> - </w:t>
            </w:r>
            <w:r w:rsidRPr="00BD4E96">
              <w:rPr>
                <w:b/>
                <w:szCs w:val="20"/>
                <w:lang w:eastAsia="sk-SK"/>
              </w:rPr>
              <w:t>z toho MSP</w:t>
            </w:r>
          </w:p>
        </w:tc>
      </w:tr>
      <w:tr w:rsidR="00BD4E96" w:rsidRPr="00BD4E96" w14:paraId="48E73D26" w14:textId="77777777" w:rsidTr="00620946">
        <w:tc>
          <w:tcPr>
            <w:tcW w:w="9212" w:type="dxa"/>
            <w:tcBorders>
              <w:bottom w:val="single" w:sz="4" w:space="0" w:color="auto"/>
            </w:tcBorders>
          </w:tcPr>
          <w:p w14:paraId="021C5F42" w14:textId="77777777" w:rsidR="00BD4E96" w:rsidRPr="00BD4E96" w:rsidRDefault="00BD4E96" w:rsidP="00BD4E96">
            <w:pPr>
              <w:rPr>
                <w:i/>
                <w:sz w:val="20"/>
                <w:szCs w:val="20"/>
                <w:lang w:eastAsia="sk-SK"/>
              </w:rPr>
            </w:pPr>
            <w:r w:rsidRPr="00BD4E96">
              <w:rPr>
                <w:i/>
                <w:sz w:val="20"/>
                <w:szCs w:val="20"/>
                <w:lang w:eastAsia="sk-SK"/>
              </w:rPr>
              <w:t>Uveďte, aké podnikateľské subjekty budú predkladaným návrhom ovplyvnené.</w:t>
            </w:r>
          </w:p>
          <w:p w14:paraId="157F1F7A" w14:textId="77777777" w:rsidR="00BD4E96" w:rsidRPr="00BD4E96" w:rsidRDefault="00BD4E96" w:rsidP="00BD4E96">
            <w:pPr>
              <w:rPr>
                <w:i/>
                <w:sz w:val="20"/>
                <w:szCs w:val="20"/>
                <w:lang w:eastAsia="sk-SK"/>
              </w:rPr>
            </w:pPr>
            <w:r w:rsidRPr="00BD4E96">
              <w:rPr>
                <w:i/>
                <w:sz w:val="20"/>
                <w:szCs w:val="20"/>
                <w:lang w:eastAsia="sk-SK"/>
              </w:rPr>
              <w:t>Aký je ich počet?</w:t>
            </w:r>
          </w:p>
        </w:tc>
      </w:tr>
      <w:tr w:rsidR="00BD4E96" w:rsidRPr="00BD4E96" w14:paraId="2C5AD5C0" w14:textId="77777777" w:rsidTr="00620946">
        <w:trPr>
          <w:trHeight w:val="964"/>
        </w:trPr>
        <w:tc>
          <w:tcPr>
            <w:tcW w:w="9212" w:type="dxa"/>
            <w:tcBorders>
              <w:bottom w:val="single" w:sz="4" w:space="0" w:color="auto"/>
            </w:tcBorders>
          </w:tcPr>
          <w:p w14:paraId="6A21C3A1" w14:textId="77777777" w:rsidR="00BD4E96" w:rsidRPr="00BD4E96" w:rsidRDefault="00BD4E96" w:rsidP="00BD4E96">
            <w:pPr>
              <w:rPr>
                <w:b/>
                <w:sz w:val="20"/>
                <w:szCs w:val="20"/>
                <w:lang w:eastAsia="sk-SK"/>
              </w:rPr>
            </w:pPr>
            <w:r w:rsidRPr="00BD4E96">
              <w:rPr>
                <w:b/>
                <w:szCs w:val="20"/>
                <w:lang w:eastAsia="sk-SK"/>
              </w:rPr>
              <w:t>Potenciálne sa zmeny dotknú všetkých ekonomicky aktívnych subjektov, z toho vo vzťahu k novému rozhraniu nového systému JIS sa ročne dotknú cca 25 000 veľkých a malých podnikov produkčných odvetví.</w:t>
            </w:r>
          </w:p>
        </w:tc>
      </w:tr>
      <w:tr w:rsidR="00BD4E96" w:rsidRPr="00BD4E96" w14:paraId="624F6E34" w14:textId="77777777" w:rsidTr="00BD4E96">
        <w:trPr>
          <w:trHeight w:val="339"/>
        </w:trPr>
        <w:tc>
          <w:tcPr>
            <w:tcW w:w="9212" w:type="dxa"/>
            <w:tcBorders>
              <w:bottom w:val="single" w:sz="4" w:space="0" w:color="auto"/>
            </w:tcBorders>
            <w:shd w:val="clear" w:color="auto" w:fill="D9D9D9"/>
          </w:tcPr>
          <w:p w14:paraId="33C6ED8F" w14:textId="77777777" w:rsidR="00BD4E96" w:rsidRPr="00BD4E96" w:rsidRDefault="00BD4E96" w:rsidP="00BD4E96">
            <w:pPr>
              <w:rPr>
                <w:b/>
                <w:szCs w:val="20"/>
                <w:lang w:eastAsia="sk-SK"/>
              </w:rPr>
            </w:pPr>
            <w:r w:rsidRPr="00BD4E96">
              <w:rPr>
                <w:b/>
                <w:szCs w:val="20"/>
                <w:lang w:eastAsia="sk-SK"/>
              </w:rPr>
              <w:t>3.2 Vyhodnotenie konzultácií</w:t>
            </w:r>
          </w:p>
          <w:p w14:paraId="71945360" w14:textId="77777777" w:rsidR="00BD4E96" w:rsidRPr="00BD4E96" w:rsidRDefault="00BD4E96" w:rsidP="00BD4E96">
            <w:pPr>
              <w:rPr>
                <w:b/>
                <w:sz w:val="20"/>
                <w:szCs w:val="20"/>
                <w:lang w:eastAsia="sk-SK"/>
              </w:rPr>
            </w:pPr>
            <w:r w:rsidRPr="00BD4E96">
              <w:rPr>
                <w:szCs w:val="20"/>
                <w:lang w:eastAsia="sk-SK"/>
              </w:rPr>
              <w:t xml:space="preserve">       - </w:t>
            </w:r>
            <w:r w:rsidRPr="00BD4E96">
              <w:rPr>
                <w:b/>
                <w:szCs w:val="20"/>
                <w:lang w:eastAsia="sk-SK"/>
              </w:rPr>
              <w:t>z toho MSP</w:t>
            </w:r>
          </w:p>
        </w:tc>
      </w:tr>
      <w:tr w:rsidR="00BD4E96" w:rsidRPr="00BD4E96" w14:paraId="71E56FF6" w14:textId="77777777" w:rsidTr="00620946">
        <w:trPr>
          <w:trHeight w:val="557"/>
        </w:trPr>
        <w:tc>
          <w:tcPr>
            <w:tcW w:w="9212" w:type="dxa"/>
            <w:tcBorders>
              <w:bottom w:val="single" w:sz="4" w:space="0" w:color="auto"/>
            </w:tcBorders>
          </w:tcPr>
          <w:p w14:paraId="1C43A320" w14:textId="77777777" w:rsidR="00BD4E96" w:rsidRPr="00BD4E96" w:rsidRDefault="00BD4E96" w:rsidP="00BD4E96">
            <w:pPr>
              <w:rPr>
                <w:i/>
                <w:sz w:val="20"/>
                <w:szCs w:val="20"/>
                <w:lang w:eastAsia="sk-SK"/>
              </w:rPr>
            </w:pPr>
            <w:r w:rsidRPr="00BD4E96">
              <w:rPr>
                <w:i/>
                <w:sz w:val="20"/>
                <w:szCs w:val="20"/>
                <w:lang w:eastAsia="sk-SK"/>
              </w:rPr>
              <w:t>Uveďte, akou formou (verejné alebo cielené konzultácie a prečo) a s kým bol návrh konzultovaný.</w:t>
            </w:r>
          </w:p>
          <w:p w14:paraId="69D5BB1E" w14:textId="77777777" w:rsidR="00BD4E96" w:rsidRPr="00BD4E96" w:rsidRDefault="00BD4E96" w:rsidP="00BD4E96">
            <w:pPr>
              <w:rPr>
                <w:i/>
                <w:sz w:val="20"/>
                <w:szCs w:val="20"/>
                <w:lang w:eastAsia="sk-SK"/>
              </w:rPr>
            </w:pPr>
            <w:r w:rsidRPr="00BD4E96">
              <w:rPr>
                <w:i/>
                <w:sz w:val="20"/>
                <w:szCs w:val="20"/>
                <w:lang w:eastAsia="sk-SK"/>
              </w:rPr>
              <w:t>Ako dlho trvali konzultácie?</w:t>
            </w:r>
          </w:p>
          <w:p w14:paraId="47786C74" w14:textId="77777777" w:rsidR="00BD4E96" w:rsidRPr="00BD4E96" w:rsidRDefault="00BD4E96" w:rsidP="00BD4E96">
            <w:pPr>
              <w:rPr>
                <w:i/>
                <w:sz w:val="20"/>
                <w:szCs w:val="20"/>
                <w:lang w:eastAsia="sk-SK"/>
              </w:rPr>
            </w:pPr>
            <w:r w:rsidRPr="00BD4E96">
              <w:rPr>
                <w:i/>
                <w:sz w:val="20"/>
                <w:szCs w:val="20"/>
                <w:lang w:eastAsia="sk-SK"/>
              </w:rPr>
              <w:t xml:space="preserve">Uveďte hlavné body konzultácií a výsledky konzultácií. </w:t>
            </w:r>
          </w:p>
        </w:tc>
      </w:tr>
      <w:tr w:rsidR="00BD4E96" w:rsidRPr="00BD4E96" w14:paraId="21302B9B" w14:textId="77777777" w:rsidTr="00620946">
        <w:trPr>
          <w:trHeight w:val="1440"/>
        </w:trPr>
        <w:tc>
          <w:tcPr>
            <w:tcW w:w="9212" w:type="dxa"/>
            <w:tcBorders>
              <w:bottom w:val="single" w:sz="4" w:space="0" w:color="auto"/>
            </w:tcBorders>
          </w:tcPr>
          <w:p w14:paraId="0A0517B2" w14:textId="77777777" w:rsidR="00BD4E96" w:rsidRPr="00BD4E96" w:rsidRDefault="00BD4E96" w:rsidP="00BD4E96">
            <w:pPr>
              <w:jc w:val="both"/>
              <w:rPr>
                <w:b/>
                <w:szCs w:val="20"/>
                <w:lang w:eastAsia="sk-SK"/>
              </w:rPr>
            </w:pPr>
            <w:r w:rsidRPr="00BD4E96">
              <w:rPr>
                <w:b/>
                <w:szCs w:val="20"/>
                <w:lang w:eastAsia="sk-SK"/>
              </w:rPr>
              <w:t>Predkladateľ návrhu zákona uskutočnil konzultácie osobnou formou so zástupcami podnikateľov</w:t>
            </w:r>
            <w:r w:rsidRPr="00BD4E96">
              <w:rPr>
                <w:szCs w:val="20"/>
                <w:lang w:eastAsia="sk-SK"/>
              </w:rPr>
              <w:t xml:space="preserve"> s Asociáciou priemyselných zväzov SR (29. júl) a Slovak Business Agency, Centrum lepšej regulácie (30. júl).</w:t>
            </w:r>
          </w:p>
          <w:p w14:paraId="006ACDBA" w14:textId="77777777" w:rsidR="00BD4E96" w:rsidRPr="00BD4E96" w:rsidRDefault="00BD4E96" w:rsidP="00BD4E96">
            <w:pPr>
              <w:jc w:val="both"/>
              <w:rPr>
                <w:szCs w:val="20"/>
                <w:lang w:eastAsia="sk-SK"/>
              </w:rPr>
            </w:pPr>
            <w:r w:rsidRPr="00BD4E96">
              <w:rPr>
                <w:szCs w:val="20"/>
                <w:lang w:eastAsia="sk-SK"/>
              </w:rPr>
              <w:t>Z dôvodu umožniť čo najširší výber podnikateľských subjektov, bolo ponechané na rozhodnutí Stálej pracovnej komisii LRV SR pre posudzovanie vplyvov na podnikateľské subjekty, aby oslovila relevantných zástupcov podnikateľov.</w:t>
            </w:r>
          </w:p>
          <w:p w14:paraId="1C6305AE" w14:textId="77777777" w:rsidR="00BD4E96" w:rsidRPr="00BD4E96" w:rsidRDefault="00BD4E96" w:rsidP="00BD4E96">
            <w:pPr>
              <w:jc w:val="both"/>
              <w:rPr>
                <w:szCs w:val="20"/>
                <w:lang w:eastAsia="sk-SK"/>
              </w:rPr>
            </w:pPr>
            <w:r w:rsidRPr="00BD4E96">
              <w:rPr>
                <w:szCs w:val="20"/>
                <w:lang w:eastAsia="sk-SK"/>
              </w:rPr>
              <w:t xml:space="preserve">Oznam o konzultáciách bol zverejnený na webovom sídle úradu na stránke </w:t>
            </w:r>
            <w:hyperlink r:id="rId20" w:history="1">
              <w:r w:rsidRPr="00BD4E96">
                <w:rPr>
                  <w:color w:val="0000FF"/>
                  <w:szCs w:val="20"/>
                  <w:u w:val="single"/>
                  <w:lang w:eastAsia="sk-SK"/>
                </w:rPr>
                <w:t>https://slovak.statistics.sk/wps/portal?urile=wcm:path:/obsah-sk/static-content/onas/legislativa/materialy-na-pripomienkove-konanie</w:t>
              </w:r>
            </w:hyperlink>
            <w:r w:rsidRPr="00BD4E96">
              <w:rPr>
                <w:szCs w:val="20"/>
                <w:lang w:eastAsia="sk-SK"/>
              </w:rPr>
              <w:t xml:space="preserve"> </w:t>
            </w:r>
          </w:p>
          <w:p w14:paraId="1DDDA507" w14:textId="77777777" w:rsidR="00BD4E96" w:rsidRPr="00BD4E96" w:rsidRDefault="00BD4E96" w:rsidP="00BD4E96">
            <w:pPr>
              <w:jc w:val="both"/>
              <w:rPr>
                <w:szCs w:val="20"/>
                <w:lang w:eastAsia="sk-SK"/>
              </w:rPr>
            </w:pPr>
            <w:r w:rsidRPr="00BD4E96">
              <w:rPr>
                <w:szCs w:val="20"/>
                <w:lang w:eastAsia="sk-SK"/>
              </w:rPr>
              <w:t xml:space="preserve">a na webovom sídle Ministerstve hospodárstva Slovenskej republiky na stránke </w:t>
            </w:r>
            <w:hyperlink r:id="rId21" w:history="1">
              <w:r w:rsidRPr="00BD4E96">
                <w:rPr>
                  <w:color w:val="0000FF"/>
                  <w:szCs w:val="20"/>
                  <w:u w:val="single"/>
                  <w:lang w:eastAsia="sk-SK"/>
                </w:rPr>
                <w:t>https://www.mhsr.sk/podnikatelske-prostredie/jednotna-metodika/prebiehajuce-konzultacie-a-predbezne-informacie</w:t>
              </w:r>
            </w:hyperlink>
            <w:r w:rsidRPr="00BD4E96">
              <w:rPr>
                <w:szCs w:val="20"/>
                <w:lang w:eastAsia="sk-SK"/>
              </w:rPr>
              <w:t>.</w:t>
            </w:r>
          </w:p>
          <w:p w14:paraId="5B10C117" w14:textId="77777777" w:rsidR="00BD4E96" w:rsidRPr="00BD4E96" w:rsidRDefault="00BD4E96" w:rsidP="00BD4E96">
            <w:pPr>
              <w:jc w:val="both"/>
              <w:rPr>
                <w:szCs w:val="20"/>
                <w:lang w:eastAsia="sk-SK"/>
              </w:rPr>
            </w:pPr>
            <w:r w:rsidRPr="00BD4E96">
              <w:rPr>
                <w:szCs w:val="20"/>
                <w:lang w:eastAsia="sk-SK"/>
              </w:rPr>
              <w:t>Príslušné subjekty mali možnosť zaslať svoje otázky k materiálu návrhu zákona, ktorý im bol vopred zaslaný spolu s pozvánkami v rozsahu: vlastný materiál, predkladacia správa, dôvodová správa (všeobecná časť, osobitná časť).</w:t>
            </w:r>
          </w:p>
          <w:p w14:paraId="2CCC72C0" w14:textId="77777777" w:rsidR="00BD4E96" w:rsidRPr="00BD4E96" w:rsidRDefault="00BD4E96" w:rsidP="00BD4E96">
            <w:pPr>
              <w:jc w:val="both"/>
              <w:rPr>
                <w:szCs w:val="20"/>
                <w:lang w:eastAsia="sk-SK"/>
              </w:rPr>
            </w:pPr>
            <w:r w:rsidRPr="00BD4E96">
              <w:rPr>
                <w:szCs w:val="20"/>
                <w:lang w:eastAsia="sk-SK"/>
              </w:rPr>
              <w:t xml:space="preserve">Na oboch konzultáciách boli prítomní zamestnanci predkladateľa, ktorí vecne pokrývajú predmet návrhu zákona a spolupracujúci konzultanti, ktorí sa podieľajú na realizácii projektu Reformy zberu a spracovaní štatistických údajov, a priamo súvisiaceho projektu Jednotného informačného systému štatistických údajov </w:t>
            </w:r>
            <w:r w:rsidRPr="00BD4E96">
              <w:rPr>
                <w:lang w:eastAsia="sk-SK"/>
              </w:rPr>
              <w:t>financovaného z Európskeho fondu regionálneho rozvoja v rámci operačného programu Integrovaná infraštruktúra 2014 – 2020.</w:t>
            </w:r>
            <w:r w:rsidRPr="00BD4E96">
              <w:rPr>
                <w:szCs w:val="20"/>
                <w:lang w:eastAsia="sk-SK"/>
              </w:rPr>
              <w:t xml:space="preserve"> K obom konzultáciám bola pripravená elektronická prezentácia ťažiskových oblastí reformy, ktorá je podstatným dôvodom predloženia návrhu zákona.</w:t>
            </w:r>
          </w:p>
          <w:p w14:paraId="3A5AF463" w14:textId="77777777" w:rsidR="00BD4E96" w:rsidRPr="00BD4E96" w:rsidRDefault="00BD4E96" w:rsidP="00BD4E96">
            <w:pPr>
              <w:jc w:val="both"/>
              <w:rPr>
                <w:b/>
                <w:szCs w:val="20"/>
                <w:lang w:eastAsia="sk-SK"/>
              </w:rPr>
            </w:pPr>
            <w:r w:rsidRPr="00BD4E96">
              <w:rPr>
                <w:b/>
                <w:szCs w:val="20"/>
                <w:lang w:eastAsia="sk-SK"/>
              </w:rPr>
              <w:t>Zhrnutie obsahu a výsledkov konzultácií:</w:t>
            </w:r>
          </w:p>
          <w:p w14:paraId="4E5E3C20" w14:textId="77777777" w:rsidR="00BD4E96" w:rsidRPr="00BD4E96" w:rsidRDefault="00BD4E96" w:rsidP="00BD4E96">
            <w:pPr>
              <w:spacing w:line="239" w:lineRule="auto"/>
              <w:ind w:right="30"/>
              <w:jc w:val="both"/>
              <w:rPr>
                <w:color w:val="111111"/>
                <w:lang w:eastAsia="sk-SK"/>
              </w:rPr>
            </w:pPr>
            <w:r w:rsidRPr="00BD4E96">
              <w:rPr>
                <w:color w:val="111111"/>
                <w:lang w:eastAsia="sk-SK"/>
              </w:rPr>
              <w:t>Zástupcovia podnikateľských subjektov vyjadrili všeobecnú výhradu podnikateľských subjektov k štátnym štatistickým zisťovaniam, ktoré navrhujú zjednodušiť, skvalitniť, a podľa možností platiť podnikateľským subjektom za vyplňovanie štatistických výkazov z dôvodu ich spornej hodnoty. Poukázali tiež na povinnosť podnikateľov vypĺňať aj výkazy pre iné subjekty verejnej správy: Sociálnu poisťovňu, zdravotné poisťovne, správcov daní a požadovali, aby štatistický úrad v čo najširšej miere využíval administratívne zdroje údajov týchto subjektov verejnej správy a nevyžadoval od podnikateľov tie údaje, ktoré už podnikateľské subjekty vykázali.</w:t>
            </w:r>
          </w:p>
          <w:p w14:paraId="10358061" w14:textId="77777777" w:rsidR="00BD4E96" w:rsidRPr="00BD4E96" w:rsidRDefault="00BD4E96" w:rsidP="00BD4E96">
            <w:pPr>
              <w:spacing w:line="239" w:lineRule="auto"/>
              <w:ind w:right="30"/>
              <w:jc w:val="both"/>
              <w:rPr>
                <w:color w:val="111111"/>
                <w:lang w:eastAsia="sk-SK"/>
              </w:rPr>
            </w:pPr>
            <w:r w:rsidRPr="00BD4E96">
              <w:rPr>
                <w:color w:val="111111"/>
                <w:lang w:eastAsia="sk-SK"/>
              </w:rPr>
              <w:t>Štatistický úrad odmietol plošné rušenie alebo zjednodušenie štatistických zisťovaní z dôvodu, že by došlo k porušeniu záväzkov SR voči EÚ, pretože cca 90 % štatistických zisťovaní je ustanovená nariadeniami EÚ.</w:t>
            </w:r>
          </w:p>
          <w:p w14:paraId="6F8ABA2A" w14:textId="77777777" w:rsidR="00BD4E96" w:rsidRPr="00BD4E96" w:rsidRDefault="00BD4E96" w:rsidP="00BD4E96">
            <w:pPr>
              <w:spacing w:line="239" w:lineRule="auto"/>
              <w:ind w:right="30"/>
              <w:jc w:val="both"/>
              <w:rPr>
                <w:color w:val="111111"/>
                <w:lang w:eastAsia="sk-SK"/>
              </w:rPr>
            </w:pPr>
            <w:r w:rsidRPr="00BD4E96">
              <w:rPr>
                <w:color w:val="111111"/>
                <w:lang w:eastAsia="sk-SK"/>
              </w:rPr>
              <w:t xml:space="preserve">Štatistický úrad vníma, že vypĺňanie štatistických výkazov predstavuje pre podnikateľské subjekty administratívnu záťaž a snaží sa túto záťaž eliminovať, ako to vyplýva zo z legislatívne zakotvenej </w:t>
            </w:r>
            <w:r w:rsidRPr="00BD4E96">
              <w:rPr>
                <w:color w:val="111111"/>
                <w:lang w:eastAsia="sk-SK"/>
              </w:rPr>
              <w:lastRenderedPageBreak/>
              <w:t>štatistickej zásady efektivity vynaložených nákladov. Ak nejde o vyčerpávajúce zisťovania, ale o výberové zisťovania, v súbore spravodajských jednotiek sa jedna tretina subjektov obmieňa. Odplata za výkon štatistických zisťovaní by musela byť ustanovená zákonom, čo by znamenalo výdavky štátneho rozpočtu.</w:t>
            </w:r>
          </w:p>
          <w:p w14:paraId="3814CE8D" w14:textId="77777777" w:rsidR="00BD4E96" w:rsidRPr="00BD4E96" w:rsidRDefault="00BD4E96" w:rsidP="00BD4E96">
            <w:pPr>
              <w:spacing w:line="239" w:lineRule="auto"/>
              <w:ind w:right="30"/>
              <w:jc w:val="both"/>
              <w:rPr>
                <w:color w:val="111111"/>
                <w:lang w:eastAsia="sk-SK"/>
              </w:rPr>
            </w:pPr>
            <w:r w:rsidRPr="00BD4E96">
              <w:rPr>
                <w:color w:val="111111"/>
                <w:lang w:eastAsia="sk-SK"/>
              </w:rPr>
              <w:t xml:space="preserve">Štatistický úrad informoval zástupcov podnikateľských subjektov, že rozsah požadovaných údajov a termíny pre ich vykazovanie vyplýva z nariadení EÚ. Tento rozsah údajov a termíny sú rozdielne oproti termínom, ktoré sú ustanovené zákonmi pre údaje vykazované v administratívnych zdrojoch údajov. Do úvahy tiež treba vziať tú skutočnosť, že údaje z administratívnych zdrojov sa musia spracovať, čo tiež trvá istý čas, a preto orgán vykonávajúci štátnu štatistiku nemá prístup k takto spracovaným údajom včas. Znižovanie administratívnej záťaže podnikateľských subjektov v oblasti štátnych štatistických zisťovaní treba preto primárne hľadať v národnej neštatistickej legislatíve. </w:t>
            </w:r>
          </w:p>
          <w:p w14:paraId="1144C347" w14:textId="77777777" w:rsidR="00BD4E96" w:rsidRPr="00BD4E96" w:rsidRDefault="00BD4E96" w:rsidP="00BD4E96">
            <w:pPr>
              <w:spacing w:line="239" w:lineRule="auto"/>
              <w:ind w:right="30"/>
              <w:jc w:val="both"/>
              <w:rPr>
                <w:color w:val="111111"/>
                <w:lang w:eastAsia="sk-SK"/>
              </w:rPr>
            </w:pPr>
            <w:r w:rsidRPr="00BD4E96">
              <w:rPr>
                <w:color w:val="111111"/>
                <w:lang w:eastAsia="sk-SK"/>
              </w:rPr>
              <w:t>Štatistický úrad predstavil zástupcom podnikateľských subjektov pripravovaný jednotný informačný systém štátnej štatistiky, ktorého legislatívny základ je súčasťou návrhu zákona a ktorý má okrem iného odbúrať významnú časť administratívnej záťaže spravodajských jednotiek spojenej s poskytovaním štatistických údajov. V rámci zberu údajov budú vytvorené integrácie a aplikačné programové rozhranie (API) pre podnikateľské a iné subjekty.</w:t>
            </w:r>
            <w:r w:rsidRPr="00BD4E96">
              <w:rPr>
                <w:sz w:val="20"/>
                <w:szCs w:val="20"/>
                <w:lang w:eastAsia="sk-SK"/>
              </w:rPr>
              <w:t xml:space="preserve"> </w:t>
            </w:r>
            <w:r w:rsidRPr="00BD4E96">
              <w:rPr>
                <w:color w:val="111111"/>
                <w:lang w:eastAsia="sk-SK"/>
              </w:rPr>
              <w:t>Systém zabezpečí platformu pre implementáciu integrácií na systémy spravodajských jednotiek (najmä účtovné systémy resp. iné systémy spravodajských jednotiek).</w:t>
            </w:r>
          </w:p>
          <w:p w14:paraId="16043C48" w14:textId="77777777" w:rsidR="00BD4E96" w:rsidRPr="00BD4E96" w:rsidRDefault="00BD4E96" w:rsidP="00BD4E96">
            <w:pPr>
              <w:spacing w:line="239" w:lineRule="auto"/>
              <w:ind w:right="30"/>
              <w:jc w:val="both"/>
              <w:rPr>
                <w:color w:val="111111"/>
                <w:lang w:eastAsia="sk-SK"/>
              </w:rPr>
            </w:pPr>
            <w:r w:rsidRPr="00BD4E96">
              <w:rPr>
                <w:color w:val="111111"/>
                <w:lang w:eastAsia="sk-SK"/>
              </w:rPr>
              <w:t>Štatistický úrad informoval, že návrh zákona obsahuje úpravu komunikačnej platformy medzi ním a poskytovateľmi štatistických údajov v podobe možnosti zriadenia a činnosti stálych alebo dočasných poradných orgánov. Táto platforma by mohla v budúcnosti priniesť obojstranný prospech hľadaním riešení aj pri odbúravaní zbytočnej administratívnej záťaže.</w:t>
            </w:r>
          </w:p>
          <w:p w14:paraId="3B89668E" w14:textId="77777777" w:rsidR="00BD4E96" w:rsidRPr="00BD4E96" w:rsidRDefault="00BD4E96" w:rsidP="00BD4E96">
            <w:pPr>
              <w:jc w:val="both"/>
              <w:rPr>
                <w:i/>
                <w:sz w:val="20"/>
                <w:szCs w:val="20"/>
                <w:lang w:eastAsia="sk-SK"/>
              </w:rPr>
            </w:pPr>
            <w:r w:rsidRPr="00BD4E96">
              <w:rPr>
                <w:szCs w:val="20"/>
                <w:lang w:eastAsia="sk-SK"/>
              </w:rPr>
              <w:t>Štatistický úrad doplní dôvodovú správu k návrhu zákona o príklady využitia štatistických údajov pre zabezpečovanie verejných politík, čím chce zvýšiť mieru informovanosti verejnosti a podnikateľov s nutnosťou zberu a spracovania štatistických údajov.</w:t>
            </w:r>
          </w:p>
        </w:tc>
      </w:tr>
      <w:tr w:rsidR="00BD4E96" w:rsidRPr="00BD4E96" w14:paraId="2BCE5664" w14:textId="77777777" w:rsidTr="00BD4E96">
        <w:tc>
          <w:tcPr>
            <w:tcW w:w="9212" w:type="dxa"/>
            <w:shd w:val="clear" w:color="auto" w:fill="D9D9D9"/>
          </w:tcPr>
          <w:p w14:paraId="5005A0DD" w14:textId="77777777" w:rsidR="00BD4E96" w:rsidRPr="00BD4E96" w:rsidRDefault="00BD4E96" w:rsidP="00BD4E96">
            <w:pPr>
              <w:rPr>
                <w:b/>
                <w:szCs w:val="20"/>
                <w:lang w:eastAsia="sk-SK"/>
              </w:rPr>
            </w:pPr>
            <w:r w:rsidRPr="00BD4E96">
              <w:rPr>
                <w:b/>
                <w:szCs w:val="20"/>
                <w:lang w:eastAsia="sk-SK"/>
              </w:rPr>
              <w:lastRenderedPageBreak/>
              <w:t>3.3 Náklady regulácie</w:t>
            </w:r>
          </w:p>
          <w:p w14:paraId="02F92A09" w14:textId="77777777" w:rsidR="00BD4E96" w:rsidRPr="00BD4E96" w:rsidRDefault="00BD4E96" w:rsidP="00BD4E96">
            <w:pPr>
              <w:rPr>
                <w:b/>
                <w:sz w:val="20"/>
                <w:szCs w:val="20"/>
                <w:lang w:eastAsia="sk-SK"/>
              </w:rPr>
            </w:pPr>
            <w:r w:rsidRPr="00BD4E96">
              <w:rPr>
                <w:szCs w:val="20"/>
                <w:lang w:eastAsia="sk-SK"/>
              </w:rPr>
              <w:t xml:space="preserve">      - </w:t>
            </w:r>
            <w:r w:rsidRPr="00BD4E96">
              <w:rPr>
                <w:b/>
                <w:szCs w:val="20"/>
                <w:lang w:eastAsia="sk-SK"/>
              </w:rPr>
              <w:t>z toho MSP</w:t>
            </w:r>
          </w:p>
        </w:tc>
      </w:tr>
      <w:tr w:rsidR="00BD4E96" w:rsidRPr="00BD4E96" w14:paraId="0E016A50" w14:textId="77777777" w:rsidTr="00620946">
        <w:tc>
          <w:tcPr>
            <w:tcW w:w="9212" w:type="dxa"/>
            <w:tcBorders>
              <w:bottom w:val="single" w:sz="4" w:space="0" w:color="auto"/>
            </w:tcBorders>
          </w:tcPr>
          <w:p w14:paraId="25D4F9DF" w14:textId="77777777" w:rsidR="00BD4E96" w:rsidRPr="00BD4E96" w:rsidRDefault="00BD4E96" w:rsidP="00BD4E96">
            <w:pPr>
              <w:rPr>
                <w:b/>
                <w:i/>
                <w:sz w:val="20"/>
                <w:szCs w:val="20"/>
                <w:lang w:eastAsia="sk-SK"/>
              </w:rPr>
            </w:pPr>
            <w:r w:rsidRPr="00BD4E96">
              <w:rPr>
                <w:b/>
                <w:i/>
                <w:sz w:val="20"/>
                <w:szCs w:val="20"/>
                <w:lang w:eastAsia="sk-SK"/>
              </w:rPr>
              <w:t>3.3.1 Priame finančné náklady</w:t>
            </w:r>
          </w:p>
          <w:p w14:paraId="7682ABB0" w14:textId="77777777" w:rsidR="00BD4E96" w:rsidRPr="00BD4E96" w:rsidRDefault="00BD4E96" w:rsidP="00BD4E96">
            <w:pPr>
              <w:rPr>
                <w:i/>
                <w:sz w:val="20"/>
                <w:szCs w:val="20"/>
                <w:lang w:eastAsia="sk-SK"/>
              </w:rPr>
            </w:pPr>
            <w:r w:rsidRPr="00BD4E96">
              <w:rPr>
                <w:i/>
                <w:sz w:val="20"/>
                <w:szCs w:val="20"/>
                <w:lang w:eastAsia="sk-SK"/>
              </w:rPr>
              <w:t xml:space="preserve">Dochádza k zvýšeniu/zníženiu priamych finančných nákladov (poplatky, odvody, dane clá...)? Ak áno, popíšte a vyčíslite ich. Uveďte tiež spôsob ich výpočtu. </w:t>
            </w:r>
          </w:p>
        </w:tc>
      </w:tr>
      <w:tr w:rsidR="00BD4E96" w:rsidRPr="00BD4E96" w14:paraId="3F46D668" w14:textId="77777777" w:rsidTr="00620946">
        <w:trPr>
          <w:trHeight w:val="850"/>
        </w:trPr>
        <w:tc>
          <w:tcPr>
            <w:tcW w:w="9212" w:type="dxa"/>
            <w:tcBorders>
              <w:bottom w:val="single" w:sz="4" w:space="0" w:color="auto"/>
            </w:tcBorders>
          </w:tcPr>
          <w:p w14:paraId="67583DC7" w14:textId="77777777" w:rsidR="00BD4E96" w:rsidRPr="00BD4E96" w:rsidRDefault="00BD4E96" w:rsidP="00BD4E96">
            <w:pPr>
              <w:spacing w:before="120"/>
              <w:rPr>
                <w:b/>
                <w:sz w:val="20"/>
                <w:szCs w:val="20"/>
                <w:lang w:eastAsia="sk-SK"/>
              </w:rPr>
            </w:pPr>
            <w:r w:rsidRPr="00BD4E96">
              <w:rPr>
                <w:b/>
                <w:szCs w:val="20"/>
                <w:lang w:eastAsia="sk-SK"/>
              </w:rPr>
              <w:t>Návrh zákona nezvyšuje ani neznižuje finančné náklady podnikateľských subjektov.</w:t>
            </w:r>
          </w:p>
        </w:tc>
      </w:tr>
      <w:tr w:rsidR="00BD4E96" w:rsidRPr="00BD4E96" w14:paraId="642948B6" w14:textId="77777777" w:rsidTr="00620946">
        <w:tc>
          <w:tcPr>
            <w:tcW w:w="9212" w:type="dxa"/>
            <w:tcBorders>
              <w:bottom w:val="single" w:sz="4" w:space="0" w:color="auto"/>
            </w:tcBorders>
          </w:tcPr>
          <w:p w14:paraId="1B9C28D4" w14:textId="77777777" w:rsidR="00BD4E96" w:rsidRPr="00BD4E96" w:rsidRDefault="00BD4E96" w:rsidP="00BD4E96">
            <w:pPr>
              <w:rPr>
                <w:b/>
                <w:i/>
                <w:sz w:val="20"/>
                <w:szCs w:val="20"/>
                <w:lang w:eastAsia="sk-SK"/>
              </w:rPr>
            </w:pPr>
            <w:r w:rsidRPr="00BD4E96">
              <w:rPr>
                <w:b/>
                <w:i/>
                <w:sz w:val="20"/>
                <w:szCs w:val="20"/>
                <w:lang w:eastAsia="sk-SK"/>
              </w:rPr>
              <w:t>3.3.2 Nepriame finančné náklady</w:t>
            </w:r>
          </w:p>
          <w:p w14:paraId="50D706B6" w14:textId="77777777" w:rsidR="00BD4E96" w:rsidRPr="00BD4E96" w:rsidRDefault="00BD4E96" w:rsidP="00BD4E96">
            <w:pPr>
              <w:rPr>
                <w:i/>
                <w:sz w:val="20"/>
                <w:szCs w:val="20"/>
                <w:lang w:eastAsia="sk-SK"/>
              </w:rPr>
            </w:pPr>
            <w:r w:rsidRPr="00BD4E96">
              <w:rPr>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BD4E96" w:rsidRPr="00BD4E96" w14:paraId="445AAEE4" w14:textId="77777777" w:rsidTr="00620946">
        <w:trPr>
          <w:trHeight w:val="850"/>
        </w:trPr>
        <w:tc>
          <w:tcPr>
            <w:tcW w:w="9212" w:type="dxa"/>
            <w:tcBorders>
              <w:bottom w:val="single" w:sz="4" w:space="0" w:color="auto"/>
            </w:tcBorders>
          </w:tcPr>
          <w:p w14:paraId="1ED74ABB" w14:textId="77777777" w:rsidR="00BD4E96" w:rsidRPr="00BD4E96" w:rsidRDefault="00BD4E96" w:rsidP="00BD4E96">
            <w:pPr>
              <w:spacing w:before="120"/>
              <w:rPr>
                <w:b/>
                <w:sz w:val="20"/>
                <w:szCs w:val="20"/>
                <w:lang w:eastAsia="sk-SK"/>
              </w:rPr>
            </w:pPr>
            <w:r w:rsidRPr="00BD4E96">
              <w:rPr>
                <w:b/>
                <w:szCs w:val="20"/>
                <w:lang w:eastAsia="sk-SK"/>
              </w:rPr>
              <w:t>Návrh zákona nevytvára dodatočné náklady na nákup tovarov a služieb.</w:t>
            </w:r>
          </w:p>
        </w:tc>
      </w:tr>
      <w:tr w:rsidR="00BD4E96" w:rsidRPr="00BD4E96" w14:paraId="5268C15F" w14:textId="77777777" w:rsidTr="00620946">
        <w:tc>
          <w:tcPr>
            <w:tcW w:w="9212" w:type="dxa"/>
            <w:tcBorders>
              <w:bottom w:val="single" w:sz="4" w:space="0" w:color="auto"/>
            </w:tcBorders>
          </w:tcPr>
          <w:p w14:paraId="65F43B31" w14:textId="77777777" w:rsidR="00BD4E96" w:rsidRPr="00BD4E96" w:rsidRDefault="00BD4E96" w:rsidP="00BD4E96">
            <w:pPr>
              <w:rPr>
                <w:b/>
                <w:i/>
                <w:sz w:val="20"/>
                <w:szCs w:val="20"/>
                <w:lang w:eastAsia="sk-SK"/>
              </w:rPr>
            </w:pPr>
            <w:r w:rsidRPr="00BD4E96">
              <w:rPr>
                <w:b/>
                <w:i/>
                <w:sz w:val="20"/>
                <w:szCs w:val="20"/>
                <w:lang w:eastAsia="sk-SK"/>
              </w:rPr>
              <w:t>3.3.3 Administratívne náklady</w:t>
            </w:r>
          </w:p>
          <w:p w14:paraId="658FA2E3" w14:textId="77777777" w:rsidR="00BD4E96" w:rsidRPr="00BD4E96" w:rsidRDefault="00BD4E96" w:rsidP="00BD4E96">
            <w:pPr>
              <w:rPr>
                <w:i/>
                <w:sz w:val="20"/>
                <w:szCs w:val="20"/>
                <w:lang w:eastAsia="sk-SK"/>
              </w:rPr>
            </w:pPr>
            <w:r w:rsidRPr="00BD4E96">
              <w:rPr>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D4E96" w:rsidRPr="00BD4E96" w14:paraId="7C6BCD00" w14:textId="77777777" w:rsidTr="00620946">
        <w:tc>
          <w:tcPr>
            <w:tcW w:w="9212" w:type="dxa"/>
            <w:tcBorders>
              <w:bottom w:val="single" w:sz="4" w:space="0" w:color="auto"/>
            </w:tcBorders>
          </w:tcPr>
          <w:p w14:paraId="17CF2A5D" w14:textId="77777777" w:rsidR="00BD4E96" w:rsidRPr="00BD4E96" w:rsidRDefault="00BD4E96" w:rsidP="00BD4E96">
            <w:pPr>
              <w:spacing w:before="120"/>
              <w:jc w:val="both"/>
              <w:rPr>
                <w:b/>
                <w:szCs w:val="20"/>
                <w:lang w:eastAsia="sk-SK"/>
              </w:rPr>
            </w:pPr>
            <w:r w:rsidRPr="00BD4E96">
              <w:rPr>
                <w:b/>
                <w:szCs w:val="20"/>
                <w:lang w:eastAsia="sk-SK"/>
              </w:rPr>
              <w:t>Návrh zákona definuje v §12a Jednotný informačný systém štátnej štatistiky, prostredníctvom ktorého bude možné eliminovať administratívnu záťaž na strane podnikateľov a to predovšetkým</w:t>
            </w:r>
          </w:p>
          <w:p w14:paraId="0198E4E4" w14:textId="77777777" w:rsidR="00BD4E96" w:rsidRPr="00BD4E96" w:rsidRDefault="00BD4E96" w:rsidP="00B6407E">
            <w:pPr>
              <w:numPr>
                <w:ilvl w:val="0"/>
                <w:numId w:val="21"/>
              </w:numPr>
              <w:spacing w:before="120"/>
              <w:jc w:val="both"/>
              <w:rPr>
                <w:rFonts w:eastAsia="Calibri"/>
                <w:b/>
                <w:szCs w:val="20"/>
              </w:rPr>
            </w:pPr>
            <w:r w:rsidRPr="00BD4E96">
              <w:rPr>
                <w:rFonts w:eastAsia="Calibri"/>
                <w:b/>
                <w:szCs w:val="20"/>
              </w:rPr>
              <w:t>Integráciou na „core“ systémy podnikateľov prostredníctvom vytvorenia aplikačných rozhraní</w:t>
            </w:r>
            <w:r w:rsidRPr="00BD4E96">
              <w:rPr>
                <w:rFonts w:eastAsia="Calibri"/>
                <w:b/>
                <w:szCs w:val="20"/>
              </w:rPr>
              <w:tab/>
            </w:r>
          </w:p>
          <w:p w14:paraId="6191ADA8" w14:textId="77777777" w:rsidR="00BD4E96" w:rsidRPr="00BD4E96" w:rsidRDefault="00BD4E96" w:rsidP="00B6407E">
            <w:pPr>
              <w:numPr>
                <w:ilvl w:val="0"/>
                <w:numId w:val="21"/>
              </w:numPr>
              <w:spacing w:before="120"/>
              <w:jc w:val="both"/>
              <w:rPr>
                <w:rFonts w:eastAsia="Calibri"/>
                <w:b/>
                <w:szCs w:val="20"/>
              </w:rPr>
            </w:pPr>
            <w:r w:rsidRPr="00BD4E96">
              <w:rPr>
                <w:rFonts w:eastAsia="Calibri"/>
                <w:b/>
                <w:szCs w:val="20"/>
              </w:rPr>
              <w:t>Modernizáciou komunikácie s podnikateľskými jednotkami</w:t>
            </w:r>
          </w:p>
          <w:p w14:paraId="2CBFF407" w14:textId="77777777" w:rsidR="00BD4E96" w:rsidRPr="00BD4E96" w:rsidRDefault="00BD4E96" w:rsidP="00B6407E">
            <w:pPr>
              <w:numPr>
                <w:ilvl w:val="0"/>
                <w:numId w:val="21"/>
              </w:numPr>
              <w:spacing w:before="120"/>
              <w:jc w:val="both"/>
              <w:rPr>
                <w:rFonts w:eastAsia="Calibri"/>
                <w:b/>
                <w:szCs w:val="20"/>
              </w:rPr>
            </w:pPr>
            <w:r w:rsidRPr="00BD4E96">
              <w:rPr>
                <w:rFonts w:eastAsia="Calibri"/>
                <w:b/>
                <w:szCs w:val="20"/>
              </w:rPr>
              <w:t>Interné integráciou administratívnych a iných zdrojov naprieč celým národným štatistickým systémom</w:t>
            </w:r>
          </w:p>
          <w:p w14:paraId="5B01885C" w14:textId="77777777" w:rsidR="00BD4E96" w:rsidRPr="00BD4E96" w:rsidRDefault="00BD4E96" w:rsidP="00BD4E96">
            <w:pPr>
              <w:spacing w:before="120"/>
              <w:jc w:val="both"/>
              <w:rPr>
                <w:b/>
                <w:szCs w:val="20"/>
                <w:lang w:eastAsia="sk-SK"/>
              </w:rPr>
            </w:pPr>
            <w:r w:rsidRPr="00BD4E96">
              <w:rPr>
                <w:b/>
                <w:szCs w:val="20"/>
                <w:lang w:eastAsia="sk-SK"/>
              </w:rPr>
              <w:lastRenderedPageBreak/>
              <w:t>V rámci CBA IT projektu bolo analyzovaných 141 (rok 2017), pričom bolo vytypovaných 32 zisťovaní, na ktoré má navrhovaný IT systém vplyv. Boli vybrané zisťovania, ktoré mali nasledovné parametre:</w:t>
            </w:r>
          </w:p>
          <w:p w14:paraId="64D906C3"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Zabrali v globále viac ako 5000 hodín</w:t>
            </w:r>
          </w:p>
          <w:p w14:paraId="74E562C5"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Do zisťovania bolo zapojených viac ako 1000 jednotiek</w:t>
            </w:r>
          </w:p>
          <w:p w14:paraId="1F0B0A0B"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Zisťovanie trvalo viac ako 20 min.</w:t>
            </w:r>
          </w:p>
          <w:p w14:paraId="058CFFD2" w14:textId="77777777" w:rsidR="00BD4E96" w:rsidRPr="00BD4E96" w:rsidRDefault="00BD4E96" w:rsidP="00BD4E96">
            <w:pPr>
              <w:spacing w:before="120"/>
              <w:jc w:val="both"/>
              <w:rPr>
                <w:b/>
                <w:szCs w:val="20"/>
                <w:lang w:eastAsia="sk-SK"/>
              </w:rPr>
            </w:pPr>
            <w:r w:rsidRPr="00BD4E96">
              <w:rPr>
                <w:b/>
                <w:szCs w:val="20"/>
                <w:lang w:eastAsia="sk-SK"/>
              </w:rPr>
              <w:t xml:space="preserve">Pre každé zisťovanie sa v spolupráci s garantami zisťovaní identifikovali percentuálne dopady vyššie uvedených opatrení, z čoho vznikla úspora času na strane spravodajských jednotiek. </w:t>
            </w:r>
          </w:p>
          <w:p w14:paraId="0D3EDB22" w14:textId="77777777" w:rsidR="00BD4E96" w:rsidRPr="00BD4E96" w:rsidRDefault="00BD4E96" w:rsidP="00BD4E96">
            <w:pPr>
              <w:spacing w:before="120"/>
              <w:jc w:val="both"/>
              <w:rPr>
                <w:b/>
                <w:szCs w:val="20"/>
                <w:lang w:eastAsia="sk-SK"/>
              </w:rPr>
            </w:pPr>
            <w:r w:rsidRPr="00BD4E96">
              <w:rPr>
                <w:b/>
                <w:szCs w:val="20"/>
                <w:lang w:eastAsia="sk-SK"/>
              </w:rPr>
              <w:t xml:space="preserve">Vybrané zisťovania mali nasledovné parametre: </w:t>
            </w:r>
          </w:p>
          <w:p w14:paraId="3F695189" w14:textId="77777777" w:rsidR="00BD4E96" w:rsidRPr="00BD4E96" w:rsidRDefault="00BD4E96" w:rsidP="00B6407E">
            <w:pPr>
              <w:numPr>
                <w:ilvl w:val="0"/>
                <w:numId w:val="22"/>
              </w:numPr>
              <w:spacing w:before="120"/>
              <w:jc w:val="both"/>
              <w:rPr>
                <w:rFonts w:eastAsia="Calibri"/>
                <w:szCs w:val="20"/>
              </w:rPr>
            </w:pPr>
            <w:r w:rsidRPr="00BD4E96">
              <w:rPr>
                <w:rFonts w:eastAsia="Calibri"/>
                <w:b/>
                <w:szCs w:val="20"/>
              </w:rPr>
              <w:t xml:space="preserve">Zisťovania sa dotkli 525 220 spravodajských jednotiek </w:t>
            </w:r>
            <w:r w:rsidRPr="00BD4E96">
              <w:rPr>
                <w:rFonts w:eastAsia="Calibri"/>
                <w:szCs w:val="20"/>
              </w:rPr>
              <w:t>(</w:t>
            </w:r>
            <w:r w:rsidRPr="00BD4E96">
              <w:rPr>
                <w:rFonts w:eastAsia="Calibri"/>
              </w:rPr>
              <w:t>k tomu pozri poznámku na konci textu)</w:t>
            </w:r>
          </w:p>
          <w:p w14:paraId="4669D8B9"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 xml:space="preserve">Zaťažovali spravodajské jednotky 602 031 hodín ročne, </w:t>
            </w:r>
          </w:p>
          <w:p w14:paraId="65AC16E2"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Finančne stáli zisťovania spravodajské jednotky 6 432 672 € (transformácia času na náklady - čas ohodnotený mzdou pre daný typ podnikateľského subjektu)</w:t>
            </w:r>
          </w:p>
          <w:p w14:paraId="15F6C89A" w14:textId="77777777" w:rsidR="00BD4E96" w:rsidRPr="00BD4E96" w:rsidRDefault="00BD4E96" w:rsidP="00BD4E96">
            <w:pPr>
              <w:spacing w:before="120"/>
              <w:jc w:val="both"/>
              <w:rPr>
                <w:b/>
                <w:szCs w:val="20"/>
                <w:lang w:eastAsia="sk-SK"/>
              </w:rPr>
            </w:pPr>
            <w:r w:rsidRPr="00BD4E96">
              <w:rPr>
                <w:b/>
                <w:szCs w:val="20"/>
                <w:lang w:eastAsia="sk-SK"/>
              </w:rPr>
              <w:t>Aplikovaním potenciálnych % úspor na zisťovania boli definované nasledovné dopady:</w:t>
            </w:r>
          </w:p>
          <w:p w14:paraId="377A7005" w14:textId="77777777" w:rsidR="00BD4E96" w:rsidRPr="00BD4E96" w:rsidRDefault="00BD4E96" w:rsidP="00B6407E">
            <w:pPr>
              <w:numPr>
                <w:ilvl w:val="0"/>
                <w:numId w:val="22"/>
              </w:numPr>
              <w:spacing w:before="120"/>
              <w:jc w:val="both"/>
              <w:rPr>
                <w:rFonts w:eastAsia="Calibri"/>
                <w:b/>
                <w:szCs w:val="20"/>
              </w:rPr>
            </w:pPr>
            <w:r w:rsidRPr="00BD4E96">
              <w:rPr>
                <w:rFonts w:eastAsia="Calibri"/>
                <w:b/>
                <w:szCs w:val="20"/>
              </w:rPr>
              <w:t>Úspora času – 231 394 hodín (ročne)</w:t>
            </w:r>
          </w:p>
          <w:p w14:paraId="6F2852DE" w14:textId="77777777" w:rsidR="00BD4E96" w:rsidRPr="00BD4E96" w:rsidRDefault="00BD4E96" w:rsidP="00B6407E">
            <w:pPr>
              <w:numPr>
                <w:ilvl w:val="0"/>
                <w:numId w:val="22"/>
              </w:numPr>
              <w:spacing w:before="120"/>
              <w:jc w:val="both"/>
              <w:rPr>
                <w:rFonts w:eastAsia="Calibri"/>
                <w:b/>
                <w:sz w:val="20"/>
                <w:szCs w:val="20"/>
              </w:rPr>
            </w:pPr>
            <w:r w:rsidRPr="00BD4E96">
              <w:rPr>
                <w:rFonts w:eastAsia="Calibri"/>
                <w:b/>
                <w:szCs w:val="20"/>
              </w:rPr>
              <w:t>Úspora nákladov – 2 468 978 € (ročne)</w:t>
            </w:r>
          </w:p>
          <w:p w14:paraId="790013CB" w14:textId="77777777" w:rsidR="00BD4E96" w:rsidRPr="00BD4E96" w:rsidRDefault="00BD4E96" w:rsidP="00BD4E96">
            <w:pPr>
              <w:jc w:val="both"/>
              <w:rPr>
                <w:b/>
                <w:bCs/>
                <w:color w:val="000000"/>
                <w:lang w:eastAsia="sk-SK"/>
              </w:rPr>
            </w:pPr>
            <w:r w:rsidRPr="00BD4E96">
              <w:rPr>
                <w:b/>
                <w:bCs/>
                <w:color w:val="000000"/>
                <w:lang w:eastAsia="sk-SK"/>
              </w:rPr>
              <w:t xml:space="preserve">Samotná regulácia a budovanie nového IS nevytvára povinnosť pre spravodajské jednotky sa na tento IS pripojiť. Naďalej môžu využívať existujúce možnosti zberu štatistických údajov, ktoré regulácia žiadnym spôsobom nemení ani neupravuje. V tomto prípade je vplyv na spravodajské jednotky NEUTRÁLNY. </w:t>
            </w:r>
          </w:p>
          <w:p w14:paraId="13044A69" w14:textId="77777777" w:rsidR="00BD4E96" w:rsidRPr="00BD4E96" w:rsidRDefault="00BD4E96" w:rsidP="00BD4E96">
            <w:pPr>
              <w:jc w:val="both"/>
              <w:rPr>
                <w:b/>
                <w:bCs/>
                <w:color w:val="000000"/>
                <w:lang w:eastAsia="sk-SK"/>
              </w:rPr>
            </w:pPr>
            <w:r w:rsidRPr="00BD4E96">
              <w:rPr>
                <w:b/>
                <w:bCs/>
                <w:color w:val="000000"/>
                <w:lang w:eastAsia="sk-SK"/>
              </w:rPr>
              <w:t>V prípade, ak sa spravodajská jednotka rozhodne využiť komponenty JISSU na automatizovaný zber údajov budú dopady POZITÍVNE a to z dôvodu ušetrenia administratívnych nákladov, ktoré boli kalkulované aj v CBA projektu. Jediným nákladom je vytvorenie reportu z ERP (alebo iného informačného systému podnikateľa), ktorý bude poskytovať dáta do JISSU</w:t>
            </w:r>
            <w:r w:rsidRPr="00BD4E96">
              <w:rPr>
                <w:bCs/>
                <w:color w:val="000000"/>
                <w:lang w:eastAsia="sk-SK"/>
              </w:rPr>
              <w:t xml:space="preserve">, </w:t>
            </w:r>
            <w:r w:rsidRPr="00BD4E96">
              <w:rPr>
                <w:b/>
                <w:bCs/>
                <w:color w:val="000000"/>
                <w:lang w:eastAsia="sk-SK"/>
              </w:rPr>
              <w:t>pričom následná práca z údajmi bude v module JISSU. Tieto</w:t>
            </w:r>
            <w:r w:rsidRPr="00BD4E96">
              <w:rPr>
                <w:bCs/>
                <w:color w:val="000000"/>
                <w:lang w:eastAsia="sk-SK"/>
              </w:rPr>
              <w:t xml:space="preserve"> </w:t>
            </w:r>
            <w:r w:rsidRPr="00BD4E96">
              <w:rPr>
                <w:b/>
                <w:bCs/>
                <w:color w:val="000000"/>
                <w:lang w:eastAsia="sk-SK"/>
              </w:rPr>
              <w:t>náklady budú jednorazového charakteru a nepresiahnu pozitíva, ktoré majú dlhodobý charakter. Predpokladáme, že tieto náklady budú znášať poskytovatelia produkčných IS, čím pre nich vznikne konkurenčná výhoda poskytovaných službách a produktov. Samotné náklady v súčasnosti nie je možné vyčísliť.</w:t>
            </w:r>
          </w:p>
          <w:p w14:paraId="26A754C5" w14:textId="77777777" w:rsidR="00BD4E96" w:rsidRPr="00BD4E96" w:rsidRDefault="00BD4E96" w:rsidP="00BD4E96">
            <w:pPr>
              <w:spacing w:before="120"/>
              <w:jc w:val="both"/>
              <w:rPr>
                <w:b/>
                <w:sz w:val="20"/>
                <w:szCs w:val="20"/>
                <w:lang w:eastAsia="sk-SK"/>
              </w:rPr>
            </w:pPr>
            <w:r w:rsidRPr="00BD4E96">
              <w:rPr>
                <w:b/>
                <w:szCs w:val="20"/>
                <w:lang w:eastAsia="sk-SK"/>
              </w:rPr>
              <w:t>Poznámka</w:t>
            </w:r>
            <w:r w:rsidRPr="00BD4E96">
              <w:rPr>
                <w:szCs w:val="20"/>
                <w:lang w:eastAsia="sk-SK"/>
              </w:rPr>
              <w:t xml:space="preserve"> : Vysvetlenie rozdielu v počte dotknutých spravodajských jednotiek v bodoch 3.1. a 3.3. tejto analýzy je nasledovné. V bode 3.3.3 Administratívne náklady je podľa CBA počet 525 220 dotknutých spravodajských jednotiek, zatiaľ čo v bode 3.1 Dotknuté podnikateľské subjekty sa uvádza cca 25 000 veľkých a malých podnikov produkčných odvetví. Rozdiel v počtoch spočíva v tom, že podľa CBA sa do počtu dotknutých spravodajských jednotiek zahŕňa každá spravodajská jednotka toľkokrát, koľkokrát bola oslovená v rôznych zisťovaniach a opakovane aj za všetky periódy roka (v súlade s metodikou pre hodnotenie administratívnej záťaže respondentov), zatiaľ čo počet „25 000 veľkých a malých podnikov produkčných odvetví“ zahŕňa každú spravodajskú jednotku len raz a tento počet sa týka kľúčových štvrťročných a ročných produkčných zisťovaní vo vzťahu k novému rozhraniu budovaného JIS ŠU. .</w:t>
            </w:r>
          </w:p>
        </w:tc>
      </w:tr>
      <w:tr w:rsidR="00BD4E96" w:rsidRPr="00BD4E96" w14:paraId="375B4D96" w14:textId="77777777" w:rsidTr="00620946">
        <w:trPr>
          <w:trHeight w:val="2318"/>
        </w:trPr>
        <w:tc>
          <w:tcPr>
            <w:tcW w:w="9212" w:type="dxa"/>
            <w:tcBorders>
              <w:bottom w:val="single" w:sz="4" w:space="0" w:color="auto"/>
            </w:tcBorders>
          </w:tcPr>
          <w:p w14:paraId="4EA4651F" w14:textId="77777777" w:rsidR="00BD4E96" w:rsidRPr="00BD4E96" w:rsidRDefault="00BD4E96" w:rsidP="00BD4E96">
            <w:pPr>
              <w:rPr>
                <w:i/>
                <w:sz w:val="20"/>
                <w:szCs w:val="20"/>
                <w:lang w:eastAsia="sk-SK"/>
              </w:rPr>
            </w:pPr>
            <w:r w:rsidRPr="00BD4E96">
              <w:rPr>
                <w:b/>
                <w:i/>
                <w:sz w:val="20"/>
                <w:szCs w:val="20"/>
                <w:lang w:eastAsia="sk-SK"/>
              </w:rPr>
              <w:lastRenderedPageBreak/>
              <w:t>3.3.4 Súhrnná tabuľka nákladov regulácie</w:t>
            </w:r>
          </w:p>
          <w:p w14:paraId="13C8344D" w14:textId="77777777" w:rsidR="00BD4E96" w:rsidRPr="00BD4E96" w:rsidRDefault="00BD4E96" w:rsidP="00BD4E96">
            <w:pPr>
              <w:rPr>
                <w:i/>
                <w:sz w:val="20"/>
                <w:szCs w:val="20"/>
                <w:lang w:eastAsia="sk-SK"/>
              </w:rPr>
            </w:pPr>
          </w:p>
          <w:tbl>
            <w:tblPr>
              <w:tblStyle w:val="Mriekatabuky3"/>
              <w:tblW w:w="0" w:type="auto"/>
              <w:tblLook w:val="04A0" w:firstRow="1" w:lastRow="0" w:firstColumn="1" w:lastColumn="0" w:noHBand="0" w:noVBand="1"/>
            </w:tblPr>
            <w:tblGrid>
              <w:gridCol w:w="2950"/>
              <w:gridCol w:w="2940"/>
              <w:gridCol w:w="2946"/>
            </w:tblGrid>
            <w:tr w:rsidR="00BD4E96" w:rsidRPr="00BD4E96" w14:paraId="458D3D97" w14:textId="77777777" w:rsidTr="00620946">
              <w:tc>
                <w:tcPr>
                  <w:tcW w:w="2993" w:type="dxa"/>
                </w:tcPr>
                <w:p w14:paraId="028B1FE1" w14:textId="77777777" w:rsidR="00BD4E96" w:rsidRPr="00BD4E96" w:rsidRDefault="00BD4E96" w:rsidP="00BD4E96">
                  <w:pPr>
                    <w:rPr>
                      <w:szCs w:val="20"/>
                      <w:lang w:eastAsia="sk-SK"/>
                    </w:rPr>
                  </w:pPr>
                </w:p>
              </w:tc>
              <w:tc>
                <w:tcPr>
                  <w:tcW w:w="2994" w:type="dxa"/>
                </w:tcPr>
                <w:p w14:paraId="2E52AD2B" w14:textId="77777777" w:rsidR="00BD4E96" w:rsidRPr="00BD4E96" w:rsidRDefault="00BD4E96" w:rsidP="00BD4E96">
                  <w:pPr>
                    <w:jc w:val="center"/>
                    <w:rPr>
                      <w:szCs w:val="20"/>
                      <w:lang w:eastAsia="sk-SK"/>
                    </w:rPr>
                  </w:pPr>
                  <w:r w:rsidRPr="00BD4E96">
                    <w:rPr>
                      <w:szCs w:val="20"/>
                      <w:lang w:eastAsia="sk-SK"/>
                    </w:rPr>
                    <w:t>Náklady na 1 podnikateľa</w:t>
                  </w:r>
                </w:p>
              </w:tc>
              <w:tc>
                <w:tcPr>
                  <w:tcW w:w="2994" w:type="dxa"/>
                </w:tcPr>
                <w:p w14:paraId="34CA0777" w14:textId="77777777" w:rsidR="00BD4E96" w:rsidRPr="00BD4E96" w:rsidRDefault="00BD4E96" w:rsidP="00BD4E96">
                  <w:pPr>
                    <w:jc w:val="center"/>
                    <w:rPr>
                      <w:szCs w:val="20"/>
                      <w:lang w:eastAsia="sk-SK"/>
                    </w:rPr>
                  </w:pPr>
                  <w:r w:rsidRPr="00BD4E96">
                    <w:rPr>
                      <w:szCs w:val="20"/>
                      <w:lang w:eastAsia="sk-SK"/>
                    </w:rPr>
                    <w:t>Náklady na celé podnikateľské prostredie</w:t>
                  </w:r>
                </w:p>
              </w:tc>
            </w:tr>
            <w:tr w:rsidR="00BD4E96" w:rsidRPr="00BD4E96" w14:paraId="6DC57FBC" w14:textId="77777777" w:rsidTr="00620946">
              <w:tc>
                <w:tcPr>
                  <w:tcW w:w="2993" w:type="dxa"/>
                </w:tcPr>
                <w:p w14:paraId="5680B022" w14:textId="77777777" w:rsidR="00BD4E96" w:rsidRPr="00BD4E96" w:rsidRDefault="00BD4E96" w:rsidP="00BD4E96">
                  <w:pPr>
                    <w:rPr>
                      <w:szCs w:val="20"/>
                      <w:lang w:eastAsia="sk-SK"/>
                    </w:rPr>
                  </w:pPr>
                  <w:r w:rsidRPr="00BD4E96">
                    <w:rPr>
                      <w:szCs w:val="20"/>
                      <w:lang w:eastAsia="sk-SK"/>
                    </w:rPr>
                    <w:t>Priame finančné náklady</w:t>
                  </w:r>
                </w:p>
              </w:tc>
              <w:tc>
                <w:tcPr>
                  <w:tcW w:w="2994" w:type="dxa"/>
                  <w:vAlign w:val="center"/>
                </w:tcPr>
                <w:p w14:paraId="21F1DFDF" w14:textId="77777777" w:rsidR="00BD4E96" w:rsidRPr="00BD4E96" w:rsidRDefault="00BD4E96" w:rsidP="00BD4E96">
                  <w:pPr>
                    <w:jc w:val="right"/>
                    <w:rPr>
                      <w:szCs w:val="20"/>
                      <w:lang w:eastAsia="sk-SK"/>
                    </w:rPr>
                  </w:pPr>
                  <w:r w:rsidRPr="00BD4E96">
                    <w:rPr>
                      <w:szCs w:val="20"/>
                      <w:lang w:eastAsia="sk-SK"/>
                    </w:rPr>
                    <w:t>0</w:t>
                  </w:r>
                </w:p>
              </w:tc>
              <w:tc>
                <w:tcPr>
                  <w:tcW w:w="2994" w:type="dxa"/>
                  <w:vAlign w:val="center"/>
                </w:tcPr>
                <w:p w14:paraId="5726277B" w14:textId="77777777" w:rsidR="00BD4E96" w:rsidRPr="00BD4E96" w:rsidRDefault="00BD4E96" w:rsidP="00BD4E96">
                  <w:pPr>
                    <w:jc w:val="right"/>
                    <w:rPr>
                      <w:szCs w:val="20"/>
                      <w:lang w:eastAsia="sk-SK"/>
                    </w:rPr>
                  </w:pPr>
                  <w:r w:rsidRPr="00BD4E96">
                    <w:rPr>
                      <w:szCs w:val="20"/>
                      <w:lang w:eastAsia="sk-SK"/>
                    </w:rPr>
                    <w:t>0</w:t>
                  </w:r>
                </w:p>
              </w:tc>
            </w:tr>
            <w:tr w:rsidR="00BD4E96" w:rsidRPr="00BD4E96" w14:paraId="1A721423" w14:textId="77777777" w:rsidTr="00620946">
              <w:tc>
                <w:tcPr>
                  <w:tcW w:w="2993" w:type="dxa"/>
                </w:tcPr>
                <w:p w14:paraId="4CC23845" w14:textId="77777777" w:rsidR="00BD4E96" w:rsidRPr="00BD4E96" w:rsidRDefault="00BD4E96" w:rsidP="00BD4E96">
                  <w:pPr>
                    <w:rPr>
                      <w:szCs w:val="20"/>
                      <w:lang w:eastAsia="sk-SK"/>
                    </w:rPr>
                  </w:pPr>
                  <w:r w:rsidRPr="00BD4E96">
                    <w:rPr>
                      <w:szCs w:val="20"/>
                      <w:lang w:eastAsia="sk-SK"/>
                    </w:rPr>
                    <w:t>Nepriame finančné náklady</w:t>
                  </w:r>
                </w:p>
              </w:tc>
              <w:tc>
                <w:tcPr>
                  <w:tcW w:w="2994" w:type="dxa"/>
                  <w:vAlign w:val="center"/>
                </w:tcPr>
                <w:p w14:paraId="51F59B56" w14:textId="77777777" w:rsidR="00BD4E96" w:rsidRPr="00BD4E96" w:rsidRDefault="00BD4E96" w:rsidP="00BD4E96">
                  <w:pPr>
                    <w:jc w:val="right"/>
                    <w:rPr>
                      <w:szCs w:val="20"/>
                      <w:lang w:eastAsia="sk-SK"/>
                    </w:rPr>
                  </w:pPr>
                  <w:r w:rsidRPr="00BD4E96">
                    <w:rPr>
                      <w:szCs w:val="20"/>
                      <w:lang w:eastAsia="sk-SK"/>
                    </w:rPr>
                    <w:t>0</w:t>
                  </w:r>
                </w:p>
              </w:tc>
              <w:tc>
                <w:tcPr>
                  <w:tcW w:w="2994" w:type="dxa"/>
                  <w:vAlign w:val="center"/>
                </w:tcPr>
                <w:p w14:paraId="56551E23" w14:textId="77777777" w:rsidR="00BD4E96" w:rsidRPr="00BD4E96" w:rsidRDefault="00BD4E96" w:rsidP="00BD4E96">
                  <w:pPr>
                    <w:jc w:val="right"/>
                    <w:rPr>
                      <w:szCs w:val="20"/>
                      <w:lang w:eastAsia="sk-SK"/>
                    </w:rPr>
                  </w:pPr>
                  <w:r w:rsidRPr="00BD4E96">
                    <w:rPr>
                      <w:szCs w:val="20"/>
                      <w:lang w:eastAsia="sk-SK"/>
                    </w:rPr>
                    <w:t>0</w:t>
                  </w:r>
                </w:p>
              </w:tc>
            </w:tr>
            <w:tr w:rsidR="00BD4E96" w:rsidRPr="00BD4E96" w14:paraId="72828CE5" w14:textId="77777777" w:rsidTr="00620946">
              <w:tc>
                <w:tcPr>
                  <w:tcW w:w="2993" w:type="dxa"/>
                </w:tcPr>
                <w:p w14:paraId="257B3A04" w14:textId="77777777" w:rsidR="00BD4E96" w:rsidRPr="00BD4E96" w:rsidRDefault="00BD4E96" w:rsidP="00BD4E96">
                  <w:pPr>
                    <w:rPr>
                      <w:szCs w:val="20"/>
                      <w:lang w:eastAsia="sk-SK"/>
                    </w:rPr>
                  </w:pPr>
                  <w:r w:rsidRPr="00BD4E96">
                    <w:rPr>
                      <w:szCs w:val="20"/>
                      <w:lang w:eastAsia="sk-SK"/>
                    </w:rPr>
                    <w:t>Administratívne náklady</w:t>
                  </w:r>
                </w:p>
              </w:tc>
              <w:tc>
                <w:tcPr>
                  <w:tcW w:w="2994" w:type="dxa"/>
                  <w:vAlign w:val="center"/>
                </w:tcPr>
                <w:p w14:paraId="036D60E2" w14:textId="77777777" w:rsidR="00BD4E96" w:rsidRPr="00BD4E96" w:rsidRDefault="00BD4E96" w:rsidP="00BD4E96">
                  <w:pPr>
                    <w:jc w:val="right"/>
                    <w:rPr>
                      <w:rFonts w:eastAsia="Calibri"/>
                      <w:szCs w:val="20"/>
                    </w:rPr>
                  </w:pPr>
                  <w:r w:rsidRPr="00BD4E96">
                    <w:rPr>
                      <w:rFonts w:eastAsia="Calibri"/>
                      <w:szCs w:val="20"/>
                    </w:rPr>
                    <w:t>−4,7 €</w:t>
                  </w:r>
                </w:p>
              </w:tc>
              <w:tc>
                <w:tcPr>
                  <w:tcW w:w="2994" w:type="dxa"/>
                  <w:vAlign w:val="center"/>
                </w:tcPr>
                <w:p w14:paraId="162A5EC6" w14:textId="77777777" w:rsidR="00BD4E96" w:rsidRPr="00BD4E96" w:rsidRDefault="00BD4E96" w:rsidP="00BD4E96">
                  <w:pPr>
                    <w:jc w:val="right"/>
                    <w:rPr>
                      <w:rFonts w:eastAsia="Calibri"/>
                      <w:szCs w:val="20"/>
                    </w:rPr>
                  </w:pPr>
                  <w:r w:rsidRPr="00BD4E96">
                    <w:rPr>
                      <w:rFonts w:eastAsia="Calibri"/>
                      <w:szCs w:val="20"/>
                    </w:rPr>
                    <w:t>−2 468 978 €</w:t>
                  </w:r>
                </w:p>
              </w:tc>
            </w:tr>
            <w:tr w:rsidR="00BD4E96" w:rsidRPr="00BD4E96" w14:paraId="34F10549" w14:textId="77777777" w:rsidTr="00620946">
              <w:tc>
                <w:tcPr>
                  <w:tcW w:w="2993" w:type="dxa"/>
                </w:tcPr>
                <w:p w14:paraId="15642B86" w14:textId="77777777" w:rsidR="00BD4E96" w:rsidRPr="00BD4E96" w:rsidRDefault="00BD4E96" w:rsidP="00BD4E96">
                  <w:pPr>
                    <w:rPr>
                      <w:b/>
                      <w:szCs w:val="20"/>
                      <w:lang w:eastAsia="sk-SK"/>
                    </w:rPr>
                  </w:pPr>
                  <w:r w:rsidRPr="00BD4E96">
                    <w:rPr>
                      <w:b/>
                      <w:szCs w:val="20"/>
                      <w:lang w:eastAsia="sk-SK"/>
                    </w:rPr>
                    <w:t>Celkové náklady regulácie</w:t>
                  </w:r>
                </w:p>
              </w:tc>
              <w:tc>
                <w:tcPr>
                  <w:tcW w:w="2994" w:type="dxa"/>
                  <w:vAlign w:val="center"/>
                </w:tcPr>
                <w:p w14:paraId="3EE670BF" w14:textId="77777777" w:rsidR="00BD4E96" w:rsidRPr="00BD4E96" w:rsidRDefault="00BD4E96" w:rsidP="00BD4E96">
                  <w:pPr>
                    <w:jc w:val="right"/>
                    <w:rPr>
                      <w:b/>
                      <w:szCs w:val="20"/>
                      <w:lang w:eastAsia="sk-SK"/>
                    </w:rPr>
                  </w:pPr>
                  <w:r w:rsidRPr="00BD4E96">
                    <w:rPr>
                      <w:b/>
                      <w:szCs w:val="20"/>
                      <w:lang w:eastAsia="sk-SK"/>
                    </w:rPr>
                    <w:t>−4,7 €</w:t>
                  </w:r>
                </w:p>
              </w:tc>
              <w:tc>
                <w:tcPr>
                  <w:tcW w:w="2994" w:type="dxa"/>
                  <w:vAlign w:val="center"/>
                </w:tcPr>
                <w:p w14:paraId="29802AA7" w14:textId="77777777" w:rsidR="00BD4E96" w:rsidRPr="00BD4E96" w:rsidRDefault="00BD4E96" w:rsidP="00BD4E96">
                  <w:pPr>
                    <w:jc w:val="right"/>
                    <w:rPr>
                      <w:rFonts w:eastAsia="Calibri"/>
                      <w:b/>
                      <w:szCs w:val="20"/>
                    </w:rPr>
                  </w:pPr>
                  <w:r w:rsidRPr="00BD4E96">
                    <w:rPr>
                      <w:rFonts w:eastAsia="Calibri"/>
                      <w:b/>
                      <w:szCs w:val="20"/>
                    </w:rPr>
                    <w:t>−2 468 978 €</w:t>
                  </w:r>
                </w:p>
              </w:tc>
            </w:tr>
          </w:tbl>
          <w:p w14:paraId="1D649957" w14:textId="77777777" w:rsidR="00BD4E96" w:rsidRPr="00BD4E96" w:rsidRDefault="00BD4E96" w:rsidP="00BD4E96">
            <w:pPr>
              <w:rPr>
                <w:i/>
                <w:sz w:val="20"/>
                <w:szCs w:val="20"/>
                <w:lang w:eastAsia="sk-SK"/>
              </w:rPr>
            </w:pPr>
          </w:p>
        </w:tc>
      </w:tr>
      <w:tr w:rsidR="00BD4E96" w:rsidRPr="00BD4E96" w14:paraId="208271D9" w14:textId="77777777" w:rsidTr="00BD4E96">
        <w:tc>
          <w:tcPr>
            <w:tcW w:w="9212" w:type="dxa"/>
            <w:shd w:val="clear" w:color="auto" w:fill="D9D9D9"/>
          </w:tcPr>
          <w:p w14:paraId="44BC490F" w14:textId="77777777" w:rsidR="00BD4E96" w:rsidRPr="00BD4E96" w:rsidRDefault="00BD4E96" w:rsidP="00BD4E96">
            <w:pPr>
              <w:rPr>
                <w:b/>
                <w:szCs w:val="20"/>
                <w:lang w:eastAsia="sk-SK"/>
              </w:rPr>
            </w:pPr>
            <w:r w:rsidRPr="00BD4E96">
              <w:rPr>
                <w:b/>
                <w:szCs w:val="20"/>
                <w:lang w:eastAsia="sk-SK"/>
              </w:rPr>
              <w:t>3.4 Konkurencieschopnosť a správanie sa podnikov na trhu</w:t>
            </w:r>
          </w:p>
          <w:p w14:paraId="064BAEED" w14:textId="77777777" w:rsidR="00BD4E96" w:rsidRPr="00BD4E96" w:rsidRDefault="00BD4E96" w:rsidP="00BD4E96">
            <w:pPr>
              <w:rPr>
                <w:sz w:val="20"/>
                <w:szCs w:val="20"/>
                <w:lang w:eastAsia="sk-SK"/>
              </w:rPr>
            </w:pPr>
            <w:r w:rsidRPr="00BD4E96">
              <w:rPr>
                <w:b/>
                <w:szCs w:val="20"/>
                <w:lang w:eastAsia="sk-SK"/>
              </w:rPr>
              <w:t xml:space="preserve">       </w:t>
            </w:r>
            <w:r w:rsidRPr="00BD4E96">
              <w:rPr>
                <w:szCs w:val="20"/>
                <w:lang w:eastAsia="sk-SK"/>
              </w:rPr>
              <w:t xml:space="preserve">- </w:t>
            </w:r>
            <w:r w:rsidRPr="00BD4E96">
              <w:rPr>
                <w:b/>
                <w:szCs w:val="20"/>
                <w:lang w:eastAsia="sk-SK"/>
              </w:rPr>
              <w:t>z toho MSP</w:t>
            </w:r>
          </w:p>
        </w:tc>
      </w:tr>
      <w:tr w:rsidR="00BD4E96" w:rsidRPr="00BD4E96" w14:paraId="2A423FC3" w14:textId="77777777" w:rsidTr="00620946">
        <w:tc>
          <w:tcPr>
            <w:tcW w:w="9212" w:type="dxa"/>
            <w:tcBorders>
              <w:bottom w:val="single" w:sz="4" w:space="0" w:color="auto"/>
            </w:tcBorders>
          </w:tcPr>
          <w:p w14:paraId="47564AB4" w14:textId="77777777" w:rsidR="00BD4E96" w:rsidRPr="00BD4E96" w:rsidRDefault="00BD4E96" w:rsidP="00BD4E96">
            <w:pPr>
              <w:rPr>
                <w:i/>
                <w:sz w:val="20"/>
                <w:szCs w:val="20"/>
                <w:lang w:eastAsia="sk-SK"/>
              </w:rPr>
            </w:pPr>
            <w:r w:rsidRPr="00BD4E96">
              <w:rPr>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547CB00F" w14:textId="77777777" w:rsidR="00BD4E96" w:rsidRPr="00BD4E96" w:rsidRDefault="00BD4E96" w:rsidP="00BD4E96">
            <w:pPr>
              <w:rPr>
                <w:i/>
                <w:sz w:val="20"/>
                <w:szCs w:val="20"/>
                <w:lang w:eastAsia="sk-SK"/>
              </w:rPr>
            </w:pPr>
            <w:r w:rsidRPr="00BD4E96">
              <w:rPr>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14:paraId="4E7B1307" w14:textId="77777777" w:rsidR="00BD4E96" w:rsidRPr="00BD4E96" w:rsidRDefault="00BD4E96" w:rsidP="00BD4E96">
            <w:pPr>
              <w:rPr>
                <w:i/>
                <w:sz w:val="20"/>
                <w:szCs w:val="20"/>
                <w:lang w:eastAsia="sk-SK"/>
              </w:rPr>
            </w:pPr>
            <w:r w:rsidRPr="00BD4E96">
              <w:rPr>
                <w:i/>
                <w:sz w:val="20"/>
                <w:szCs w:val="20"/>
                <w:lang w:eastAsia="sk-SK"/>
              </w:rPr>
              <w:t>Ako ovplyvní cenu alebo dostupnosť základných zdrojov (suroviny, mechanizmy, pracovná sila, energie atď.)?</w:t>
            </w:r>
          </w:p>
          <w:p w14:paraId="6295DCBE" w14:textId="77777777" w:rsidR="00BD4E96" w:rsidRPr="00BD4E96" w:rsidRDefault="00BD4E96" w:rsidP="00BD4E96">
            <w:pPr>
              <w:rPr>
                <w:i/>
                <w:sz w:val="20"/>
                <w:szCs w:val="20"/>
                <w:lang w:eastAsia="sk-SK"/>
              </w:rPr>
            </w:pPr>
            <w:r w:rsidRPr="00BD4E96">
              <w:rPr>
                <w:i/>
                <w:sz w:val="20"/>
                <w:szCs w:val="20"/>
                <w:lang w:eastAsia="sk-SK"/>
              </w:rPr>
              <w:t>Ovplyvňuje prístup k financiám? Ak áno, ako?</w:t>
            </w:r>
          </w:p>
        </w:tc>
      </w:tr>
      <w:tr w:rsidR="00BD4E96" w:rsidRPr="00BD4E96" w14:paraId="4F710815" w14:textId="77777777" w:rsidTr="00620946">
        <w:trPr>
          <w:trHeight w:val="850"/>
        </w:trPr>
        <w:tc>
          <w:tcPr>
            <w:tcW w:w="9212" w:type="dxa"/>
            <w:tcBorders>
              <w:bottom w:val="single" w:sz="4" w:space="0" w:color="auto"/>
            </w:tcBorders>
          </w:tcPr>
          <w:p w14:paraId="4A94F468" w14:textId="77777777" w:rsidR="00BD4E96" w:rsidRPr="00BD4E96" w:rsidRDefault="00BD4E96" w:rsidP="00BD4E96">
            <w:pPr>
              <w:rPr>
                <w:b/>
                <w:i/>
                <w:sz w:val="20"/>
                <w:szCs w:val="20"/>
                <w:lang w:eastAsia="sk-SK"/>
              </w:rPr>
            </w:pPr>
            <w:r w:rsidRPr="00BD4E96">
              <w:rPr>
                <w:b/>
                <w:szCs w:val="20"/>
                <w:lang w:eastAsia="sk-SK"/>
              </w:rPr>
              <w:t>Materiál nemá vplyv na konkurencieschopnosť a správanie sa podnikov na trhu.</w:t>
            </w:r>
          </w:p>
        </w:tc>
      </w:tr>
      <w:tr w:rsidR="00BD4E96" w:rsidRPr="00BD4E96" w14:paraId="5EDB967A" w14:textId="77777777" w:rsidTr="00BD4E96">
        <w:tc>
          <w:tcPr>
            <w:tcW w:w="9212" w:type="dxa"/>
            <w:shd w:val="clear" w:color="auto" w:fill="D9D9D9"/>
          </w:tcPr>
          <w:p w14:paraId="3E4FE05A" w14:textId="77777777" w:rsidR="00BD4E96" w:rsidRPr="00BD4E96" w:rsidRDefault="00BD4E96" w:rsidP="00BD4E96">
            <w:pPr>
              <w:rPr>
                <w:b/>
                <w:szCs w:val="20"/>
                <w:lang w:eastAsia="sk-SK"/>
              </w:rPr>
            </w:pPr>
            <w:r w:rsidRPr="00BD4E96">
              <w:rPr>
                <w:b/>
                <w:szCs w:val="20"/>
                <w:lang w:eastAsia="sk-SK"/>
              </w:rPr>
              <w:t xml:space="preserve">3.5 Inovácie </w:t>
            </w:r>
          </w:p>
          <w:p w14:paraId="195EA48E" w14:textId="77777777" w:rsidR="00BD4E96" w:rsidRPr="00BD4E96" w:rsidRDefault="00BD4E96" w:rsidP="00BD4E96">
            <w:pPr>
              <w:rPr>
                <w:b/>
                <w:sz w:val="20"/>
                <w:szCs w:val="20"/>
                <w:lang w:eastAsia="sk-SK"/>
              </w:rPr>
            </w:pPr>
            <w:r w:rsidRPr="00BD4E96">
              <w:rPr>
                <w:szCs w:val="20"/>
                <w:lang w:eastAsia="sk-SK"/>
              </w:rPr>
              <w:t xml:space="preserve">       - </w:t>
            </w:r>
            <w:r w:rsidRPr="00BD4E96">
              <w:rPr>
                <w:b/>
                <w:szCs w:val="20"/>
                <w:lang w:eastAsia="sk-SK"/>
              </w:rPr>
              <w:t>z toho MSP</w:t>
            </w:r>
          </w:p>
        </w:tc>
      </w:tr>
      <w:tr w:rsidR="00BD4E96" w:rsidRPr="00BD4E96" w14:paraId="7FD75019" w14:textId="77777777" w:rsidTr="00620946">
        <w:tc>
          <w:tcPr>
            <w:tcW w:w="9212" w:type="dxa"/>
          </w:tcPr>
          <w:p w14:paraId="2928BDAF" w14:textId="77777777" w:rsidR="00BD4E96" w:rsidRPr="00BD4E96" w:rsidRDefault="00BD4E96" w:rsidP="00BD4E96">
            <w:pPr>
              <w:rPr>
                <w:i/>
                <w:sz w:val="20"/>
                <w:szCs w:val="20"/>
                <w:lang w:eastAsia="sk-SK"/>
              </w:rPr>
            </w:pPr>
            <w:r w:rsidRPr="00BD4E96">
              <w:rPr>
                <w:i/>
                <w:sz w:val="20"/>
                <w:szCs w:val="20"/>
                <w:lang w:eastAsia="sk-SK"/>
              </w:rPr>
              <w:t>Uveďte, ako podporuje navrhovaná zmena inovácie.</w:t>
            </w:r>
          </w:p>
          <w:p w14:paraId="1B01A39D" w14:textId="77777777" w:rsidR="00BD4E96" w:rsidRPr="00BD4E96" w:rsidRDefault="00BD4E96" w:rsidP="00BD4E96">
            <w:pPr>
              <w:rPr>
                <w:i/>
                <w:sz w:val="20"/>
                <w:szCs w:val="20"/>
                <w:lang w:eastAsia="sk-SK"/>
              </w:rPr>
            </w:pPr>
            <w:r w:rsidRPr="00BD4E96">
              <w:rPr>
                <w:i/>
                <w:sz w:val="20"/>
                <w:szCs w:val="20"/>
                <w:lang w:eastAsia="sk-SK"/>
              </w:rPr>
              <w:t>Zjednodušuje uvedenie alebo rozšírenie nových výrobných metód, technológií a výrobkov na trh?</w:t>
            </w:r>
          </w:p>
          <w:p w14:paraId="28EE8AFD" w14:textId="77777777" w:rsidR="00BD4E96" w:rsidRPr="00BD4E96" w:rsidRDefault="00BD4E96" w:rsidP="00BD4E96">
            <w:pPr>
              <w:rPr>
                <w:i/>
                <w:sz w:val="20"/>
                <w:szCs w:val="20"/>
                <w:lang w:eastAsia="sk-SK"/>
              </w:rPr>
            </w:pPr>
            <w:r w:rsidRPr="00BD4E96">
              <w:rPr>
                <w:i/>
                <w:sz w:val="20"/>
                <w:szCs w:val="20"/>
                <w:lang w:eastAsia="sk-SK"/>
              </w:rPr>
              <w:t>Uveďte, ako vplýva navrhovaná zmena na jednotlivé práva duševného vlastníctva (napr. patenty, ochranné známky, autorské práva, vlastníctvo know-how).</w:t>
            </w:r>
          </w:p>
          <w:p w14:paraId="6256D44A" w14:textId="77777777" w:rsidR="00BD4E96" w:rsidRPr="00BD4E96" w:rsidRDefault="00BD4E96" w:rsidP="00BD4E96">
            <w:pPr>
              <w:rPr>
                <w:i/>
                <w:sz w:val="20"/>
                <w:szCs w:val="20"/>
                <w:lang w:eastAsia="sk-SK"/>
              </w:rPr>
            </w:pPr>
            <w:r w:rsidRPr="00BD4E96">
              <w:rPr>
                <w:i/>
                <w:sz w:val="20"/>
                <w:szCs w:val="20"/>
                <w:lang w:eastAsia="sk-SK"/>
              </w:rPr>
              <w:t>Podporuje vyššiu efektivitu výroby/využívania zdrojov? Ak áno, ako?</w:t>
            </w:r>
          </w:p>
          <w:p w14:paraId="381B068E" w14:textId="77777777" w:rsidR="00BD4E96" w:rsidRPr="00BD4E96" w:rsidRDefault="00BD4E96" w:rsidP="00BD4E96">
            <w:pPr>
              <w:rPr>
                <w:sz w:val="20"/>
                <w:szCs w:val="20"/>
                <w:lang w:eastAsia="sk-SK"/>
              </w:rPr>
            </w:pPr>
            <w:r w:rsidRPr="00BD4E96">
              <w:rPr>
                <w:i/>
                <w:sz w:val="20"/>
                <w:szCs w:val="20"/>
                <w:lang w:eastAsia="sk-SK"/>
              </w:rPr>
              <w:t>Vytvorí zmena nové pracovné miesta pre zamestnancov výskumu a vývoja v SR?</w:t>
            </w:r>
          </w:p>
        </w:tc>
      </w:tr>
      <w:tr w:rsidR="00BD4E96" w:rsidRPr="00BD4E96" w14:paraId="3BF7A26D" w14:textId="77777777" w:rsidTr="00620946">
        <w:trPr>
          <w:trHeight w:val="1747"/>
        </w:trPr>
        <w:tc>
          <w:tcPr>
            <w:tcW w:w="9212" w:type="dxa"/>
          </w:tcPr>
          <w:p w14:paraId="0228B91C" w14:textId="77777777" w:rsidR="00BD4E96" w:rsidRPr="00BD4E96" w:rsidRDefault="00BD4E96" w:rsidP="00BD4E96">
            <w:pPr>
              <w:spacing w:before="120"/>
              <w:jc w:val="both"/>
              <w:rPr>
                <w:b/>
                <w:szCs w:val="20"/>
                <w:lang w:eastAsia="sk-SK"/>
              </w:rPr>
            </w:pPr>
            <w:r w:rsidRPr="00BD4E96">
              <w:rPr>
                <w:b/>
                <w:szCs w:val="20"/>
                <w:lang w:eastAsia="sk-SK"/>
              </w:rPr>
              <w:t xml:space="preserve">Materiál nemá jednoznačne identifikovateľný vplyv na inovácie. Očakávaná vyššia efektivita štatistických produkčných procesov a koordinácia pri tvorbe štatistického portfólia môže v budúcnosti zvýšiť využívanie verejných dátových zdrojov, z dôvodu zvýšenia počtu a kvality štatistických produktov orgánov vykonávajúcich štátnu štatistiku, ich väčšej rôznorodosti a zlepšenia ich dostupnosti. </w:t>
            </w:r>
          </w:p>
          <w:p w14:paraId="6F521B8B" w14:textId="77777777" w:rsidR="00BD4E96" w:rsidRPr="00BD4E96" w:rsidRDefault="00BD4E96" w:rsidP="00BD4E96">
            <w:pPr>
              <w:jc w:val="both"/>
              <w:rPr>
                <w:b/>
                <w:sz w:val="20"/>
                <w:szCs w:val="20"/>
                <w:lang w:eastAsia="sk-SK"/>
              </w:rPr>
            </w:pPr>
            <w:r w:rsidRPr="00BD4E96">
              <w:rPr>
                <w:b/>
                <w:szCs w:val="20"/>
                <w:lang w:eastAsia="sk-SK"/>
              </w:rPr>
              <w:t>Zároveň skvalitnenie štatistických produktov a štatistických údajov publikovaných prostredníctvom diseminácie alebo v režime „Open Data“ prispeje aj v Slovenskej republike k zvýšeniu potenciálu dátovej ekonomiky, ktoré je jednou z hlavných súčasných iniciatív na európskej úrovni, pretože štatistické údaje sa stávajú surovinou, ktorá má bezprostredný vplyv na zefektívňovanie ekonomiky a vytváranie nových príležitostí.</w:t>
            </w:r>
          </w:p>
        </w:tc>
      </w:tr>
    </w:tbl>
    <w:p w14:paraId="261F14FA" w14:textId="77777777" w:rsidR="00BD4E96" w:rsidRPr="00BD4E96" w:rsidRDefault="00BD4E96" w:rsidP="00BD4E96">
      <w:pPr>
        <w:spacing w:after="0" w:line="240" w:lineRule="auto"/>
        <w:ind w:firstLine="0"/>
        <w:jc w:val="left"/>
        <w:rPr>
          <w:sz w:val="20"/>
          <w:szCs w:val="20"/>
          <w:lang w:eastAsia="sk-SK"/>
        </w:rPr>
      </w:pPr>
    </w:p>
    <w:p w14:paraId="6DA29D8F" w14:textId="32CAE105" w:rsidR="00BD4E96" w:rsidRDefault="00BD4E96">
      <w: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1701"/>
        <w:gridCol w:w="992"/>
      </w:tblGrid>
      <w:tr w:rsidR="00BD4E96" w:rsidRPr="00BD4E96" w14:paraId="4988ABAB" w14:textId="77777777" w:rsidTr="00620946">
        <w:trPr>
          <w:trHeight w:val="20"/>
        </w:trPr>
        <w:tc>
          <w:tcPr>
            <w:tcW w:w="9371" w:type="dxa"/>
            <w:gridSpan w:val="5"/>
            <w:shd w:val="clear" w:color="auto" w:fill="BFBFBF"/>
            <w:vAlign w:val="center"/>
          </w:tcPr>
          <w:p w14:paraId="575BA0AB" w14:textId="77777777" w:rsidR="00BD4E96" w:rsidRPr="00BD4E96" w:rsidRDefault="00BD4E96" w:rsidP="00BD4E96">
            <w:pPr>
              <w:spacing w:after="0" w:line="240" w:lineRule="auto"/>
              <w:ind w:firstLine="0"/>
              <w:jc w:val="center"/>
              <w:rPr>
                <w:b/>
                <w:bCs/>
                <w:lang w:eastAsia="sk-SK"/>
              </w:rPr>
            </w:pPr>
            <w:r w:rsidRPr="00BD4E96">
              <w:rPr>
                <w:b/>
                <w:bCs/>
                <w:lang w:eastAsia="sk-SK"/>
              </w:rPr>
              <w:lastRenderedPageBreak/>
              <w:t>Analýza vplyvov na informatizáciu spoločnosti</w:t>
            </w:r>
          </w:p>
          <w:p w14:paraId="712F9589" w14:textId="77777777" w:rsidR="00BD4E96" w:rsidRPr="00BD4E96" w:rsidRDefault="00BD4E96" w:rsidP="00BD4E96">
            <w:pPr>
              <w:spacing w:after="0" w:line="240" w:lineRule="auto"/>
              <w:ind w:firstLine="0"/>
              <w:jc w:val="center"/>
              <w:rPr>
                <w:b/>
                <w:i/>
                <w:iCs/>
                <w:lang w:eastAsia="sk-SK"/>
              </w:rPr>
            </w:pPr>
            <w:r w:rsidRPr="00BD4E96">
              <w:rPr>
                <w:b/>
                <w:lang w:eastAsia="sk-SK"/>
              </w:rPr>
              <w:t>Budovanie základných pilierov informatizácie</w:t>
            </w:r>
          </w:p>
        </w:tc>
      </w:tr>
      <w:tr w:rsidR="00BD4E96" w:rsidRPr="00BD4E96" w14:paraId="380144AA" w14:textId="77777777" w:rsidTr="00620946">
        <w:trPr>
          <w:trHeight w:val="681"/>
        </w:trPr>
        <w:tc>
          <w:tcPr>
            <w:tcW w:w="3956" w:type="dxa"/>
            <w:shd w:val="clear" w:color="auto" w:fill="C0C0C0"/>
            <w:vAlign w:val="center"/>
          </w:tcPr>
          <w:p w14:paraId="1B2EA58D" w14:textId="77777777" w:rsidR="00BD4E96" w:rsidRPr="00BD4E96" w:rsidRDefault="00BD4E96" w:rsidP="00BD4E96">
            <w:pPr>
              <w:spacing w:after="0" w:line="240" w:lineRule="auto"/>
              <w:ind w:firstLine="0"/>
              <w:jc w:val="center"/>
              <w:rPr>
                <w:b/>
                <w:lang w:eastAsia="sk-SK"/>
              </w:rPr>
            </w:pPr>
            <w:r w:rsidRPr="00BD4E96">
              <w:rPr>
                <w:b/>
                <w:lang w:eastAsia="sk-SK"/>
              </w:rPr>
              <w:t>Obsah</w:t>
            </w:r>
          </w:p>
        </w:tc>
        <w:tc>
          <w:tcPr>
            <w:tcW w:w="1162" w:type="dxa"/>
            <w:shd w:val="clear" w:color="auto" w:fill="C0C0C0"/>
            <w:vAlign w:val="center"/>
          </w:tcPr>
          <w:p w14:paraId="6791D14F" w14:textId="77777777" w:rsidR="00BD4E96" w:rsidRPr="00BD4E96" w:rsidRDefault="00BD4E96" w:rsidP="00BD4E96">
            <w:pPr>
              <w:spacing w:after="0" w:line="240" w:lineRule="auto"/>
              <w:ind w:firstLine="0"/>
              <w:jc w:val="center"/>
              <w:rPr>
                <w:b/>
                <w:lang w:eastAsia="sk-SK"/>
              </w:rPr>
            </w:pPr>
            <w:r w:rsidRPr="00BD4E96">
              <w:rPr>
                <w:b/>
                <w:lang w:eastAsia="sk-SK"/>
              </w:rPr>
              <w:t>A – nová služba</w:t>
            </w:r>
          </w:p>
          <w:p w14:paraId="6017C1A7" w14:textId="77777777" w:rsidR="00BD4E96" w:rsidRPr="00BD4E96" w:rsidRDefault="00BD4E96" w:rsidP="00BD4E96">
            <w:pPr>
              <w:spacing w:after="0" w:line="240" w:lineRule="auto"/>
              <w:ind w:firstLine="0"/>
              <w:jc w:val="center"/>
              <w:rPr>
                <w:i/>
                <w:iCs/>
                <w:lang w:eastAsia="sk-SK"/>
              </w:rPr>
            </w:pPr>
            <w:r w:rsidRPr="00BD4E96">
              <w:rPr>
                <w:b/>
                <w:lang w:eastAsia="sk-SK"/>
              </w:rPr>
              <w:t>B – zmena služby</w:t>
            </w:r>
          </w:p>
        </w:tc>
        <w:tc>
          <w:tcPr>
            <w:tcW w:w="1560" w:type="dxa"/>
            <w:shd w:val="clear" w:color="auto" w:fill="C0C0C0"/>
            <w:vAlign w:val="center"/>
          </w:tcPr>
          <w:p w14:paraId="0A6D0A79" w14:textId="77777777" w:rsidR="00BD4E96" w:rsidRPr="00BD4E96" w:rsidRDefault="00BD4E96" w:rsidP="00BD4E96">
            <w:pPr>
              <w:spacing w:after="0" w:line="240" w:lineRule="auto"/>
              <w:ind w:firstLine="0"/>
              <w:jc w:val="center"/>
              <w:rPr>
                <w:i/>
                <w:iCs/>
                <w:lang w:eastAsia="sk-SK"/>
              </w:rPr>
            </w:pPr>
          </w:p>
          <w:p w14:paraId="14377F87" w14:textId="77777777" w:rsidR="00BD4E96" w:rsidRPr="00BD4E96" w:rsidRDefault="00BD4E96" w:rsidP="00BD4E96">
            <w:pPr>
              <w:spacing w:after="200" w:line="240" w:lineRule="auto"/>
              <w:ind w:firstLine="0"/>
              <w:jc w:val="center"/>
              <w:rPr>
                <w:lang w:eastAsia="sk-SK"/>
              </w:rPr>
            </w:pPr>
            <w:r w:rsidRPr="00BD4E96">
              <w:rPr>
                <w:b/>
                <w:lang w:eastAsia="sk-SK"/>
              </w:rPr>
              <w:t>Kód služby</w:t>
            </w:r>
          </w:p>
        </w:tc>
        <w:tc>
          <w:tcPr>
            <w:tcW w:w="1701" w:type="dxa"/>
            <w:shd w:val="clear" w:color="auto" w:fill="C0C0C0"/>
            <w:vAlign w:val="center"/>
          </w:tcPr>
          <w:p w14:paraId="30242108" w14:textId="77777777" w:rsidR="00BD4E96" w:rsidRPr="00BD4E96" w:rsidRDefault="00BD4E96" w:rsidP="00BD4E96">
            <w:pPr>
              <w:spacing w:after="0" w:line="240" w:lineRule="auto"/>
              <w:ind w:firstLine="0"/>
              <w:jc w:val="center"/>
              <w:rPr>
                <w:b/>
                <w:lang w:eastAsia="sk-SK"/>
              </w:rPr>
            </w:pPr>
          </w:p>
          <w:p w14:paraId="7513F237" w14:textId="77777777" w:rsidR="00BD4E96" w:rsidRPr="00BD4E96" w:rsidRDefault="00BD4E96" w:rsidP="00BD4E96">
            <w:pPr>
              <w:spacing w:after="0" w:line="240" w:lineRule="auto"/>
              <w:ind w:firstLine="0"/>
              <w:jc w:val="center"/>
              <w:rPr>
                <w:i/>
                <w:iCs/>
                <w:lang w:eastAsia="sk-SK"/>
              </w:rPr>
            </w:pPr>
            <w:r w:rsidRPr="00BD4E96">
              <w:rPr>
                <w:b/>
                <w:lang w:eastAsia="sk-SK"/>
              </w:rPr>
              <w:t>Názov služby</w:t>
            </w:r>
          </w:p>
        </w:tc>
        <w:tc>
          <w:tcPr>
            <w:tcW w:w="992" w:type="dxa"/>
            <w:shd w:val="clear" w:color="auto" w:fill="C0C0C0"/>
            <w:vAlign w:val="center"/>
          </w:tcPr>
          <w:p w14:paraId="19401EAB" w14:textId="77777777" w:rsidR="00BD4E96" w:rsidRPr="00BD4E96" w:rsidRDefault="00BD4E96" w:rsidP="00BD4E96">
            <w:pPr>
              <w:spacing w:after="0" w:line="240" w:lineRule="auto"/>
              <w:ind w:firstLine="0"/>
              <w:jc w:val="center"/>
              <w:rPr>
                <w:b/>
                <w:lang w:eastAsia="sk-SK"/>
              </w:rPr>
            </w:pPr>
            <w:r w:rsidRPr="00BD4E96">
              <w:rPr>
                <w:b/>
                <w:lang w:eastAsia="sk-SK"/>
              </w:rPr>
              <w:t>Úroveň elektronizácie služby</w:t>
            </w:r>
          </w:p>
          <w:p w14:paraId="4BE5552C" w14:textId="77777777" w:rsidR="00BD4E96" w:rsidRPr="00BD4E96" w:rsidRDefault="00BD4E96" w:rsidP="00BD4E96">
            <w:pPr>
              <w:spacing w:after="0" w:line="240" w:lineRule="auto"/>
              <w:ind w:firstLine="0"/>
              <w:jc w:val="center"/>
              <w:rPr>
                <w:i/>
                <w:iCs/>
                <w:lang w:eastAsia="sk-SK"/>
              </w:rPr>
            </w:pPr>
            <w:r w:rsidRPr="00BD4E96">
              <w:rPr>
                <w:b/>
                <w:lang w:eastAsia="sk-SK"/>
              </w:rPr>
              <w:t>(0 až 5)</w:t>
            </w:r>
          </w:p>
        </w:tc>
      </w:tr>
      <w:tr w:rsidR="00BD4E96" w:rsidRPr="00BD4E96" w14:paraId="24886B40" w14:textId="77777777" w:rsidTr="00620946">
        <w:trPr>
          <w:trHeight w:val="313"/>
        </w:trPr>
        <w:tc>
          <w:tcPr>
            <w:tcW w:w="3956" w:type="dxa"/>
            <w:vMerge w:val="restart"/>
          </w:tcPr>
          <w:p w14:paraId="23B3F2C5" w14:textId="77777777" w:rsidR="00BD4E96" w:rsidRPr="00BD4E96" w:rsidRDefault="00BD4E96" w:rsidP="00BD4E96">
            <w:pPr>
              <w:spacing w:after="0" w:line="240" w:lineRule="auto"/>
              <w:ind w:firstLine="0"/>
              <w:rPr>
                <w:lang w:eastAsia="sk-SK"/>
              </w:rPr>
            </w:pPr>
            <w:r w:rsidRPr="00BD4E96">
              <w:rPr>
                <w:b/>
                <w:lang w:eastAsia="sk-SK"/>
              </w:rPr>
              <w:t>6.1.</w:t>
            </w:r>
            <w:r w:rsidRPr="00BD4E96">
              <w:rPr>
                <w:lang w:eastAsia="sk-SK"/>
              </w:rPr>
              <w:t xml:space="preserve"> Predpokladá predložený návrh zmenu existujúcich elektronických služieb verejnej správy alebo vytvorenie nových služieb?</w:t>
            </w:r>
          </w:p>
          <w:p w14:paraId="49752E35" w14:textId="77777777" w:rsidR="00BD4E96" w:rsidRPr="00BD4E96" w:rsidRDefault="00BD4E96" w:rsidP="00BD4E96">
            <w:pPr>
              <w:spacing w:after="0" w:line="20" w:lineRule="atLeast"/>
              <w:ind w:firstLine="0"/>
              <w:rPr>
                <w:b/>
                <w:lang w:eastAsia="sk-SK"/>
              </w:rPr>
            </w:pPr>
            <w:r w:rsidRPr="00BD4E96">
              <w:rPr>
                <w:i/>
                <w:iCs/>
                <w:lang w:eastAsia="sk-SK"/>
              </w:rPr>
              <w:t>(Ak áno, uveďte zmenu služby alebo vytvorenie novej služby, ďalej  jej kód, názov a úroveň elektronizácie podľa katalógu eGovernment služieb, ktorý je vedený v centrálnom metainformačnom systéme verejnej správy.)</w:t>
            </w:r>
            <w:r w:rsidRPr="00BD4E96">
              <w:rPr>
                <w:lang w:eastAsia="sk-SK"/>
              </w:rPr>
              <w:t xml:space="preserve"> </w:t>
            </w:r>
          </w:p>
        </w:tc>
        <w:tc>
          <w:tcPr>
            <w:tcW w:w="1162" w:type="dxa"/>
          </w:tcPr>
          <w:p w14:paraId="2F7A7B66"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08DCD139"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ks_336779</w:t>
            </w:r>
          </w:p>
        </w:tc>
        <w:tc>
          <w:tcPr>
            <w:tcW w:w="1701" w:type="dxa"/>
            <w:vAlign w:val="center"/>
          </w:tcPr>
          <w:p w14:paraId="1A533108" w14:textId="77777777" w:rsidR="00BD4E96" w:rsidRPr="00BD4E96" w:rsidRDefault="00BD4E96" w:rsidP="00BD4E96">
            <w:pPr>
              <w:spacing w:after="0" w:line="240" w:lineRule="auto"/>
              <w:ind w:firstLine="0"/>
              <w:rPr>
                <w:b/>
                <w:lang w:eastAsia="sk-SK"/>
              </w:rPr>
            </w:pPr>
            <w:r w:rsidRPr="00BD4E96">
              <w:rPr>
                <w:color w:val="333333"/>
                <w:lang w:eastAsia="sk-SK"/>
              </w:rPr>
              <w:t>Špecifikovanie potreby pre štatistické zisťovanie alebo štatistický produkt</w:t>
            </w:r>
          </w:p>
        </w:tc>
        <w:tc>
          <w:tcPr>
            <w:tcW w:w="992" w:type="dxa"/>
            <w:vAlign w:val="center"/>
          </w:tcPr>
          <w:p w14:paraId="048CB1AA" w14:textId="77777777" w:rsidR="00BD4E96" w:rsidRPr="00BD4E96" w:rsidRDefault="00BD4E96" w:rsidP="00BD4E96">
            <w:pPr>
              <w:spacing w:after="0" w:line="240" w:lineRule="auto"/>
              <w:ind w:firstLine="0"/>
              <w:jc w:val="center"/>
              <w:rPr>
                <w:b/>
                <w:lang w:eastAsia="sk-SK"/>
              </w:rPr>
            </w:pPr>
            <w:r w:rsidRPr="00BD4E96">
              <w:rPr>
                <w:b/>
                <w:lang w:eastAsia="sk-SK"/>
              </w:rPr>
              <w:t>5</w:t>
            </w:r>
          </w:p>
        </w:tc>
      </w:tr>
      <w:tr w:rsidR="00BD4E96" w:rsidRPr="00BD4E96" w14:paraId="496D9937" w14:textId="77777777" w:rsidTr="00620946">
        <w:trPr>
          <w:trHeight w:val="313"/>
        </w:trPr>
        <w:tc>
          <w:tcPr>
            <w:tcW w:w="3956" w:type="dxa"/>
            <w:vMerge/>
          </w:tcPr>
          <w:p w14:paraId="20873B56" w14:textId="77777777" w:rsidR="00BD4E96" w:rsidRPr="00BD4E96" w:rsidRDefault="00BD4E96" w:rsidP="00BD4E96">
            <w:pPr>
              <w:spacing w:after="0" w:line="240" w:lineRule="auto"/>
              <w:ind w:firstLine="0"/>
              <w:rPr>
                <w:b/>
                <w:lang w:eastAsia="sk-SK"/>
              </w:rPr>
            </w:pPr>
          </w:p>
        </w:tc>
        <w:tc>
          <w:tcPr>
            <w:tcW w:w="1162" w:type="dxa"/>
          </w:tcPr>
          <w:p w14:paraId="7EFC17D9"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282BD638"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ks_336780</w:t>
            </w:r>
          </w:p>
        </w:tc>
        <w:tc>
          <w:tcPr>
            <w:tcW w:w="1701" w:type="dxa"/>
            <w:vAlign w:val="center"/>
          </w:tcPr>
          <w:p w14:paraId="34C5FBE2" w14:textId="77777777" w:rsidR="00BD4E96" w:rsidRPr="00BD4E96" w:rsidRDefault="00BD4E96" w:rsidP="00BD4E96">
            <w:pPr>
              <w:spacing w:after="0" w:line="240" w:lineRule="auto"/>
              <w:ind w:firstLine="0"/>
              <w:rPr>
                <w:b/>
                <w:lang w:eastAsia="sk-SK"/>
              </w:rPr>
            </w:pPr>
            <w:r w:rsidRPr="00BD4E96">
              <w:rPr>
                <w:color w:val="333333"/>
                <w:lang w:eastAsia="sk-SK"/>
              </w:rPr>
              <w:t>Navrhovanie výsledného štatistického produktu</w:t>
            </w:r>
          </w:p>
        </w:tc>
        <w:tc>
          <w:tcPr>
            <w:tcW w:w="992" w:type="dxa"/>
            <w:vAlign w:val="center"/>
          </w:tcPr>
          <w:p w14:paraId="2A5CE944" w14:textId="77777777" w:rsidR="00BD4E96" w:rsidRPr="00BD4E96" w:rsidRDefault="00BD4E96" w:rsidP="00BD4E96">
            <w:pPr>
              <w:spacing w:after="0" w:line="240" w:lineRule="auto"/>
              <w:ind w:firstLine="0"/>
              <w:jc w:val="center"/>
              <w:rPr>
                <w:b/>
                <w:lang w:eastAsia="sk-SK"/>
              </w:rPr>
            </w:pPr>
            <w:r w:rsidRPr="00BD4E96">
              <w:rPr>
                <w:b/>
                <w:lang w:eastAsia="sk-SK"/>
              </w:rPr>
              <w:t>5</w:t>
            </w:r>
          </w:p>
        </w:tc>
      </w:tr>
      <w:tr w:rsidR="00BD4E96" w:rsidRPr="00BD4E96" w14:paraId="27396ECB" w14:textId="77777777" w:rsidTr="00620946">
        <w:trPr>
          <w:trHeight w:val="313"/>
        </w:trPr>
        <w:tc>
          <w:tcPr>
            <w:tcW w:w="3956" w:type="dxa"/>
            <w:vMerge/>
          </w:tcPr>
          <w:p w14:paraId="0C9B9FB6" w14:textId="77777777" w:rsidR="00BD4E96" w:rsidRPr="00BD4E96" w:rsidRDefault="00BD4E96" w:rsidP="00BD4E96">
            <w:pPr>
              <w:spacing w:after="0" w:line="240" w:lineRule="auto"/>
              <w:ind w:firstLine="0"/>
              <w:rPr>
                <w:b/>
                <w:lang w:eastAsia="sk-SK"/>
              </w:rPr>
            </w:pPr>
          </w:p>
        </w:tc>
        <w:tc>
          <w:tcPr>
            <w:tcW w:w="1162" w:type="dxa"/>
          </w:tcPr>
          <w:p w14:paraId="494ABC98"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5331E4E4"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ks_336781</w:t>
            </w:r>
          </w:p>
        </w:tc>
        <w:tc>
          <w:tcPr>
            <w:tcW w:w="1701" w:type="dxa"/>
            <w:vAlign w:val="center"/>
          </w:tcPr>
          <w:p w14:paraId="3C26D838" w14:textId="77777777" w:rsidR="00BD4E96" w:rsidRPr="00BD4E96" w:rsidRDefault="00BD4E96" w:rsidP="00BD4E96">
            <w:pPr>
              <w:spacing w:after="0" w:line="240" w:lineRule="auto"/>
              <w:ind w:firstLine="0"/>
              <w:rPr>
                <w:b/>
                <w:lang w:eastAsia="sk-SK"/>
              </w:rPr>
            </w:pPr>
            <w:r w:rsidRPr="00BD4E96">
              <w:rPr>
                <w:color w:val="333333"/>
                <w:lang w:eastAsia="sk-SK"/>
              </w:rPr>
              <w:t>Vytvorenie a testovanie definovaného štatistického produktu</w:t>
            </w:r>
          </w:p>
        </w:tc>
        <w:tc>
          <w:tcPr>
            <w:tcW w:w="992" w:type="dxa"/>
            <w:vAlign w:val="center"/>
          </w:tcPr>
          <w:p w14:paraId="3941AA92" w14:textId="77777777" w:rsidR="00BD4E96" w:rsidRPr="00BD4E96" w:rsidRDefault="00BD4E96" w:rsidP="00BD4E96">
            <w:pPr>
              <w:spacing w:after="0" w:line="240" w:lineRule="auto"/>
              <w:ind w:firstLine="0"/>
              <w:jc w:val="center"/>
              <w:rPr>
                <w:b/>
                <w:lang w:eastAsia="sk-SK"/>
              </w:rPr>
            </w:pPr>
            <w:r w:rsidRPr="00BD4E96">
              <w:rPr>
                <w:b/>
                <w:lang w:eastAsia="sk-SK"/>
              </w:rPr>
              <w:t>5</w:t>
            </w:r>
          </w:p>
        </w:tc>
      </w:tr>
      <w:tr w:rsidR="00BD4E96" w:rsidRPr="00BD4E96" w14:paraId="7F8EED2D" w14:textId="77777777" w:rsidTr="00620946">
        <w:trPr>
          <w:trHeight w:val="313"/>
        </w:trPr>
        <w:tc>
          <w:tcPr>
            <w:tcW w:w="3956" w:type="dxa"/>
            <w:vMerge/>
          </w:tcPr>
          <w:p w14:paraId="615C2DB9" w14:textId="77777777" w:rsidR="00BD4E96" w:rsidRPr="00BD4E96" w:rsidRDefault="00BD4E96" w:rsidP="00BD4E96">
            <w:pPr>
              <w:spacing w:after="0" w:line="240" w:lineRule="auto"/>
              <w:ind w:firstLine="0"/>
              <w:rPr>
                <w:b/>
                <w:lang w:eastAsia="sk-SK"/>
              </w:rPr>
            </w:pPr>
          </w:p>
        </w:tc>
        <w:tc>
          <w:tcPr>
            <w:tcW w:w="1162" w:type="dxa"/>
          </w:tcPr>
          <w:p w14:paraId="2852F317"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11448DE1"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ks_336782</w:t>
            </w:r>
          </w:p>
        </w:tc>
        <w:tc>
          <w:tcPr>
            <w:tcW w:w="1701" w:type="dxa"/>
            <w:vAlign w:val="center"/>
          </w:tcPr>
          <w:p w14:paraId="0E03A005" w14:textId="77777777" w:rsidR="00BD4E96" w:rsidRPr="00BD4E96" w:rsidRDefault="00BD4E96" w:rsidP="00BD4E96">
            <w:pPr>
              <w:spacing w:after="0" w:line="240" w:lineRule="auto"/>
              <w:ind w:firstLine="0"/>
              <w:rPr>
                <w:b/>
                <w:lang w:eastAsia="sk-SK"/>
              </w:rPr>
            </w:pPr>
            <w:r w:rsidRPr="00BD4E96">
              <w:rPr>
                <w:color w:val="333333"/>
                <w:lang w:eastAsia="sk-SK"/>
              </w:rPr>
              <w:t>Zbieranie štatistických údajov v rámci štatistického zisťovania</w:t>
            </w:r>
          </w:p>
        </w:tc>
        <w:tc>
          <w:tcPr>
            <w:tcW w:w="992" w:type="dxa"/>
            <w:vAlign w:val="center"/>
          </w:tcPr>
          <w:p w14:paraId="3C1EAAE5" w14:textId="77777777" w:rsidR="00BD4E96" w:rsidRPr="00BD4E96" w:rsidRDefault="00BD4E96" w:rsidP="00BD4E96">
            <w:pPr>
              <w:spacing w:after="0" w:line="240" w:lineRule="auto"/>
              <w:ind w:firstLine="0"/>
              <w:jc w:val="center"/>
              <w:rPr>
                <w:b/>
                <w:lang w:eastAsia="sk-SK"/>
              </w:rPr>
            </w:pPr>
            <w:r w:rsidRPr="00BD4E96">
              <w:rPr>
                <w:b/>
                <w:lang w:eastAsia="sk-SK"/>
              </w:rPr>
              <w:t>3</w:t>
            </w:r>
          </w:p>
        </w:tc>
      </w:tr>
      <w:tr w:rsidR="00BD4E96" w:rsidRPr="00BD4E96" w14:paraId="3CB02E56" w14:textId="77777777" w:rsidTr="00620946">
        <w:trPr>
          <w:trHeight w:val="313"/>
        </w:trPr>
        <w:tc>
          <w:tcPr>
            <w:tcW w:w="3956" w:type="dxa"/>
            <w:vMerge/>
          </w:tcPr>
          <w:p w14:paraId="292DDD52" w14:textId="77777777" w:rsidR="00BD4E96" w:rsidRPr="00BD4E96" w:rsidRDefault="00BD4E96" w:rsidP="00BD4E96">
            <w:pPr>
              <w:spacing w:after="0" w:line="240" w:lineRule="auto"/>
              <w:ind w:firstLine="0"/>
              <w:rPr>
                <w:b/>
                <w:lang w:eastAsia="sk-SK"/>
              </w:rPr>
            </w:pPr>
          </w:p>
        </w:tc>
        <w:tc>
          <w:tcPr>
            <w:tcW w:w="1162" w:type="dxa"/>
          </w:tcPr>
          <w:p w14:paraId="5F9063EF"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4156BD2A"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ks_336783</w:t>
            </w:r>
          </w:p>
        </w:tc>
        <w:tc>
          <w:tcPr>
            <w:tcW w:w="1701" w:type="dxa"/>
            <w:vAlign w:val="center"/>
          </w:tcPr>
          <w:p w14:paraId="37A3B8F8" w14:textId="77777777" w:rsidR="00BD4E96" w:rsidRPr="00BD4E96" w:rsidRDefault="00BD4E96" w:rsidP="00BD4E96">
            <w:pPr>
              <w:spacing w:after="0" w:line="240" w:lineRule="auto"/>
              <w:ind w:firstLine="0"/>
              <w:rPr>
                <w:b/>
                <w:lang w:eastAsia="sk-SK"/>
              </w:rPr>
            </w:pPr>
            <w:r w:rsidRPr="00BD4E96">
              <w:rPr>
                <w:color w:val="333333"/>
                <w:lang w:eastAsia="sk-SK"/>
              </w:rPr>
              <w:t>Spracovanie získaných štatistických údajov</w:t>
            </w:r>
          </w:p>
        </w:tc>
        <w:tc>
          <w:tcPr>
            <w:tcW w:w="992" w:type="dxa"/>
            <w:vAlign w:val="center"/>
          </w:tcPr>
          <w:p w14:paraId="1EFBCB3A" w14:textId="77777777" w:rsidR="00BD4E96" w:rsidRPr="00BD4E96" w:rsidRDefault="00BD4E96" w:rsidP="00BD4E96">
            <w:pPr>
              <w:spacing w:after="0" w:line="240" w:lineRule="auto"/>
              <w:ind w:firstLine="0"/>
              <w:jc w:val="center"/>
              <w:rPr>
                <w:b/>
                <w:lang w:eastAsia="sk-SK"/>
              </w:rPr>
            </w:pPr>
            <w:r w:rsidRPr="00BD4E96">
              <w:rPr>
                <w:b/>
                <w:lang w:eastAsia="sk-SK"/>
              </w:rPr>
              <w:t>3</w:t>
            </w:r>
          </w:p>
        </w:tc>
      </w:tr>
      <w:tr w:rsidR="00BD4E96" w:rsidRPr="00BD4E96" w14:paraId="79505728" w14:textId="77777777" w:rsidTr="00620946">
        <w:trPr>
          <w:trHeight w:val="132"/>
        </w:trPr>
        <w:tc>
          <w:tcPr>
            <w:tcW w:w="3956" w:type="dxa"/>
            <w:vMerge/>
          </w:tcPr>
          <w:p w14:paraId="4DEE70E8" w14:textId="77777777" w:rsidR="00BD4E96" w:rsidRPr="00BD4E96" w:rsidRDefault="00BD4E96" w:rsidP="00BD4E96">
            <w:pPr>
              <w:spacing w:after="0" w:line="240" w:lineRule="auto"/>
              <w:ind w:firstLine="0"/>
              <w:rPr>
                <w:b/>
                <w:lang w:eastAsia="sk-SK"/>
              </w:rPr>
            </w:pPr>
          </w:p>
        </w:tc>
        <w:tc>
          <w:tcPr>
            <w:tcW w:w="1162" w:type="dxa"/>
          </w:tcPr>
          <w:p w14:paraId="4F6E620D"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58B46A88"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ks_336785</w:t>
            </w:r>
          </w:p>
        </w:tc>
        <w:tc>
          <w:tcPr>
            <w:tcW w:w="1701" w:type="dxa"/>
            <w:vAlign w:val="center"/>
          </w:tcPr>
          <w:p w14:paraId="1C67CD22" w14:textId="77777777" w:rsidR="00BD4E96" w:rsidRPr="00BD4E96" w:rsidRDefault="00BD4E96" w:rsidP="00BD4E96">
            <w:pPr>
              <w:spacing w:after="0" w:line="240" w:lineRule="auto"/>
              <w:ind w:firstLine="0"/>
              <w:rPr>
                <w:b/>
                <w:lang w:eastAsia="sk-SK"/>
              </w:rPr>
            </w:pPr>
            <w:r w:rsidRPr="00BD4E96">
              <w:rPr>
                <w:color w:val="333333"/>
                <w:lang w:eastAsia="sk-SK"/>
              </w:rPr>
              <w:t>Zverejňovanie a poskytovanie štatistických produktov</w:t>
            </w:r>
          </w:p>
        </w:tc>
        <w:tc>
          <w:tcPr>
            <w:tcW w:w="992" w:type="dxa"/>
            <w:vAlign w:val="center"/>
          </w:tcPr>
          <w:p w14:paraId="55355024" w14:textId="77777777" w:rsidR="00BD4E96" w:rsidRPr="00BD4E96" w:rsidRDefault="00BD4E96" w:rsidP="00BD4E96">
            <w:pPr>
              <w:spacing w:after="0" w:line="240" w:lineRule="auto"/>
              <w:ind w:firstLine="0"/>
              <w:jc w:val="center"/>
              <w:rPr>
                <w:b/>
                <w:lang w:eastAsia="sk-SK"/>
              </w:rPr>
            </w:pPr>
            <w:r w:rsidRPr="00BD4E96">
              <w:rPr>
                <w:b/>
                <w:lang w:eastAsia="sk-SK"/>
              </w:rPr>
              <w:t>5</w:t>
            </w:r>
          </w:p>
        </w:tc>
      </w:tr>
      <w:tr w:rsidR="00BD4E96" w:rsidRPr="00BD4E96" w14:paraId="6BCE1E0E" w14:textId="77777777" w:rsidTr="00620946">
        <w:trPr>
          <w:trHeight w:val="313"/>
        </w:trPr>
        <w:tc>
          <w:tcPr>
            <w:tcW w:w="3956" w:type="dxa"/>
            <w:vMerge/>
          </w:tcPr>
          <w:p w14:paraId="1A2C90D2" w14:textId="77777777" w:rsidR="00BD4E96" w:rsidRPr="00BD4E96" w:rsidRDefault="00BD4E96" w:rsidP="00BD4E96">
            <w:pPr>
              <w:spacing w:after="0" w:line="240" w:lineRule="auto"/>
              <w:ind w:firstLine="0"/>
              <w:rPr>
                <w:b/>
                <w:lang w:eastAsia="sk-SK"/>
              </w:rPr>
            </w:pPr>
          </w:p>
        </w:tc>
        <w:tc>
          <w:tcPr>
            <w:tcW w:w="1162" w:type="dxa"/>
          </w:tcPr>
          <w:p w14:paraId="3ABC825C"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6CE1D47E"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ks_336786</w:t>
            </w:r>
          </w:p>
        </w:tc>
        <w:tc>
          <w:tcPr>
            <w:tcW w:w="1701" w:type="dxa"/>
            <w:vAlign w:val="center"/>
          </w:tcPr>
          <w:p w14:paraId="2EA1D425" w14:textId="77777777" w:rsidR="00BD4E96" w:rsidRPr="00BD4E96" w:rsidRDefault="00BD4E96" w:rsidP="00BD4E96">
            <w:pPr>
              <w:spacing w:after="0" w:line="240" w:lineRule="auto"/>
              <w:ind w:firstLine="0"/>
              <w:rPr>
                <w:b/>
                <w:lang w:eastAsia="sk-SK"/>
              </w:rPr>
            </w:pPr>
            <w:r w:rsidRPr="00BD4E96">
              <w:rPr>
                <w:color w:val="333333"/>
                <w:lang w:eastAsia="sk-SK"/>
              </w:rPr>
              <w:t>Hodnotenie priebehu štatistického procesu</w:t>
            </w:r>
          </w:p>
        </w:tc>
        <w:tc>
          <w:tcPr>
            <w:tcW w:w="992" w:type="dxa"/>
            <w:vAlign w:val="center"/>
          </w:tcPr>
          <w:p w14:paraId="1154585A" w14:textId="77777777" w:rsidR="00BD4E96" w:rsidRPr="00BD4E96" w:rsidRDefault="00BD4E96" w:rsidP="00BD4E96">
            <w:pPr>
              <w:spacing w:after="0" w:line="240" w:lineRule="auto"/>
              <w:ind w:firstLine="0"/>
              <w:jc w:val="center"/>
              <w:rPr>
                <w:b/>
                <w:lang w:eastAsia="sk-SK"/>
              </w:rPr>
            </w:pPr>
            <w:r w:rsidRPr="00BD4E96">
              <w:rPr>
                <w:b/>
                <w:lang w:eastAsia="sk-SK"/>
              </w:rPr>
              <w:t>5</w:t>
            </w:r>
          </w:p>
        </w:tc>
      </w:tr>
      <w:tr w:rsidR="00BD4E96" w:rsidRPr="00BD4E96" w14:paraId="412716EE" w14:textId="77777777" w:rsidTr="00620946">
        <w:trPr>
          <w:trHeight w:val="313"/>
        </w:trPr>
        <w:tc>
          <w:tcPr>
            <w:tcW w:w="3956" w:type="dxa"/>
            <w:vMerge/>
          </w:tcPr>
          <w:p w14:paraId="5D63E31D" w14:textId="77777777" w:rsidR="00BD4E96" w:rsidRPr="00BD4E96" w:rsidRDefault="00BD4E96" w:rsidP="00BD4E96">
            <w:pPr>
              <w:spacing w:after="0" w:line="240" w:lineRule="auto"/>
              <w:ind w:firstLine="0"/>
              <w:rPr>
                <w:b/>
                <w:lang w:eastAsia="sk-SK"/>
              </w:rPr>
            </w:pPr>
          </w:p>
        </w:tc>
        <w:tc>
          <w:tcPr>
            <w:tcW w:w="1162" w:type="dxa"/>
          </w:tcPr>
          <w:p w14:paraId="5C0CBC41" w14:textId="77777777" w:rsidR="00BD4E96" w:rsidRPr="00BD4E96" w:rsidRDefault="00BD4E96" w:rsidP="00BD4E96">
            <w:pPr>
              <w:spacing w:after="0" w:line="240" w:lineRule="auto"/>
              <w:ind w:firstLine="0"/>
              <w:jc w:val="center"/>
              <w:rPr>
                <w:b/>
                <w:lang w:eastAsia="sk-SK"/>
              </w:rPr>
            </w:pPr>
            <w:r w:rsidRPr="00BD4E96">
              <w:rPr>
                <w:b/>
                <w:lang w:eastAsia="sk-SK"/>
              </w:rPr>
              <w:t>A</w:t>
            </w:r>
          </w:p>
        </w:tc>
        <w:tc>
          <w:tcPr>
            <w:tcW w:w="1560" w:type="dxa"/>
          </w:tcPr>
          <w:p w14:paraId="6F9EF8F4" w14:textId="77777777" w:rsidR="00BD4E96" w:rsidRPr="00BD4E96" w:rsidRDefault="00BD4E96" w:rsidP="00BD4E96">
            <w:pPr>
              <w:spacing w:after="0" w:line="240" w:lineRule="auto"/>
              <w:ind w:firstLine="0"/>
              <w:jc w:val="center"/>
              <w:rPr>
                <w:b/>
                <w:lang w:eastAsia="sk-SK"/>
              </w:rPr>
            </w:pPr>
            <w:r w:rsidRPr="00BD4E96">
              <w:rPr>
                <w:color w:val="333333"/>
                <w:lang w:eastAsia="sk-SK"/>
              </w:rPr>
              <w:t>ks_336789</w:t>
            </w:r>
          </w:p>
        </w:tc>
        <w:tc>
          <w:tcPr>
            <w:tcW w:w="1701" w:type="dxa"/>
            <w:vAlign w:val="center"/>
          </w:tcPr>
          <w:p w14:paraId="40C1A5B2" w14:textId="77777777" w:rsidR="00BD4E96" w:rsidRPr="00BD4E96" w:rsidRDefault="00BD4E96" w:rsidP="00BD4E96">
            <w:pPr>
              <w:spacing w:after="0" w:line="240" w:lineRule="auto"/>
              <w:ind w:firstLine="0"/>
              <w:rPr>
                <w:b/>
                <w:lang w:eastAsia="sk-SK"/>
              </w:rPr>
            </w:pPr>
            <w:r w:rsidRPr="00BD4E96">
              <w:rPr>
                <w:color w:val="333333"/>
                <w:lang w:eastAsia="sk-SK"/>
              </w:rPr>
              <w:t>Zabezpečenie riadiacich služieb GAMSO v rámci štatistického procesu</w:t>
            </w:r>
          </w:p>
        </w:tc>
        <w:tc>
          <w:tcPr>
            <w:tcW w:w="992" w:type="dxa"/>
            <w:vAlign w:val="center"/>
          </w:tcPr>
          <w:p w14:paraId="5FFE7DA5" w14:textId="77777777" w:rsidR="00BD4E96" w:rsidRPr="00BD4E96" w:rsidRDefault="00BD4E96" w:rsidP="00BD4E96">
            <w:pPr>
              <w:spacing w:after="0" w:line="240" w:lineRule="auto"/>
              <w:ind w:firstLine="0"/>
              <w:jc w:val="center"/>
              <w:rPr>
                <w:b/>
                <w:lang w:eastAsia="sk-SK"/>
              </w:rPr>
            </w:pPr>
            <w:r w:rsidRPr="00BD4E96">
              <w:rPr>
                <w:b/>
                <w:lang w:eastAsia="sk-SK"/>
              </w:rPr>
              <w:t>3</w:t>
            </w:r>
          </w:p>
        </w:tc>
      </w:tr>
    </w:tbl>
    <w:p w14:paraId="13A78932" w14:textId="77777777" w:rsidR="00BD4E96" w:rsidRPr="00BD4E96" w:rsidRDefault="00BD4E96" w:rsidP="00BD4E96">
      <w:pPr>
        <w:spacing w:after="0" w:line="240" w:lineRule="auto"/>
        <w:ind w:firstLine="0"/>
        <w:jc w:val="left"/>
        <w:rPr>
          <w:sz w:val="20"/>
          <w:szCs w:val="20"/>
          <w:lang w:eastAsia="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693"/>
      </w:tblGrid>
      <w:tr w:rsidR="00BD4E96" w:rsidRPr="00BD4E96" w14:paraId="7A835FF9" w14:textId="77777777" w:rsidTr="00620946">
        <w:trPr>
          <w:trHeight w:val="20"/>
        </w:trPr>
        <w:tc>
          <w:tcPr>
            <w:tcW w:w="3956" w:type="dxa"/>
            <w:shd w:val="clear" w:color="auto" w:fill="C0C0C0"/>
            <w:vAlign w:val="center"/>
          </w:tcPr>
          <w:p w14:paraId="1D4709C0" w14:textId="77777777" w:rsidR="00BD4E96" w:rsidRPr="00BD4E96" w:rsidRDefault="00BD4E96" w:rsidP="00BD4E96">
            <w:pPr>
              <w:spacing w:after="0" w:line="240" w:lineRule="auto"/>
              <w:ind w:firstLine="0"/>
              <w:jc w:val="center"/>
              <w:rPr>
                <w:b/>
                <w:lang w:eastAsia="sk-SK"/>
              </w:rPr>
            </w:pPr>
            <w:r w:rsidRPr="00BD4E96">
              <w:rPr>
                <w:b/>
                <w:lang w:eastAsia="sk-SK"/>
              </w:rPr>
              <w:lastRenderedPageBreak/>
              <w:t>Infraštruktúra</w:t>
            </w:r>
          </w:p>
        </w:tc>
        <w:tc>
          <w:tcPr>
            <w:tcW w:w="1162" w:type="dxa"/>
            <w:shd w:val="clear" w:color="auto" w:fill="C0C0C0"/>
            <w:vAlign w:val="center"/>
          </w:tcPr>
          <w:p w14:paraId="494DC246" w14:textId="77777777" w:rsidR="00BD4E96" w:rsidRPr="00BD4E96" w:rsidRDefault="00BD4E96" w:rsidP="00BD4E96">
            <w:pPr>
              <w:spacing w:after="0" w:line="240" w:lineRule="auto"/>
              <w:ind w:firstLine="0"/>
              <w:jc w:val="center"/>
              <w:rPr>
                <w:b/>
                <w:lang w:eastAsia="sk-SK"/>
              </w:rPr>
            </w:pPr>
            <w:r w:rsidRPr="00BD4E96">
              <w:rPr>
                <w:b/>
                <w:lang w:eastAsia="sk-SK"/>
              </w:rPr>
              <w:t>A – nový systém</w:t>
            </w:r>
          </w:p>
          <w:p w14:paraId="4722C1C2" w14:textId="77777777" w:rsidR="00BD4E96" w:rsidRPr="00BD4E96" w:rsidRDefault="00BD4E96" w:rsidP="00BD4E96">
            <w:pPr>
              <w:spacing w:after="0" w:line="240" w:lineRule="auto"/>
              <w:ind w:firstLine="0"/>
              <w:jc w:val="center"/>
              <w:rPr>
                <w:b/>
                <w:lang w:eastAsia="sk-SK"/>
              </w:rPr>
            </w:pPr>
            <w:r w:rsidRPr="00BD4E96">
              <w:rPr>
                <w:b/>
                <w:lang w:eastAsia="sk-SK"/>
              </w:rPr>
              <w:t>B – zmena systému</w:t>
            </w:r>
          </w:p>
        </w:tc>
        <w:tc>
          <w:tcPr>
            <w:tcW w:w="1560" w:type="dxa"/>
            <w:shd w:val="clear" w:color="auto" w:fill="C0C0C0"/>
            <w:vAlign w:val="center"/>
          </w:tcPr>
          <w:p w14:paraId="1B701083" w14:textId="77777777" w:rsidR="00BD4E96" w:rsidRPr="00BD4E96" w:rsidRDefault="00BD4E96" w:rsidP="00BD4E96">
            <w:pPr>
              <w:spacing w:after="0" w:line="240" w:lineRule="auto"/>
              <w:ind w:firstLine="0"/>
              <w:jc w:val="center"/>
              <w:rPr>
                <w:b/>
                <w:lang w:eastAsia="sk-SK"/>
              </w:rPr>
            </w:pPr>
            <w:r w:rsidRPr="00BD4E96">
              <w:rPr>
                <w:b/>
                <w:lang w:eastAsia="sk-SK"/>
              </w:rPr>
              <w:t>Kód systému</w:t>
            </w:r>
          </w:p>
        </w:tc>
        <w:tc>
          <w:tcPr>
            <w:tcW w:w="2693" w:type="dxa"/>
            <w:shd w:val="clear" w:color="auto" w:fill="C0C0C0"/>
            <w:vAlign w:val="center"/>
          </w:tcPr>
          <w:p w14:paraId="35362DAF" w14:textId="77777777" w:rsidR="00BD4E96" w:rsidRPr="00BD4E96" w:rsidRDefault="00BD4E96" w:rsidP="00BD4E96">
            <w:pPr>
              <w:spacing w:after="0" w:line="240" w:lineRule="auto"/>
              <w:ind w:firstLine="0"/>
              <w:jc w:val="center"/>
              <w:rPr>
                <w:b/>
                <w:lang w:eastAsia="sk-SK"/>
              </w:rPr>
            </w:pPr>
            <w:r w:rsidRPr="00BD4E96">
              <w:rPr>
                <w:b/>
                <w:lang w:eastAsia="sk-SK"/>
              </w:rPr>
              <w:t>Názov systému</w:t>
            </w:r>
          </w:p>
        </w:tc>
      </w:tr>
      <w:tr w:rsidR="00BD4E96" w:rsidRPr="00BD4E96" w14:paraId="68156124" w14:textId="77777777" w:rsidTr="00620946">
        <w:trPr>
          <w:trHeight w:val="20"/>
        </w:trPr>
        <w:tc>
          <w:tcPr>
            <w:tcW w:w="3956" w:type="dxa"/>
          </w:tcPr>
          <w:p w14:paraId="1D05C5A6" w14:textId="77777777" w:rsidR="00BD4E96" w:rsidRPr="00BD4E96" w:rsidRDefault="00BD4E96" w:rsidP="00BD4E96">
            <w:pPr>
              <w:spacing w:after="0" w:line="240" w:lineRule="auto"/>
              <w:ind w:firstLine="0"/>
              <w:rPr>
                <w:lang w:eastAsia="sk-SK"/>
              </w:rPr>
            </w:pPr>
            <w:r w:rsidRPr="00BD4E96">
              <w:rPr>
                <w:b/>
                <w:lang w:eastAsia="sk-SK"/>
              </w:rPr>
              <w:t>6.2.</w:t>
            </w:r>
            <w:r w:rsidRPr="00BD4E96">
              <w:rPr>
                <w:lang w:eastAsia="sk-SK"/>
              </w:rPr>
              <w:t xml:space="preserve"> Predpokladá predložený návrh zmenu existujúceho alebo vytvorenie nového informačného systému verejnej správy?</w:t>
            </w:r>
          </w:p>
          <w:p w14:paraId="017C4441" w14:textId="77777777" w:rsidR="00BD4E96" w:rsidRPr="00BD4E96" w:rsidRDefault="00BD4E96" w:rsidP="00BD4E96">
            <w:pPr>
              <w:spacing w:after="0" w:line="20" w:lineRule="atLeast"/>
              <w:ind w:firstLine="0"/>
              <w:rPr>
                <w:lang w:eastAsia="sk-SK"/>
              </w:rPr>
            </w:pPr>
            <w:r w:rsidRPr="00BD4E96">
              <w:rPr>
                <w:i/>
                <w:iCs/>
                <w:lang w:eastAsia="sk-SK"/>
              </w:rPr>
              <w:t>(Ak áno, uveďte zmenu systému alebo vytvorenie nového systému, ďalej jeho kód a názov z centrálneho metainformačného systému verejnej správy.)</w:t>
            </w:r>
          </w:p>
        </w:tc>
        <w:tc>
          <w:tcPr>
            <w:tcW w:w="1162" w:type="dxa"/>
            <w:vAlign w:val="center"/>
          </w:tcPr>
          <w:p w14:paraId="17532804" w14:textId="77777777" w:rsidR="00BD4E96" w:rsidRPr="00BD4E96" w:rsidRDefault="00BD4E96" w:rsidP="00BD4E96">
            <w:pPr>
              <w:spacing w:after="0" w:line="240" w:lineRule="auto"/>
              <w:ind w:firstLine="0"/>
              <w:jc w:val="center"/>
              <w:rPr>
                <w:b/>
                <w:bCs/>
                <w:lang w:eastAsia="sk-SK"/>
              </w:rPr>
            </w:pPr>
            <w:r w:rsidRPr="00BD4E96">
              <w:rPr>
                <w:b/>
                <w:bCs/>
                <w:lang w:eastAsia="sk-SK"/>
              </w:rPr>
              <w:t>B</w:t>
            </w:r>
          </w:p>
        </w:tc>
        <w:tc>
          <w:tcPr>
            <w:tcW w:w="1560" w:type="dxa"/>
            <w:vAlign w:val="center"/>
          </w:tcPr>
          <w:p w14:paraId="6C32CFFB" w14:textId="77777777" w:rsidR="00BD4E96" w:rsidRPr="00BD4E96" w:rsidRDefault="00BD4E96" w:rsidP="00BD4E96">
            <w:pPr>
              <w:spacing w:after="0" w:line="240" w:lineRule="auto"/>
              <w:ind w:firstLine="0"/>
              <w:jc w:val="center"/>
              <w:rPr>
                <w:lang w:eastAsia="sk-SK"/>
              </w:rPr>
            </w:pPr>
            <w:r w:rsidRPr="00BD4E96">
              <w:rPr>
                <w:lang w:eastAsia="sk-SK"/>
              </w:rPr>
              <w:t>isvs_411</w:t>
            </w:r>
            <w:r w:rsidRPr="00BD4E96">
              <w:rPr>
                <w:vertAlign w:val="superscript"/>
                <w:lang w:eastAsia="sk-SK"/>
              </w:rPr>
              <w:footnoteReference w:id="1"/>
            </w:r>
          </w:p>
        </w:tc>
        <w:tc>
          <w:tcPr>
            <w:tcW w:w="2693" w:type="dxa"/>
            <w:vAlign w:val="center"/>
          </w:tcPr>
          <w:p w14:paraId="7461D42B" w14:textId="77777777" w:rsidR="00BD4E96" w:rsidRPr="00BD4E96" w:rsidRDefault="00BD4E96" w:rsidP="00BD4E96">
            <w:pPr>
              <w:spacing w:after="0" w:line="240" w:lineRule="auto"/>
              <w:ind w:firstLine="0"/>
              <w:jc w:val="center"/>
              <w:rPr>
                <w:lang w:eastAsia="sk-SK"/>
              </w:rPr>
            </w:pPr>
            <w:r w:rsidRPr="00BD4E96">
              <w:rPr>
                <w:lang w:eastAsia="sk-SK"/>
              </w:rPr>
              <w:t>Štatistický informačný systém</w:t>
            </w:r>
          </w:p>
        </w:tc>
      </w:tr>
      <w:tr w:rsidR="00BD4E96" w:rsidRPr="00BD4E96" w14:paraId="1C8BB28A" w14:textId="77777777" w:rsidTr="00BD4E96">
        <w:trPr>
          <w:trHeight w:val="20"/>
        </w:trPr>
        <w:tc>
          <w:tcPr>
            <w:tcW w:w="3956" w:type="dxa"/>
            <w:shd w:val="clear" w:color="auto" w:fill="BFBFBF"/>
            <w:vAlign w:val="center"/>
          </w:tcPr>
          <w:p w14:paraId="173C9519" w14:textId="77777777" w:rsidR="00BD4E96" w:rsidRPr="00BD4E96" w:rsidRDefault="00BD4E96" w:rsidP="00BD4E96">
            <w:pPr>
              <w:spacing w:after="0" w:line="240" w:lineRule="auto"/>
              <w:ind w:firstLine="0"/>
              <w:rPr>
                <w:b/>
                <w:lang w:eastAsia="sk-SK"/>
              </w:rPr>
            </w:pPr>
            <w:r w:rsidRPr="00BD4E96">
              <w:rPr>
                <w:b/>
                <w:lang w:eastAsia="sk-SK"/>
              </w:rPr>
              <w:t>Financovanie procesu informatizácie</w:t>
            </w:r>
          </w:p>
        </w:tc>
        <w:tc>
          <w:tcPr>
            <w:tcW w:w="1162" w:type="dxa"/>
            <w:shd w:val="clear" w:color="auto" w:fill="BFBFBF"/>
            <w:vAlign w:val="center"/>
          </w:tcPr>
          <w:p w14:paraId="0A308C98" w14:textId="77777777" w:rsidR="00BD4E96" w:rsidRPr="00BD4E96" w:rsidRDefault="00BD4E96" w:rsidP="00BD4E96">
            <w:pPr>
              <w:spacing w:after="0" w:line="240" w:lineRule="auto"/>
              <w:ind w:firstLine="0"/>
              <w:jc w:val="center"/>
              <w:rPr>
                <w:b/>
                <w:bCs/>
                <w:lang w:eastAsia="sk-SK"/>
              </w:rPr>
            </w:pPr>
            <w:r w:rsidRPr="00BD4E96">
              <w:rPr>
                <w:b/>
                <w:lang w:eastAsia="sk-SK"/>
              </w:rPr>
              <w:t>Rezortná úroveň</w:t>
            </w:r>
          </w:p>
        </w:tc>
        <w:tc>
          <w:tcPr>
            <w:tcW w:w="1560" w:type="dxa"/>
            <w:shd w:val="clear" w:color="auto" w:fill="BFBFBF"/>
            <w:vAlign w:val="center"/>
          </w:tcPr>
          <w:p w14:paraId="038E52A7" w14:textId="77777777" w:rsidR="00BD4E96" w:rsidRPr="00BD4E96" w:rsidRDefault="00BD4E96" w:rsidP="00BD4E96">
            <w:pPr>
              <w:spacing w:after="0" w:line="240" w:lineRule="auto"/>
              <w:ind w:firstLine="0"/>
              <w:jc w:val="center"/>
              <w:rPr>
                <w:lang w:eastAsia="sk-SK"/>
              </w:rPr>
            </w:pPr>
            <w:r w:rsidRPr="00BD4E96">
              <w:rPr>
                <w:b/>
                <w:lang w:eastAsia="sk-SK"/>
              </w:rPr>
              <w:t>Nadrezortná úroveň</w:t>
            </w:r>
          </w:p>
        </w:tc>
        <w:tc>
          <w:tcPr>
            <w:tcW w:w="2693" w:type="dxa"/>
            <w:shd w:val="clear" w:color="auto" w:fill="BFBFBF"/>
            <w:vAlign w:val="center"/>
          </w:tcPr>
          <w:p w14:paraId="06058353" w14:textId="77777777" w:rsidR="00BD4E96" w:rsidRPr="00BD4E96" w:rsidRDefault="00BD4E96" w:rsidP="00BD4E96">
            <w:pPr>
              <w:spacing w:after="0" w:line="240" w:lineRule="auto"/>
              <w:ind w:firstLine="0"/>
              <w:jc w:val="center"/>
              <w:rPr>
                <w:lang w:eastAsia="sk-SK"/>
              </w:rPr>
            </w:pPr>
            <w:r w:rsidRPr="00BD4E96">
              <w:rPr>
                <w:b/>
                <w:lang w:eastAsia="sk-SK"/>
              </w:rPr>
              <w:t>A - z prostriedkov EÚ   B - z ďalších zdrojov financovania</w:t>
            </w:r>
          </w:p>
        </w:tc>
      </w:tr>
      <w:tr w:rsidR="00BD4E96" w:rsidRPr="00BD4E96" w14:paraId="51FF0149" w14:textId="77777777" w:rsidTr="00620946">
        <w:trPr>
          <w:trHeight w:val="20"/>
        </w:trPr>
        <w:tc>
          <w:tcPr>
            <w:tcW w:w="3956" w:type="dxa"/>
          </w:tcPr>
          <w:p w14:paraId="364D1221" w14:textId="77777777" w:rsidR="00BD4E96" w:rsidRPr="00BD4E96" w:rsidRDefault="00BD4E96" w:rsidP="00BD4E96">
            <w:pPr>
              <w:spacing w:after="0" w:line="240" w:lineRule="auto"/>
              <w:ind w:firstLine="0"/>
              <w:rPr>
                <w:lang w:eastAsia="sk-SK"/>
              </w:rPr>
            </w:pPr>
            <w:r w:rsidRPr="00BD4E96">
              <w:rPr>
                <w:b/>
                <w:lang w:eastAsia="sk-SK"/>
              </w:rPr>
              <w:t>6.3.</w:t>
            </w:r>
            <w:r w:rsidRPr="00BD4E96">
              <w:rPr>
                <w:lang w:eastAsia="sk-SK"/>
              </w:rPr>
              <w:t xml:space="preserve"> Vyžaduje si proces informatizácie  finančné investície?</w:t>
            </w:r>
          </w:p>
          <w:p w14:paraId="45BD4618" w14:textId="77777777" w:rsidR="00BD4E96" w:rsidRPr="00BD4E96" w:rsidRDefault="00BD4E96" w:rsidP="00BD4E96">
            <w:pPr>
              <w:spacing w:after="0" w:line="240" w:lineRule="auto"/>
              <w:ind w:firstLine="0"/>
              <w:rPr>
                <w:b/>
                <w:lang w:eastAsia="sk-SK"/>
              </w:rPr>
            </w:pPr>
            <w:r w:rsidRPr="00BD4E96">
              <w:rPr>
                <w:i/>
                <w:iCs/>
                <w:lang w:eastAsia="sk-SK"/>
              </w:rPr>
              <w:t>(Uveďte príslušnú úroveň financovania a kvantifikáciu finančných výdavkov uveďte  v analýze vplyvov na rozpočet verejnej správy.)</w:t>
            </w:r>
          </w:p>
        </w:tc>
        <w:tc>
          <w:tcPr>
            <w:tcW w:w="1162" w:type="dxa"/>
            <w:vAlign w:val="center"/>
          </w:tcPr>
          <w:p w14:paraId="0936D2D9" w14:textId="77777777" w:rsidR="00BD4E96" w:rsidRPr="00BD4E96" w:rsidRDefault="00BD4E96" w:rsidP="00BD4E96">
            <w:pPr>
              <w:spacing w:after="0" w:line="240" w:lineRule="auto"/>
              <w:ind w:firstLine="0"/>
              <w:jc w:val="center"/>
              <w:rPr>
                <w:b/>
                <w:bCs/>
                <w:lang w:eastAsia="sk-SK"/>
              </w:rPr>
            </w:pPr>
            <w:r w:rsidRPr="00BD4E96">
              <w:rPr>
                <w:b/>
                <w:bCs/>
                <w:lang w:eastAsia="sk-SK"/>
              </w:rPr>
              <w:t>X</w:t>
            </w:r>
          </w:p>
        </w:tc>
        <w:tc>
          <w:tcPr>
            <w:tcW w:w="1560" w:type="dxa"/>
            <w:vAlign w:val="center"/>
          </w:tcPr>
          <w:p w14:paraId="1743974A" w14:textId="77777777" w:rsidR="00BD4E96" w:rsidRPr="00BD4E96" w:rsidRDefault="00BD4E96" w:rsidP="00BD4E96">
            <w:pPr>
              <w:spacing w:after="0" w:line="240" w:lineRule="auto"/>
              <w:ind w:firstLine="0"/>
              <w:jc w:val="center"/>
              <w:rPr>
                <w:lang w:eastAsia="sk-SK"/>
              </w:rPr>
            </w:pPr>
          </w:p>
        </w:tc>
        <w:tc>
          <w:tcPr>
            <w:tcW w:w="2693" w:type="dxa"/>
            <w:vAlign w:val="center"/>
          </w:tcPr>
          <w:p w14:paraId="170FBE2A" w14:textId="77777777" w:rsidR="00BD4E96" w:rsidRPr="00BD4E96" w:rsidRDefault="00BD4E96" w:rsidP="00BD4E96">
            <w:pPr>
              <w:spacing w:after="0" w:line="240" w:lineRule="auto"/>
              <w:ind w:firstLine="0"/>
              <w:jc w:val="center"/>
              <w:rPr>
                <w:lang w:eastAsia="sk-SK"/>
              </w:rPr>
            </w:pPr>
            <w:r w:rsidRPr="00BD4E96">
              <w:rPr>
                <w:b/>
                <w:bCs/>
                <w:lang w:eastAsia="sk-SK"/>
              </w:rPr>
              <w:t>A</w:t>
            </w:r>
          </w:p>
        </w:tc>
      </w:tr>
    </w:tbl>
    <w:p w14:paraId="2C273C82" w14:textId="31CFC189" w:rsidR="00147A0B" w:rsidRDefault="00147A0B" w:rsidP="00BD4E96">
      <w:pPr>
        <w:spacing w:after="0" w:line="240" w:lineRule="auto"/>
        <w:ind w:firstLine="0"/>
      </w:pPr>
    </w:p>
    <w:p w14:paraId="0A406BE1" w14:textId="77777777" w:rsidR="00147A0B" w:rsidRDefault="00147A0B">
      <w:r>
        <w:br w:type="page"/>
      </w:r>
    </w:p>
    <w:p w14:paraId="23BEC1A4" w14:textId="77777777" w:rsidR="00147A0B" w:rsidRPr="00147A0B" w:rsidRDefault="00147A0B" w:rsidP="00147A0B">
      <w:pPr>
        <w:widowControl w:val="0"/>
        <w:autoSpaceDE w:val="0"/>
        <w:autoSpaceDN w:val="0"/>
        <w:adjustRightInd w:val="0"/>
        <w:spacing w:after="0" w:line="240" w:lineRule="auto"/>
        <w:ind w:firstLine="0"/>
        <w:jc w:val="center"/>
        <w:rPr>
          <w:b/>
          <w:caps/>
          <w:spacing w:val="30"/>
          <w:sz w:val="25"/>
          <w:szCs w:val="25"/>
          <w:lang w:eastAsia="sk-SK"/>
        </w:rPr>
      </w:pPr>
      <w:r w:rsidRPr="00147A0B">
        <w:rPr>
          <w:b/>
          <w:caps/>
          <w:spacing w:val="30"/>
          <w:sz w:val="25"/>
          <w:szCs w:val="25"/>
          <w:lang w:eastAsia="sk-SK"/>
        </w:rPr>
        <w:lastRenderedPageBreak/>
        <w:t>Doložka zlučiteľnosti</w:t>
      </w:r>
    </w:p>
    <w:p w14:paraId="68176E3E" w14:textId="77777777" w:rsidR="00147A0B" w:rsidRPr="00147A0B" w:rsidRDefault="00147A0B" w:rsidP="00147A0B">
      <w:pPr>
        <w:widowControl w:val="0"/>
        <w:autoSpaceDE w:val="0"/>
        <w:autoSpaceDN w:val="0"/>
        <w:adjustRightInd w:val="0"/>
        <w:spacing w:after="0" w:line="240" w:lineRule="auto"/>
        <w:ind w:firstLine="0"/>
        <w:jc w:val="center"/>
        <w:rPr>
          <w:b/>
          <w:sz w:val="25"/>
          <w:szCs w:val="25"/>
          <w:lang w:eastAsia="sk-SK"/>
        </w:rPr>
      </w:pPr>
      <w:r w:rsidRPr="00147A0B">
        <w:rPr>
          <w:b/>
          <w:sz w:val="25"/>
          <w:szCs w:val="25"/>
          <w:lang w:eastAsia="sk-SK"/>
        </w:rPr>
        <w:t>návrhu zákona s právom Európskej únie</w:t>
      </w:r>
    </w:p>
    <w:p w14:paraId="65ED2D2B" w14:textId="77777777" w:rsidR="00147A0B" w:rsidRPr="00147A0B" w:rsidRDefault="00147A0B" w:rsidP="00147A0B">
      <w:pPr>
        <w:widowControl w:val="0"/>
        <w:autoSpaceDE w:val="0"/>
        <w:autoSpaceDN w:val="0"/>
        <w:adjustRightInd w:val="0"/>
        <w:spacing w:after="0" w:line="240" w:lineRule="auto"/>
        <w:ind w:firstLine="0"/>
        <w:jc w:val="center"/>
        <w:rPr>
          <w:b/>
          <w:sz w:val="25"/>
          <w:szCs w:val="25"/>
          <w:lang w:eastAsia="sk-SK"/>
        </w:rPr>
      </w:pPr>
    </w:p>
    <w:p w14:paraId="56EAB2FF" w14:textId="77777777" w:rsidR="00147A0B" w:rsidRPr="00147A0B" w:rsidRDefault="00147A0B" w:rsidP="00147A0B">
      <w:pPr>
        <w:widowControl w:val="0"/>
        <w:autoSpaceDE w:val="0"/>
        <w:autoSpaceDN w:val="0"/>
        <w:adjustRightInd w:val="0"/>
        <w:spacing w:after="0" w:line="240" w:lineRule="auto"/>
        <w:ind w:firstLine="0"/>
        <w:jc w:val="center"/>
        <w:rPr>
          <w:b/>
          <w:sz w:val="25"/>
          <w:szCs w:val="25"/>
          <w:lang w:eastAsia="sk-SK"/>
        </w:rPr>
      </w:pPr>
    </w:p>
    <w:tbl>
      <w:tblPr>
        <w:tblStyle w:val="Mriekatabuky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668"/>
      </w:tblGrid>
      <w:tr w:rsidR="00147A0B" w:rsidRPr="00147A0B" w14:paraId="5DB3429E" w14:textId="77777777" w:rsidTr="00147A0B">
        <w:tc>
          <w:tcPr>
            <w:tcW w:w="201" w:type="pct"/>
            <w:hideMark/>
          </w:tcPr>
          <w:p w14:paraId="04E1BB74" w14:textId="77777777" w:rsidR="00147A0B" w:rsidRPr="00147A0B" w:rsidRDefault="00147A0B" w:rsidP="00147A0B">
            <w:pPr>
              <w:widowControl w:val="0"/>
              <w:tabs>
                <w:tab w:val="left" w:pos="360"/>
              </w:tabs>
              <w:autoSpaceDE w:val="0"/>
              <w:autoSpaceDN w:val="0"/>
              <w:adjustRightInd w:val="0"/>
              <w:rPr>
                <w:b/>
                <w:sz w:val="25"/>
                <w:szCs w:val="25"/>
              </w:rPr>
            </w:pPr>
            <w:r w:rsidRPr="00147A0B">
              <w:rPr>
                <w:b/>
                <w:sz w:val="25"/>
                <w:szCs w:val="25"/>
              </w:rPr>
              <w:t>1.</w:t>
            </w:r>
          </w:p>
        </w:tc>
        <w:tc>
          <w:tcPr>
            <w:tcW w:w="4799" w:type="pct"/>
          </w:tcPr>
          <w:p w14:paraId="62E10A4F" w14:textId="77777777" w:rsidR="00147A0B" w:rsidRPr="00147A0B" w:rsidRDefault="00147A0B" w:rsidP="00147A0B">
            <w:pPr>
              <w:widowControl w:val="0"/>
              <w:tabs>
                <w:tab w:val="left" w:pos="360"/>
              </w:tabs>
              <w:autoSpaceDE w:val="0"/>
              <w:autoSpaceDN w:val="0"/>
              <w:adjustRightInd w:val="0"/>
              <w:rPr>
                <w:sz w:val="25"/>
                <w:szCs w:val="25"/>
              </w:rPr>
            </w:pPr>
            <w:r w:rsidRPr="00147A0B">
              <w:rPr>
                <w:b/>
                <w:sz w:val="25"/>
                <w:szCs w:val="25"/>
              </w:rPr>
              <w:t>Navrhovateľ zákona:</w:t>
            </w:r>
            <w:r w:rsidRPr="00147A0B">
              <w:rPr>
                <w:sz w:val="25"/>
                <w:szCs w:val="25"/>
              </w:rPr>
              <w:t xml:space="preserve"> </w:t>
            </w:r>
            <w:r w:rsidRPr="00147A0B">
              <w:rPr>
                <w:sz w:val="25"/>
                <w:szCs w:val="25"/>
              </w:rPr>
              <w:fldChar w:fldCharType="begin"/>
            </w:r>
            <w:r w:rsidRPr="00147A0B">
              <w:rPr>
                <w:sz w:val="25"/>
                <w:szCs w:val="25"/>
              </w:rPr>
              <w:instrText xml:space="preserve"> DOCPROPERTY  FSC#SKEDITIONSLOVLEX@103.510:zodpinstitucia  \* MERGEFORMAT </w:instrText>
            </w:r>
            <w:r w:rsidRPr="00147A0B">
              <w:rPr>
                <w:sz w:val="25"/>
                <w:szCs w:val="25"/>
              </w:rPr>
              <w:fldChar w:fldCharType="separate"/>
            </w:r>
            <w:r w:rsidRPr="00147A0B">
              <w:rPr>
                <w:sz w:val="25"/>
                <w:szCs w:val="25"/>
              </w:rPr>
              <w:t>Štatistický úrad Slovenskej republiky</w:t>
            </w:r>
            <w:r w:rsidRPr="00147A0B">
              <w:rPr>
                <w:sz w:val="25"/>
                <w:szCs w:val="25"/>
              </w:rPr>
              <w:fldChar w:fldCharType="end"/>
            </w:r>
          </w:p>
          <w:p w14:paraId="6E55693D" w14:textId="77777777" w:rsidR="00147A0B" w:rsidRPr="00147A0B" w:rsidRDefault="00147A0B" w:rsidP="00147A0B">
            <w:pPr>
              <w:widowControl w:val="0"/>
              <w:tabs>
                <w:tab w:val="left" w:pos="360"/>
              </w:tabs>
              <w:autoSpaceDE w:val="0"/>
              <w:autoSpaceDN w:val="0"/>
              <w:adjustRightInd w:val="0"/>
              <w:rPr>
                <w:sz w:val="25"/>
                <w:szCs w:val="25"/>
              </w:rPr>
            </w:pPr>
          </w:p>
        </w:tc>
      </w:tr>
      <w:tr w:rsidR="00147A0B" w:rsidRPr="00147A0B" w14:paraId="55178A0F" w14:textId="77777777" w:rsidTr="00147A0B">
        <w:tc>
          <w:tcPr>
            <w:tcW w:w="201" w:type="pct"/>
          </w:tcPr>
          <w:p w14:paraId="410F922C" w14:textId="77777777" w:rsidR="00147A0B" w:rsidRPr="00147A0B" w:rsidRDefault="00147A0B" w:rsidP="00147A0B">
            <w:pPr>
              <w:widowControl w:val="0"/>
              <w:tabs>
                <w:tab w:val="left" w:pos="360"/>
              </w:tabs>
              <w:autoSpaceDE w:val="0"/>
              <w:autoSpaceDN w:val="0"/>
              <w:adjustRightInd w:val="0"/>
              <w:rPr>
                <w:sz w:val="25"/>
                <w:szCs w:val="25"/>
              </w:rPr>
            </w:pPr>
          </w:p>
        </w:tc>
        <w:tc>
          <w:tcPr>
            <w:tcW w:w="4799" w:type="pct"/>
          </w:tcPr>
          <w:p w14:paraId="0D67759C" w14:textId="77777777" w:rsidR="00147A0B" w:rsidRPr="00147A0B" w:rsidRDefault="00147A0B" w:rsidP="00147A0B">
            <w:pPr>
              <w:widowControl w:val="0"/>
              <w:tabs>
                <w:tab w:val="left" w:pos="360"/>
              </w:tabs>
              <w:autoSpaceDE w:val="0"/>
              <w:autoSpaceDN w:val="0"/>
              <w:adjustRightInd w:val="0"/>
              <w:rPr>
                <w:sz w:val="25"/>
                <w:szCs w:val="25"/>
              </w:rPr>
            </w:pPr>
          </w:p>
        </w:tc>
      </w:tr>
      <w:tr w:rsidR="00147A0B" w:rsidRPr="00147A0B" w14:paraId="3A5C7756" w14:textId="77777777" w:rsidTr="00147A0B">
        <w:tc>
          <w:tcPr>
            <w:tcW w:w="201" w:type="pct"/>
            <w:hideMark/>
          </w:tcPr>
          <w:p w14:paraId="0318379F" w14:textId="77777777" w:rsidR="00147A0B" w:rsidRPr="00147A0B" w:rsidRDefault="00147A0B" w:rsidP="00147A0B">
            <w:pPr>
              <w:widowControl w:val="0"/>
              <w:tabs>
                <w:tab w:val="left" w:pos="360"/>
              </w:tabs>
              <w:autoSpaceDE w:val="0"/>
              <w:autoSpaceDN w:val="0"/>
              <w:adjustRightInd w:val="0"/>
              <w:rPr>
                <w:b/>
                <w:sz w:val="25"/>
                <w:szCs w:val="25"/>
              </w:rPr>
            </w:pPr>
            <w:r w:rsidRPr="00147A0B">
              <w:rPr>
                <w:b/>
                <w:sz w:val="25"/>
                <w:szCs w:val="25"/>
              </w:rPr>
              <w:t>2.</w:t>
            </w:r>
          </w:p>
        </w:tc>
        <w:tc>
          <w:tcPr>
            <w:tcW w:w="4799" w:type="pct"/>
            <w:hideMark/>
          </w:tcPr>
          <w:p w14:paraId="531A7DE4" w14:textId="77777777" w:rsidR="00147A0B" w:rsidRPr="00147A0B" w:rsidRDefault="00147A0B" w:rsidP="00147A0B">
            <w:pPr>
              <w:widowControl w:val="0"/>
              <w:tabs>
                <w:tab w:val="left" w:pos="360"/>
              </w:tabs>
              <w:autoSpaceDE w:val="0"/>
              <w:autoSpaceDN w:val="0"/>
              <w:adjustRightInd w:val="0"/>
              <w:rPr>
                <w:sz w:val="25"/>
                <w:szCs w:val="25"/>
              </w:rPr>
            </w:pPr>
            <w:r w:rsidRPr="00147A0B">
              <w:rPr>
                <w:b/>
                <w:sz w:val="25"/>
                <w:szCs w:val="25"/>
              </w:rPr>
              <w:t>Názov návrhu zákona:</w:t>
            </w:r>
            <w:r w:rsidRPr="00147A0B">
              <w:rPr>
                <w:sz w:val="25"/>
                <w:szCs w:val="25"/>
              </w:rPr>
              <w:t xml:space="preserve"> Zákon, ktorým sa mení a dopĺňa zákon č. 540/2001 Z. z. o štátnej štatistike v znení neskorších predpisov</w:t>
            </w:r>
          </w:p>
        </w:tc>
      </w:tr>
      <w:tr w:rsidR="00147A0B" w:rsidRPr="00147A0B" w14:paraId="7F7F5E87" w14:textId="77777777" w:rsidTr="00147A0B">
        <w:tc>
          <w:tcPr>
            <w:tcW w:w="201" w:type="pct"/>
          </w:tcPr>
          <w:p w14:paraId="085AF11E" w14:textId="77777777" w:rsidR="00147A0B" w:rsidRPr="00147A0B" w:rsidRDefault="00147A0B" w:rsidP="00147A0B">
            <w:pPr>
              <w:widowControl w:val="0"/>
              <w:tabs>
                <w:tab w:val="left" w:pos="360"/>
              </w:tabs>
              <w:autoSpaceDE w:val="0"/>
              <w:autoSpaceDN w:val="0"/>
              <w:adjustRightInd w:val="0"/>
              <w:rPr>
                <w:sz w:val="25"/>
                <w:szCs w:val="25"/>
              </w:rPr>
            </w:pPr>
          </w:p>
        </w:tc>
        <w:tc>
          <w:tcPr>
            <w:tcW w:w="4799" w:type="pct"/>
          </w:tcPr>
          <w:p w14:paraId="23E0BB55" w14:textId="77777777" w:rsidR="00147A0B" w:rsidRPr="00147A0B" w:rsidRDefault="00147A0B" w:rsidP="00147A0B">
            <w:pPr>
              <w:widowControl w:val="0"/>
              <w:tabs>
                <w:tab w:val="left" w:pos="360"/>
              </w:tabs>
              <w:autoSpaceDE w:val="0"/>
              <w:autoSpaceDN w:val="0"/>
              <w:adjustRightInd w:val="0"/>
              <w:rPr>
                <w:sz w:val="25"/>
                <w:szCs w:val="25"/>
              </w:rPr>
            </w:pPr>
          </w:p>
        </w:tc>
      </w:tr>
      <w:tr w:rsidR="00147A0B" w:rsidRPr="00147A0B" w14:paraId="3CEBEDD3" w14:textId="77777777" w:rsidTr="00147A0B">
        <w:tc>
          <w:tcPr>
            <w:tcW w:w="201" w:type="pct"/>
            <w:hideMark/>
          </w:tcPr>
          <w:p w14:paraId="545A5927" w14:textId="77777777" w:rsidR="00147A0B" w:rsidRPr="00147A0B" w:rsidRDefault="00147A0B" w:rsidP="00147A0B">
            <w:pPr>
              <w:widowControl w:val="0"/>
              <w:tabs>
                <w:tab w:val="left" w:pos="360"/>
              </w:tabs>
              <w:autoSpaceDE w:val="0"/>
              <w:autoSpaceDN w:val="0"/>
              <w:adjustRightInd w:val="0"/>
              <w:rPr>
                <w:b/>
                <w:sz w:val="25"/>
                <w:szCs w:val="25"/>
              </w:rPr>
            </w:pPr>
            <w:r w:rsidRPr="00147A0B">
              <w:rPr>
                <w:b/>
                <w:sz w:val="25"/>
                <w:szCs w:val="25"/>
              </w:rPr>
              <w:t>3.</w:t>
            </w:r>
          </w:p>
        </w:tc>
        <w:tc>
          <w:tcPr>
            <w:tcW w:w="4799" w:type="pct"/>
          </w:tcPr>
          <w:p w14:paraId="291B0D9A" w14:textId="77777777" w:rsidR="00147A0B" w:rsidRPr="00147A0B" w:rsidRDefault="00147A0B" w:rsidP="00147A0B">
            <w:pPr>
              <w:widowControl w:val="0"/>
              <w:tabs>
                <w:tab w:val="left" w:pos="360"/>
              </w:tabs>
              <w:autoSpaceDE w:val="0"/>
              <w:autoSpaceDN w:val="0"/>
              <w:adjustRightInd w:val="0"/>
              <w:rPr>
                <w:b/>
                <w:sz w:val="25"/>
                <w:szCs w:val="25"/>
              </w:rPr>
            </w:pPr>
            <w:r w:rsidRPr="00147A0B">
              <w:rPr>
                <w:b/>
                <w:sz w:val="25"/>
                <w:szCs w:val="25"/>
              </w:rPr>
              <w:t>Predmet návrhu zákona je upravený v práve Európskej únie</w:t>
            </w:r>
          </w:p>
          <w:p w14:paraId="0DE59E05" w14:textId="77777777" w:rsidR="00147A0B" w:rsidRPr="00147A0B" w:rsidRDefault="00147A0B" w:rsidP="00147A0B">
            <w:pPr>
              <w:widowControl w:val="0"/>
              <w:tabs>
                <w:tab w:val="left" w:pos="360"/>
              </w:tabs>
              <w:autoSpaceDE w:val="0"/>
              <w:autoSpaceDN w:val="0"/>
              <w:adjustRightInd w:val="0"/>
              <w:rPr>
                <w:sz w:val="25"/>
                <w:szCs w:val="25"/>
              </w:rPr>
            </w:pPr>
          </w:p>
        </w:tc>
      </w:tr>
      <w:tr w:rsidR="00147A0B" w:rsidRPr="00147A0B" w14:paraId="30E58582" w14:textId="77777777" w:rsidTr="00147A0B">
        <w:tc>
          <w:tcPr>
            <w:tcW w:w="201" w:type="pct"/>
          </w:tcPr>
          <w:p w14:paraId="420F807C" w14:textId="77777777" w:rsidR="00147A0B" w:rsidRPr="00147A0B" w:rsidRDefault="00147A0B" w:rsidP="00147A0B">
            <w:pPr>
              <w:widowControl w:val="0"/>
              <w:tabs>
                <w:tab w:val="left" w:pos="360"/>
              </w:tabs>
              <w:autoSpaceDE w:val="0"/>
              <w:autoSpaceDN w:val="0"/>
              <w:adjustRightInd w:val="0"/>
            </w:pPr>
          </w:p>
        </w:tc>
        <w:tc>
          <w:tcPr>
            <w:tcW w:w="4799" w:type="pct"/>
          </w:tcPr>
          <w:p w14:paraId="67C0DDCD" w14:textId="77777777" w:rsidR="00147A0B" w:rsidRPr="00147A0B" w:rsidRDefault="00147A0B" w:rsidP="00B6407E">
            <w:pPr>
              <w:widowControl w:val="0"/>
              <w:numPr>
                <w:ilvl w:val="0"/>
                <w:numId w:val="23"/>
              </w:numPr>
              <w:autoSpaceDE w:val="0"/>
              <w:autoSpaceDN w:val="0"/>
              <w:adjustRightInd w:val="0"/>
              <w:contextualSpacing/>
              <w:rPr>
                <w:rFonts w:ascii="Times" w:hAnsi="Times" w:cs="Times"/>
                <w:iCs/>
                <w:sz w:val="25"/>
                <w:szCs w:val="25"/>
              </w:rPr>
            </w:pPr>
            <w:r w:rsidRPr="00147A0B">
              <w:rPr>
                <w:rFonts w:ascii="Times" w:hAnsi="Times" w:cs="Times"/>
                <w:iCs/>
                <w:sz w:val="25"/>
                <w:szCs w:val="25"/>
              </w:rPr>
              <w:t>v primárnom práve</w:t>
            </w:r>
          </w:p>
          <w:p w14:paraId="6D09E99F"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čl. 3 a 6 Zmluvy o Európskej únii (Ú. v. EÚ C 202, 7. 6. 2016) v platnom znení;</w:t>
            </w:r>
          </w:p>
          <w:p w14:paraId="30546509"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čl. 338 Zmluvy o fungovaní Európskej únie (Ú. v. EÚ C 202, 7. 6. 2016) v platnom znení;</w:t>
            </w:r>
          </w:p>
          <w:p w14:paraId="30B4CFE1" w14:textId="77777777" w:rsidR="00147A0B" w:rsidRPr="00147A0B" w:rsidRDefault="00147A0B" w:rsidP="00147A0B">
            <w:pPr>
              <w:widowControl w:val="0"/>
              <w:tabs>
                <w:tab w:val="left" w:pos="360"/>
              </w:tabs>
              <w:autoSpaceDE w:val="0"/>
              <w:autoSpaceDN w:val="0"/>
              <w:adjustRightInd w:val="0"/>
              <w:ind w:left="360"/>
              <w:contextualSpacing/>
            </w:pPr>
          </w:p>
          <w:p w14:paraId="2397BAC4" w14:textId="77777777" w:rsidR="00147A0B" w:rsidRPr="00147A0B" w:rsidRDefault="00147A0B" w:rsidP="00B6407E">
            <w:pPr>
              <w:widowControl w:val="0"/>
              <w:numPr>
                <w:ilvl w:val="0"/>
                <w:numId w:val="23"/>
              </w:numPr>
              <w:autoSpaceDE w:val="0"/>
              <w:autoSpaceDN w:val="0"/>
              <w:adjustRightInd w:val="0"/>
              <w:contextualSpacing/>
              <w:rPr>
                <w:rFonts w:ascii="Times" w:hAnsi="Times" w:cs="Times"/>
                <w:iCs/>
                <w:sz w:val="25"/>
                <w:szCs w:val="25"/>
              </w:rPr>
            </w:pPr>
            <w:r w:rsidRPr="00147A0B">
              <w:rPr>
                <w:rFonts w:ascii="Times" w:hAnsi="Times" w:cs="Times"/>
                <w:iCs/>
                <w:sz w:val="25"/>
                <w:szCs w:val="25"/>
              </w:rPr>
              <w:t>v sekundárnom práve</w:t>
            </w:r>
          </w:p>
          <w:p w14:paraId="0EE4A462"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Rady (ES) č. 2533/98 z 23. novembra 1998 o zbere štatistických informácií Európskou centrálnou bankou (Ú. v. ES L 318, 27.11.1998, Mimoriadne vydanie Ú. v. EÚ, kap. 01/zv. 003) v platnom znení, gestor: NBS, MF SR;</w:t>
            </w:r>
          </w:p>
          <w:p w14:paraId="7482F966"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Európskeho parlamentu a Rady (EÚ) č. 549/2013 z  21. mája 2013 o európskom systéme národných a regionálnych účtov v Európskej únii (Ú. v. EÚ L 174, 26.6.2013) v platnom znení, gestor: MF SR;</w:t>
            </w:r>
          </w:p>
          <w:p w14:paraId="5FA6A7ED"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v platnom znení; gestor: ŠÚ SR;</w:t>
            </w:r>
          </w:p>
          <w:p w14:paraId="17852244"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Európskeho parlamentu a Rady (EÚ) č. 473/2013 z 21. mája 2013 o spoločných ustanoveniach o monitorovaní a posudzovaní návrhov rozpočtových plánov a zabezpečení nápravy nadmerného deficitu členských štátov v eurozóne (Ú. v. EÚ L 140, 27.5.2013), gestor: MF SR;</w:t>
            </w:r>
          </w:p>
          <w:p w14:paraId="69804525"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Európskeho parlamentu a Rady (EÚ) 2018/1091 z 18. júla 2018 o integrovaných štatistikách fariem, ktorým sa zrušujú nariadenia (ES) č. 1166/2008 a (EÚ) č. 1337/2011 (Ú. v. EÚ L 200, 7.8.2018), gestor: ŠÚ SR;</w:t>
            </w:r>
          </w:p>
          <w:p w14:paraId="78E9905A" w14:textId="77777777" w:rsidR="00147A0B" w:rsidRPr="00147A0B" w:rsidRDefault="00147A0B" w:rsidP="00B6407E">
            <w:pPr>
              <w:widowControl w:val="0"/>
              <w:numPr>
                <w:ilvl w:val="0"/>
                <w:numId w:val="24"/>
              </w:numPr>
              <w:autoSpaceDE w:val="0"/>
              <w:autoSpaceDN w:val="0"/>
              <w:adjustRightInd w:val="0"/>
              <w:contextualSpacing/>
              <w:rPr>
                <w:rFonts w:ascii="Times" w:hAnsi="Times" w:cs="Times"/>
                <w:sz w:val="25"/>
                <w:szCs w:val="25"/>
              </w:rPr>
            </w:pPr>
            <w:r w:rsidRPr="00147A0B">
              <w:rPr>
                <w:rFonts w:ascii="Times" w:hAnsi="Times" w:cs="Times"/>
                <w:sz w:val="25"/>
                <w:szCs w:val="25"/>
              </w:rPr>
              <w:t>nariadenie Európskeho parlamentu a Rady (EÚ) 2019/2152 z 27. novembra 2019 o európskych podnikových štatistikách, ktorým sa zrušuje 10 právnych aktov v oblasti podnikových štatistík (Ú. v. EÚ L 327, 17.12.2019), gestor: ŠÚ SR.</w:t>
            </w:r>
          </w:p>
          <w:p w14:paraId="3353CCD3" w14:textId="77777777" w:rsidR="00147A0B" w:rsidRPr="00147A0B" w:rsidRDefault="00147A0B" w:rsidP="00147A0B">
            <w:pPr>
              <w:widowControl w:val="0"/>
              <w:autoSpaceDE w:val="0"/>
              <w:autoSpaceDN w:val="0"/>
              <w:adjustRightInd w:val="0"/>
              <w:ind w:left="720"/>
              <w:contextualSpacing/>
            </w:pPr>
          </w:p>
        </w:tc>
      </w:tr>
      <w:tr w:rsidR="00147A0B" w:rsidRPr="00147A0B" w14:paraId="5EE6E995" w14:textId="77777777" w:rsidTr="00147A0B">
        <w:tc>
          <w:tcPr>
            <w:tcW w:w="201" w:type="pct"/>
          </w:tcPr>
          <w:p w14:paraId="703F914F" w14:textId="77777777" w:rsidR="00147A0B" w:rsidRPr="00147A0B" w:rsidRDefault="00147A0B" w:rsidP="00147A0B">
            <w:pPr>
              <w:widowControl w:val="0"/>
              <w:tabs>
                <w:tab w:val="left" w:pos="360"/>
              </w:tabs>
              <w:autoSpaceDE w:val="0"/>
              <w:autoSpaceDN w:val="0"/>
              <w:adjustRightInd w:val="0"/>
            </w:pPr>
          </w:p>
        </w:tc>
        <w:tc>
          <w:tcPr>
            <w:tcW w:w="4799" w:type="pct"/>
            <w:hideMark/>
          </w:tcPr>
          <w:p w14:paraId="51B66FAC" w14:textId="77777777" w:rsidR="00147A0B" w:rsidRPr="00147A0B" w:rsidRDefault="00147A0B" w:rsidP="00B6407E">
            <w:pPr>
              <w:widowControl w:val="0"/>
              <w:numPr>
                <w:ilvl w:val="0"/>
                <w:numId w:val="23"/>
              </w:numPr>
              <w:autoSpaceDE w:val="0"/>
              <w:autoSpaceDN w:val="0"/>
              <w:adjustRightInd w:val="0"/>
              <w:contextualSpacing/>
            </w:pPr>
            <w:r w:rsidRPr="00147A0B">
              <w:rPr>
                <w:rFonts w:ascii="Times" w:hAnsi="Times" w:cs="Times"/>
                <w:iCs/>
                <w:sz w:val="25"/>
                <w:szCs w:val="25"/>
              </w:rPr>
              <w:t>nie je upravený v judikatúre Súdneho dvora Európskej únie.</w:t>
            </w:r>
          </w:p>
        </w:tc>
      </w:tr>
      <w:tr w:rsidR="00147A0B" w:rsidRPr="00147A0B" w14:paraId="637119DC" w14:textId="77777777" w:rsidTr="00147A0B">
        <w:tc>
          <w:tcPr>
            <w:tcW w:w="201" w:type="pct"/>
          </w:tcPr>
          <w:p w14:paraId="5B9BD9A3" w14:textId="77777777" w:rsidR="00147A0B" w:rsidRPr="00147A0B" w:rsidRDefault="00147A0B" w:rsidP="00147A0B">
            <w:pPr>
              <w:widowControl w:val="0"/>
              <w:tabs>
                <w:tab w:val="left" w:pos="360"/>
              </w:tabs>
              <w:autoSpaceDE w:val="0"/>
              <w:autoSpaceDN w:val="0"/>
              <w:adjustRightInd w:val="0"/>
              <w:rPr>
                <w:b/>
              </w:rPr>
            </w:pPr>
          </w:p>
        </w:tc>
        <w:tc>
          <w:tcPr>
            <w:tcW w:w="4799" w:type="pct"/>
          </w:tcPr>
          <w:p w14:paraId="04F91A42" w14:textId="77777777" w:rsidR="00147A0B" w:rsidRPr="00147A0B" w:rsidRDefault="00147A0B" w:rsidP="00147A0B">
            <w:pPr>
              <w:widowControl w:val="0"/>
              <w:tabs>
                <w:tab w:val="left" w:pos="360"/>
              </w:tabs>
              <w:autoSpaceDE w:val="0"/>
              <w:autoSpaceDN w:val="0"/>
              <w:adjustRightInd w:val="0"/>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147A0B" w:rsidRPr="00147A0B" w14:paraId="23A9A746" w14:textId="77777777" w:rsidTr="00147A0B">
        <w:trPr>
          <w:jc w:val="center"/>
        </w:trPr>
        <w:tc>
          <w:tcPr>
            <w:tcW w:w="250" w:type="pct"/>
            <w:hideMark/>
          </w:tcPr>
          <w:p w14:paraId="04F9FC7E" w14:textId="77777777" w:rsidR="00147A0B" w:rsidRPr="00147A0B" w:rsidRDefault="00147A0B" w:rsidP="00147A0B">
            <w:pPr>
              <w:widowControl w:val="0"/>
              <w:autoSpaceDE w:val="0"/>
              <w:autoSpaceDN w:val="0"/>
              <w:adjustRightInd w:val="0"/>
              <w:spacing w:after="0"/>
              <w:ind w:firstLine="0"/>
              <w:jc w:val="left"/>
              <w:rPr>
                <w:rFonts w:ascii="Times" w:hAnsi="Times" w:cs="Times"/>
                <w:b/>
                <w:bCs/>
                <w:sz w:val="25"/>
                <w:szCs w:val="25"/>
                <w:lang w:eastAsia="sk-SK"/>
              </w:rPr>
            </w:pPr>
            <w:r w:rsidRPr="00147A0B">
              <w:rPr>
                <w:rFonts w:ascii="Times" w:hAnsi="Times" w:cs="Times"/>
                <w:b/>
                <w:bCs/>
                <w:sz w:val="25"/>
                <w:szCs w:val="25"/>
                <w:lang w:eastAsia="sk-SK"/>
              </w:rPr>
              <w:lastRenderedPageBreak/>
              <w:t>4.</w:t>
            </w:r>
          </w:p>
        </w:tc>
        <w:tc>
          <w:tcPr>
            <w:tcW w:w="4750" w:type="pct"/>
            <w:gridSpan w:val="2"/>
            <w:vAlign w:val="center"/>
            <w:hideMark/>
          </w:tcPr>
          <w:p w14:paraId="05583303" w14:textId="77777777" w:rsidR="00147A0B" w:rsidRPr="00147A0B" w:rsidRDefault="00147A0B" w:rsidP="00147A0B">
            <w:pPr>
              <w:widowControl w:val="0"/>
              <w:autoSpaceDE w:val="0"/>
              <w:autoSpaceDN w:val="0"/>
              <w:adjustRightInd w:val="0"/>
              <w:spacing w:after="250"/>
              <w:ind w:firstLine="0"/>
              <w:jc w:val="left"/>
              <w:rPr>
                <w:rFonts w:ascii="Times" w:hAnsi="Times" w:cs="Times"/>
                <w:b/>
                <w:bCs/>
                <w:sz w:val="25"/>
                <w:szCs w:val="25"/>
                <w:lang w:eastAsia="sk-SK"/>
              </w:rPr>
            </w:pPr>
            <w:r w:rsidRPr="00147A0B">
              <w:rPr>
                <w:rFonts w:ascii="Times" w:hAnsi="Times" w:cs="Times"/>
                <w:b/>
                <w:bCs/>
                <w:sz w:val="25"/>
                <w:szCs w:val="25"/>
                <w:lang w:eastAsia="sk-SK"/>
              </w:rPr>
              <w:t>Záväzky Slovenskej republiky vo vzťahu k Európskej únii:</w:t>
            </w:r>
          </w:p>
        </w:tc>
      </w:tr>
      <w:tr w:rsidR="00147A0B" w:rsidRPr="00147A0B" w14:paraId="6889AE14" w14:textId="77777777" w:rsidTr="00147A0B">
        <w:trPr>
          <w:jc w:val="center"/>
        </w:trPr>
        <w:tc>
          <w:tcPr>
            <w:tcW w:w="250" w:type="pct"/>
            <w:hideMark/>
          </w:tcPr>
          <w:p w14:paraId="3E82F036"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b/>
                <w:bCs/>
                <w:sz w:val="25"/>
                <w:szCs w:val="25"/>
                <w:lang w:eastAsia="sk-SK"/>
              </w:rPr>
            </w:pPr>
          </w:p>
        </w:tc>
        <w:tc>
          <w:tcPr>
            <w:tcW w:w="150" w:type="pct"/>
            <w:hideMark/>
          </w:tcPr>
          <w:p w14:paraId="404621E8" w14:textId="77777777" w:rsidR="00147A0B" w:rsidRPr="00147A0B" w:rsidRDefault="00147A0B" w:rsidP="00147A0B">
            <w:pPr>
              <w:widowControl w:val="0"/>
              <w:autoSpaceDE w:val="0"/>
              <w:autoSpaceDN w:val="0"/>
              <w:adjustRightInd w:val="0"/>
              <w:spacing w:after="0"/>
              <w:ind w:firstLine="0"/>
              <w:jc w:val="left"/>
              <w:rPr>
                <w:rFonts w:ascii="Times" w:hAnsi="Times" w:cs="Times"/>
                <w:sz w:val="25"/>
                <w:szCs w:val="25"/>
                <w:lang w:eastAsia="sk-SK"/>
              </w:rPr>
            </w:pPr>
            <w:r w:rsidRPr="00147A0B">
              <w:rPr>
                <w:rFonts w:ascii="Times" w:hAnsi="Times" w:cs="Times"/>
                <w:sz w:val="25"/>
                <w:szCs w:val="25"/>
                <w:lang w:eastAsia="sk-SK"/>
              </w:rPr>
              <w:t>a)</w:t>
            </w:r>
          </w:p>
        </w:tc>
        <w:tc>
          <w:tcPr>
            <w:tcW w:w="4600" w:type="pct"/>
            <w:vAlign w:val="center"/>
            <w:hideMark/>
          </w:tcPr>
          <w:p w14:paraId="5D8F9666" w14:textId="77777777" w:rsidR="00147A0B" w:rsidRPr="00147A0B" w:rsidRDefault="00147A0B" w:rsidP="00147A0B">
            <w:pPr>
              <w:widowControl w:val="0"/>
              <w:autoSpaceDE w:val="0"/>
              <w:autoSpaceDN w:val="0"/>
              <w:adjustRightInd w:val="0"/>
              <w:spacing w:after="250"/>
              <w:ind w:firstLine="0"/>
              <w:rPr>
                <w:rFonts w:ascii="Times" w:hAnsi="Times" w:cs="Times"/>
                <w:sz w:val="25"/>
                <w:szCs w:val="25"/>
                <w:lang w:eastAsia="sk-SK"/>
              </w:rPr>
            </w:pPr>
            <w:r w:rsidRPr="00147A0B">
              <w:rPr>
                <w:rFonts w:ascii="Times" w:hAnsi="Times" w:cs="Times"/>
                <w:sz w:val="25"/>
                <w:szCs w:val="25"/>
                <w:lang w:eastAsia="sk-SK"/>
              </w:rPr>
              <w:t>uviesť lehotu na prebranie príslušného právneho aktu Európskej únie, príp. aj osobitnú lehotu účinnosti jeho ustanovení,</w:t>
            </w:r>
          </w:p>
        </w:tc>
      </w:tr>
      <w:tr w:rsidR="00147A0B" w:rsidRPr="00147A0B" w14:paraId="31AE3EE9" w14:textId="77777777" w:rsidTr="00147A0B">
        <w:trPr>
          <w:jc w:val="center"/>
        </w:trPr>
        <w:tc>
          <w:tcPr>
            <w:tcW w:w="250" w:type="pct"/>
            <w:hideMark/>
          </w:tcPr>
          <w:p w14:paraId="04E82C1B"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sz w:val="25"/>
                <w:szCs w:val="25"/>
                <w:lang w:eastAsia="sk-SK"/>
              </w:rPr>
            </w:pPr>
          </w:p>
        </w:tc>
        <w:tc>
          <w:tcPr>
            <w:tcW w:w="150" w:type="pct"/>
          </w:tcPr>
          <w:p w14:paraId="59F0BE6E" w14:textId="77777777" w:rsidR="00147A0B" w:rsidRPr="00147A0B" w:rsidRDefault="00147A0B" w:rsidP="00147A0B">
            <w:pPr>
              <w:widowControl w:val="0"/>
              <w:autoSpaceDE w:val="0"/>
              <w:autoSpaceDN w:val="0"/>
              <w:adjustRightInd w:val="0"/>
              <w:spacing w:after="0"/>
              <w:ind w:firstLine="0"/>
              <w:jc w:val="left"/>
              <w:rPr>
                <w:sz w:val="20"/>
                <w:szCs w:val="20"/>
                <w:lang w:eastAsia="sk-SK"/>
              </w:rPr>
            </w:pPr>
          </w:p>
        </w:tc>
        <w:tc>
          <w:tcPr>
            <w:tcW w:w="4600" w:type="pct"/>
            <w:vAlign w:val="center"/>
            <w:hideMark/>
          </w:tcPr>
          <w:p w14:paraId="03C66BC4"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Nariadenie (ES) č. 2533/98 je účinné od 1. januára 1999 okrem čl. 5, čl. 6 ods. 4 a čl. 8 ods. 9, ktoré nadobudli účinnosť 27. novembra1998.</w:t>
            </w:r>
          </w:p>
          <w:p w14:paraId="6E20DD98" w14:textId="77777777" w:rsidR="00147A0B" w:rsidRPr="00147A0B" w:rsidRDefault="00147A0B" w:rsidP="00147A0B">
            <w:pPr>
              <w:widowControl w:val="0"/>
              <w:autoSpaceDE w:val="0"/>
              <w:autoSpaceDN w:val="0"/>
              <w:adjustRightInd w:val="0"/>
              <w:ind w:firstLine="0"/>
              <w:rPr>
                <w:sz w:val="25"/>
                <w:szCs w:val="25"/>
                <w:shd w:val="clear" w:color="auto" w:fill="FFFFFF"/>
                <w:lang w:eastAsia="sk-SK"/>
              </w:rPr>
            </w:pPr>
            <w:r w:rsidRPr="00147A0B">
              <w:rPr>
                <w:sz w:val="25"/>
                <w:szCs w:val="25"/>
                <w:lang w:eastAsia="sk-SK"/>
              </w:rPr>
              <w:t>Nariadenie Rady (ES) č. 951/2009 z  9. októbra 2009 , ktorým sa mení a dopĺňa nariadenie (ES) č. 2533/98 o zbere štatistických informácií Európskou centrálnou bankou (Ú. v. EÚ L 269, 14.10.2009) je účinné od 15. 10. 2009; ide o nariadenie, ktorým sa zabezpečuje, aby ECB mohla zbierať štatistické informácie potrebné na plnenie všetkých úloh uvedených v čl. 127 Zmluvy o fungovaní EÚ a ustanovuje štatistické zásady tvorby</w:t>
            </w:r>
            <w:r w:rsidRPr="00147A0B">
              <w:rPr>
                <w:bCs/>
                <w:sz w:val="25"/>
                <w:szCs w:val="25"/>
                <w:shd w:val="clear" w:color="auto" w:fill="FFFFFF"/>
                <w:lang w:eastAsia="sk-SK"/>
              </w:rPr>
              <w:t xml:space="preserve"> týchto štatistík v súlade so štatistickými zásadami podľa nariadenia (ES) č. 223/2009 v platnom znení</w:t>
            </w:r>
            <w:r w:rsidRPr="00147A0B">
              <w:rPr>
                <w:sz w:val="25"/>
                <w:szCs w:val="25"/>
                <w:shd w:val="clear" w:color="auto" w:fill="FFFFFF"/>
                <w:lang w:eastAsia="sk-SK"/>
              </w:rPr>
              <w:t>.</w:t>
            </w:r>
          </w:p>
          <w:p w14:paraId="7DE2148A" w14:textId="77777777" w:rsidR="00147A0B" w:rsidRPr="00147A0B" w:rsidRDefault="00147A0B" w:rsidP="00B6407E">
            <w:pPr>
              <w:widowControl w:val="0"/>
              <w:numPr>
                <w:ilvl w:val="0"/>
                <w:numId w:val="25"/>
              </w:numPr>
              <w:autoSpaceDE w:val="0"/>
              <w:autoSpaceDN w:val="0"/>
              <w:adjustRightInd w:val="0"/>
              <w:spacing w:after="240" w:line="240" w:lineRule="auto"/>
              <w:contextualSpacing/>
              <w:jc w:val="left"/>
              <w:rPr>
                <w:rFonts w:ascii="Times" w:hAnsi="Times" w:cs="Times"/>
                <w:sz w:val="25"/>
                <w:szCs w:val="25"/>
                <w:lang w:eastAsia="sk-SK"/>
              </w:rPr>
            </w:pPr>
            <w:r w:rsidRPr="00147A0B">
              <w:rPr>
                <w:rFonts w:ascii="Times" w:hAnsi="Times" w:cs="Times"/>
                <w:sz w:val="25"/>
                <w:szCs w:val="25"/>
                <w:lang w:eastAsia="sk-SK"/>
              </w:rPr>
              <w:t>implementované čl. I bodom  3[§ 8 ods. 1 písm. n) prvý bod];</w:t>
            </w:r>
          </w:p>
          <w:p w14:paraId="653AE9F1"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 xml:space="preserve">Nariadenie (ES) č. 223/2009 je účinné od 1. apríla 2009. </w:t>
            </w:r>
          </w:p>
          <w:p w14:paraId="202DAD7A"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Nariadenie Európskeho parlamentu a Rady (EÚ) 2015/759 z 29. apríla 2015, ktorým sa mení nariadenie (ES) č. 223/2009 o európskej štatistike (Ú. v. EÚ L 123, 19.5.2015) je účinné od 8. júna 2015; ide o nariadenie, ktorým sa podstatným spôsobom zmenili alebo doplnili:</w:t>
            </w:r>
          </w:p>
          <w:p w14:paraId="1364DC84" w14:textId="77777777" w:rsidR="00147A0B" w:rsidRPr="00147A0B" w:rsidRDefault="00147A0B" w:rsidP="00B6407E">
            <w:pPr>
              <w:widowControl w:val="0"/>
              <w:numPr>
                <w:ilvl w:val="0"/>
                <w:numId w:val="26"/>
              </w:numPr>
              <w:autoSpaceDE w:val="0"/>
              <w:autoSpaceDN w:val="0"/>
              <w:adjustRightInd w:val="0"/>
              <w:spacing w:after="0" w:line="240" w:lineRule="auto"/>
              <w:ind w:left="360"/>
              <w:contextualSpacing/>
              <w:jc w:val="left"/>
              <w:rPr>
                <w:rFonts w:ascii="Times" w:hAnsi="Times" w:cs="Times"/>
                <w:sz w:val="25"/>
                <w:szCs w:val="25"/>
                <w:lang w:eastAsia="sk-SK"/>
              </w:rPr>
            </w:pPr>
            <w:r w:rsidRPr="00147A0B">
              <w:rPr>
                <w:rFonts w:ascii="Times" w:hAnsi="Times" w:cs="Times"/>
                <w:sz w:val="25"/>
                <w:szCs w:val="25"/>
                <w:lang w:eastAsia="sk-SK"/>
              </w:rPr>
              <w:t xml:space="preserve">oblasť kvality európskej štatistiky, dodržiavania štatistických zásad obsiahnutých v Kódexe postupov pre európsku štatistiku a opatrení na zabezpečenie jej odbornej nezávislosti [čl. 2 ods. 1 písm. a), čl. 5a, čl. 11 ods. 3, čl. 12 ods. 3 nariadenia (ES) č. 223/2009 v platnom znení] sú implementované čl. I bodmi 1 [§ 3 ods. 1 a 2], 3 [§ 8 ods. 1], 7 [§ 11 ods. 1 písm. c)], 9 [§ 11 ods. 3], 15 [§ 12a]; </w:t>
            </w:r>
          </w:p>
          <w:p w14:paraId="1F6C7A77" w14:textId="77777777" w:rsidR="00147A0B" w:rsidRPr="00147A0B" w:rsidRDefault="00147A0B" w:rsidP="00B6407E">
            <w:pPr>
              <w:widowControl w:val="0"/>
              <w:numPr>
                <w:ilvl w:val="0"/>
                <w:numId w:val="26"/>
              </w:numPr>
              <w:autoSpaceDE w:val="0"/>
              <w:autoSpaceDN w:val="0"/>
              <w:adjustRightInd w:val="0"/>
              <w:spacing w:after="0" w:line="240" w:lineRule="auto"/>
              <w:ind w:left="360"/>
              <w:contextualSpacing/>
              <w:jc w:val="left"/>
              <w:rPr>
                <w:rFonts w:ascii="Times" w:hAnsi="Times" w:cs="Times"/>
                <w:sz w:val="25"/>
                <w:szCs w:val="25"/>
                <w:lang w:eastAsia="sk-SK"/>
              </w:rPr>
            </w:pPr>
            <w:r w:rsidRPr="00147A0B">
              <w:rPr>
                <w:rFonts w:ascii="Times" w:hAnsi="Times" w:cs="Times"/>
                <w:sz w:val="25"/>
                <w:szCs w:val="25"/>
                <w:lang w:eastAsia="sk-SK"/>
              </w:rPr>
              <w:t>koordinačná úloha vnútroštátneho štatistického orgánu zodpovedného na vnútroštátnej úrovni za koordináciu európskych štatistík [čl. 5 ods. 1 nariadenia (ES) č. 223/2009 v platnom znení] – sú implementované čl. I bodmi  2 [§ 5 ods. 1], 3 [§ 8 ods. 1 písm. k) ), § 10, § 12a, § 30 ods. 8];</w:t>
            </w:r>
          </w:p>
          <w:p w14:paraId="1FA2D7C9" w14:textId="77777777" w:rsidR="00147A0B" w:rsidRPr="00147A0B" w:rsidRDefault="00147A0B" w:rsidP="00B6407E">
            <w:pPr>
              <w:widowControl w:val="0"/>
              <w:numPr>
                <w:ilvl w:val="0"/>
                <w:numId w:val="26"/>
              </w:numPr>
              <w:autoSpaceDE w:val="0"/>
              <w:autoSpaceDN w:val="0"/>
              <w:adjustRightInd w:val="0"/>
              <w:spacing w:after="0" w:line="240" w:lineRule="auto"/>
              <w:ind w:left="360"/>
              <w:contextualSpacing/>
              <w:jc w:val="left"/>
              <w:rPr>
                <w:rFonts w:ascii="Times" w:hAnsi="Times" w:cs="Times"/>
                <w:sz w:val="25"/>
                <w:szCs w:val="25"/>
                <w:lang w:eastAsia="sk-SK"/>
              </w:rPr>
            </w:pPr>
            <w:r w:rsidRPr="00147A0B">
              <w:rPr>
                <w:rFonts w:ascii="Times" w:hAnsi="Times" w:cs="Times"/>
                <w:sz w:val="25"/>
                <w:szCs w:val="25"/>
                <w:lang w:eastAsia="sk-SK"/>
              </w:rPr>
              <w:t>európsky štatistický program [čl. 13 ods. 1 nariadenia (ES) č. 223/2009 v platnom znení] – je implementovaný čl. I bodmi : 1 [ § 1 ods. 2], 2 [§ 5 ods. 1], 3[§ 8 ods. 1 písm. d), j) a l)];</w:t>
            </w:r>
          </w:p>
          <w:p w14:paraId="453D0878" w14:textId="77777777" w:rsidR="00147A0B" w:rsidRPr="00147A0B" w:rsidRDefault="00147A0B" w:rsidP="00B6407E">
            <w:pPr>
              <w:widowControl w:val="0"/>
              <w:numPr>
                <w:ilvl w:val="0"/>
                <w:numId w:val="26"/>
              </w:numPr>
              <w:autoSpaceDE w:val="0"/>
              <w:autoSpaceDN w:val="0"/>
              <w:adjustRightInd w:val="0"/>
              <w:spacing w:after="0" w:line="240" w:lineRule="auto"/>
              <w:ind w:left="360"/>
              <w:contextualSpacing/>
              <w:jc w:val="left"/>
              <w:rPr>
                <w:rFonts w:ascii="Times" w:hAnsi="Times" w:cs="Times"/>
                <w:sz w:val="25"/>
                <w:szCs w:val="25"/>
                <w:lang w:eastAsia="sk-SK"/>
              </w:rPr>
            </w:pPr>
            <w:r w:rsidRPr="00147A0B">
              <w:rPr>
                <w:rFonts w:ascii="Times" w:hAnsi="Times" w:cs="Times"/>
                <w:sz w:val="25"/>
                <w:szCs w:val="25"/>
                <w:lang w:eastAsia="sk-SK"/>
              </w:rPr>
              <w:t>štatistická dôvernosť [čl. 20 ods. 4 druhý pododsek a čl.  26 nariadenia (ES) č. 223/2009 v platnom znení] – je implementovaný čl. I bodmi   1 [§ 3 ods. 1], 25 [§ 21 ods. 5], 31 [§ 29] a 34 [, § 30 ods. 5] a 36 [§ 30 ods. 7 a 8];</w:t>
            </w:r>
          </w:p>
          <w:p w14:paraId="517AC440" w14:textId="77777777" w:rsidR="00147A0B" w:rsidRPr="00147A0B" w:rsidRDefault="00147A0B" w:rsidP="00B6407E">
            <w:pPr>
              <w:widowControl w:val="0"/>
              <w:numPr>
                <w:ilvl w:val="0"/>
                <w:numId w:val="26"/>
              </w:numPr>
              <w:autoSpaceDE w:val="0"/>
              <w:autoSpaceDN w:val="0"/>
              <w:adjustRightInd w:val="0"/>
              <w:spacing w:after="240" w:line="240" w:lineRule="auto"/>
              <w:ind w:left="360"/>
              <w:contextualSpacing/>
              <w:jc w:val="left"/>
              <w:rPr>
                <w:rFonts w:ascii="Times" w:hAnsi="Times" w:cs="Times"/>
                <w:sz w:val="25"/>
                <w:szCs w:val="25"/>
                <w:lang w:eastAsia="sk-SK"/>
              </w:rPr>
            </w:pPr>
            <w:r w:rsidRPr="00147A0B">
              <w:rPr>
                <w:rFonts w:ascii="Times" w:hAnsi="Times" w:cs="Times"/>
                <w:sz w:val="25"/>
                <w:szCs w:val="25"/>
                <w:lang w:eastAsia="sk-SK"/>
              </w:rPr>
              <w:t>prístup k administratívnym záznamom, ich používanie a integrácia [čl. 17a (ES) nariadenie (ES) č. 223/2009 v platnom znení] – je implementovaný čl. I bodom  16 [§ 2 ods. 2 písm. k) a l) a § 13];</w:t>
            </w:r>
          </w:p>
          <w:p w14:paraId="6DC7B13A"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Nariadenie (EÚ) č. 473/2013 je účinné od 30. mája 2013:</w:t>
            </w:r>
          </w:p>
          <w:p w14:paraId="20E6E014" w14:textId="77777777" w:rsidR="00147A0B" w:rsidRPr="00147A0B" w:rsidRDefault="00147A0B" w:rsidP="00B6407E">
            <w:pPr>
              <w:widowControl w:val="0"/>
              <w:numPr>
                <w:ilvl w:val="0"/>
                <w:numId w:val="27"/>
              </w:numPr>
              <w:autoSpaceDE w:val="0"/>
              <w:autoSpaceDN w:val="0"/>
              <w:adjustRightInd w:val="0"/>
              <w:spacing w:after="240" w:line="240" w:lineRule="auto"/>
              <w:contextualSpacing/>
              <w:jc w:val="left"/>
              <w:rPr>
                <w:rFonts w:ascii="Times" w:hAnsi="Times" w:cs="Times"/>
                <w:sz w:val="25"/>
                <w:szCs w:val="25"/>
                <w:lang w:eastAsia="sk-SK"/>
              </w:rPr>
            </w:pPr>
            <w:r w:rsidRPr="00147A0B">
              <w:rPr>
                <w:rFonts w:ascii="Times" w:hAnsi="Times" w:cs="Times"/>
                <w:sz w:val="25"/>
                <w:szCs w:val="25"/>
                <w:lang w:eastAsia="sk-SK"/>
              </w:rPr>
              <w:t>čl. 2 ods. 1 písm. a) prvého a piateho pododseku nariadenia (EÚ) 473/2013 je implementovaný čl. I bodom 3 [§ 8 ods. 1 písm. n) druhého bodu].</w:t>
            </w:r>
          </w:p>
          <w:p w14:paraId="542F2938"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Nariadenie (EÚ) 2018/1091 je účinné od 27. augusta 2018:</w:t>
            </w:r>
          </w:p>
          <w:p w14:paraId="304D2DE6" w14:textId="77777777" w:rsidR="00147A0B" w:rsidRPr="00147A0B" w:rsidRDefault="00147A0B" w:rsidP="00B6407E">
            <w:pPr>
              <w:widowControl w:val="0"/>
              <w:numPr>
                <w:ilvl w:val="0"/>
                <w:numId w:val="27"/>
              </w:numPr>
              <w:autoSpaceDE w:val="0"/>
              <w:autoSpaceDN w:val="0"/>
              <w:adjustRightInd w:val="0"/>
              <w:spacing w:after="240" w:line="240" w:lineRule="auto"/>
              <w:contextualSpacing/>
              <w:jc w:val="left"/>
              <w:rPr>
                <w:rFonts w:ascii="Times" w:hAnsi="Times" w:cs="Times"/>
                <w:sz w:val="25"/>
                <w:szCs w:val="25"/>
                <w:lang w:eastAsia="sk-SK"/>
              </w:rPr>
            </w:pPr>
            <w:r w:rsidRPr="00147A0B">
              <w:rPr>
                <w:rFonts w:ascii="Times" w:hAnsi="Times" w:cs="Times"/>
                <w:sz w:val="25"/>
                <w:szCs w:val="25"/>
                <w:lang w:eastAsia="sk-SK"/>
              </w:rPr>
              <w:lastRenderedPageBreak/>
              <w:t>implementované čl. I bodmi 17 [§ 16 a 17], 23 [§ 20 ods. 1 písm. b)] a 26 [§ 22].</w:t>
            </w:r>
          </w:p>
          <w:p w14:paraId="1BE6A141"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sz w:val="25"/>
                <w:szCs w:val="25"/>
                <w:lang w:eastAsia="sk-SK"/>
              </w:rPr>
              <w:t>Nariadenie (EÚ) 2019/2152 je účinné od 29. novembra 2019 a s výnimkou čl. 5 ods. 2 až 4 a čl. 11 až 15 sa uplatňuje od 1. januára 2021:</w:t>
            </w:r>
          </w:p>
          <w:p w14:paraId="79C50623" w14:textId="77777777" w:rsidR="00147A0B" w:rsidRPr="00147A0B" w:rsidRDefault="00147A0B" w:rsidP="00B6407E">
            <w:pPr>
              <w:widowControl w:val="0"/>
              <w:numPr>
                <w:ilvl w:val="0"/>
                <w:numId w:val="27"/>
              </w:numPr>
              <w:autoSpaceDE w:val="0"/>
              <w:autoSpaceDN w:val="0"/>
              <w:adjustRightInd w:val="0"/>
              <w:spacing w:after="0" w:line="240" w:lineRule="auto"/>
              <w:contextualSpacing/>
              <w:jc w:val="left"/>
              <w:rPr>
                <w:rFonts w:ascii="Times" w:hAnsi="Times" w:cs="Times"/>
                <w:sz w:val="25"/>
                <w:szCs w:val="25"/>
                <w:lang w:eastAsia="sk-SK"/>
              </w:rPr>
            </w:pPr>
            <w:r w:rsidRPr="00147A0B">
              <w:rPr>
                <w:rFonts w:ascii="Times" w:hAnsi="Times" w:cs="Times"/>
                <w:sz w:val="25"/>
                <w:szCs w:val="25"/>
                <w:lang w:eastAsia="sk-SK"/>
              </w:rPr>
              <w:t>implementované čl. I bodmi 23 [§ 18 ods. 3] a 31 [§ 20 ods. 2],</w:t>
            </w:r>
          </w:p>
          <w:p w14:paraId="16897084" w14:textId="77777777" w:rsidR="00147A0B" w:rsidRPr="00147A0B" w:rsidRDefault="00147A0B" w:rsidP="00B6407E">
            <w:pPr>
              <w:widowControl w:val="0"/>
              <w:numPr>
                <w:ilvl w:val="0"/>
                <w:numId w:val="27"/>
              </w:numPr>
              <w:autoSpaceDE w:val="0"/>
              <w:autoSpaceDN w:val="0"/>
              <w:adjustRightInd w:val="0"/>
              <w:spacing w:after="0" w:line="240" w:lineRule="auto"/>
              <w:contextualSpacing/>
              <w:jc w:val="left"/>
              <w:rPr>
                <w:rFonts w:ascii="Times" w:hAnsi="Times" w:cs="Times"/>
                <w:sz w:val="25"/>
                <w:szCs w:val="25"/>
                <w:lang w:eastAsia="sk-SK"/>
              </w:rPr>
            </w:pPr>
            <w:r w:rsidRPr="00147A0B">
              <w:rPr>
                <w:rFonts w:ascii="Times" w:hAnsi="Times" w:cs="Times"/>
                <w:sz w:val="25"/>
                <w:szCs w:val="25"/>
                <w:lang w:eastAsia="sk-SK"/>
              </w:rPr>
              <w:t xml:space="preserve">článok 5 ods. 2 až 4 a články 11 až 15, ktoré sa uplatňujú od 1. januára 2022, nevyžadujú prijatie vnútroštátnych opatrení na úrovni zákona. </w:t>
            </w:r>
          </w:p>
        </w:tc>
      </w:tr>
      <w:tr w:rsidR="00147A0B" w:rsidRPr="00147A0B" w14:paraId="7319C170" w14:textId="77777777" w:rsidTr="00147A0B">
        <w:trPr>
          <w:jc w:val="center"/>
        </w:trPr>
        <w:tc>
          <w:tcPr>
            <w:tcW w:w="250" w:type="pct"/>
            <w:hideMark/>
          </w:tcPr>
          <w:p w14:paraId="04B04B03" w14:textId="77777777" w:rsidR="00147A0B" w:rsidRPr="00147A0B" w:rsidRDefault="00147A0B" w:rsidP="00147A0B">
            <w:pPr>
              <w:widowControl w:val="0"/>
              <w:autoSpaceDE w:val="0"/>
              <w:autoSpaceDN w:val="0"/>
              <w:adjustRightInd w:val="0"/>
              <w:spacing w:after="250"/>
              <w:ind w:firstLine="0"/>
              <w:jc w:val="left"/>
              <w:rPr>
                <w:rFonts w:ascii="Times" w:hAnsi="Times" w:cs="Times"/>
                <w:sz w:val="25"/>
                <w:szCs w:val="25"/>
                <w:lang w:eastAsia="sk-SK"/>
              </w:rPr>
            </w:pPr>
            <w:r w:rsidRPr="00147A0B">
              <w:rPr>
                <w:rFonts w:ascii="Times" w:hAnsi="Times" w:cs="Times"/>
                <w:sz w:val="25"/>
                <w:szCs w:val="25"/>
                <w:lang w:eastAsia="sk-SK"/>
              </w:rPr>
              <w:lastRenderedPageBreak/>
              <w:t> </w:t>
            </w:r>
          </w:p>
        </w:tc>
        <w:tc>
          <w:tcPr>
            <w:tcW w:w="150" w:type="pct"/>
            <w:hideMark/>
          </w:tcPr>
          <w:p w14:paraId="7A3A67CF" w14:textId="77777777" w:rsidR="00147A0B" w:rsidRPr="00147A0B" w:rsidRDefault="00147A0B" w:rsidP="00147A0B">
            <w:pPr>
              <w:widowControl w:val="0"/>
              <w:autoSpaceDE w:val="0"/>
              <w:autoSpaceDN w:val="0"/>
              <w:adjustRightInd w:val="0"/>
              <w:spacing w:after="0"/>
              <w:ind w:firstLine="0"/>
              <w:jc w:val="left"/>
              <w:rPr>
                <w:rFonts w:ascii="Times" w:hAnsi="Times" w:cs="Times"/>
                <w:sz w:val="25"/>
                <w:szCs w:val="25"/>
                <w:lang w:eastAsia="sk-SK"/>
              </w:rPr>
            </w:pPr>
            <w:r w:rsidRPr="00147A0B">
              <w:rPr>
                <w:rFonts w:ascii="Times" w:hAnsi="Times" w:cs="Times"/>
                <w:sz w:val="25"/>
                <w:szCs w:val="25"/>
                <w:lang w:eastAsia="sk-SK"/>
              </w:rPr>
              <w:t>b)</w:t>
            </w:r>
          </w:p>
        </w:tc>
        <w:tc>
          <w:tcPr>
            <w:tcW w:w="4600" w:type="pct"/>
            <w:vAlign w:val="center"/>
            <w:hideMark/>
          </w:tcPr>
          <w:p w14:paraId="2DAD7978" w14:textId="77777777" w:rsidR="00147A0B" w:rsidRPr="00147A0B" w:rsidRDefault="00147A0B" w:rsidP="00147A0B">
            <w:pPr>
              <w:widowControl w:val="0"/>
              <w:autoSpaceDE w:val="0"/>
              <w:autoSpaceDN w:val="0"/>
              <w:adjustRightInd w:val="0"/>
              <w:spacing w:after="250"/>
              <w:ind w:firstLine="0"/>
              <w:rPr>
                <w:rFonts w:ascii="Times" w:hAnsi="Times" w:cs="Times"/>
                <w:sz w:val="25"/>
                <w:szCs w:val="25"/>
                <w:lang w:eastAsia="sk-SK"/>
              </w:rPr>
            </w:pPr>
            <w:r w:rsidRPr="00147A0B">
              <w:rPr>
                <w:rFonts w:ascii="Times" w:hAnsi="Times" w:cs="Times"/>
                <w:sz w:val="25"/>
                <w:szCs w:val="25"/>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w:t>
            </w:r>
            <w:r w:rsidRPr="00147A0B">
              <w:rPr>
                <w:rFonts w:ascii="Times" w:hAnsi="Times" w:cs="Times"/>
                <w:b/>
                <w:sz w:val="25"/>
                <w:szCs w:val="25"/>
                <w:lang w:eastAsia="sk-SK"/>
              </w:rPr>
              <w:t>n</w:t>
            </w:r>
            <w:r w:rsidRPr="00147A0B">
              <w:rPr>
                <w:rFonts w:ascii="Times" w:hAnsi="Times" w:cs="Times"/>
                <w:b/>
                <w:bCs/>
                <w:sz w:val="25"/>
                <w:szCs w:val="25"/>
                <w:lang w:eastAsia="sk-SK"/>
              </w:rPr>
              <w:t>ariadenie Európskeho parlamentu a Rady (ES) č. 1049/2001 z 30. mája 2001 o prístupe verejnosti k dokumentom Európskeho parlamentu, Rady a Komisie</w:t>
            </w:r>
            <w:r w:rsidRPr="00147A0B">
              <w:rPr>
                <w:rFonts w:ascii="Times" w:hAnsi="Times" w:cs="Times"/>
                <w:sz w:val="25"/>
                <w:szCs w:val="25"/>
                <w:lang w:eastAsia="sk-SK"/>
              </w:rPr>
              <w:t xml:space="preserve">, </w:t>
            </w:r>
          </w:p>
        </w:tc>
      </w:tr>
      <w:tr w:rsidR="00147A0B" w:rsidRPr="00147A0B" w14:paraId="275D1BD3" w14:textId="77777777" w:rsidTr="00147A0B">
        <w:trPr>
          <w:trHeight w:val="151"/>
          <w:jc w:val="center"/>
        </w:trPr>
        <w:tc>
          <w:tcPr>
            <w:tcW w:w="250" w:type="pct"/>
            <w:hideMark/>
          </w:tcPr>
          <w:p w14:paraId="3E1EE584"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sz w:val="25"/>
                <w:szCs w:val="25"/>
                <w:lang w:eastAsia="sk-SK"/>
              </w:rPr>
            </w:pPr>
          </w:p>
        </w:tc>
        <w:tc>
          <w:tcPr>
            <w:tcW w:w="150" w:type="pct"/>
            <w:hideMark/>
          </w:tcPr>
          <w:p w14:paraId="4257CE4C" w14:textId="77777777" w:rsidR="00147A0B" w:rsidRPr="00147A0B" w:rsidRDefault="00147A0B" w:rsidP="00147A0B">
            <w:pPr>
              <w:spacing w:after="0"/>
              <w:ind w:firstLine="0"/>
              <w:jc w:val="left"/>
              <w:rPr>
                <w:sz w:val="20"/>
                <w:szCs w:val="20"/>
                <w:lang w:eastAsia="sk-SK"/>
              </w:rPr>
            </w:pPr>
          </w:p>
        </w:tc>
        <w:tc>
          <w:tcPr>
            <w:tcW w:w="4600" w:type="pct"/>
            <w:vAlign w:val="center"/>
            <w:hideMark/>
          </w:tcPr>
          <w:p w14:paraId="3D920F2E" w14:textId="77777777" w:rsidR="00147A0B" w:rsidRPr="00147A0B" w:rsidRDefault="00147A0B" w:rsidP="00147A0B">
            <w:pPr>
              <w:widowControl w:val="0"/>
              <w:autoSpaceDE w:val="0"/>
              <w:autoSpaceDN w:val="0"/>
              <w:adjustRightInd w:val="0"/>
              <w:spacing w:after="250"/>
              <w:ind w:firstLine="0"/>
              <w:rPr>
                <w:rFonts w:ascii="Times" w:hAnsi="Times" w:cs="Times"/>
                <w:sz w:val="25"/>
                <w:szCs w:val="25"/>
                <w:lang w:eastAsia="sk-SK"/>
              </w:rPr>
            </w:pPr>
            <w:r w:rsidRPr="00147A0B">
              <w:rPr>
                <w:rFonts w:ascii="Times" w:hAnsi="Times" w:cs="Times"/>
                <w:sz w:val="25"/>
                <w:szCs w:val="25"/>
                <w:lang w:eastAsia="sk-SK"/>
              </w:rPr>
              <w:t>Proti Slovenskej republike nebolo začaté konanie v rámci „EÚ Pilot“, nebol začatý postup EK ani nebolo začaté konanie Súdneho dvora EÚ proti SR podľa čl. 258 až 260 Zmluvy o fungovaní Európskej únie.</w:t>
            </w:r>
          </w:p>
        </w:tc>
      </w:tr>
      <w:tr w:rsidR="00147A0B" w:rsidRPr="00147A0B" w14:paraId="704584CD" w14:textId="77777777" w:rsidTr="00147A0B">
        <w:trPr>
          <w:jc w:val="center"/>
        </w:trPr>
        <w:tc>
          <w:tcPr>
            <w:tcW w:w="250" w:type="pct"/>
            <w:hideMark/>
          </w:tcPr>
          <w:p w14:paraId="3A012566"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sz w:val="25"/>
                <w:szCs w:val="25"/>
                <w:lang w:eastAsia="sk-SK"/>
              </w:rPr>
            </w:pPr>
          </w:p>
        </w:tc>
        <w:tc>
          <w:tcPr>
            <w:tcW w:w="150" w:type="pct"/>
            <w:hideMark/>
          </w:tcPr>
          <w:p w14:paraId="5904994A" w14:textId="77777777" w:rsidR="00147A0B" w:rsidRPr="00147A0B" w:rsidRDefault="00147A0B" w:rsidP="00147A0B">
            <w:pPr>
              <w:widowControl w:val="0"/>
              <w:autoSpaceDE w:val="0"/>
              <w:autoSpaceDN w:val="0"/>
              <w:adjustRightInd w:val="0"/>
              <w:spacing w:after="0"/>
              <w:ind w:firstLine="0"/>
              <w:jc w:val="left"/>
              <w:rPr>
                <w:rFonts w:ascii="Times" w:hAnsi="Times" w:cs="Times"/>
                <w:sz w:val="25"/>
                <w:szCs w:val="25"/>
                <w:lang w:eastAsia="sk-SK"/>
              </w:rPr>
            </w:pPr>
            <w:r w:rsidRPr="00147A0B">
              <w:rPr>
                <w:rFonts w:ascii="Times" w:hAnsi="Times" w:cs="Times"/>
                <w:sz w:val="25"/>
                <w:szCs w:val="25"/>
                <w:lang w:eastAsia="sk-SK"/>
              </w:rPr>
              <w:t>c)</w:t>
            </w:r>
          </w:p>
        </w:tc>
        <w:tc>
          <w:tcPr>
            <w:tcW w:w="4600" w:type="pct"/>
            <w:vAlign w:val="center"/>
            <w:hideMark/>
          </w:tcPr>
          <w:p w14:paraId="2079808E" w14:textId="77777777" w:rsidR="00147A0B" w:rsidRPr="00147A0B" w:rsidRDefault="00147A0B" w:rsidP="00147A0B">
            <w:pPr>
              <w:widowControl w:val="0"/>
              <w:autoSpaceDE w:val="0"/>
              <w:autoSpaceDN w:val="0"/>
              <w:adjustRightInd w:val="0"/>
              <w:spacing w:after="250"/>
              <w:ind w:firstLine="0"/>
              <w:rPr>
                <w:rFonts w:ascii="Times" w:hAnsi="Times" w:cs="Times"/>
                <w:sz w:val="25"/>
                <w:szCs w:val="25"/>
                <w:lang w:eastAsia="sk-SK"/>
              </w:rPr>
            </w:pPr>
            <w:r w:rsidRPr="00147A0B">
              <w:rPr>
                <w:rFonts w:ascii="Times" w:hAnsi="Times" w:cs="Times"/>
                <w:sz w:val="25"/>
                <w:szCs w:val="25"/>
                <w:lang w:eastAsia="sk-SK"/>
              </w:rPr>
              <w:t>uviesť informáciu o právnych predpisoch, v ktorých sú uvádzané právne akty Európskej únie už prebrané, spolu s uvedením rozsahu ich prebrania, príp. potreby prijatia ďalších úprav,</w:t>
            </w:r>
          </w:p>
        </w:tc>
      </w:tr>
      <w:tr w:rsidR="00147A0B" w:rsidRPr="00147A0B" w14:paraId="4CDC9CA7" w14:textId="77777777" w:rsidTr="00147A0B">
        <w:trPr>
          <w:jc w:val="center"/>
        </w:trPr>
        <w:tc>
          <w:tcPr>
            <w:tcW w:w="250" w:type="pct"/>
            <w:hideMark/>
          </w:tcPr>
          <w:p w14:paraId="360495AC"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sz w:val="25"/>
                <w:szCs w:val="25"/>
                <w:lang w:eastAsia="sk-SK"/>
              </w:rPr>
            </w:pPr>
          </w:p>
        </w:tc>
        <w:tc>
          <w:tcPr>
            <w:tcW w:w="150" w:type="pct"/>
            <w:hideMark/>
          </w:tcPr>
          <w:p w14:paraId="68EEC238" w14:textId="77777777" w:rsidR="00147A0B" w:rsidRPr="00147A0B" w:rsidRDefault="00147A0B" w:rsidP="00147A0B">
            <w:pPr>
              <w:spacing w:after="0"/>
              <w:ind w:firstLine="0"/>
              <w:jc w:val="left"/>
              <w:rPr>
                <w:sz w:val="20"/>
                <w:szCs w:val="20"/>
                <w:lang w:eastAsia="sk-SK"/>
              </w:rPr>
            </w:pPr>
          </w:p>
        </w:tc>
        <w:tc>
          <w:tcPr>
            <w:tcW w:w="4600" w:type="pct"/>
            <w:vAlign w:val="center"/>
            <w:hideMark/>
          </w:tcPr>
          <w:p w14:paraId="2A9DDD46" w14:textId="77777777" w:rsidR="00147A0B" w:rsidRPr="00147A0B" w:rsidRDefault="00147A0B" w:rsidP="00147A0B">
            <w:pPr>
              <w:widowControl w:val="0"/>
              <w:autoSpaceDE w:val="0"/>
              <w:autoSpaceDN w:val="0"/>
              <w:adjustRightInd w:val="0"/>
              <w:ind w:firstLine="0"/>
              <w:rPr>
                <w:rFonts w:ascii="Times" w:hAnsi="Times" w:cs="Times"/>
                <w:sz w:val="25"/>
                <w:szCs w:val="25"/>
                <w:lang w:eastAsia="sk-SK"/>
              </w:rPr>
            </w:pPr>
            <w:r w:rsidRPr="00147A0B">
              <w:rPr>
                <w:rFonts w:ascii="Times" w:hAnsi="Times" w:cs="Times"/>
                <w:bCs/>
                <w:sz w:val="25"/>
                <w:szCs w:val="25"/>
                <w:lang w:eastAsia="sk-SK"/>
              </w:rPr>
              <w:t>Zákon č. 540/2001 Z. z. o štátnej štatistike v znení neskorších predpisov implementuje nariadenie č. 223/2009 (ES) v platnom znení v plnom rozsahu.</w:t>
            </w:r>
            <w:r w:rsidRPr="00147A0B">
              <w:rPr>
                <w:rFonts w:ascii="Times" w:hAnsi="Times" w:cs="Times"/>
                <w:sz w:val="25"/>
                <w:szCs w:val="25"/>
                <w:lang w:eastAsia="sk-SK"/>
              </w:rPr>
              <w:t xml:space="preserve"> </w:t>
            </w:r>
          </w:p>
          <w:p w14:paraId="053E94BC" w14:textId="77777777" w:rsidR="00147A0B" w:rsidRPr="00147A0B" w:rsidRDefault="00147A0B" w:rsidP="00147A0B">
            <w:pPr>
              <w:widowControl w:val="0"/>
              <w:autoSpaceDE w:val="0"/>
              <w:autoSpaceDN w:val="0"/>
              <w:adjustRightInd w:val="0"/>
              <w:spacing w:after="240"/>
              <w:ind w:firstLine="0"/>
              <w:rPr>
                <w:rFonts w:ascii="Times" w:hAnsi="Times" w:cs="Times"/>
                <w:sz w:val="25"/>
                <w:szCs w:val="25"/>
                <w:lang w:eastAsia="sk-SK"/>
              </w:rPr>
            </w:pPr>
            <w:r w:rsidRPr="00147A0B">
              <w:rPr>
                <w:rFonts w:ascii="Times" w:hAnsi="Times" w:cs="Times"/>
                <w:sz w:val="25"/>
                <w:szCs w:val="25"/>
                <w:lang w:eastAsia="sk-SK"/>
              </w:rPr>
              <w:t xml:space="preserve">Ústavný zákon č. 493/2011 Z. z. o rozpočtovej zodpovednosti implementuje nariadenie (EÚ) č. 473/2013 v plnom rozsahu. </w:t>
            </w:r>
          </w:p>
        </w:tc>
      </w:tr>
      <w:tr w:rsidR="00147A0B" w:rsidRPr="00147A0B" w14:paraId="414F5B34" w14:textId="77777777" w:rsidTr="00147A0B">
        <w:trPr>
          <w:jc w:val="center"/>
        </w:trPr>
        <w:tc>
          <w:tcPr>
            <w:tcW w:w="250" w:type="pct"/>
            <w:hideMark/>
          </w:tcPr>
          <w:p w14:paraId="4672A0E3" w14:textId="77777777" w:rsidR="00147A0B" w:rsidRPr="00147A0B" w:rsidRDefault="00147A0B" w:rsidP="00147A0B">
            <w:pPr>
              <w:widowControl w:val="0"/>
              <w:autoSpaceDE w:val="0"/>
              <w:autoSpaceDN w:val="0"/>
              <w:adjustRightInd w:val="0"/>
              <w:spacing w:after="0"/>
              <w:ind w:firstLine="0"/>
              <w:jc w:val="left"/>
              <w:rPr>
                <w:rFonts w:ascii="Times" w:hAnsi="Times" w:cs="Times"/>
                <w:b/>
                <w:bCs/>
                <w:sz w:val="25"/>
                <w:szCs w:val="25"/>
                <w:lang w:eastAsia="sk-SK"/>
              </w:rPr>
            </w:pPr>
            <w:r w:rsidRPr="00147A0B">
              <w:rPr>
                <w:rFonts w:ascii="Times" w:hAnsi="Times" w:cs="Times"/>
                <w:b/>
                <w:bCs/>
                <w:sz w:val="25"/>
                <w:szCs w:val="25"/>
                <w:lang w:eastAsia="sk-SK"/>
              </w:rPr>
              <w:t>5.</w:t>
            </w:r>
          </w:p>
        </w:tc>
        <w:tc>
          <w:tcPr>
            <w:tcW w:w="4750" w:type="pct"/>
            <w:gridSpan w:val="2"/>
            <w:hideMark/>
          </w:tcPr>
          <w:p w14:paraId="369305B9" w14:textId="77777777" w:rsidR="00147A0B" w:rsidRPr="00147A0B" w:rsidRDefault="00147A0B" w:rsidP="00147A0B">
            <w:pPr>
              <w:widowControl w:val="0"/>
              <w:autoSpaceDE w:val="0"/>
              <w:autoSpaceDN w:val="0"/>
              <w:adjustRightInd w:val="0"/>
              <w:spacing w:after="250"/>
              <w:ind w:firstLine="0"/>
              <w:jc w:val="left"/>
              <w:rPr>
                <w:rFonts w:ascii="Times" w:hAnsi="Times" w:cs="Times"/>
                <w:b/>
                <w:bCs/>
                <w:sz w:val="25"/>
                <w:szCs w:val="25"/>
                <w:lang w:eastAsia="sk-SK"/>
              </w:rPr>
            </w:pPr>
            <w:r w:rsidRPr="00147A0B">
              <w:rPr>
                <w:rFonts w:ascii="Times" w:hAnsi="Times" w:cs="Times"/>
                <w:b/>
                <w:bCs/>
                <w:sz w:val="25"/>
                <w:szCs w:val="25"/>
                <w:lang w:eastAsia="sk-SK"/>
              </w:rPr>
              <w:t>Návrh zákona je zlučiteľný s právom Európskej únie:</w:t>
            </w:r>
          </w:p>
        </w:tc>
      </w:tr>
      <w:tr w:rsidR="00147A0B" w:rsidRPr="00147A0B" w14:paraId="7CC28AF3" w14:textId="77777777" w:rsidTr="00147A0B">
        <w:trPr>
          <w:jc w:val="center"/>
        </w:trPr>
        <w:tc>
          <w:tcPr>
            <w:tcW w:w="250" w:type="pct"/>
            <w:hideMark/>
          </w:tcPr>
          <w:p w14:paraId="1C6AC14B" w14:textId="77777777" w:rsidR="00147A0B" w:rsidRPr="00147A0B" w:rsidRDefault="00147A0B" w:rsidP="00147A0B">
            <w:pPr>
              <w:widowControl w:val="0"/>
              <w:autoSpaceDE w:val="0"/>
              <w:autoSpaceDN w:val="0"/>
              <w:adjustRightInd w:val="0"/>
              <w:spacing w:after="0" w:line="240" w:lineRule="auto"/>
              <w:ind w:firstLine="0"/>
              <w:jc w:val="left"/>
              <w:rPr>
                <w:rFonts w:ascii="Times" w:hAnsi="Times" w:cs="Times"/>
                <w:b/>
                <w:bCs/>
                <w:sz w:val="25"/>
                <w:szCs w:val="25"/>
                <w:lang w:eastAsia="sk-SK"/>
              </w:rPr>
            </w:pPr>
          </w:p>
        </w:tc>
        <w:tc>
          <w:tcPr>
            <w:tcW w:w="150" w:type="pct"/>
            <w:hideMark/>
          </w:tcPr>
          <w:p w14:paraId="46862733" w14:textId="77777777" w:rsidR="00147A0B" w:rsidRPr="00147A0B" w:rsidRDefault="00147A0B" w:rsidP="00147A0B">
            <w:pPr>
              <w:spacing w:after="0"/>
              <w:ind w:firstLine="0"/>
              <w:jc w:val="left"/>
              <w:rPr>
                <w:sz w:val="20"/>
                <w:szCs w:val="20"/>
                <w:lang w:eastAsia="sk-SK"/>
              </w:rPr>
            </w:pPr>
          </w:p>
        </w:tc>
        <w:tc>
          <w:tcPr>
            <w:tcW w:w="4600" w:type="pct"/>
            <w:vAlign w:val="center"/>
            <w:hideMark/>
          </w:tcPr>
          <w:p w14:paraId="239A97E9" w14:textId="77777777" w:rsidR="00147A0B" w:rsidRPr="00147A0B" w:rsidRDefault="00147A0B" w:rsidP="00B6407E">
            <w:pPr>
              <w:widowControl w:val="0"/>
              <w:numPr>
                <w:ilvl w:val="0"/>
                <w:numId w:val="28"/>
              </w:numPr>
              <w:autoSpaceDE w:val="0"/>
              <w:autoSpaceDN w:val="0"/>
              <w:adjustRightInd w:val="0"/>
              <w:spacing w:after="250" w:line="240" w:lineRule="auto"/>
              <w:contextualSpacing/>
              <w:jc w:val="left"/>
              <w:rPr>
                <w:sz w:val="25"/>
                <w:szCs w:val="25"/>
                <w:lang w:eastAsia="sk-SK"/>
              </w:rPr>
            </w:pPr>
            <w:r w:rsidRPr="00147A0B">
              <w:rPr>
                <w:sz w:val="25"/>
                <w:szCs w:val="25"/>
                <w:lang w:eastAsia="sk-SK"/>
              </w:rPr>
              <w:t>úplne.</w:t>
            </w:r>
          </w:p>
        </w:tc>
      </w:tr>
    </w:tbl>
    <w:p w14:paraId="05E4B3BB" w14:textId="2AF8AFF9" w:rsidR="00BD4E96" w:rsidRDefault="00BD4E96" w:rsidP="00BD4E96">
      <w:pPr>
        <w:spacing w:after="0" w:line="240" w:lineRule="auto"/>
        <w:ind w:firstLine="0"/>
      </w:pPr>
    </w:p>
    <w:p w14:paraId="30998F3A" w14:textId="77777777" w:rsidR="00BD4E96" w:rsidRDefault="00BD4E96">
      <w:r>
        <w:br w:type="page"/>
      </w:r>
    </w:p>
    <w:p w14:paraId="0A68BBAA" w14:textId="77777777" w:rsidR="00D86762" w:rsidRPr="00D86762" w:rsidRDefault="00D86762" w:rsidP="00D86762">
      <w:pPr>
        <w:spacing w:afterLines="120" w:after="288"/>
        <w:rPr>
          <w:b/>
        </w:rPr>
      </w:pPr>
      <w:r w:rsidRPr="00D86762">
        <w:rPr>
          <w:b/>
        </w:rPr>
        <w:lastRenderedPageBreak/>
        <w:t>B. Osobitná časť</w:t>
      </w:r>
    </w:p>
    <w:p w14:paraId="6EF41E54" w14:textId="77777777" w:rsidR="00D86762" w:rsidRPr="00D86762" w:rsidRDefault="00D86762" w:rsidP="00D86762">
      <w:pPr>
        <w:rPr>
          <w:b/>
        </w:rPr>
      </w:pPr>
      <w:r w:rsidRPr="00D86762">
        <w:rPr>
          <w:b/>
        </w:rPr>
        <w:t>K čl. I</w:t>
      </w:r>
    </w:p>
    <w:p w14:paraId="263C77D9" w14:textId="77777777" w:rsidR="00D86762" w:rsidRPr="00D86762" w:rsidRDefault="00D86762" w:rsidP="00D86762">
      <w:r w:rsidRPr="00D86762">
        <w:t>K bodu 1 (§ 1 a 4)</w:t>
      </w:r>
    </w:p>
    <w:p w14:paraId="78CE9912" w14:textId="77777777" w:rsidR="00D86762" w:rsidRPr="00D86762" w:rsidRDefault="00D86762" w:rsidP="00D86762">
      <w:r w:rsidRPr="00D86762">
        <w:t>§ 1 ods. 1: V zmysle odporúčania Eurostatu sa v odseku 1 explicitne ustanovuje všeobecný účel vykonávania úloh štátnej štatistiky a výstižne sa definuje predmet právnej úpravy, ktorý je v súlade s obdobnými úlohami európskej štatistiky v nariadení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v platnom znení.</w:t>
      </w:r>
    </w:p>
    <w:p w14:paraId="28D32E31" w14:textId="77777777" w:rsidR="00D86762" w:rsidRPr="00D86762" w:rsidRDefault="00D86762" w:rsidP="00D86762">
      <w:r w:rsidRPr="00D86762">
        <w:t>Výslovne sa zakotvuje súlad tvorby štátnej štatistiky s medzinárodnými zmluvami a orientáciu štátnej štatistiky na jej používateľa.</w:t>
      </w:r>
    </w:p>
    <w:p w14:paraId="489FE1F2" w14:textId="77777777" w:rsidR="00D86762" w:rsidRPr="00D86762" w:rsidRDefault="00D86762" w:rsidP="00D86762">
      <w:r w:rsidRPr="00D86762">
        <w:t>§ 1 ods. 2: Druhým odsekom sa rieši v zákone doteraz absentujúce premostenie medzi štátnou štatistikou vykonávanou na vnútroštátne účely a európskou štatistikou výlučne alebo aj pre potreby Európskej únie (ďalej len „EÚ“). Tvorba európskych štatistík v podmienkach Slovenskej republiky je zabezpečená prevažne vo vnútroštátnom programe štátnych štatistických zisťovaní na príslušné trojročné obdobie.</w:t>
      </w:r>
    </w:p>
    <w:p w14:paraId="38ABDA14" w14:textId="77777777" w:rsidR="00D86762" w:rsidRPr="00D86762" w:rsidRDefault="00D86762" w:rsidP="00D86762">
      <w:r w:rsidRPr="00D86762">
        <w:t xml:space="preserve">§ 2 ods. 1: Súčasný spôsob vyjadrenia predmetu úpravy duplikuje sčasti súčasnú definíciu štátnej štatistiky v § 2 písm. a) a zároveň nedefinuje štátnu štatistiku presne. Novým ustanovením sa navrhuje zosúladiť túto definíciu s definíciou európskej štatistiky v nariadení (ES) č. 223/2009 v platnom znení. Navrhovaná definícia významovo zahŕňa dynamickú stránku pojmu (výsledok činnosti orgánov štátnej správy) ako aj statickú stránku pojmu (osobitný druh informácie). </w:t>
      </w:r>
    </w:p>
    <w:p w14:paraId="33DA10F3" w14:textId="77777777" w:rsidR="00D86762" w:rsidRPr="00D86762" w:rsidRDefault="00D86762" w:rsidP="00D86762">
      <w:r w:rsidRPr="00D86762">
        <w:t>§ 2 ods. 2 písm. a) a b): Dopĺňa sa absentujúca definícia štatistickej jednotky, ktorú je potrebné odlišovať od pojmu spravodajskej jednotky definovanej v súčasnom § 2 ods. 2 písm. b) zákona.</w:t>
      </w:r>
    </w:p>
    <w:p w14:paraId="4FC91264" w14:textId="77777777" w:rsidR="00D86762" w:rsidRPr="00D86762" w:rsidRDefault="00D86762" w:rsidP="00D86762">
      <w:r w:rsidRPr="00D86762">
        <w:t>§ 2 ods. 2 písm. c): definícia spravodajskej povinnosti je identická s ustanovením § 18 ods. 3 zákona a navrhuje sa preto vypustiť.</w:t>
      </w:r>
    </w:p>
    <w:p w14:paraId="6FD3778B" w14:textId="77777777" w:rsidR="00D86762" w:rsidRPr="00D86762" w:rsidRDefault="00D86762" w:rsidP="00D86762">
      <w:r w:rsidRPr="00D86762">
        <w:t>§ 2 ods. 2 písm. c)): Odstraňuje skratka základného pojmu „štátne štatistické zisťovanie“, ktorá bola zavedená v rozpore s Legislatívno-technickými pravidlami vlády slovenskej republiky.</w:t>
      </w:r>
    </w:p>
    <w:p w14:paraId="1E9DFAF2" w14:textId="77777777" w:rsidR="00D86762" w:rsidRPr="00D86762" w:rsidRDefault="00D86762" w:rsidP="00D86762">
      <w:r w:rsidRPr="00D86762">
        <w:t>§ 2 ods. 2 písm. d): znenie bezo zmeny.</w:t>
      </w:r>
    </w:p>
    <w:p w14:paraId="2DB0DBAC" w14:textId="77777777" w:rsidR="00D86762" w:rsidRPr="00D86762" w:rsidRDefault="00D86762" w:rsidP="00D86762">
      <w:r w:rsidRPr="00D86762">
        <w:t xml:space="preserve">§ 2 ods. 2 písm. e): Je potrebná úprava definície dôverného štatistického údaja vzhľadom na problémy aplikačnej praxe. Dôverné štatistické údaje sú údaje o štatistickej jednotke, nie o spravodajskej jednotke. Precizuje sa definícia priamej identifikácie s využitím obdobnej úpravy vo všeobecnom nariadení o ochrane údajov (GDPR) so zahrnutím rôznych druhov identifikátorov štatistických jednotiek (osôb a ich organizačných zložiek) ustanovených </w:t>
      </w:r>
      <w:r w:rsidRPr="00D86762">
        <w:lastRenderedPageBreak/>
        <w:t>pre potreby informačných systémov verejnej správy podľa osobitných zákonov. Uvedená definícia je v súlade s definíciou v nariadení (ES) č. 223/2019 v platnom znení.</w:t>
      </w:r>
    </w:p>
    <w:p w14:paraId="74E83371" w14:textId="77777777" w:rsidR="00D86762" w:rsidRPr="00D86762" w:rsidRDefault="00D86762" w:rsidP="00D86762">
      <w:r w:rsidRPr="00D86762">
        <w:t>§ 2 ods. 2 písm. f) a g): Pojem „spravodajská jednotka“ sa v ustanoveniach, ktoré sa týkajú spravodajskej povinnosti, nahrádza správnym pojmom „štatistická jednotka“, pretože táto je podľa § 18 zákona nositeľom právnej povinnosti.</w:t>
      </w:r>
    </w:p>
    <w:p w14:paraId="0B0A6DB7" w14:textId="77777777" w:rsidR="00D86762" w:rsidRPr="00D86762" w:rsidRDefault="00D86762" w:rsidP="00D86762">
      <w:r w:rsidRPr="00D86762">
        <w:t>§ 2 ods. 2 písm. h) až j): znenie bezo zmeny.</w:t>
      </w:r>
    </w:p>
    <w:p w14:paraId="2A1FBC1B" w14:textId="77777777" w:rsidR="00D86762" w:rsidRPr="00D86762" w:rsidRDefault="00D86762" w:rsidP="00D86762">
      <w:r w:rsidRPr="00D86762">
        <w:t>§ 2 ods. 2 písm. k) a l): Ide o spresnenie oboch pojmov a ich definícií. Okruh administratívnych zdrojov údajov je v súčasnom znení definovaný užšie, ako je potrebné. Zároveň nie je správne identifikovať tieto zdroje ako údaje, ale ako databázy týchto údajov, ktoré majú charakter systémov, registrov evidencií alebo iných súborov údajov. Odporúča sa tiež zjednodušiť okruh správcov administratívnych zdrojov údajov vypustením nadbytočného pomenovania „verejnoprávna inštitúcia“, a doplnením oboch pojmov slovom „údajov“ zamedziť ich neprípustnému výkladu. Zároveň sa vymedzuje okruh správcov administratívnych zdrojov aj negatívne vo vzťahu k spravodajským službám a Národnému bezpečnostnému úradu v súlade s príslušnou úpravou činnosti týchto inštitúcií.</w:t>
      </w:r>
    </w:p>
    <w:p w14:paraId="1E801B3F" w14:textId="77777777" w:rsidR="00D86762" w:rsidRPr="00D86762" w:rsidRDefault="00D86762" w:rsidP="00D86762">
      <w:r w:rsidRPr="00D86762">
        <w:t xml:space="preserve">§ 2 ods. 2 písm. m) až o): Dopĺňajú sa absentujúce definície štatistického formulára, štatistického produktu a štatistického portfólia, ktoré sa používajú v zákone. </w:t>
      </w:r>
    </w:p>
    <w:p w14:paraId="33A205A5" w14:textId="77777777" w:rsidR="00D86762" w:rsidRPr="00D86762" w:rsidRDefault="00D86762" w:rsidP="00D86762">
      <w:r w:rsidRPr="00D86762">
        <w:t>Štatistický produkt a štatistické produktové portfólio sa definujú pre potreby zavedenia zákonnej povinnosti orgánov vykonávajúcich štátnu štatistiku vytvárať štatistické produkty jednotným spôsobom ako výstupy národného štatistického systému a zverejňovať ich prostredníctvom jednotného informačného systému štátnej štatistiky a pre špecifikáciu koordinačnej úlohy štatistického úradu. Definície sú v súlade s príručkou kvality národného štatistického systému, ktorá je jedným z výstupov projektu Reformy zberu a spracovania údajov štatistických údajov vo verejnej správe (ďalej len „projekt RZÚ“).</w:t>
      </w:r>
    </w:p>
    <w:p w14:paraId="69BF68E6" w14:textId="77777777" w:rsidR="00D86762" w:rsidRPr="00D86762" w:rsidRDefault="00D86762" w:rsidP="00D86762">
      <w:pPr>
        <w:spacing w:after="240"/>
      </w:pPr>
      <w:r w:rsidRPr="00D86762">
        <w:t>§ 2 ods. 2 písm. p): pojem sa definuje v súlade s novým znením § 1 ods. 1 a jeho použitím v ďalších novelizovaných ustanoveniach zákona.</w:t>
      </w:r>
    </w:p>
    <w:p w14:paraId="6F283736" w14:textId="77777777" w:rsidR="00D86762" w:rsidRPr="00D86762" w:rsidRDefault="00D86762" w:rsidP="00D86762">
      <w:r w:rsidRPr="00D86762">
        <w:t>§ 3: Do zákona je potrebné inkorporovať všetky rešpektované zásady resp. základné princípy štátnej štatistiky. Keďže štátna štatistika je v podmienkach Slovenskej republiky (ďalej len „SR“) súčasne časťou európskeho štatistického systému reprezentovaného Eurostatom a reglementovaného nariadeniami EÚ, navrhuje sa prevziať zásady uvedené v nariadení (ES) č. 223/2009 v platnom znení priamo do zákona, čím sa poskytne relevantný základ aj pre vykonávanie koordinačnej, kontrolnej, monitorovacej a metodologickej činnosti štatistického úradu dovnútra národného štatistického systému spôsobom, aký navrhuje predložený návrh zákona. Svojím obsahom sú tieto zásady všeobecne platné bez ohľadu na používateľa štatistických výstupov a korešpondujú s ústavným princípom legality štátnej moci, hospodárnosti vynakladania verejných prostriedkov, požiadavke debyrokratizácie služieb štátu a princípmi vykonávania štátnej služby. Explicitne sa vyjadruje aj povinnosť dodržiavať kvalitu štátnej štatistiky, ktorej dosiahnutie je transparentne merateľné vymenovanými exaktnými kritériami. Práve vyhodnocovanie kvality štátnych štatistík resp. štatistických výstupov (bližšie body 9 a 13) poskytuje dôkaz o dodržiavaní základných princípov štátnej štatistiky orgánmi vykonávajúcimi štátnu štatistiku.</w:t>
      </w:r>
    </w:p>
    <w:p w14:paraId="74DB15E3" w14:textId="77777777" w:rsidR="00D86762" w:rsidRPr="00D86762" w:rsidRDefault="00D86762" w:rsidP="00D86762">
      <w:pPr>
        <w:rPr>
          <w:bCs/>
        </w:rPr>
      </w:pPr>
      <w:r w:rsidRPr="00D86762">
        <w:rPr>
          <w:bCs/>
        </w:rPr>
        <w:lastRenderedPageBreak/>
        <w:t xml:space="preserve">V novom znení § 8, ktorý upravuje činnosť štatistického úradu, a v novom § 12a, ktorý upravuje Jednotný informačný systém štátnej štatistiky, sa operuje s pojmom „štandard“. Uplatňovanie základného princípu objektivity podľa § 3 ods. 1 písm. c) spočíva okrem iného na používaní štandardov, ktoré sú transparentné pre používateľov a spravodajské jednotky, uľahčujú vzájomnú komunikáciu, zabezpečujú rýchlosť a porovnateľnosť štatistických údajov. </w:t>
      </w:r>
    </w:p>
    <w:p w14:paraId="13E3AEA9" w14:textId="77777777" w:rsidR="00D86762" w:rsidRPr="00D86762" w:rsidRDefault="00D86762" w:rsidP="00D86762">
      <w:pPr>
        <w:rPr>
          <w:i/>
        </w:rPr>
      </w:pPr>
      <w:r w:rsidRPr="00D86762">
        <w:rPr>
          <w:bCs/>
        </w:rPr>
        <w:t>Kódex postupov pre európsku štatistiku</w:t>
      </w:r>
      <w:r w:rsidRPr="00D86762">
        <w:t xml:space="preserve"> v časti „Štatistické procesy“ uvádza nasledujúcu požiadavku na členov </w:t>
      </w:r>
      <w:r w:rsidRPr="00D86762">
        <w:rPr>
          <w:bCs/>
        </w:rPr>
        <w:t>Európskeho štatistického systému</w:t>
      </w:r>
      <w:r w:rsidRPr="00D86762">
        <w:t xml:space="preserve"> (ďalej len „EŠS“): </w:t>
      </w:r>
      <w:r w:rsidRPr="00D86762">
        <w:rPr>
          <w:i/>
        </w:rPr>
        <w:t>„V štatistických procesoch, ktoré štatistické orgány používajú na rozvoj, tvorbu a šírenie európskych štatistík, sa v plnej miere dodržiavajú európske a iné medzinárodné štandardy, usmernenia a osvedčené postupy, pričom sa neustále vynakladá snaha o inovácie. Sú zavedené postupy, ktorých cieľom je zabezpečiť, aby sa v rámci orgánov vykonávajúcich štatistiku dôsledne uplatňovali štandardné pojmy, definície, klasifikácie a ďalšie druhy štandardov.“.</w:t>
      </w:r>
    </w:p>
    <w:p w14:paraId="20B0535A" w14:textId="77777777" w:rsidR="00D86762" w:rsidRPr="00D86762" w:rsidRDefault="00D86762" w:rsidP="00D86762">
      <w:r w:rsidRPr="00D86762">
        <w:t xml:space="preserve">Príkladom takýchto štandardov je Všeobecný model štatistického produkčného procesu (GSBPM), ktorý popisuje a definuje štatistický produkčný proces na tvorbu oficiálnych štatistík. Poskytuje štandardný rámec a harmonizovanú terminológiu, ktorá pomáha štatistickým organizáciám modernizovať ich procesy tvorby štatistík a zdieľať metódy a komponenty. </w:t>
      </w:r>
    </w:p>
    <w:p w14:paraId="277A61E3" w14:textId="77777777" w:rsidR="00D86762" w:rsidRPr="00D86762" w:rsidRDefault="00D86762" w:rsidP="00D86762">
      <w:r w:rsidRPr="00D86762">
        <w:t xml:space="preserve">Na základe konsenzu medzi členmi EŠS vznikol tiež </w:t>
      </w:r>
      <w:r w:rsidRPr="00D86762">
        <w:rPr>
          <w:bCs/>
        </w:rPr>
        <w:t>Štandard EŠS</w:t>
      </w:r>
      <w:r w:rsidRPr="00D86762">
        <w:t xml:space="preserve"> ako normatívny dokument vypracovaný a schválený Výborom pre Európsky štatistický systém (ESSC) v súlade so schváleným postupom štandardizácie EŠS. Štandard poskytuje členom EŠS pravidlá, usmernenia alebo rôzne špecifiká pre rozvoj, tvorbu a šírenie európskej štatistiky zamerané na dosiahnutie optimálneho stupňa poriadku v súvislosti s plnením poslania a vízie EŠS. Katalóg štandardov schválených ESSC uvádza Eurostat na:</w:t>
      </w:r>
    </w:p>
    <w:p w14:paraId="1D0A122A" w14:textId="77777777" w:rsidR="00D86762" w:rsidRPr="00D86762" w:rsidRDefault="00E57CA5" w:rsidP="00D86762">
      <w:hyperlink r:id="rId22" w:history="1">
        <w:r w:rsidR="00D86762" w:rsidRPr="00D86762">
          <w:rPr>
            <w:u w:val="single"/>
          </w:rPr>
          <w:t>https://ec.europa.eu/eurostat/ramon/nomenclatures/index.cfm?TargetUrl=LST_NOM_DTL&amp;StrNom=CAT_STAND&amp;StrLanguageCode=EN&amp;IntPcKey=&amp;StrLayoutCode=HIERARCHIC</w:t>
        </w:r>
      </w:hyperlink>
      <w:r w:rsidR="00D86762" w:rsidRPr="00D86762">
        <w:t>.</w:t>
      </w:r>
    </w:p>
    <w:p w14:paraId="2667A0CA" w14:textId="77777777" w:rsidR="00D86762" w:rsidRPr="00D86762" w:rsidRDefault="00D86762" w:rsidP="00D86762">
      <w:r w:rsidRPr="00D86762">
        <w:t>§ 4: Novelou zákona sa navrhuje novým znením § 4 odstrániť diskrepanciu v pôsobnosti subjektov, ktoré vykonávajú činnosti spojené s vykonávaním štátnej štatistiky. Základom je, že primárna administratívna zodpovednosť za tvorbu štatistík má byť jednoznačne na ústredných orgánoch štátnej správy alebo v nemnohých prípadoch na orgánoch štátnej správy s celoslovenskou pôsobnosťou, nie na subjektoch, ktoré plnia na základe osobitných zákonov alebo kontraktov odborné alebo administratívne úlohy pre tieto orgány. Len tieto orgány totiž disponujú všetkými nástrojmi, ktorými môžu ovplyvniť kvalitu štátnej štatistiky v oblasti, ktorá im je zverená vrátane určenia toho, na aký štatistický cieľ v súlade s rezortnými politikami majú byť štatistiky vytvárané.</w:t>
      </w:r>
    </w:p>
    <w:p w14:paraId="70901C74" w14:textId="77777777" w:rsidR="00D86762" w:rsidRPr="00D86762" w:rsidRDefault="00D86762" w:rsidP="00D86762">
      <w:r w:rsidRPr="00D86762">
        <w:t>Spoločné pomenovanie orgánov, ktoré sa podieľajú na vykonávaní úloh štátnej štatistiky sa dôsledne uplatňuje v celom zákone.</w:t>
      </w:r>
    </w:p>
    <w:p w14:paraId="63A07B62" w14:textId="77777777" w:rsidR="00D86762" w:rsidRPr="00D86762" w:rsidRDefault="00D86762" w:rsidP="00D86762">
      <w:r w:rsidRPr="00D86762">
        <w:t xml:space="preserve">Zároveň sa precizujú a dopĺňajú podmienky vykonávania čiastkových úloh pri vykonávaní štátnej štatistiky, ktoré je možné z dôvodu časových a finančných úspor a využitia ľudských zdrojov účelnejšie delegovať rozpočtovým organizáciám, príspevkovým organizáciám (napríklad Národné osvetové centrum, ktoré je podľa zákona </w:t>
      </w:r>
      <w:r w:rsidRPr="00D86762">
        <w:rPr>
          <w:bCs/>
          <w:shd w:val="clear" w:color="auto" w:fill="FFFFFF"/>
        </w:rPr>
        <w:t>č. 189/2015 Z. z.</w:t>
      </w:r>
      <w:r w:rsidRPr="00D86762">
        <w:rPr>
          <w:bCs/>
          <w:sz w:val="22"/>
          <w:szCs w:val="22"/>
          <w:shd w:val="clear" w:color="auto" w:fill="FFFFFF"/>
        </w:rPr>
        <w:t xml:space="preserve"> </w:t>
      </w:r>
      <w:r w:rsidRPr="00D86762">
        <w:lastRenderedPageBreak/>
        <w:t>o kultúrno-osvetovej činnosti výkonným a koordinačným pracoviskom pre štátnu štatistiku v oblasti kultúry) alebo so subjektmi mimo verejnej správy teda na prevažne komerčnej báze podnikateľskými subjektmi za dodržania podmienok ochrany hospodárskej súťaže.</w:t>
      </w:r>
    </w:p>
    <w:p w14:paraId="1EAA5883" w14:textId="77777777" w:rsidR="00D86762" w:rsidRPr="00D86762" w:rsidRDefault="00D86762" w:rsidP="00D86762">
      <w:r w:rsidRPr="00D86762">
        <w:t>Z povahy povinností a oprávnení subjektov, ktoré vykonávajú pre orgány vykonávajúce štátnu štatistiku čiastkové úlohy v oblasti štátnej štatistiky, vyplýva, že pri spracúvaní dôverných štatistických údajov, ktorými sú osobné údaje, majú postavenie sprostredkovateľa, a orgány vykonávajúce štátnu štatistiku, ktorým sa tieto subjekty k vykonávaniu týchto čiastkových úloh zaviazali, majú postavenie prevádzkovateľa podľa čl. 4 ods. 7 a 8 nariadenia Európskeho parlamentu a Rady (EÚ) 2016/679 z 27. apríla 2016 o ochrane fyzických osôb pri spracúvaní osobných údajov a o voľnom pohybe takýchto údajov, ktorým sa zrušuje smernica 95/46/ES (všeobecné nariadenie o ochrane údajov) (Ú. v. EÚ L 119, 4.5.2016) v platnom znení a podľa § 5 písm. o) a p) zákona č. 18/2018 Z. z. o ochrane osobných údajov a o zmene a doplnení niektorých zákonov. Preto sú orgány vykonávajúce štátnu štatistiku povinné s príslušnými subjektmi popri písomnej úprave vykonávania čiastkových úloh v oblasti štátnej štatistiky písomne upraviť aj vzájomné práva a povinnosti pri spracúvaní osobných údajov podľa čl. 28 nariadenia (EÚ) 679/2016 v platnom znení resp. podľa § 34 zákona č. 18/2018 Z. z.</w:t>
      </w:r>
    </w:p>
    <w:p w14:paraId="08126160" w14:textId="77777777" w:rsidR="00D86762" w:rsidRPr="00D86762" w:rsidRDefault="00D86762" w:rsidP="00D86762">
      <w:r w:rsidRPr="00D86762">
        <w:t>K bodu 2 (§ 5 ods. 1)</w:t>
      </w:r>
    </w:p>
    <w:p w14:paraId="442E53CD" w14:textId="77777777" w:rsidR="00D86762" w:rsidRPr="00D86762" w:rsidRDefault="00D86762" w:rsidP="00D86762">
      <w:r w:rsidRPr="00D86762">
        <w:t>Úprava znenia súvisí s vypustením pojmov „národný štatistický systém“ a „člen národného štatistického systému“ zo znenia zákona z dôvodu ich prekrývania sa s pojmom orgán/orgány vykonávajúce štátnu štatistiku a potrebnými jazykovými a legislatívno-technickými úpravami ustanovenia. Uvedené pojmy sa však naďalej funkčne uplatňujú v odborných štatistických kruhoch. Koordinačnú funkciu štatistického úradu na vnútroštátnej úrovni je obdobná ako koordinačná činnosť každého ústredného orgánu štátnej správy, preto je bližšie špecifikovaná až v § 8 ods. 1 v návrhu zákona.</w:t>
      </w:r>
    </w:p>
    <w:p w14:paraId="4051B497" w14:textId="77777777" w:rsidR="00D86762" w:rsidRPr="00D86762" w:rsidRDefault="00D86762" w:rsidP="00D86762">
      <w:r w:rsidRPr="00D86762">
        <w:t>K bodu 3 (§ 8)</w:t>
      </w:r>
    </w:p>
    <w:p w14:paraId="1989EBE2" w14:textId="77777777" w:rsidR="00D86762" w:rsidRPr="00D86762" w:rsidRDefault="00D86762" w:rsidP="00D86762">
      <w:r w:rsidRPr="00D86762">
        <w:t xml:space="preserve">Z projektu RZÚ vyplynula aj požiadavka na hlbší zásah do úpravy pôsobnosti štatistického úradu v oblasti štátnej štatistiky s ťažiskom na jeho úlohy koordinačného orgánu v rámci európskeho štatistického systému na vnútroštátnej úrovni a s tým spojené metodologické, monitorovacie a kontrolné činnosti. </w:t>
      </w:r>
    </w:p>
    <w:p w14:paraId="5B2B0D93" w14:textId="77777777" w:rsidR="00D86762" w:rsidRPr="00D86762" w:rsidRDefault="00D86762" w:rsidP="00D86762">
      <w:r w:rsidRPr="00D86762">
        <w:t>V súlade s tým sa navrhuje na monitoring dodržiavania všetkých základných princípov štátnej štatistiky.</w:t>
      </w:r>
    </w:p>
    <w:p w14:paraId="1DB49D64" w14:textId="77777777" w:rsidR="00D86762" w:rsidRPr="00D86762" w:rsidRDefault="00D86762" w:rsidP="00D86762">
      <w:r w:rsidRPr="00D86762">
        <w:t xml:space="preserve">Od 1. januára 2024 sa zavádza povinnosť iným orgánom vykonávajúcim štátnu štatistiku vypracúvať a zverejňovať správy o kvalite zostavených štatistík na národnej úrovni obdobne ako je to v rámci európskeho štatistického systému. Náležitosti týchto správ upraví štatistický úrad všeobecne záväzným právnym predpisom - vyhláškou štatistického úradu, ak požiadavky na tieto správy nestanovujú nariadenia EÚ. </w:t>
      </w:r>
    </w:p>
    <w:p w14:paraId="3506C8C4" w14:textId="77777777" w:rsidR="00D86762" w:rsidRPr="00D86762" w:rsidRDefault="00D86762" w:rsidP="00D86762">
      <w:r w:rsidRPr="00D86762">
        <w:t xml:space="preserve">Ide o štatistiky pre vnútroštátne účely vytvárané v rámci národného štatistického systému. Ako predloha vytvárania týchto správ v záujme využitia osvedčených postupov sa navrhuje požadovať štruktúru správ, ktorá je harmonizovaná so štandardizovanou štruktúrou správy o kvalite pre používateľa ESMS (Euro SDMX Metadata Structure, dostupné </w:t>
      </w:r>
      <w:r w:rsidRPr="00D86762">
        <w:lastRenderedPageBreak/>
        <w:t>na https://ec.europa.eu/eurostat/data/metadata/metadata-structure) vytvorenou Eurostatom na účely popisu údajov šírených prostredníctvom webového sídla. Správy o kvalite zostavených štatistík poskytujú používateľom informácie, ktoré pomáhajú pri interpretácii šírených štatistických údajov. Okrem kontaktných údajov a krátkeho a ľahko zrozumiteľného popisu súboru údajov obsahujú aj základné a ostatné kritériá kvality údajov: informácie o inštitucionálnom mandáte, politike dôvernosti, politike zverejňovania, periodicite zverejňovania, dostupnosti, riadení kvality, relevantnosti, presnosti a spoľahlivosti, včasnosti a dochvíľnosti, porovnateľnosti a koherentnosti, nákladoch a záťaži respondentov, revízii údajov a štatistickom spracovaní. Členovia národného štatistického systému ich aktualizujú najmenej raz za rok a šíria prostredníctvom webového sídla úradu. Definícia metadát v § 2 návrhu vyhlášky je zhodná s definíciou podľa medzinárodnej technickej normy ISO/IEC 11179-1:2015 Information technology — Metadata registries (MDR) — Part 1: Framework.</w:t>
      </w:r>
    </w:p>
    <w:p w14:paraId="6050CCF6" w14:textId="77777777" w:rsidR="00D86762" w:rsidRPr="00D86762" w:rsidRDefault="00D86762" w:rsidP="00D86762">
      <w:r w:rsidRPr="00D86762">
        <w:t xml:space="preserve">Štatistický úrad bude vypracúvať každoročne správu o štátnej štatistike a predkladať ju vláde SR, pričom správy o kvalite štatistík budú jedným z jej podkladov. </w:t>
      </w:r>
    </w:p>
    <w:p w14:paraId="16D3D755" w14:textId="77777777" w:rsidR="00D86762" w:rsidRPr="00D86762" w:rsidRDefault="00D86762" w:rsidP="00D86762">
      <w:pPr>
        <w:spacing w:after="240"/>
      </w:pPr>
      <w:r w:rsidRPr="00D86762">
        <w:t>Na zákonnú úroveň je povýšená spolupráca s Národnou bankou Slovenska a Radou pre rozpočtovú zodpovednosť, ktorá sa týka povinností SR ako člena eurozóny.</w:t>
      </w:r>
    </w:p>
    <w:p w14:paraId="57F882D0" w14:textId="77777777" w:rsidR="00D86762" w:rsidRPr="00D86762" w:rsidRDefault="00D86762" w:rsidP="00D86762">
      <w:r w:rsidRPr="00D86762">
        <w:t>K bodu 4 (§ 9)</w:t>
      </w:r>
    </w:p>
    <w:p w14:paraId="73BF4279" w14:textId="77777777" w:rsidR="00D86762" w:rsidRPr="00D86762" w:rsidRDefault="00D86762" w:rsidP="00D86762">
      <w:pPr>
        <w:spacing w:after="240"/>
      </w:pPr>
      <w:r w:rsidRPr="00D86762">
        <w:t>Znenie ustanovenia vrátane citácie príslušnej poznámky pod čiarou sa dáva do súladu s platným právnym stavom.</w:t>
      </w:r>
    </w:p>
    <w:p w14:paraId="0B65FECA" w14:textId="77777777" w:rsidR="00D86762" w:rsidRPr="00D86762" w:rsidRDefault="00D86762" w:rsidP="00D86762">
      <w:r w:rsidRPr="00D86762">
        <w:t>K bodu 5 (§ 10)</w:t>
      </w:r>
    </w:p>
    <w:p w14:paraId="62EC5556" w14:textId="77777777" w:rsidR="00D86762" w:rsidRPr="00D86762" w:rsidRDefault="00D86762" w:rsidP="00D86762">
      <w:r w:rsidRPr="00D86762">
        <w:t xml:space="preserve">V § 10 sa upravuje činnosť a zloženie nového poradného orgánu predsedu úradu, ktorým je Koordinačná rada pre štátnu štatistiku, ako jedného z nástrojov na koordináciu vykonávania úloh štátnej štatistiky orgánmi vykonávajúcimi štátnu štatistiku. Zároveň sa umožňuje vytváranie ďalších externých ad hoc platforiem k prerokovaniu čiastkových otázok. Tieto platformy predstavujú okrem iného vhodný nástroj na komunikáciu s používateľmi, či poskytovateľmi údajov, a to tak vo vzťahu k znižovaniu administratívnej záťaže pri poskytovaní údajov, odbúravaniu prípadných duplicít, či zlepšovaniu komunikačných nástrojov na zber údajov, ako aj pri získavaní spätnej väzby vo vzťahu k štatistickým produktom a ich zverejňovaniu. </w:t>
      </w:r>
    </w:p>
    <w:p w14:paraId="1F92A8CC" w14:textId="77777777" w:rsidR="00D86762" w:rsidRPr="00D86762" w:rsidRDefault="00D86762" w:rsidP="00D86762">
      <w:pPr>
        <w:spacing w:after="240"/>
      </w:pPr>
      <w:r w:rsidRPr="00D86762">
        <w:t>V súvislosti so vznikom koordinačnej rady národného štatistického systému sa vypúšťa úprava štatistickej rady ako legislatívne nadbytočná, pričom naďalej zostáva predsedovi štatistického úradu z titulu jeho funkcie kompetencia vytvárať expertné orgány napríklad zložené z odborníkov na štatistiku.</w:t>
      </w:r>
    </w:p>
    <w:p w14:paraId="58626ACE" w14:textId="77777777" w:rsidR="00D86762" w:rsidRPr="00D86762" w:rsidRDefault="00D86762" w:rsidP="00D86762">
      <w:r w:rsidRPr="00D86762">
        <w:t>K bodu 6 (nadpis § 11)</w:t>
      </w:r>
    </w:p>
    <w:p w14:paraId="52A852BA" w14:textId="77777777" w:rsidR="00D86762" w:rsidRPr="00D86762" w:rsidRDefault="00D86762" w:rsidP="00D86762">
      <w:pPr>
        <w:spacing w:after="240"/>
      </w:pPr>
      <w:r w:rsidRPr="00D86762">
        <w:t>Legislatívno-technická úprava súvisiaca so zavedením legislatívnej skratky „iný orgán vykonávajúci štátnu štatistiku“.</w:t>
      </w:r>
    </w:p>
    <w:p w14:paraId="1E7A8702" w14:textId="77777777" w:rsidR="00D86762" w:rsidRPr="00D86762" w:rsidRDefault="00D86762" w:rsidP="00D86762">
      <w:r w:rsidRPr="00D86762">
        <w:br w:type="page"/>
      </w:r>
    </w:p>
    <w:p w14:paraId="5D9A1E9B" w14:textId="77777777" w:rsidR="00D86762" w:rsidRPr="00D86762" w:rsidRDefault="00D86762" w:rsidP="00D86762">
      <w:r w:rsidRPr="00D86762">
        <w:lastRenderedPageBreak/>
        <w:t>K bodu 7 (§ 11 ods. 1)</w:t>
      </w:r>
    </w:p>
    <w:p w14:paraId="7C951A10" w14:textId="77777777" w:rsidR="00D86762" w:rsidRPr="00D86762" w:rsidRDefault="00D86762" w:rsidP="00D86762">
      <w:pPr>
        <w:spacing w:after="240"/>
      </w:pPr>
      <w:r w:rsidRPr="00D86762">
        <w:t>Medzi úlohy sa vkladá aj povinnosť v prípade potreby usmerňovať plnenie spravodajskej povinnosti pokynmi, vytvárať štatistické produkty a  zverejňovať správy o hodnotení kvality vlastných štátnych štatistík. Obdobne sú tieto povinnosti definované v § 8 aj pre štatistický úrad.</w:t>
      </w:r>
    </w:p>
    <w:p w14:paraId="7F15DE61" w14:textId="77777777" w:rsidR="00D86762" w:rsidRPr="00D86762" w:rsidRDefault="00D86762" w:rsidP="00D86762">
      <w:r w:rsidRPr="00D86762">
        <w:t>K bodu 8 (§ 11 ods. 2)</w:t>
      </w:r>
    </w:p>
    <w:p w14:paraId="05013823" w14:textId="77777777" w:rsidR="00D86762" w:rsidRPr="00D86762" w:rsidRDefault="00D86762" w:rsidP="00D86762">
      <w:pPr>
        <w:spacing w:after="240"/>
      </w:pPr>
      <w:r w:rsidRPr="00D86762">
        <w:t>Navrhuje sa vykonať úpravu odseku vzhľadom na všeobecnejšiu povinnosť navrhovanú v § 11 ods. 1.</w:t>
      </w:r>
    </w:p>
    <w:p w14:paraId="1AD344CC" w14:textId="77777777" w:rsidR="00D86762" w:rsidRPr="00D86762" w:rsidRDefault="00D86762" w:rsidP="00D86762">
      <w:r w:rsidRPr="00D86762">
        <w:t>K bodu 9 (§ 11 ods. 3)</w:t>
      </w:r>
    </w:p>
    <w:p w14:paraId="360314C9" w14:textId="77777777" w:rsidR="00D86762" w:rsidRPr="00D86762" w:rsidRDefault="00D86762" w:rsidP="00D86762">
      <w:pPr>
        <w:spacing w:after="240"/>
      </w:pPr>
      <w:r w:rsidRPr="00D86762">
        <w:t>Navrhuje sa zakotviť minimálne personálne a organizačné požiadavky na zabezpečovanie úlohy iného orgánu vykonávajúceho štátnu štatistiku. Vo svojej podstate nejde o nové úlohy, ale prax preukázala potrebu zakotviť konkrétne povinnosti priamo v zákone.</w:t>
      </w:r>
    </w:p>
    <w:p w14:paraId="2F413238" w14:textId="77777777" w:rsidR="00D86762" w:rsidRPr="00D86762" w:rsidRDefault="00D86762" w:rsidP="00D86762">
      <w:r w:rsidRPr="00D86762">
        <w:t>K bodu 10 (§ 12 ods. 2)</w:t>
      </w:r>
    </w:p>
    <w:p w14:paraId="733067F5" w14:textId="77777777" w:rsidR="00D86762" w:rsidRPr="00D86762" w:rsidRDefault="00D86762" w:rsidP="00D86762">
      <w:pPr>
        <w:spacing w:after="240"/>
      </w:pPr>
      <w:r w:rsidRPr="00D86762">
        <w:t>Navrhuje sa osobitne doplniť štatistické zisťovania vykonávané štatistickým úradom na základe požiadaviek ústredných orgánov štátnej správy, ktoré nebudú vykonávať štatistické zisťovania.</w:t>
      </w:r>
    </w:p>
    <w:p w14:paraId="23110523" w14:textId="77777777" w:rsidR="00D86762" w:rsidRPr="00D86762" w:rsidRDefault="00D86762" w:rsidP="00D86762">
      <w:r w:rsidRPr="00D86762">
        <w:t>K bodu 11 (§ 12 ods. 3)</w:t>
      </w:r>
    </w:p>
    <w:p w14:paraId="5EFECF2D" w14:textId="77777777" w:rsidR="00D86762" w:rsidRPr="00D86762" w:rsidRDefault="00D86762" w:rsidP="00D86762">
      <w:pPr>
        <w:spacing w:after="240"/>
      </w:pPr>
      <w:r w:rsidRPr="00D86762">
        <w:t>Navrhuje sa upraviť postup štatistického úradu pri zaradení nových štatistických zisťovaní ústrednými orgánmi štátnej správy, ktoré sa tým stanú inými orgánmi vykonávajúcimi štátnu štatistiku.</w:t>
      </w:r>
    </w:p>
    <w:p w14:paraId="705EEBC7" w14:textId="77777777" w:rsidR="00D86762" w:rsidRPr="00D86762" w:rsidRDefault="00D86762" w:rsidP="00D86762">
      <w:r w:rsidRPr="00D86762">
        <w:t>K bodu 12 [§ 12 ods. 6 písm. e)]</w:t>
      </w:r>
    </w:p>
    <w:p w14:paraId="048829DB" w14:textId="77777777" w:rsidR="00D86762" w:rsidRPr="00D86762" w:rsidRDefault="00D86762" w:rsidP="00D86762">
      <w:pPr>
        <w:spacing w:after="240"/>
      </w:pPr>
      <w:r w:rsidRPr="00D86762">
        <w:t>Legislatívno-technická úprava súvisiaca s dôsledným používaním pojmu „orgán vykonávajúci štátnu štatistiku“.</w:t>
      </w:r>
    </w:p>
    <w:p w14:paraId="76BA7412" w14:textId="77777777" w:rsidR="00D86762" w:rsidRPr="00D86762" w:rsidRDefault="00D86762" w:rsidP="00D86762">
      <w:r w:rsidRPr="00D86762">
        <w:t>K bodu 13 [§ 12 ods. 6 písm. f)]</w:t>
      </w:r>
    </w:p>
    <w:p w14:paraId="6A03DB9C" w14:textId="77777777" w:rsidR="00D86762" w:rsidRPr="00D86762" w:rsidRDefault="00D86762" w:rsidP="00D86762">
      <w:pPr>
        <w:spacing w:after="240"/>
      </w:pPr>
      <w:r w:rsidRPr="00D86762">
        <w:t>Začlenenie požiadavky na stanovenie podrobných kritérií kvality v programe štátnych štatistických zisťovaní do splnomocňovacieho ustanovenia v § 12 v prípade, že sú potrebné, predstavuje záväzný rámec v prípadoch, kedy spravodajská jednotka musí zabezpečiť kvalitu údajov v súlade s metodikou, ktorá platí pre dané štatistické zisťovanie.</w:t>
      </w:r>
    </w:p>
    <w:p w14:paraId="310CE04A" w14:textId="77777777" w:rsidR="00D86762" w:rsidRPr="00D86762" w:rsidRDefault="00D86762" w:rsidP="00D86762">
      <w:r w:rsidRPr="00D86762">
        <w:t>K bodu 14 (§ 12 ods. 8)</w:t>
      </w:r>
    </w:p>
    <w:p w14:paraId="560550F2" w14:textId="77777777" w:rsidR="00D86762" w:rsidRPr="00D86762" w:rsidRDefault="00D86762" w:rsidP="00D86762">
      <w:pPr>
        <w:spacing w:after="240"/>
      </w:pPr>
      <w:r w:rsidRPr="00D86762">
        <w:t>Zostručnenie textu a použitie novej legislatívnej skratky zavedenej v § 4 ods. 1 písm. b).</w:t>
      </w:r>
    </w:p>
    <w:p w14:paraId="24FF3A7E" w14:textId="77777777" w:rsidR="00D86762" w:rsidRPr="00D86762" w:rsidRDefault="00D86762" w:rsidP="00D86762">
      <w:r w:rsidRPr="00D86762">
        <w:t>K bodu 15 (§ 12a)</w:t>
      </w:r>
    </w:p>
    <w:p w14:paraId="6E73C0CC" w14:textId="77777777" w:rsidR="00D86762" w:rsidRPr="00D86762" w:rsidRDefault="00D86762" w:rsidP="00D86762">
      <w:r w:rsidRPr="00D86762">
        <w:t xml:space="preserve">Jedným zo základných cieľov realizácie projektu RZÚ je vytvorenie nástroja, ktorým sa zefektívni koordinácia procesov v rámci národného štatistického systému, </w:t>
      </w:r>
      <w:r w:rsidRPr="00D86762">
        <w:lastRenderedPageBreak/>
        <w:t>pričom jedným z nástrojov na plnenie koordinačnej role štatistického úradu je aplikácia Kódexu postupov pre európsku štatistiku, ktorého cieľom je zabezpečiť dôveru verejnosti v európsku štatistiku určením, ako sa má európska štatistika rozvíjať, tvoriť a šíriť v súlade so štatistickými zásadami uvedenými v článku 2 nariadenia (ES) č. 223/2009 v platnom znení.</w:t>
      </w:r>
    </w:p>
    <w:p w14:paraId="69B847D2" w14:textId="77777777" w:rsidR="00D86762" w:rsidRPr="00D86762" w:rsidRDefault="00D86762" w:rsidP="00D86762">
      <w:r w:rsidRPr="00D86762">
        <w:t>V súlade so zásadami európskej štatistiky resp. základnými princípmi štátnej štatistiky sa definujú účely jeho prevádzkovania, ustanovuje sa rámcovo rozsah jeho povinného používania a zabezpečenie prístupu  k nemu pre iné orgány vykonávajúce štátnu štatistiku.</w:t>
      </w:r>
    </w:p>
    <w:p w14:paraId="5DA82AEA" w14:textId="77777777" w:rsidR="00D86762" w:rsidRPr="00D86762" w:rsidRDefault="00D86762" w:rsidP="00D86762">
      <w:r w:rsidRPr="00D86762">
        <w:t xml:space="preserve">Projekt RZÚ má zabezpečiť, aby sa štátna štatistika v rámci národného štatistického systému vykonávala v súlade so štatistickými zásadami ustanovenými čl. 2 nariadenia (ES) č. 223/2009, ktoré sú podrobnejšie rozpracované v Kódexe postupov pre európsku štatistiku vydaný EUROSTAT-om. Tieto štatistické zásady sú z vecného hľadiska ale aj z hľadiska nadnárodného, úniového charakteru prevažnej väčšiny vykonávaných štatistík aplikovateľné aj pri tvorbe, rozvoji a šírení vnútroštátnej štatistiky, preto nemá význam zakotvovať odchylný rámec a súčasnú zákonnú úpravu tzv. základných princípov štátnej štatistiky je potrebné doplniť štatistickými zásadami európskej štatistiky a posilniť tak vymožiteľnosť ich dodržiavania členmi národného štatistického systému. </w:t>
      </w:r>
    </w:p>
    <w:p w14:paraId="178334DE" w14:textId="77777777" w:rsidR="00D86762" w:rsidRPr="00D86762" w:rsidRDefault="00D86762" w:rsidP="00D86762">
      <w:r w:rsidRPr="00D86762">
        <w:t xml:space="preserve">Technickým prostriedkom zabezpečenia aplikácie základných princípov štátnej štatistiky resp. štatistických zásad podľa nariadenia (ES) č. 223/2009 v platnom znení a Kódexu postupov pre európsku štatistiku z úrovne štatistického úradu ako koordinátora všetkých činností v oblasti rozvoja, tvorby a šírenia európskej štatistiky na vnútroštátnej úrovni a koordinátora v rámci národného štatistického systému sa má stať Jednotný informačný systém štátnej štatistiky (ďalej len „JIS ŠÚ“), ktorý je výsledkom rozvoja existujúceho informačného systému Štatistický informačný systém (kód METAIS – isvs_411) v zmysle schválnej koncepcie rozvoja IS zo dňa 25.3.2019. </w:t>
      </w:r>
    </w:p>
    <w:p w14:paraId="1F8FE4AB" w14:textId="77777777" w:rsidR="00D86762" w:rsidRPr="00D86762" w:rsidRDefault="00D86762" w:rsidP="00D86762">
      <w:r w:rsidRPr="00D86762">
        <w:t>Rozvoj isvs_411 na  IS ŠÚ je financované z Európskeho fondu regionálneho rozvoja, v rámci operačného programu Integrovaná infraštruktúra 2014 – 2020.</w:t>
      </w:r>
    </w:p>
    <w:p w14:paraId="6E443A8D" w14:textId="77777777" w:rsidR="00D86762" w:rsidRPr="00D86762" w:rsidRDefault="00D86762" w:rsidP="00D86762">
      <w:r w:rsidRPr="00D86762">
        <w:t>JIS ŠÚ podporí procesy plánovania, produkcie, šírenia, podpory (úradnej komunikácie medzi orgánmi vykonávajúcimi štátnu štatistiku), konkrétne ide najmä o:</w:t>
      </w:r>
    </w:p>
    <w:p w14:paraId="4A872989" w14:textId="77777777" w:rsidR="00D86762" w:rsidRPr="00D86762" w:rsidRDefault="00D86762" w:rsidP="00D86762">
      <w:pPr>
        <w:numPr>
          <w:ilvl w:val="0"/>
          <w:numId w:val="1"/>
        </w:numPr>
        <w:ind w:left="360"/>
      </w:pPr>
      <w:r w:rsidRPr="00D86762">
        <w:t>súčasný proces plánovania štatistických zisťovaní v rámci Programu štátnych štatistických zisťovaní, s dôrazom na kontrolu jeho plnenia,</w:t>
      </w:r>
    </w:p>
    <w:p w14:paraId="3E513F6A" w14:textId="77777777" w:rsidR="00D86762" w:rsidRPr="00D86762" w:rsidRDefault="00D86762" w:rsidP="00D86762">
      <w:pPr>
        <w:numPr>
          <w:ilvl w:val="0"/>
          <w:numId w:val="1"/>
        </w:numPr>
        <w:ind w:left="360"/>
      </w:pPr>
      <w:r w:rsidRPr="00D86762">
        <w:t>prepojenie štatistických zisťovaní s tvorbou štatistických produktov (katalógom produktov),</w:t>
      </w:r>
    </w:p>
    <w:p w14:paraId="4DFAACC2" w14:textId="77777777" w:rsidR="00D86762" w:rsidRPr="00D86762" w:rsidRDefault="00D86762" w:rsidP="00D86762">
      <w:pPr>
        <w:numPr>
          <w:ilvl w:val="0"/>
          <w:numId w:val="1"/>
        </w:numPr>
        <w:ind w:left="360"/>
      </w:pPr>
      <w:r w:rsidRPr="00D86762">
        <w:t>plánovanie štatistických činností,</w:t>
      </w:r>
    </w:p>
    <w:p w14:paraId="24C273DB" w14:textId="77777777" w:rsidR="00D86762" w:rsidRPr="00D86762" w:rsidRDefault="00D86762" w:rsidP="00D86762">
      <w:pPr>
        <w:numPr>
          <w:ilvl w:val="0"/>
          <w:numId w:val="1"/>
        </w:numPr>
        <w:ind w:left="360"/>
      </w:pPr>
      <w:r w:rsidRPr="00D86762">
        <w:t>štandardizáciu integračných nástrojov (napr. pojmov, definícií, číselníkov a klasifikácií),</w:t>
      </w:r>
    </w:p>
    <w:p w14:paraId="52E3692E" w14:textId="77777777" w:rsidR="00D86762" w:rsidRPr="00D86762" w:rsidRDefault="00D86762" w:rsidP="00D86762">
      <w:pPr>
        <w:numPr>
          <w:ilvl w:val="0"/>
          <w:numId w:val="1"/>
        </w:numPr>
        <w:ind w:left="360"/>
      </w:pPr>
      <w:r w:rsidRPr="00D86762">
        <w:t>sprístupnenie štatistických produktov všetkých orgánov vykonávajúcich štátnu štatistiku (teda v rámci tzv. národného štatistického systému) prostredníctvom jednotnej platformy (verejná databáza údajov); súčasťou platformy budú aj informácie o činnostiach v rámci národného štatistického systému a o stave národného štatistického systému,</w:t>
      </w:r>
    </w:p>
    <w:p w14:paraId="7946F4A1" w14:textId="77777777" w:rsidR="00D86762" w:rsidRPr="00D86762" w:rsidRDefault="00D86762" w:rsidP="00D86762">
      <w:pPr>
        <w:numPr>
          <w:ilvl w:val="0"/>
          <w:numId w:val="1"/>
        </w:numPr>
        <w:ind w:left="360"/>
      </w:pPr>
      <w:r w:rsidRPr="00D86762">
        <w:lastRenderedPageBreak/>
        <w:t>spoločná komunikačná platforma pre posilnenie väzieb, vzájomnú komunikáciu, zdieľanie znalostí, spoluprácu a koordináciu členov národného štatistického systému.</w:t>
      </w:r>
    </w:p>
    <w:p w14:paraId="3223CC69" w14:textId="77777777" w:rsidR="00D86762" w:rsidRPr="00D86762" w:rsidRDefault="00D86762" w:rsidP="00D86762">
      <w:r w:rsidRPr="00D86762">
        <w:t>Ide o technickú podporu výkonu nasledovných úsekov a agend zapísaných v Centrálnom metainformačnom systéme verejnej správy:</w:t>
      </w:r>
    </w:p>
    <w:p w14:paraId="22659ECE" w14:textId="77777777" w:rsidR="00D86762" w:rsidRPr="00D86762" w:rsidRDefault="00D86762" w:rsidP="00D86762">
      <w:pPr>
        <w:numPr>
          <w:ilvl w:val="0"/>
          <w:numId w:val="2"/>
        </w:numPr>
        <w:ind w:left="360"/>
      </w:pPr>
      <w:r w:rsidRPr="00D86762">
        <w:t>A0002754 - Zostavovanie programu štatistických zisťovaní v súčinnosti s ministerstvami a štátnymi organizáciami</w:t>
      </w:r>
    </w:p>
    <w:p w14:paraId="2F8A0354" w14:textId="77777777" w:rsidR="00D86762" w:rsidRPr="00D86762" w:rsidRDefault="00D86762" w:rsidP="00D86762">
      <w:pPr>
        <w:numPr>
          <w:ilvl w:val="0"/>
          <w:numId w:val="2"/>
        </w:numPr>
        <w:ind w:left="360"/>
      </w:pPr>
      <w:r w:rsidRPr="00D86762">
        <w:t>A0002755 - Zhromažďovanie a spracúvanie štatistických údajov</w:t>
      </w:r>
    </w:p>
    <w:p w14:paraId="5CAE73B9" w14:textId="77777777" w:rsidR="00D86762" w:rsidRPr="00D86762" w:rsidRDefault="00D86762" w:rsidP="00D86762">
      <w:pPr>
        <w:numPr>
          <w:ilvl w:val="0"/>
          <w:numId w:val="2"/>
        </w:numPr>
        <w:ind w:left="360"/>
      </w:pPr>
      <w:r w:rsidRPr="00D86762">
        <w:t>A0002756 - Využívanie údajov z administratívnych zdrojov na účely štátnej štatistiky</w:t>
      </w:r>
    </w:p>
    <w:p w14:paraId="2B9A619E" w14:textId="77777777" w:rsidR="00D86762" w:rsidRPr="00D86762" w:rsidRDefault="00D86762" w:rsidP="00D86762">
      <w:pPr>
        <w:numPr>
          <w:ilvl w:val="0"/>
          <w:numId w:val="2"/>
        </w:numPr>
        <w:ind w:left="360"/>
      </w:pPr>
      <w:r w:rsidRPr="00D86762">
        <w:t>A0002757 - Zverejňovanie výsledkov štatistických zisťovaní za Slovenskú republiku a za jednotlivé územné celky a správne celky</w:t>
      </w:r>
    </w:p>
    <w:p w14:paraId="5C9FA2F8" w14:textId="77777777" w:rsidR="00D86762" w:rsidRPr="00D86762" w:rsidRDefault="00D86762" w:rsidP="00D86762">
      <w:pPr>
        <w:numPr>
          <w:ilvl w:val="0"/>
          <w:numId w:val="2"/>
        </w:numPr>
        <w:ind w:left="360"/>
      </w:pPr>
      <w:r w:rsidRPr="00D86762">
        <w:t>A0002758 - Určovanie metodiky vedenia systému národných účtov a zostavovanie národných účtov</w:t>
      </w:r>
    </w:p>
    <w:p w14:paraId="733BE340" w14:textId="77777777" w:rsidR="00D86762" w:rsidRPr="00D86762" w:rsidRDefault="00D86762" w:rsidP="00D86762">
      <w:pPr>
        <w:numPr>
          <w:ilvl w:val="0"/>
          <w:numId w:val="2"/>
        </w:numPr>
        <w:ind w:left="360"/>
      </w:pPr>
      <w:r w:rsidRPr="00D86762">
        <w:t>A0002759 - Vypracúvanie analýz vybraných charakteristík sociálno-ekonomického a ekologického vývoja Slovenskej republiky ako celku a jej jednotlivých častí a pravidelné informovanie verejnosti o sociálno-ekonomickom a demografickom vývoji</w:t>
      </w:r>
    </w:p>
    <w:p w14:paraId="5B8A0250" w14:textId="77777777" w:rsidR="00D86762" w:rsidRPr="00D86762" w:rsidRDefault="00D86762" w:rsidP="00D86762">
      <w:pPr>
        <w:numPr>
          <w:ilvl w:val="0"/>
          <w:numId w:val="2"/>
        </w:numPr>
        <w:ind w:left="360"/>
      </w:pPr>
      <w:r w:rsidRPr="00D86762">
        <w:t>A0002760  - Poskytovanie štatistických informácií a vydávanie štatistických publikácií</w:t>
      </w:r>
    </w:p>
    <w:p w14:paraId="58879ED6" w14:textId="77777777" w:rsidR="00D86762" w:rsidRPr="00D86762" w:rsidRDefault="00D86762" w:rsidP="00D86762">
      <w:pPr>
        <w:numPr>
          <w:ilvl w:val="0"/>
          <w:numId w:val="2"/>
        </w:numPr>
        <w:ind w:left="360"/>
      </w:pPr>
      <w:r w:rsidRPr="00D86762">
        <w:t>A0002761 - Získavanie a zhromažďovanie zahraničných štatistických informácií na účely porovnávania stavu a vývoja ekonomiky Slovenskej republiky so zahraničím</w:t>
      </w:r>
    </w:p>
    <w:p w14:paraId="65E56789" w14:textId="77777777" w:rsidR="00D86762" w:rsidRPr="00D86762" w:rsidRDefault="00D86762" w:rsidP="00D86762">
      <w:pPr>
        <w:numPr>
          <w:ilvl w:val="0"/>
          <w:numId w:val="2"/>
        </w:numPr>
        <w:ind w:left="360"/>
      </w:pPr>
      <w:r w:rsidRPr="00D86762">
        <w:t>A0002762 - Kontrola dodržiavania spravodajskej povinnosti v oblasti štátnej štatistiky a ukladanie pokút za jej porušenie</w:t>
      </w:r>
    </w:p>
    <w:p w14:paraId="2CC1CCE9" w14:textId="77777777" w:rsidR="00D86762" w:rsidRPr="00D86762" w:rsidRDefault="00D86762" w:rsidP="00D86762">
      <w:pPr>
        <w:numPr>
          <w:ilvl w:val="0"/>
          <w:numId w:val="2"/>
        </w:numPr>
        <w:ind w:left="360"/>
      </w:pPr>
      <w:r w:rsidRPr="00D86762">
        <w:t>A0002763 - Vytváranie, zverejňovanie a spravovanie štatistických klasifikácií, číselníkov a registrov v súčinnosti s ministerstvami a štátnymi organizáciami</w:t>
      </w:r>
    </w:p>
    <w:p w14:paraId="21DECDD4" w14:textId="77777777" w:rsidR="00D86762" w:rsidRPr="00D86762" w:rsidRDefault="00D86762" w:rsidP="00D86762">
      <w:pPr>
        <w:numPr>
          <w:ilvl w:val="0"/>
          <w:numId w:val="2"/>
        </w:numPr>
        <w:ind w:left="360"/>
      </w:pPr>
      <w:r w:rsidRPr="00D86762">
        <w:t>A0002764 - Organizovanie a vykonávanie reprezentatívnych výskumov verejnej mienky o sociálno-ekonomických otázkach</w:t>
      </w:r>
    </w:p>
    <w:p w14:paraId="7B8B06EB" w14:textId="77777777" w:rsidR="00D86762" w:rsidRPr="00D86762" w:rsidRDefault="00D86762" w:rsidP="00D86762">
      <w:r w:rsidRPr="00D86762">
        <w:t xml:space="preserve">JIS ŠÚ bude vybudovaný v súlade s tým, že biznis procesy ostanú definované na úrovni GSBPM a vybrané biznis služby budú budované ako SaaS služby, pričom primárnym konzumentom sú odborné útvary štatistického úradu. Tieto služby budú zároveň prístupné aj tretím subjektom (najmä povinným osobám), pričom z hľadiska funkcionalít bude JIS ŠÚ zabezpečovať nasledovné činnosti: </w:t>
      </w:r>
    </w:p>
    <w:p w14:paraId="1F955B76" w14:textId="77777777" w:rsidR="00D86762" w:rsidRPr="00D86762" w:rsidRDefault="00D86762" w:rsidP="00B6407E">
      <w:pPr>
        <w:numPr>
          <w:ilvl w:val="2"/>
          <w:numId w:val="9"/>
        </w:numPr>
        <w:ind w:left="360"/>
      </w:pPr>
      <w:r w:rsidRPr="00D86762">
        <w:t xml:space="preserve">kolaboračná platforma, slúžiaca na komunikáciu a zdieľanie informácií, </w:t>
      </w:r>
    </w:p>
    <w:p w14:paraId="3FE27B89" w14:textId="77777777" w:rsidR="00D86762" w:rsidRPr="00D86762" w:rsidRDefault="00D86762" w:rsidP="00B6407E">
      <w:pPr>
        <w:numPr>
          <w:ilvl w:val="2"/>
          <w:numId w:val="9"/>
        </w:numPr>
        <w:ind w:left="360" w:hanging="357"/>
      </w:pPr>
      <w:r w:rsidRPr="00D86762">
        <w:t xml:space="preserve">procesy v rámci prípravy zberu údajov: </w:t>
      </w:r>
    </w:p>
    <w:p w14:paraId="6EA9FD0D" w14:textId="77777777" w:rsidR="00D86762" w:rsidRPr="00D86762" w:rsidRDefault="00D86762" w:rsidP="00B6407E">
      <w:pPr>
        <w:numPr>
          <w:ilvl w:val="0"/>
          <w:numId w:val="12"/>
        </w:numPr>
        <w:ind w:left="723" w:hanging="357"/>
      </w:pPr>
      <w:r w:rsidRPr="00D86762">
        <w:t xml:space="preserve">generovanie súborov spravodajských jednotiek, </w:t>
      </w:r>
    </w:p>
    <w:p w14:paraId="0A5DC41A" w14:textId="77777777" w:rsidR="00D86762" w:rsidRPr="00D86762" w:rsidRDefault="00D86762" w:rsidP="00B6407E">
      <w:pPr>
        <w:numPr>
          <w:ilvl w:val="0"/>
          <w:numId w:val="12"/>
        </w:numPr>
        <w:ind w:left="723" w:hanging="357"/>
      </w:pPr>
      <w:r w:rsidRPr="00D86762">
        <w:t xml:space="preserve">vytváranie štatistických formulárov, </w:t>
      </w:r>
    </w:p>
    <w:p w14:paraId="4A38CDF8" w14:textId="77777777" w:rsidR="00D86762" w:rsidRPr="00D86762" w:rsidRDefault="00D86762" w:rsidP="00B6407E">
      <w:pPr>
        <w:numPr>
          <w:ilvl w:val="0"/>
          <w:numId w:val="12"/>
        </w:numPr>
        <w:ind w:left="723" w:hanging="357"/>
      </w:pPr>
      <w:r w:rsidRPr="00D86762">
        <w:t xml:space="preserve">prístup do METIS-u (zadefinovanie metainformačných objektov a vytvorenie formulárov), </w:t>
      </w:r>
    </w:p>
    <w:p w14:paraId="0042899A" w14:textId="77777777" w:rsidR="00D86762" w:rsidRPr="00D86762" w:rsidRDefault="00D86762" w:rsidP="00B6407E">
      <w:pPr>
        <w:numPr>
          <w:ilvl w:val="0"/>
          <w:numId w:val="12"/>
        </w:numPr>
        <w:ind w:left="723" w:hanging="357"/>
      </w:pPr>
      <w:r w:rsidRPr="00D86762">
        <w:t xml:space="preserve">testovanie v testovacom prostredí, </w:t>
      </w:r>
    </w:p>
    <w:p w14:paraId="13A578A5" w14:textId="77777777" w:rsidR="00D86762" w:rsidRPr="00D86762" w:rsidRDefault="00D86762" w:rsidP="00B6407E">
      <w:pPr>
        <w:numPr>
          <w:ilvl w:val="2"/>
          <w:numId w:val="9"/>
        </w:numPr>
        <w:ind w:left="360" w:hanging="357"/>
      </w:pPr>
      <w:r w:rsidRPr="00D86762">
        <w:lastRenderedPageBreak/>
        <w:t xml:space="preserve">procesy v rámci zberu údajov: </w:t>
      </w:r>
    </w:p>
    <w:p w14:paraId="4E11FF0D" w14:textId="77777777" w:rsidR="00D86762" w:rsidRPr="00D86762" w:rsidRDefault="00D86762" w:rsidP="00B6407E">
      <w:pPr>
        <w:numPr>
          <w:ilvl w:val="2"/>
          <w:numId w:val="11"/>
        </w:numPr>
        <w:ind w:left="723" w:hanging="357"/>
      </w:pPr>
      <w:r w:rsidRPr="00D86762">
        <w:t xml:space="preserve">manažment zberu, </w:t>
      </w:r>
    </w:p>
    <w:p w14:paraId="237264E8" w14:textId="77777777" w:rsidR="00D86762" w:rsidRPr="00D86762" w:rsidRDefault="00D86762" w:rsidP="00B6407E">
      <w:pPr>
        <w:numPr>
          <w:ilvl w:val="2"/>
          <w:numId w:val="11"/>
        </w:numPr>
        <w:ind w:left="723" w:hanging="357"/>
      </w:pPr>
      <w:r w:rsidRPr="00D86762">
        <w:t xml:space="preserve">poskytnutie nástrojov, </w:t>
      </w:r>
    </w:p>
    <w:p w14:paraId="7695D366" w14:textId="77777777" w:rsidR="00D86762" w:rsidRPr="00D86762" w:rsidRDefault="00D86762" w:rsidP="00B6407E">
      <w:pPr>
        <w:numPr>
          <w:ilvl w:val="2"/>
          <w:numId w:val="11"/>
        </w:numPr>
        <w:ind w:left="723"/>
        <w:contextualSpacing/>
      </w:pPr>
      <w:r w:rsidRPr="00D86762">
        <w:t xml:space="preserve">prístup štatistického úradu k všetkým dátam členov národného štatistického systému, ktorí sa integrovali do systému, </w:t>
      </w:r>
    </w:p>
    <w:p w14:paraId="6CDBD5F4" w14:textId="77777777" w:rsidR="00D86762" w:rsidRPr="00D86762" w:rsidRDefault="00D86762" w:rsidP="00B6407E">
      <w:pPr>
        <w:numPr>
          <w:ilvl w:val="2"/>
          <w:numId w:val="9"/>
        </w:numPr>
        <w:ind w:left="360"/>
      </w:pPr>
      <w:r w:rsidRPr="00D86762">
        <w:t xml:space="preserve">procesy v rámci spracovania údajov, ako sú algoritmy na editáciu, validáciu a imputácie (výpočet váh a ich kalibrácie, identifikácia extrémnych hodnôt, transformácie, nástroj na sezónnu analýzu časových radov), </w:t>
      </w:r>
    </w:p>
    <w:p w14:paraId="48ABF30B" w14:textId="77777777" w:rsidR="00D86762" w:rsidRPr="00D86762" w:rsidRDefault="00D86762" w:rsidP="00B6407E">
      <w:pPr>
        <w:numPr>
          <w:ilvl w:val="2"/>
          <w:numId w:val="9"/>
        </w:numPr>
        <w:ind w:left="360"/>
      </w:pPr>
      <w:r w:rsidRPr="00D86762">
        <w:t xml:space="preserve">diseminačné nástroje, ktorými budú </w:t>
      </w:r>
    </w:p>
    <w:p w14:paraId="0797BB26" w14:textId="77777777" w:rsidR="00D86762" w:rsidRPr="00D86762" w:rsidRDefault="00D86762" w:rsidP="00B6407E">
      <w:pPr>
        <w:numPr>
          <w:ilvl w:val="0"/>
          <w:numId w:val="10"/>
        </w:numPr>
        <w:ind w:left="723"/>
      </w:pPr>
      <w:r w:rsidRPr="00D86762">
        <w:t xml:space="preserve">spoločná verejná databáza údajov, </w:t>
      </w:r>
    </w:p>
    <w:p w14:paraId="62F36596" w14:textId="77777777" w:rsidR="00D86762" w:rsidRPr="00D86762" w:rsidRDefault="00D86762" w:rsidP="00B6407E">
      <w:pPr>
        <w:numPr>
          <w:ilvl w:val="0"/>
          <w:numId w:val="10"/>
        </w:numPr>
        <w:ind w:left="723"/>
      </w:pPr>
      <w:r w:rsidRPr="00D86762">
        <w:t>poskytovanie štatistických údajov cez webové sídlo štatistického úradu a datasetov vo forme otvorených strojovo spracovateľných údajov (v kvalite 4* - 5*),</w:t>
      </w:r>
    </w:p>
    <w:p w14:paraId="2E8D21F5" w14:textId="77777777" w:rsidR="00D86762" w:rsidRPr="00D86762" w:rsidRDefault="00D86762" w:rsidP="00B6407E">
      <w:pPr>
        <w:numPr>
          <w:ilvl w:val="0"/>
          <w:numId w:val="10"/>
        </w:numPr>
        <w:ind w:left="723"/>
      </w:pPr>
      <w:r w:rsidRPr="00D86762">
        <w:t xml:space="preserve">aplikovanie metód ochrany údajov, </w:t>
      </w:r>
    </w:p>
    <w:p w14:paraId="775C6E25" w14:textId="77777777" w:rsidR="00D86762" w:rsidRPr="00D86762" w:rsidRDefault="00D86762" w:rsidP="00B6407E">
      <w:pPr>
        <w:numPr>
          <w:ilvl w:val="0"/>
          <w:numId w:val="10"/>
        </w:numPr>
        <w:ind w:left="723"/>
      </w:pPr>
      <w:r w:rsidRPr="00D86762">
        <w:t xml:space="preserve">manažment údajov (riadenie prístupu k údajom), </w:t>
      </w:r>
    </w:p>
    <w:p w14:paraId="2FFA7FD9" w14:textId="77777777" w:rsidR="00D86762" w:rsidRPr="00D86762" w:rsidRDefault="00D86762" w:rsidP="00B6407E">
      <w:pPr>
        <w:numPr>
          <w:ilvl w:val="0"/>
          <w:numId w:val="10"/>
        </w:numPr>
        <w:ind w:left="723"/>
      </w:pPr>
      <w:r w:rsidRPr="00D86762">
        <w:t xml:space="preserve">zabezpečenie dátovej interoperability pre konzumentov údajov, </w:t>
      </w:r>
    </w:p>
    <w:p w14:paraId="38076BCB" w14:textId="77777777" w:rsidR="00D86762" w:rsidRPr="00D86762" w:rsidRDefault="00D86762" w:rsidP="00B6407E">
      <w:pPr>
        <w:numPr>
          <w:ilvl w:val="2"/>
          <w:numId w:val="9"/>
        </w:numPr>
        <w:ind w:left="360"/>
      </w:pPr>
      <w:r w:rsidRPr="00D86762">
        <w:t>nástroj na tvorbu a zverejnenie správ o kvalite k štatistickým produktom.</w:t>
      </w:r>
    </w:p>
    <w:p w14:paraId="0FBF1AEC" w14:textId="77777777" w:rsidR="00D86762" w:rsidRPr="00D86762" w:rsidRDefault="00D86762" w:rsidP="00D86762">
      <w:r w:rsidRPr="00D86762">
        <w:t xml:space="preserve">Osobitne vo vzťahu k podnikateľom pri poskytovaní údajov platí, že nástrojom na získavanie kvalitných údajov má byť aj maximálne možné zjednodušenie práce spravodajskej jednotky pri ich poskytovaní. Na účely odstraňovania nadbytočnej záťaže pri poskytovaní údajov, ako aj na účely zjednodušenia a automatizácie tohto procesu budú podporené najmä možnosti komunikácie cez integračné rozhrania, a to aj s možnosťou zvoliť si komunikáciu pri poskytovaní údajov priamo zo svojich vnútorných systémov. Podporené bude aj tzv. predvypĺňanie údajov, ktoré sú o danej povinnej osobe už známe z iných zdrojov. Zjednodušenie a automatizácia teda v konečnom dôsledku povedú aj k tomu, že údaje budú poskytované s nižšou chybovosťou, vyššou aktuálnosťou a v požadovanom rozsahu. Nástrojom na dosiahnutie týchto cieľov bude práve JIS ŠÚ a spôsob nastavenia jeho fungovania a možností integrácie naň. </w:t>
      </w:r>
    </w:p>
    <w:p w14:paraId="317890D9" w14:textId="77777777" w:rsidR="00D86762" w:rsidRPr="00D86762" w:rsidRDefault="00D86762" w:rsidP="00D86762">
      <w:pPr>
        <w:spacing w:after="240"/>
      </w:pPr>
      <w:r w:rsidRPr="00D86762">
        <w:t xml:space="preserve">JIS ŠÚ bude integrálnou súčasťou e-Governmentu podľa platnej NKIVS. Ďalšie informácie k projektu sa nachádzajú v štúdii uskutočniteľnosti: </w:t>
      </w:r>
      <w:hyperlink r:id="rId23" w:history="1">
        <w:r w:rsidRPr="00D86762">
          <w:rPr>
            <w:u w:val="single"/>
          </w:rPr>
          <w:t>https://metais.vicepremier.gov.sk/studia/detail/f6f7fea5-ad9c-f56b-f79e-b2d163ced141?tab=basicForm</w:t>
        </w:r>
      </w:hyperlink>
    </w:p>
    <w:p w14:paraId="7959A8C0" w14:textId="77777777" w:rsidR="00D86762" w:rsidRPr="00D86762" w:rsidRDefault="00D86762" w:rsidP="00D86762">
      <w:r w:rsidRPr="00D86762">
        <w:t>K bodu 16 (§ 13)</w:t>
      </w:r>
    </w:p>
    <w:p w14:paraId="7FABB85F" w14:textId="77777777" w:rsidR="00D86762" w:rsidRPr="00D86762" w:rsidRDefault="00D86762" w:rsidP="00D86762">
      <w:r w:rsidRPr="00D86762">
        <w:t>Navrhuje sa zmena v spôsobe právnej úpravy prístupu k administratívnym zdrojom údajov. Zachováva sa princíp prístupu k všetkým údajom z administratívnych zdrojov údajov, pričom sa zároveň upúšťa od demonštratívneho výpočtu rozsahu údajov, ktoré je možné poskytnúť. Tento spôsob úpravy je jednak nevhodný, keďže ide o demonštratívny výpočet a je praxou prekonaný, keďže nie je schopný reflektovať dynamiku zmien a vývoja rôznych administratívnych zdrojov údajov.</w:t>
      </w:r>
    </w:p>
    <w:p w14:paraId="79CD00A1" w14:textId="77777777" w:rsidR="00D86762" w:rsidRPr="00D86762" w:rsidRDefault="00D86762" w:rsidP="00D86762">
      <w:r w:rsidRPr="00D86762">
        <w:lastRenderedPageBreak/>
        <w:t xml:space="preserve">Zakotvuje sa tiež nevyhnutnosť údajov na štatistický účel, ku ktorým sa žiada prístup do administratívneho zdroja údajov, čo korešponduje s ochranou štatistickej dôvernosti vrátane zabezpečenia ochrany osobných údajov ako aj s dodržiavaním princípov objektivity, </w:t>
      </w:r>
      <w:r w:rsidRPr="00D86762">
        <w:tab/>
        <w:t xml:space="preserve">spoľahlivosti a </w:t>
      </w:r>
      <w:r w:rsidRPr="00D86762">
        <w:tab/>
        <w:t>efektívnosti vynaložených nákladov.</w:t>
      </w:r>
    </w:p>
    <w:p w14:paraId="489E24E3" w14:textId="77777777" w:rsidR="00D86762" w:rsidRPr="00D86762" w:rsidRDefault="00D86762" w:rsidP="00D86762">
      <w:r w:rsidRPr="00D86762">
        <w:t xml:space="preserve">Navrhuje sa na úrovni zákona explicitne upraviť oblasti, ktorých úpravu prax ukázala ako potrebnú, a to najmä poskytovanie údajov v predpísanej štruktúre a elektronicky, poskytovanie metadát k údajom, úpravu spôsobu uzatvárania dohôd o zabezpečení poskytovania údajov a vyjadrenie vzťahu ku kategóriám údajov, ktoré sú chránené podľa osobitných predpisov. </w:t>
      </w:r>
    </w:p>
    <w:p w14:paraId="75F9F0CD" w14:textId="77777777" w:rsidR="00D86762" w:rsidRPr="00D86762" w:rsidRDefault="00D86762" w:rsidP="00D86762">
      <w:r w:rsidRPr="00D86762">
        <w:t xml:space="preserve">Poskytovanie údajov z administratívnych zdrojov údajov by malo prebiehať prioritne v elektronickej podobe, definovanej štruktúre a automatizovaným spôsobom, a to najmä v prípadoch, ak ide o zdroj údajov, ktorý poskytuje údaje prostredníctvom modulu procesnej integrácie a integrácie údajov podľa zákona o e-Governmente. Predmetný zákon obsahuje úpravu tohto modulu, ako aj jeho fungovania, vrátane riadenia prístupu k údajom a ich poskytovanie elektronicky a nepretržitým spôsobom prístupu. </w:t>
      </w:r>
    </w:p>
    <w:p w14:paraId="1097EE99" w14:textId="77777777" w:rsidR="00D86762" w:rsidRPr="00D86762" w:rsidRDefault="00D86762" w:rsidP="00D86762">
      <w:r w:rsidRPr="00D86762">
        <w:t>Samotný inštitút dohody o zabezpečení poskytovania údajov nie je koncipovaný ako podmienka na ich poskytovanie, ale ako svojho druhu realizačná dohoda, ktorá má definovať technické podrobnosti poskytovania, pričom samotný právny nárok bude upravený na úrovni zákona. Preto ani neuzavretie dohody nie je dôvodom na neplnenie povinnosti poskytovať údaje z týchto zdrojov.</w:t>
      </w:r>
    </w:p>
    <w:p w14:paraId="2FA91C74" w14:textId="77777777" w:rsidR="00D86762" w:rsidRPr="00D86762" w:rsidRDefault="00D86762" w:rsidP="00D86762">
      <w:pPr>
        <w:spacing w:after="240"/>
      </w:pPr>
      <w:r w:rsidRPr="00D86762">
        <w:t>V odseku 6 sa zakotvuje zamedzenie možnosti orgánu vykonávajúceho štátnu štatistiku poskytnúť údaje od správcu administratívneho zdroja na iný ako štatistický účel.</w:t>
      </w:r>
    </w:p>
    <w:p w14:paraId="05B562D0" w14:textId="77777777" w:rsidR="00D86762" w:rsidRPr="00D86762" w:rsidRDefault="00D86762" w:rsidP="00D86762">
      <w:r w:rsidRPr="00D86762">
        <w:t>K bodu 17 (§ 16 a 17)</w:t>
      </w:r>
    </w:p>
    <w:p w14:paraId="1A9C82C8" w14:textId="77777777" w:rsidR="00D86762" w:rsidRPr="00D86762" w:rsidRDefault="00D86762" w:rsidP="00D86762">
      <w:r w:rsidRPr="00D86762">
        <w:t>Úprava v § 16 je potrebná vzhľadom na prijatie nariadenia EÚ citovaného v poznámke pod čiarou.</w:t>
      </w:r>
    </w:p>
    <w:p w14:paraId="0151F57F" w14:textId="77777777" w:rsidR="00D86762" w:rsidRPr="00D86762" w:rsidRDefault="00D86762" w:rsidP="00D86762">
      <w:r w:rsidRPr="00D86762">
        <w:t>V § 17 sa navrhuje spresniť ustanovenia o spolupráci v rámci verejného sektora a doplniť medzi spolupracujúce aj orgány záujmovej samosprávy, napríklad profesijné komory v zdravotníctve alebo poľovníctve, preto je potrebné upraviť aj názov paragrafu 17.</w:t>
      </w:r>
    </w:p>
    <w:p w14:paraId="4043BD83" w14:textId="77777777" w:rsidR="00D86762" w:rsidRPr="00D86762" w:rsidRDefault="00D86762" w:rsidP="00D86762">
      <w:pPr>
        <w:spacing w:after="240"/>
      </w:pPr>
      <w:r w:rsidRPr="00D86762">
        <w:t xml:space="preserve">Z návrhu vyplýva, že zákon nemá ďalej ustanovovať explicitne všeobecným spôsobom spoluprácu orgánov miestnej štátnej správy a územnej samosprávy so štatistickým úradom pri spravodajskej povinnosti (ide o duplicitu s inými ustanoveniami) ani osobitnú spoluprácu pri príprave spracúvania výsledkov volieb a referenda a sčítania obyvateľov, domov a bytov, pretože vzájomné oprávnenia a povinnosti štatistického úradu, orgánov samosprávy a miestnej štátnej správy vymedzuje zákon č. 180/2014 Z. z. </w:t>
      </w:r>
      <w:r w:rsidRPr="00D86762">
        <w:rPr>
          <w:bCs/>
        </w:rPr>
        <w:t>o podmienkach výkonu volebného práva a o zmene a doplnení niektorých zákonov</w:t>
      </w:r>
      <w:r w:rsidRPr="00D86762">
        <w:t xml:space="preserve"> v znení neskorších predpisov a príslušný zákon o sčítaní obyvateľov, domov a bytov.</w:t>
      </w:r>
    </w:p>
    <w:p w14:paraId="01CA2329" w14:textId="77777777" w:rsidR="00D86762" w:rsidRPr="00D86762" w:rsidRDefault="00D86762" w:rsidP="00D86762">
      <w:r w:rsidRPr="00D86762">
        <w:t>K bodu 18 (§ 18 ods. 3)</w:t>
      </w:r>
    </w:p>
    <w:p w14:paraId="42B38F4C" w14:textId="77777777" w:rsidR="00D86762" w:rsidRPr="00D86762" w:rsidRDefault="00D86762" w:rsidP="00D86762">
      <w:r w:rsidRPr="00D86762">
        <w:t>Odporúča sa precizovať návrh z dôvodu, aby bolo jednoznačné, že sa od spravodajskej jednotky môžu žiadať informácie o dôvode poskytnutia konkrétnych údajov.</w:t>
      </w:r>
    </w:p>
    <w:p w14:paraId="7D8D2150" w14:textId="77777777" w:rsidR="00D86762" w:rsidRPr="00D86762" w:rsidRDefault="00D86762" w:rsidP="00D86762">
      <w:r w:rsidRPr="00D86762">
        <w:lastRenderedPageBreak/>
        <w:t>Ustanovenie sa uplatní okrem iného aj v oblasti európskych podnikových štatistík. Podľa článku 18 ods. 3 nariadenia (EÚ) 2019/2152: „</w:t>
      </w:r>
      <w:r w:rsidRPr="00D86762">
        <w:rPr>
          <w:shd w:val="clear" w:color="auto" w:fill="FFFFFF"/>
        </w:rPr>
        <w:t>Na základe riadne odôvodnenej žiadosti Komisie (Eurostatu) jej členské štáty poskytnú všetky relevantné informácie týkajúce sa vykonávania tohto nariadenia v členských štátoch.“. Na vysvetlenie údajov poskytnutých v konkrétnych zisťovaniach za Slovenskú republiku Eurostatu je v praxi potrebné disponovať zdôvodneniami poskytnutými spravodajskými jednotkami.</w:t>
      </w:r>
    </w:p>
    <w:p w14:paraId="2A43EE94" w14:textId="77777777" w:rsidR="00D86762" w:rsidRPr="00D86762" w:rsidRDefault="00D86762" w:rsidP="00D86762">
      <w:pPr>
        <w:spacing w:after="240"/>
      </w:pPr>
      <w:r w:rsidRPr="00D86762">
        <w:t>Zároveň sa navrhovaným znením ustanovenia explicitne upravuje povinnosť štatistickej jednotky postupovať pri poskytovaní štatistických údajov v súlade s metodikou.</w:t>
      </w:r>
    </w:p>
    <w:p w14:paraId="0B2468A1" w14:textId="77777777" w:rsidR="00D86762" w:rsidRPr="00D86762" w:rsidRDefault="00D86762" w:rsidP="00D86762">
      <w:r w:rsidRPr="00D86762">
        <w:t>K bodu 19 (§ 18 ods. 5)</w:t>
      </w:r>
    </w:p>
    <w:p w14:paraId="0ECE9932" w14:textId="77777777" w:rsidR="00D86762" w:rsidRPr="00D86762" w:rsidRDefault="00D86762" w:rsidP="00D86762">
      <w:pPr>
        <w:spacing w:after="240"/>
      </w:pPr>
      <w:r w:rsidRPr="00D86762">
        <w:t>Znenie odseku sa mení z legislatívno-technických dôvodov (napr. uplatňovanie pojmu „štatistický formulár“ a z dôvodu, že spravodajská jednotka v konkrétnom prípade nezasiela údaje a neplní svoju štatistickú povinnosť len voči úradu, ale aj voči inému orgánu vykonávajúcemu štátnu štatistiku podľa podmienok konkrétneho štatistického zisťovania definovaného v programe štátnych štatistických zisťovaní.</w:t>
      </w:r>
    </w:p>
    <w:p w14:paraId="26D7C930" w14:textId="77777777" w:rsidR="00D86762" w:rsidRPr="00D86762" w:rsidRDefault="00D86762" w:rsidP="00D86762">
      <w:r w:rsidRPr="00D86762">
        <w:t>K bodu 20 (§ 18 ods. 8)</w:t>
      </w:r>
    </w:p>
    <w:p w14:paraId="3F4E0EDA" w14:textId="77777777" w:rsidR="00D86762" w:rsidRPr="00D86762" w:rsidRDefault="00D86762" w:rsidP="00D86762">
      <w:pPr>
        <w:spacing w:after="240"/>
      </w:pPr>
      <w:r w:rsidRPr="00D86762">
        <w:t>Ustanovenie sa upravuje z dôvodu ustanovenia splnenia požiadavky nevyhnutnosti požadovania údajov na štatistický účel zo strany orgánu vykonávajúceho štátnu štatistiku od štatistickej jednotky a potrebu vylúčiť z predmetu spravodajskej povinnosti niektoré kategórie informácií v súlade s osobitnými predpismi. Aktualizujú sa tiež citácie zákonov v poznámkach pod čiarou.</w:t>
      </w:r>
    </w:p>
    <w:p w14:paraId="309CA7EC" w14:textId="77777777" w:rsidR="00D86762" w:rsidRPr="00D86762" w:rsidRDefault="00D86762" w:rsidP="00D86762">
      <w:r w:rsidRPr="00D86762">
        <w:t>K bodu 21 (§ 18 ods. 9)</w:t>
      </w:r>
    </w:p>
    <w:p w14:paraId="04E2E3B4" w14:textId="77777777" w:rsidR="00D86762" w:rsidRPr="00D86762" w:rsidRDefault="00D86762" w:rsidP="00D86762">
      <w:pPr>
        <w:spacing w:after="240"/>
      </w:pPr>
      <w:r w:rsidRPr="00D86762">
        <w:t>Upravujú sa chybné čísla odkazov zavedené poslednou novelou zákona zákonom č. 107/2020 Z. z. a aplikuje sa novozavedená legislatívna skratka.</w:t>
      </w:r>
    </w:p>
    <w:p w14:paraId="0F461123" w14:textId="77777777" w:rsidR="00D86762" w:rsidRPr="00D86762" w:rsidRDefault="00D86762" w:rsidP="00D86762">
      <w:r w:rsidRPr="00D86762">
        <w:t>K bodu 22 (§ 19 ods. 1)</w:t>
      </w:r>
    </w:p>
    <w:p w14:paraId="0E0C2DA8" w14:textId="77777777" w:rsidR="00D86762" w:rsidRPr="00D86762" w:rsidRDefault="00D86762" w:rsidP="00D86762">
      <w:r w:rsidRPr="00D86762">
        <w:t>Úprava súvisí s potrebou odstrániť možný výkladový problém pri používaní slova „norma“ v doterajšom znení zákona. Štandardy, ktoré sa uvádzajú v zákone nesúvisia s technickými normami.</w:t>
      </w:r>
    </w:p>
    <w:p w14:paraId="04403384" w14:textId="77777777" w:rsidR="00D86762" w:rsidRPr="00D86762" w:rsidRDefault="00D86762" w:rsidP="00D86762">
      <w:pPr>
        <w:spacing w:after="240"/>
      </w:pPr>
      <w:r w:rsidRPr="00D86762">
        <w:t>K bodu 23 (§ 20)</w:t>
      </w:r>
    </w:p>
    <w:p w14:paraId="2E050C3F" w14:textId="77777777" w:rsidR="00D86762" w:rsidRPr="00D86762" w:rsidRDefault="00D86762" w:rsidP="00D86762">
      <w:pPr>
        <w:spacing w:after="240"/>
      </w:pPr>
      <w:r w:rsidRPr="00D86762">
        <w:t>§ 20 ods. 1 písm. a): Legislatívno-technická úprava znenia poznámky pod čiarou.</w:t>
      </w:r>
    </w:p>
    <w:p w14:paraId="12B396B2" w14:textId="77777777" w:rsidR="00D86762" w:rsidRPr="00D86762" w:rsidRDefault="00D86762" w:rsidP="00D86762">
      <w:r w:rsidRPr="00D86762">
        <w:t>§ 20 ods. 1 písm. b): V súlade s nariadením (EÚ) 2018/1091 sa mení názov príslušného registra a vkladá sa odkaz 6b odkazujúci na poznámku pod čiarou s citáciou tohto nariadenia.</w:t>
      </w:r>
    </w:p>
    <w:p w14:paraId="0EA8DAEC" w14:textId="77777777" w:rsidR="00D86762" w:rsidRPr="00D86762" w:rsidRDefault="00D86762" w:rsidP="00D86762">
      <w:r w:rsidRPr="00D86762">
        <w:t>§ 20 ods. 1 písm. d) – súčasné znenie: Vypustenie odseku je odôvodnené tým, že v praxi štatistický úrad neviedol register sčítacích obvodov už od sčítania obyvateľov, domov a bytov v roku 2001. Pri novej koncepcii sčítania sa územná príprava opiera o adresné body a pre účely terénu sa so sčítacími obvodmi nepočíta.</w:t>
      </w:r>
    </w:p>
    <w:p w14:paraId="7EE3424F" w14:textId="77777777" w:rsidR="00D86762" w:rsidRPr="00D86762" w:rsidRDefault="00D86762" w:rsidP="00D86762">
      <w:r w:rsidRPr="00D86762">
        <w:t>§ 20 ods. 1 písm. d): bezo zmeny.</w:t>
      </w:r>
    </w:p>
    <w:p w14:paraId="6F73C1D7" w14:textId="77777777" w:rsidR="00D86762" w:rsidRPr="00D86762" w:rsidRDefault="00D86762" w:rsidP="00D86762">
      <w:r w:rsidRPr="00D86762">
        <w:lastRenderedPageBreak/>
        <w:t>§ 20 ods. 1 písm. e): Keďže v poznámke pod čiarou k odkazu 6b sa citujú už zrušené nariadenia ES a EÚ, ktoré boli nahradené nariadením (EÚ) 2019/2152, na ktoré ale nie je potrebné v príslušnom paragrafe odkazovať, odkaz 6b sa v danom ustanovení vypúšťa.</w:t>
      </w:r>
    </w:p>
    <w:p w14:paraId="46E039BC" w14:textId="77777777" w:rsidR="00D86762" w:rsidRPr="00D86762" w:rsidRDefault="00D86762" w:rsidP="00D86762">
      <w:r w:rsidRPr="00D86762">
        <w:t>§ 20 ods. 2: Návrhom sa sleduje implementácia nového nariadenia Európskeho parlamentu a Rady (EÚ) 2019/2152 z 27. novembra 2019 o európskych podnikových štatistikách, ktorým sa zrušuje 10 právnych aktov v oblasti podnikových štatistík (Ú. v. EÚ L 327, 17.12.2019). Aktualizácia registra organizácií údajmi z Európskeho registra nadnárodných skupín podnikov (EGR) vyplýva z fungovania európskeho rámca pre štatistické registre ekonomických subjektov upraveného čl. 2 ods. 2 a čl. 8 až 10 nariadenia (EÚ) 2019/2152.</w:t>
      </w:r>
    </w:p>
    <w:p w14:paraId="2313B90A" w14:textId="77777777" w:rsidR="00D86762" w:rsidRPr="00D86762" w:rsidRDefault="00D86762" w:rsidP="00D86762">
      <w:r w:rsidRPr="00D86762">
        <w:t>K bodu 24 (§ 21 ods. 1)</w:t>
      </w:r>
    </w:p>
    <w:p w14:paraId="46AE8302" w14:textId="77777777" w:rsidR="00D86762" w:rsidRPr="00D86762" w:rsidRDefault="00D86762" w:rsidP="00D86762">
      <w:pPr>
        <w:spacing w:after="240"/>
      </w:pPr>
      <w:r w:rsidRPr="00D86762">
        <w:t>Spresňuje sa, o akú zárobkovú činnosť ide a vypúšťa sa časť ustanovenia, ktorá odporuje § 21 ods. 6 zákona v súčasnom aj navrhovanom znení.</w:t>
      </w:r>
    </w:p>
    <w:p w14:paraId="2FE4BD6B" w14:textId="77777777" w:rsidR="00D86762" w:rsidRPr="00D86762" w:rsidRDefault="00D86762" w:rsidP="00D86762">
      <w:r w:rsidRPr="00D86762">
        <w:t>K bodu 25 (§ 21 ods. 5 a 6)</w:t>
      </w:r>
    </w:p>
    <w:p w14:paraId="7543759A" w14:textId="77777777" w:rsidR="00D86762" w:rsidRPr="00D86762" w:rsidRDefault="00D86762" w:rsidP="00D86762">
      <w:r w:rsidRPr="00D86762">
        <w:t>Návrh na zmenu je reakciou na požiadavky verejnosti zisťované Úradom splnomocnenca vlády SR pre rozvoj občianskej spoločnosti v rámci úloh B.8 a B.14 vyplývajúcich z uznesenia vlády SR č. 104/2017 z 1. marca 2017 k Akčnému plánu Iniciatívy za otvorené vládnutie v SR na roky 2017-2019. Údaje registra organizácií sa považujú za prioritný dataset, pričom jediné obmedzenie v prístupnosti je z pohľadu dodržania štatistickej dôvernosti.</w:t>
      </w:r>
    </w:p>
    <w:p w14:paraId="38039CF1" w14:textId="77777777" w:rsidR="00D86762" w:rsidRPr="00D86762" w:rsidRDefault="00D86762" w:rsidP="00D86762">
      <w:pPr>
        <w:spacing w:after="240"/>
      </w:pPr>
      <w:r w:rsidRPr="00D86762">
        <w:t>Nové znenie odseku 6 je spojením nesystematicky zaradeného ustanovenia § 20 ods. 3 a textu doterajšieho odseku 7 predmetného paragrafu.</w:t>
      </w:r>
    </w:p>
    <w:p w14:paraId="7DA89719" w14:textId="77777777" w:rsidR="00D86762" w:rsidRPr="00D86762" w:rsidRDefault="00D86762" w:rsidP="00D86762">
      <w:r w:rsidRPr="00D86762">
        <w:t>K bodu 26 (§ 22)</w:t>
      </w:r>
    </w:p>
    <w:p w14:paraId="47B99A36" w14:textId="77777777" w:rsidR="00D86762" w:rsidRPr="00D86762" w:rsidRDefault="00D86762" w:rsidP="00D86762">
      <w:pPr>
        <w:spacing w:after="240"/>
      </w:pPr>
      <w:r w:rsidRPr="00D86762">
        <w:t>Ustanovenie sa mení v nadväznosti na požiadavky nariadenia (EÚ) 2018/1091 a vnútroštátne formy prevádzkovania poľnohospodárskych činností.</w:t>
      </w:r>
    </w:p>
    <w:p w14:paraId="365DD479" w14:textId="77777777" w:rsidR="00D86762" w:rsidRPr="00D86762" w:rsidRDefault="00D86762" w:rsidP="00D86762">
      <w:r w:rsidRPr="00D86762">
        <w:t>K bodu 27 (§ 23)</w:t>
      </w:r>
    </w:p>
    <w:p w14:paraId="48ACEB0A" w14:textId="77777777" w:rsidR="00D86762" w:rsidRPr="00D86762" w:rsidRDefault="00D86762" w:rsidP="00D86762">
      <w:pPr>
        <w:spacing w:after="240"/>
      </w:pPr>
      <w:r w:rsidRPr="00D86762">
        <w:t>Potrebné spresnenie okruhu osôb, o ktorých sa údaje majú zisťovať.</w:t>
      </w:r>
    </w:p>
    <w:p w14:paraId="2CC1CA9B" w14:textId="77777777" w:rsidR="00D86762" w:rsidRPr="00D86762" w:rsidRDefault="00D86762" w:rsidP="00D86762">
      <w:r w:rsidRPr="00D86762">
        <w:t>K bodu 28 (§ 24)</w:t>
      </w:r>
    </w:p>
    <w:p w14:paraId="21866C56" w14:textId="77777777" w:rsidR="00D86762" w:rsidRPr="00D86762" w:rsidRDefault="00D86762" w:rsidP="00D86762">
      <w:pPr>
        <w:spacing w:after="240"/>
      </w:pPr>
      <w:r w:rsidRPr="00D86762">
        <w:t>Vypustenie je odôvodnené tým, že v praxi štatistický úrad neviedol register sčítacích obvodov už od sčítania obyvateľov, domov a bytov v roku 2001. Pri novej koncepcii sčítania sa územná príprava opiera o adresné body a pre účely terénu sa so sčítacími obvodmi nepočíta.</w:t>
      </w:r>
    </w:p>
    <w:p w14:paraId="3CF6D26B" w14:textId="77777777" w:rsidR="00D86762" w:rsidRPr="00D86762" w:rsidRDefault="00D86762" w:rsidP="00D86762">
      <w:r w:rsidRPr="00D86762">
        <w:t>K bodu 29 (§ 25a)</w:t>
      </w:r>
    </w:p>
    <w:p w14:paraId="63F32F08" w14:textId="77777777" w:rsidR="00D86762" w:rsidRPr="00D86762" w:rsidRDefault="00D86762" w:rsidP="00D86762">
      <w:r w:rsidRPr="00D86762">
        <w:t>Znenie odseku 1 a súčasného odseku 3 (v návrhu odsek 2) sa v súlade s nariadením (EÚ) 2019/2152 upraví, aby v registri boli všetky subjekty obchodujúce v rámci EÚ, nielen tie, ktorým vznikla spravodajská povinnosť v rámci systému Intrastat.</w:t>
      </w:r>
    </w:p>
    <w:p w14:paraId="03602FC9" w14:textId="77777777" w:rsidR="00D86762" w:rsidRPr="00D86762" w:rsidRDefault="00D86762" w:rsidP="00D86762">
      <w:r w:rsidRPr="00D86762">
        <w:t xml:space="preserve">Súčasný odsek 2 sa navrhuje vypustiť, pretože stratil opodstatnenie pri aplikácii novej právnej úpravy, nariadenia (EÚ) 2019/2152. Poznámka pod čiarou týkajúca sa ochrany dôverných štatistických údajov v štatistike zahraničného obchodu bude uvedená v § 30. </w:t>
      </w:r>
    </w:p>
    <w:p w14:paraId="1C15D863" w14:textId="77777777" w:rsidR="00D86762" w:rsidRPr="00D86762" w:rsidRDefault="00D86762" w:rsidP="00D86762">
      <w:pPr>
        <w:spacing w:after="240"/>
      </w:pPr>
      <w:r w:rsidRPr="00D86762">
        <w:lastRenderedPageBreak/>
        <w:t>V novom § 25a ods. 2 (pôvodne odsek 3) sa navrhuje zachovať oznamovaciu povinnosť, avšak so spresnením okruhu jej adresátov a tiež spresnením odkazu na vykonávací predpis, ktorý ustanoví hranicu hodnoty obchodu s tovarom, kedy táto povinnosť vzniká.</w:t>
      </w:r>
    </w:p>
    <w:p w14:paraId="0D1B0172" w14:textId="77777777" w:rsidR="00D86762" w:rsidRPr="00D86762" w:rsidRDefault="00D86762" w:rsidP="00D86762">
      <w:r w:rsidRPr="00D86762">
        <w:t>K bodu 30 (§ 26)</w:t>
      </w:r>
    </w:p>
    <w:p w14:paraId="60131DB9" w14:textId="77777777" w:rsidR="00D86762" w:rsidRPr="00D86762" w:rsidRDefault="00D86762" w:rsidP="00D86762">
      <w:pPr>
        <w:spacing w:after="240"/>
      </w:pPr>
      <w:r w:rsidRPr="00D86762">
        <w:t>Legislatívno-technická úprava vzhľadom na navrhované  úpravy.</w:t>
      </w:r>
    </w:p>
    <w:p w14:paraId="58681B98" w14:textId="77777777" w:rsidR="00D86762" w:rsidRPr="00D86762" w:rsidRDefault="00D86762" w:rsidP="00D86762">
      <w:r w:rsidRPr="00D86762">
        <w:t>K bodu 31 (§ 29)</w:t>
      </w:r>
    </w:p>
    <w:p w14:paraId="2CF78ACF" w14:textId="77777777" w:rsidR="00D86762" w:rsidRPr="00D86762" w:rsidRDefault="00D86762" w:rsidP="00D86762">
      <w:pPr>
        <w:rPr>
          <w:bCs/>
        </w:rPr>
      </w:pPr>
      <w:r w:rsidRPr="00D86762">
        <w:rPr>
          <w:bCs/>
        </w:rPr>
        <w:t xml:space="preserve">Ustanovenie § 29 predstavuje voči § 30 ods. 1 a 2 podpornú úpravu, ktorá garantuje právnu istotu toho, kto je viazaný pri vykonávaní štátnej štatistiky mlčanlivosťou. </w:t>
      </w:r>
    </w:p>
    <w:p w14:paraId="2F94F2F4" w14:textId="77777777" w:rsidR="00D86762" w:rsidRPr="00D86762" w:rsidRDefault="00D86762" w:rsidP="00D86762">
      <w:pPr>
        <w:rPr>
          <w:bCs/>
        </w:rPr>
      </w:pPr>
      <w:r w:rsidRPr="00D86762">
        <w:rPr>
          <w:bCs/>
        </w:rPr>
        <w:t>Dôverné údaje možno poskytovať ako anonymizované údaje na vedecké účely podľa § 30 ods. 4 zákona [rovnako ako v čl. 23 nariadenia (ES) č. 223/2009 v platnom znení] alebo medzi orgánmi vykonávajúcimi štátnu štatistiku podľa nového .§ 30 ods. 8 [obdobne v čl. 21 nariadenia (ES) č. 223/2009 v platnom znení]. Dôverné údaje možno zverejniť, ak štatistická jednotka sama jednoznačne dala súhlas na ich zverejnenie podľa § 30 ods. 1 a 2 [rovnako čl. 20 ods. 3 písm. b) nariadenia (ES) č. 223/2009 v platnom znení], potom ten, kto za orgán vykonávajúci štátnu štatistiku takýto údaj zverejnil v rámci plnenia svojich pracovných/služobných úloh, nemôže porušiť svoju povinnosť mlčanlivosti.</w:t>
      </w:r>
    </w:p>
    <w:p w14:paraId="0039469F" w14:textId="77777777" w:rsidR="00D86762" w:rsidRPr="00D86762" w:rsidRDefault="00D86762" w:rsidP="00D86762">
      <w:pPr>
        <w:spacing w:after="240"/>
      </w:pPr>
      <w:r w:rsidRPr="00D86762">
        <w:rPr>
          <w:bCs/>
        </w:rPr>
        <w:t>Úprava mlčanlivosti v § 29 je obdobná ako v zákone č. 223/2019 Z. z. o sčítaní obyvateľov, domov a bytov v roku 2021).</w:t>
      </w:r>
    </w:p>
    <w:p w14:paraId="3056FC48" w14:textId="77777777" w:rsidR="00D86762" w:rsidRPr="00D86762" w:rsidRDefault="00D86762" w:rsidP="00D86762">
      <w:r w:rsidRPr="00D86762">
        <w:t>K bodu 32 (§ 30 ods. 3)</w:t>
      </w:r>
    </w:p>
    <w:p w14:paraId="14192AAE" w14:textId="77777777" w:rsidR="00D86762" w:rsidRPr="00D86762" w:rsidRDefault="00D86762" w:rsidP="00D86762">
      <w:pPr>
        <w:spacing w:after="240"/>
      </w:pPr>
      <w:r w:rsidRPr="00D86762">
        <w:t>Vypúšťa sa nadbytočné slovo z termínu v súlade s požiadavkou splnomocnenca vlády Slovenskej republiky pre národnostné menšiny.</w:t>
      </w:r>
    </w:p>
    <w:p w14:paraId="248712E1" w14:textId="77777777" w:rsidR="00D86762" w:rsidRPr="00D86762" w:rsidRDefault="00D86762" w:rsidP="00D86762">
      <w:r w:rsidRPr="00D86762">
        <w:t>K bodu 33 (§ 30 ods. 4)</w:t>
      </w:r>
    </w:p>
    <w:p w14:paraId="6CEC0805" w14:textId="77777777" w:rsidR="00D86762" w:rsidRPr="00D86762" w:rsidRDefault="00D86762" w:rsidP="00D86762">
      <w:pPr>
        <w:spacing w:after="240"/>
      </w:pPr>
      <w:r w:rsidRPr="00D86762">
        <w:t>Legislatívno-technická úprava súvisiaca s dôsledným používaním pojmu „orgán vykonávajúci štátnu štatistiku“.</w:t>
      </w:r>
    </w:p>
    <w:p w14:paraId="35FC9031" w14:textId="77777777" w:rsidR="00D86762" w:rsidRPr="00D86762" w:rsidRDefault="00D86762" w:rsidP="00D86762">
      <w:r w:rsidRPr="00D86762">
        <w:t>K bodu 34 (§ 30 ods. 5)</w:t>
      </w:r>
    </w:p>
    <w:p w14:paraId="353482B1" w14:textId="77777777" w:rsidR="00D86762" w:rsidRPr="00D86762" w:rsidRDefault="00D86762" w:rsidP="00D86762">
      <w:r w:rsidRPr="00D86762">
        <w:t xml:space="preserve">Ustanovenie § 30 ods. 5 sa odporúča upraviť v maximálnej zhode s nariadením (ES) 223/2009 v platnom znení. </w:t>
      </w:r>
    </w:p>
    <w:p w14:paraId="3A868071" w14:textId="77777777" w:rsidR="00D86762" w:rsidRPr="00D86762" w:rsidRDefault="00D86762" w:rsidP="00D86762">
      <w:r w:rsidRPr="00D86762">
        <w:t xml:space="preserve">Súčasné znenie zákona je v rozpore s definíciou dôverného štatistického údaja, pretože rozširuje neurčitým spôsobom výnimku z toho, čo je možné nepovažovať za dôverný štatistický údaj o skupinu údajov, ktoré „je možné jednoducho zistiť“ . </w:t>
      </w:r>
    </w:p>
    <w:p w14:paraId="54FA351C" w14:textId="77777777" w:rsidR="00D86762" w:rsidRPr="00D86762" w:rsidRDefault="00D86762" w:rsidP="00D86762">
      <w:pPr>
        <w:rPr>
          <w:i/>
        </w:rPr>
      </w:pPr>
      <w:r w:rsidRPr="00D86762">
        <w:t>Podľa čl. 25 nariadenia (ES) 223/2009: „</w:t>
      </w:r>
      <w:r w:rsidRPr="00D86762">
        <w:rPr>
          <w:i/>
        </w:rPr>
        <w:t>Údaje získané zo zdrojov, ktoré sú podľa právnych predpisov dostupné verejnosti a ktoré naďalej zostanú dostupné verejnosti podľa vnútroštátnych právnych predpisov, sa nepovažujú za dôverné na účely šírenia štatistiky získanej z týchto údajov.“.</w:t>
      </w:r>
    </w:p>
    <w:p w14:paraId="1DD446A5" w14:textId="77777777" w:rsidR="00D86762" w:rsidRPr="00D86762" w:rsidRDefault="00D86762" w:rsidP="00D86762">
      <w:r w:rsidRPr="00D86762">
        <w:t xml:space="preserve">Pokiaľ ide o určenie údajov z verejných zdrojov ako údajov, ktoré nie sú dôvernými štatistickými údajmi odkazom na informácie sprístupňované podľa zákona o slobode </w:t>
      </w:r>
      <w:r w:rsidRPr="00D86762">
        <w:lastRenderedPageBreak/>
        <w:t>informácií, navrhuje sa, aby sa za dôverné nepovažovalo len to, čo sa zverejňuje povinne, ale aj to, čo možno uplatnením práva na slobodu informácií získať bez uvedenia účelu alebo právneho dôvodu na základe žiadosti.</w:t>
      </w:r>
    </w:p>
    <w:p w14:paraId="73A6E8C0" w14:textId="77777777" w:rsidR="00D86762" w:rsidRPr="00D86762" w:rsidRDefault="00D86762" w:rsidP="00D86762">
      <w:pPr>
        <w:spacing w:after="240"/>
      </w:pPr>
      <w:r w:rsidRPr="00D86762">
        <w:t>Návrh odstraňuje tiež nie celkom vhodný demonštratívny výpočet verejných zdrojov, ktorý zahŕňa tie najmenej dôležité zdroje.</w:t>
      </w:r>
    </w:p>
    <w:p w14:paraId="653C1285" w14:textId="77777777" w:rsidR="00D86762" w:rsidRPr="00D86762" w:rsidRDefault="00D86762" w:rsidP="00D86762">
      <w:r w:rsidRPr="00D86762">
        <w:t>K bodu 35 (§ 30 ods. 6)</w:t>
      </w:r>
    </w:p>
    <w:p w14:paraId="4C9F736C" w14:textId="77777777" w:rsidR="00D86762" w:rsidRPr="00D86762" w:rsidRDefault="00D86762" w:rsidP="00D86762">
      <w:pPr>
        <w:spacing w:after="240"/>
      </w:pPr>
      <w:r w:rsidRPr="00D86762">
        <w:t>Legislatívna úprava súvisiaca s dôsledným používaním pojmu „orgán vykonávajúci štátnu štatistiku“.</w:t>
      </w:r>
    </w:p>
    <w:p w14:paraId="1C1BE0C9" w14:textId="77777777" w:rsidR="00D86762" w:rsidRPr="00D86762" w:rsidRDefault="00D86762" w:rsidP="00D86762">
      <w:r w:rsidRPr="00D86762">
        <w:t>K bodu 36 (§ 30 ods. 7 a 8)</w:t>
      </w:r>
    </w:p>
    <w:p w14:paraId="748B3DBB" w14:textId="77777777" w:rsidR="00D86762" w:rsidRPr="00D86762" w:rsidRDefault="00D86762" w:rsidP="00D86762">
      <w:pPr>
        <w:spacing w:after="240"/>
      </w:pPr>
      <w:r w:rsidRPr="00D86762">
        <w:t>Dopĺňajú sa dva frekventované a nevyhnutné spôsoby oprávneného spracovania dôverných štatistických údajov v rámci tvorby štátnej štatistiky.</w:t>
      </w:r>
    </w:p>
    <w:p w14:paraId="1CCC306A" w14:textId="77777777" w:rsidR="00D86762" w:rsidRPr="00D86762" w:rsidRDefault="00D86762" w:rsidP="00D86762">
      <w:r w:rsidRPr="00D86762">
        <w:t>§ 30 ods.7 funkčne dopĺňa nové znenie § 4 ods. 2 a 3 a subjektom vykonávajúcim čiastkové úlohy v oblasti štátnej štatistiky poskytuje právnu istou, že ich prístup k dôverným štatistickým údajom je oprávnený. Pokiaľ spracúvajú osobné údaje, majú postavenie sprostredkovateľa podľa všeobecného nariadenia o ochrane údajov.</w:t>
      </w:r>
    </w:p>
    <w:p w14:paraId="606A0130" w14:textId="77777777" w:rsidR="00D86762" w:rsidRPr="00D86762" w:rsidRDefault="00D86762" w:rsidP="00D86762">
      <w:pPr>
        <w:rPr>
          <w:bCs/>
        </w:rPr>
      </w:pPr>
      <w:r w:rsidRPr="00D86762">
        <w:t xml:space="preserve">§ 30 ods. 8 </w:t>
      </w:r>
      <w:r w:rsidRPr="00D86762">
        <w:rPr>
          <w:bCs/>
        </w:rPr>
        <w:t>zamedzuje napr. duplicitnému štatistickému zisťovaniu na vnútroštátnej úrovni. Obdobné ustanovenie je obsiahnuté aj v nariadení (ES) č. 223/2009 v platnom znení a týka sa poskytovania dôverných štatistických údajov medzi členmi európskeho štatistického systému. Súhlas štatistického úradu s uzavretím dohody je odôvodnený prioritnou požiadavkou na ochranu štatistickej dôvernosti.</w:t>
      </w:r>
    </w:p>
    <w:p w14:paraId="5DBC6E7E" w14:textId="77777777" w:rsidR="00D86762" w:rsidRPr="00D86762" w:rsidRDefault="00D86762" w:rsidP="00D86762">
      <w:r w:rsidRPr="00D86762">
        <w:rPr>
          <w:bCs/>
        </w:rPr>
        <w:t xml:space="preserve">Z dôvodu možnosti kontroly poskytovania údajov prostredníctvom jednotného informačného systému štátnej štatistiky bude doplnené ustanovenie § 12a ods. 4 písm. d) </w:t>
      </w:r>
      <w:r w:rsidRPr="00D86762">
        <w:t xml:space="preserve">o poskytovaní dôverných štatistických odkazom na § 30 ods. 8. </w:t>
      </w:r>
    </w:p>
    <w:p w14:paraId="20E7D2BC" w14:textId="77777777" w:rsidR="00D86762" w:rsidRPr="00D86762" w:rsidRDefault="00D86762" w:rsidP="00D86762">
      <w:pPr>
        <w:spacing w:after="240"/>
      </w:pPr>
      <w:r w:rsidRPr="00D86762">
        <w:t>Uzatvárať dohody o poskytovaní dôverných štatistických údajov podľa § 30 ods. 8 však bude možné bez väzby na dostupnosť príslušnej služby v jednotnom informačnom systéme štátnej štatistiky.</w:t>
      </w:r>
    </w:p>
    <w:p w14:paraId="788C2C8B" w14:textId="77777777" w:rsidR="00D86762" w:rsidRPr="00D86762" w:rsidRDefault="00D86762" w:rsidP="00D86762">
      <w:r w:rsidRPr="00D86762">
        <w:t>K bodu 37 (§ 30a ods. 1)</w:t>
      </w:r>
    </w:p>
    <w:p w14:paraId="3495BDD1" w14:textId="77777777" w:rsidR="00D86762" w:rsidRPr="00D86762" w:rsidRDefault="00D86762" w:rsidP="00D86762">
      <w:pPr>
        <w:spacing w:after="240"/>
      </w:pPr>
      <w:r w:rsidRPr="00D86762">
        <w:t>Na základe požiadavky aplikačnej praxe v rámci štatistických zisťovaní u fyzických osôb (o jednotlivcoch alebo členoch domácnosti) sa dopĺňa oprávnený spôsob spracovania uvedených osobných údajov, čo je potrebné na identifikáciu a neskoršie spracovanie poskytnutých údajov. Zároveň sa spresňuje okruh tzv. povinných osôb vzhľadom na inštitucionálne úpravy podľa bodu 8.</w:t>
      </w:r>
    </w:p>
    <w:p w14:paraId="6F9FD55D" w14:textId="77777777" w:rsidR="00D86762" w:rsidRPr="00D86762" w:rsidRDefault="00D86762" w:rsidP="00D86762">
      <w:r w:rsidRPr="00D86762">
        <w:t>K bodom 38 a 39 (§ 31 ods. 1 a nový odsek 2)</w:t>
      </w:r>
    </w:p>
    <w:p w14:paraId="61C933D7" w14:textId="77777777" w:rsidR="00D86762" w:rsidRPr="00D86762" w:rsidRDefault="00D86762" w:rsidP="00D86762">
      <w:pPr>
        <w:spacing w:after="240"/>
      </w:pPr>
      <w:r w:rsidRPr="00D86762">
        <w:t>Ustanovenie sa precizuje z legislatívno-technických dôvodov, z dôvodu ako rozšírenia subjektov, ktorým sa štatistické informácie poskytujú bezodplatne a doplnenia obligatórnych náležitostí dohody medzi štatistickým úradom a žiadateľom.</w:t>
      </w:r>
    </w:p>
    <w:p w14:paraId="7ED69E09" w14:textId="77777777" w:rsidR="00D86762" w:rsidRPr="00D86762" w:rsidRDefault="00D86762" w:rsidP="00D86762">
      <w:r w:rsidRPr="00D86762">
        <w:lastRenderedPageBreak/>
        <w:t>K bodu 40 (§ 31 ods. 5)</w:t>
      </w:r>
    </w:p>
    <w:p w14:paraId="0A79C4CC" w14:textId="77777777" w:rsidR="00D86762" w:rsidRPr="00D86762" w:rsidRDefault="00D86762" w:rsidP="00D86762">
      <w:pPr>
        <w:spacing w:after="240"/>
      </w:pPr>
      <w:r w:rsidRPr="00D86762">
        <w:t>Legislatívna úprava súvisiaca so zavedením legislatívnej skratky „iný orgán vykonávajúci štátnu štatistiku“.</w:t>
      </w:r>
    </w:p>
    <w:p w14:paraId="7C7F6D98" w14:textId="77777777" w:rsidR="00D86762" w:rsidRPr="00D86762" w:rsidRDefault="00D86762" w:rsidP="00D86762">
      <w:r w:rsidRPr="00D86762">
        <w:t>K bodu 41 [§ 32 ods. 1 písm. a)]</w:t>
      </w:r>
    </w:p>
    <w:p w14:paraId="3F9C55DB" w14:textId="77777777" w:rsidR="00D86762" w:rsidRPr="00D86762" w:rsidRDefault="00D86762" w:rsidP="00D86762">
      <w:pPr>
        <w:spacing w:after="240"/>
      </w:pPr>
      <w:r w:rsidRPr="00D86762">
        <w:t>Zavedením správneho deliktu sa sleduje posilnenie vymožiteľnosti plnenia uvedenej povinnosti, ktorá je v praxi spravodajskými jednotkami opomínaná.</w:t>
      </w:r>
    </w:p>
    <w:p w14:paraId="6B96934A" w14:textId="77777777" w:rsidR="00D86762" w:rsidRPr="00D86762" w:rsidRDefault="00D86762" w:rsidP="00D86762">
      <w:r w:rsidRPr="00D86762">
        <w:t>K bodom 42 (§ 32 ods. 3 a 5)</w:t>
      </w:r>
    </w:p>
    <w:p w14:paraId="0A9D6AD5" w14:textId="77777777" w:rsidR="00D86762" w:rsidRPr="00D86762" w:rsidRDefault="00D86762" w:rsidP="00D86762">
      <w:pPr>
        <w:spacing w:after="240"/>
      </w:pPr>
      <w:r w:rsidRPr="00D86762">
        <w:t>Legislatívna úprava súvisiaca s dôsledným používaním pojmu „orgán vykonávajúci štátnu štatistiku“ a používaním stručného slovného označenia právneho predpisu.</w:t>
      </w:r>
    </w:p>
    <w:p w14:paraId="5418250D" w14:textId="77777777" w:rsidR="00D86762" w:rsidRPr="00D86762" w:rsidRDefault="00D86762" w:rsidP="00D86762">
      <w:r w:rsidRPr="00D86762">
        <w:t>K bodu 43</w:t>
      </w:r>
    </w:p>
    <w:p w14:paraId="3D523BFD" w14:textId="77777777" w:rsidR="00D86762" w:rsidRPr="00D86762" w:rsidRDefault="00D86762" w:rsidP="00D86762">
      <w:pPr>
        <w:spacing w:after="240"/>
      </w:pPr>
      <w:r w:rsidRPr="00D86762">
        <w:t>Úprava odôvodnená zmenou označenia orgánu štátnej správy.</w:t>
      </w:r>
    </w:p>
    <w:p w14:paraId="16D431B4" w14:textId="77777777" w:rsidR="00D86762" w:rsidRPr="00D86762" w:rsidRDefault="00D86762" w:rsidP="00D86762">
      <w:r w:rsidRPr="00D86762">
        <w:t>K bodu 44 (§ 35a)</w:t>
      </w:r>
    </w:p>
    <w:p w14:paraId="6583833B" w14:textId="60B96B6A" w:rsidR="00D86762" w:rsidRPr="00D86762" w:rsidRDefault="00D86762" w:rsidP="00D86762">
      <w:r w:rsidRPr="00D86762">
        <w:t>Štatistická rada zriadená v súčasnosti pri úrade má iný rozsah kompetencií a čiastočne iné zloženie oproti koordinačnej rade pre štátnu štatistiku, ktorej postavenie a činnosť  rámcovo upravuje nové znenie § 10. Z hľadiska efektivity implementácie schválenej novely je najvhodnejšie, aby Štatistická rada zanikla pre</w:t>
      </w:r>
      <w:r w:rsidR="00353173">
        <w:t>d</w:t>
      </w:r>
      <w:r w:rsidRPr="00D86762">
        <w:t xml:space="preserve"> nadobudnutím účinnosti nového znenia </w:t>
      </w:r>
      <w:r w:rsidR="00FD1145">
        <w:t xml:space="preserve">§ 10 a aby v prechodnom období </w:t>
      </w:r>
      <w:r w:rsidRPr="00D86762">
        <w:t xml:space="preserve">po vydaní resp. schválení jej štatútu predseda úradu vymenoval členov nového orgánu podľa novej úpravy a zabezpečil uskutočnenie jej prvého rokovania. </w:t>
      </w:r>
    </w:p>
    <w:p w14:paraId="014E5B29" w14:textId="77777777" w:rsidR="00D86762" w:rsidRPr="00D86762" w:rsidRDefault="00D86762" w:rsidP="00D86762">
      <w:pPr>
        <w:spacing w:after="240"/>
      </w:pPr>
      <w:r w:rsidRPr="00D86762">
        <w:t>V súlade s projektom RZÚ, ktorého výstupom bude Jednotný informačný systém štatistických údajov podľa § 12a návrhu zákona sa určuje prechodné obdobie, ktoré sa uplynie skončením implementácie uvedeného projektu.</w:t>
      </w:r>
    </w:p>
    <w:p w14:paraId="360BD683" w14:textId="77777777" w:rsidR="00D86762" w:rsidRPr="00D86762" w:rsidRDefault="00D86762" w:rsidP="00D86762">
      <w:r w:rsidRPr="00D86762">
        <w:t>K bodom 45 až 47</w:t>
      </w:r>
    </w:p>
    <w:p w14:paraId="7F313648" w14:textId="5A7C7D38" w:rsidR="00961CA9" w:rsidRDefault="00D86762" w:rsidP="00D86762">
      <w:pPr>
        <w:spacing w:after="480"/>
      </w:pPr>
      <w:r w:rsidRPr="00D86762">
        <w:t>Legislatívno-technické úpravy súvisiace so za</w:t>
      </w:r>
      <w:r w:rsidR="0077338C">
        <w:t xml:space="preserve">vedením pojmu „administratívny </w:t>
      </w:r>
      <w:bookmarkStart w:id="1" w:name="_GoBack"/>
      <w:bookmarkEnd w:id="1"/>
      <w:r w:rsidRPr="00D86762">
        <w:t>zdroj údajov“, s dôsledným používaním pojmu „orgán vykonávajúci štátnu štatistiku“ a „štátne štatistické zisťovanie“ a so zavedením legislatívnej skratky „iný orgán vykonávajúci štátnu štatistiku“.</w:t>
      </w:r>
    </w:p>
    <w:p w14:paraId="1B5C60FC" w14:textId="77777777" w:rsidR="00961CA9" w:rsidRDefault="00961CA9">
      <w:r>
        <w:br w:type="page"/>
      </w:r>
    </w:p>
    <w:p w14:paraId="1DFC5388" w14:textId="77777777" w:rsidR="00D86762" w:rsidRPr="00D86762" w:rsidRDefault="00D86762" w:rsidP="00D86762">
      <w:pPr>
        <w:rPr>
          <w:b/>
        </w:rPr>
      </w:pPr>
      <w:r w:rsidRPr="00D86762">
        <w:rPr>
          <w:b/>
        </w:rPr>
        <w:lastRenderedPageBreak/>
        <w:t>K čl. II</w:t>
      </w:r>
    </w:p>
    <w:p w14:paraId="741D471E" w14:textId="77777777" w:rsidR="00D86762" w:rsidRPr="00D86762" w:rsidRDefault="00D86762" w:rsidP="005E593F">
      <w:pPr>
        <w:spacing w:after="240"/>
      </w:pPr>
      <w:r w:rsidRPr="00D86762">
        <w:t>Dátum nadobudnutia účinnosti je daný harmonogramom siedmej fázy projektu RZÚ a  legisvakačnou lehotou potrebnou na implementáciu reformných opatrení orgánmi vykonávajúcimi štátnu štatistiku. Neskoršia účinnosť vybraných ustanovení je odôvodnená ich technickou vykonateľnosťou zo strany orgánov vykonávajúcich štátnu štatistiku, ktorá závisí od prípravy a prispôsobenia jednotného informačného systému štátnej štatistiky na hodnotenie kvality zostavených štatistík.</w:t>
      </w:r>
    </w:p>
    <w:p w14:paraId="7A1789B5" w14:textId="42A5AE02" w:rsidR="00D86762" w:rsidRPr="00D86762" w:rsidRDefault="00D86762" w:rsidP="00D86762">
      <w:pPr>
        <w:spacing w:after="1680" w:line="240" w:lineRule="auto"/>
        <w:ind w:firstLine="0"/>
        <w:rPr>
          <w:lang w:eastAsia="sk-SK"/>
        </w:rPr>
      </w:pPr>
      <w:r w:rsidRPr="00D86762">
        <w:rPr>
          <w:lang w:eastAsia="sk-SK"/>
        </w:rPr>
        <w:t xml:space="preserve">Bratislava 7. </w:t>
      </w:r>
      <w:r>
        <w:rPr>
          <w:lang w:eastAsia="sk-SK"/>
        </w:rPr>
        <w:t>januára 2021</w:t>
      </w:r>
    </w:p>
    <w:p w14:paraId="740AE434" w14:textId="47D7B799" w:rsidR="00D86762" w:rsidRPr="00D86762" w:rsidRDefault="00D86762" w:rsidP="00D86762">
      <w:pPr>
        <w:spacing w:after="0" w:line="259" w:lineRule="auto"/>
        <w:ind w:firstLine="0"/>
        <w:jc w:val="center"/>
        <w:rPr>
          <w:rFonts w:eastAsia="Calibri"/>
          <w:b/>
          <w:bCs/>
          <w:szCs w:val="22"/>
        </w:rPr>
      </w:pPr>
      <w:r w:rsidRPr="00D86762">
        <w:rPr>
          <w:rFonts w:eastAsia="Calibri"/>
          <w:b/>
          <w:bCs/>
          <w:szCs w:val="22"/>
        </w:rPr>
        <w:t>Igor Matovič</w:t>
      </w:r>
      <w:r w:rsidR="00447FAA">
        <w:rPr>
          <w:rFonts w:eastAsia="Calibri"/>
          <w:b/>
          <w:bCs/>
          <w:szCs w:val="22"/>
        </w:rPr>
        <w:t xml:space="preserve"> v. r.</w:t>
      </w:r>
    </w:p>
    <w:p w14:paraId="60E19E0B" w14:textId="77777777" w:rsidR="00D86762" w:rsidRPr="00D86762" w:rsidRDefault="00D86762" w:rsidP="00D86762">
      <w:pPr>
        <w:spacing w:after="0" w:line="259" w:lineRule="auto"/>
        <w:ind w:firstLine="0"/>
        <w:jc w:val="center"/>
        <w:rPr>
          <w:rFonts w:eastAsia="Calibri"/>
          <w:szCs w:val="22"/>
        </w:rPr>
      </w:pPr>
      <w:r w:rsidRPr="00D86762">
        <w:rPr>
          <w:rFonts w:eastAsia="Calibri"/>
          <w:szCs w:val="22"/>
        </w:rPr>
        <w:t>predseda vlády</w:t>
      </w:r>
    </w:p>
    <w:p w14:paraId="4A78EF47" w14:textId="77777777" w:rsidR="00D86762" w:rsidRPr="00D86762" w:rsidRDefault="00D86762" w:rsidP="00D86762">
      <w:pPr>
        <w:spacing w:after="1680" w:line="259" w:lineRule="auto"/>
        <w:ind w:firstLine="0"/>
        <w:jc w:val="center"/>
        <w:rPr>
          <w:rFonts w:eastAsia="Calibri"/>
          <w:szCs w:val="22"/>
        </w:rPr>
      </w:pPr>
      <w:r w:rsidRPr="00D86762">
        <w:rPr>
          <w:rFonts w:eastAsia="Calibri"/>
          <w:szCs w:val="22"/>
        </w:rPr>
        <w:t>Slovenskej republiky</w:t>
      </w:r>
    </w:p>
    <w:p w14:paraId="1C80441F" w14:textId="7CF8C084" w:rsidR="00D86762" w:rsidRPr="00D86762" w:rsidRDefault="00D86762" w:rsidP="00D86762">
      <w:pPr>
        <w:spacing w:after="0" w:line="259" w:lineRule="auto"/>
        <w:ind w:firstLine="0"/>
        <w:jc w:val="center"/>
        <w:rPr>
          <w:rFonts w:eastAsia="Calibri"/>
          <w:b/>
          <w:bCs/>
          <w:szCs w:val="22"/>
        </w:rPr>
      </w:pPr>
      <w:r>
        <w:rPr>
          <w:rFonts w:eastAsia="Calibri"/>
          <w:b/>
          <w:bCs/>
          <w:szCs w:val="22"/>
        </w:rPr>
        <w:t>Alexander Ballek</w:t>
      </w:r>
      <w:r w:rsidR="00447FAA">
        <w:rPr>
          <w:rFonts w:eastAsia="Calibri"/>
          <w:b/>
          <w:bCs/>
          <w:szCs w:val="22"/>
        </w:rPr>
        <w:t xml:space="preserve"> v. r.</w:t>
      </w:r>
    </w:p>
    <w:p w14:paraId="7FC21E1E" w14:textId="7970A28D" w:rsidR="00D86762" w:rsidRPr="00D86762" w:rsidRDefault="00D86762" w:rsidP="00D86762">
      <w:pPr>
        <w:spacing w:after="0" w:line="259" w:lineRule="auto"/>
        <w:ind w:firstLine="0"/>
        <w:jc w:val="center"/>
        <w:rPr>
          <w:rFonts w:eastAsia="Calibri"/>
          <w:szCs w:val="22"/>
        </w:rPr>
      </w:pPr>
      <w:r w:rsidRPr="00D86762">
        <w:rPr>
          <w:rFonts w:eastAsia="Calibri"/>
          <w:szCs w:val="22"/>
        </w:rPr>
        <w:t xml:space="preserve">predseda </w:t>
      </w:r>
      <w:r>
        <w:rPr>
          <w:rFonts w:eastAsia="Calibri"/>
          <w:szCs w:val="22"/>
        </w:rPr>
        <w:t>Štatistického úradu</w:t>
      </w:r>
    </w:p>
    <w:p w14:paraId="7D8B4141" w14:textId="41C9172B" w:rsidR="009F78F9" w:rsidRPr="008676A8" w:rsidRDefault="00D86762" w:rsidP="00D86762">
      <w:pPr>
        <w:spacing w:after="0" w:line="259" w:lineRule="auto"/>
        <w:ind w:firstLine="0"/>
        <w:jc w:val="center"/>
      </w:pPr>
      <w:r w:rsidRPr="00D86762">
        <w:rPr>
          <w:rFonts w:eastAsia="Calibri"/>
          <w:szCs w:val="22"/>
        </w:rPr>
        <w:t>Slovenskej republiky</w:t>
      </w:r>
    </w:p>
    <w:sectPr w:rsidR="009F78F9" w:rsidRPr="008676A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430D" w14:textId="77777777" w:rsidR="00E57CA5" w:rsidRDefault="00E57CA5" w:rsidP="00670FEB">
      <w:r>
        <w:separator/>
      </w:r>
    </w:p>
  </w:endnote>
  <w:endnote w:type="continuationSeparator" w:id="0">
    <w:p w14:paraId="0EE94556" w14:textId="77777777" w:rsidR="00E57CA5" w:rsidRDefault="00E57CA5" w:rsidP="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YInterstate Light">
    <w:altName w:val="Times New Roman"/>
    <w:charset w:val="EE"/>
    <w:family w:val="auto"/>
    <w:pitch w:val="variable"/>
    <w:sig w:usb0="00000001"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DB1D" w14:textId="77777777" w:rsidR="00434541" w:rsidRDefault="004345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A69CF62" w14:textId="77777777" w:rsidR="00434541" w:rsidRDefault="00434541">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9AE1" w14:textId="6C25917F" w:rsidR="00434541" w:rsidRPr="006A4BE1" w:rsidRDefault="00434541" w:rsidP="00434541">
    <w:pPr>
      <w:pStyle w:val="Pta"/>
      <w:jc w:val="center"/>
    </w:pPr>
    <w:r w:rsidRPr="006A4BE1">
      <w:fldChar w:fldCharType="begin"/>
    </w:r>
    <w:r w:rsidRPr="006A4BE1">
      <w:instrText>PAGE   \* MERGEFORMAT</w:instrText>
    </w:r>
    <w:r w:rsidRPr="006A4BE1">
      <w:fldChar w:fldCharType="separate"/>
    </w:r>
    <w:r w:rsidR="0077338C">
      <w:rPr>
        <w:noProof/>
      </w:rPr>
      <w:t>17</w:t>
    </w:r>
    <w:r w:rsidRPr="006A4BE1">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1EDF" w14:textId="77777777" w:rsidR="00434541" w:rsidRDefault="00434541">
    <w:pPr>
      <w:pStyle w:val="Pta"/>
      <w:jc w:val="right"/>
    </w:pPr>
    <w:r>
      <w:fldChar w:fldCharType="begin"/>
    </w:r>
    <w:r>
      <w:instrText>PAGE   \* MERGEFORMAT</w:instrText>
    </w:r>
    <w:r>
      <w:fldChar w:fldCharType="separate"/>
    </w:r>
    <w:r>
      <w:rPr>
        <w:noProof/>
      </w:rPr>
      <w:t>0</w:t>
    </w:r>
    <w:r>
      <w:rPr>
        <w:noProof/>
      </w:rPr>
      <w:fldChar w:fldCharType="end"/>
    </w:r>
  </w:p>
  <w:p w14:paraId="34233DCF" w14:textId="77777777" w:rsidR="00434541" w:rsidRDefault="00434541">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0477910"/>
      <w:docPartObj>
        <w:docPartGallery w:val="Page Numbers (Bottom of Page)"/>
        <w:docPartUnique/>
      </w:docPartObj>
    </w:sdtPr>
    <w:sdtEndPr>
      <w:rPr>
        <w:rStyle w:val="slostrany"/>
      </w:rPr>
    </w:sdtEndPr>
    <w:sdtContent>
      <w:p w14:paraId="24E7BDFC" w14:textId="77777777" w:rsidR="00434541" w:rsidRDefault="00434541" w:rsidP="008A25F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9702737" w14:textId="77777777" w:rsidR="00434541" w:rsidRDefault="00434541">
    <w:pPr>
      <w:pStyle w:val="Pta"/>
    </w:pPr>
  </w:p>
  <w:p w14:paraId="51791749" w14:textId="77777777" w:rsidR="00434541" w:rsidRDefault="00434541"/>
  <w:p w14:paraId="585EE4E6" w14:textId="77777777" w:rsidR="00434541" w:rsidRDefault="00434541"/>
  <w:p w14:paraId="3ACCDC11" w14:textId="77777777" w:rsidR="00434541" w:rsidRDefault="0043454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85315342"/>
      <w:docPartObj>
        <w:docPartGallery w:val="Page Numbers (Bottom of Page)"/>
        <w:docPartUnique/>
      </w:docPartObj>
    </w:sdtPr>
    <w:sdtEndPr>
      <w:rPr>
        <w:rStyle w:val="slostrany"/>
        <w:sz w:val="40"/>
      </w:rPr>
    </w:sdtEndPr>
    <w:sdtContent>
      <w:p w14:paraId="4363D517" w14:textId="61CE85A2" w:rsidR="00434541" w:rsidRPr="00246F0F" w:rsidRDefault="00434541" w:rsidP="008A25F6">
        <w:pPr>
          <w:pStyle w:val="Pta"/>
          <w:framePr w:wrap="none" w:vAnchor="text" w:hAnchor="margin" w:xAlign="center" w:y="1"/>
          <w:rPr>
            <w:rStyle w:val="slostrany"/>
            <w:sz w:val="40"/>
          </w:rPr>
        </w:pPr>
        <w:r w:rsidRPr="00246F0F">
          <w:rPr>
            <w:rStyle w:val="slostrany"/>
            <w:szCs w:val="16"/>
          </w:rPr>
          <w:fldChar w:fldCharType="begin"/>
        </w:r>
        <w:r w:rsidRPr="00246F0F">
          <w:rPr>
            <w:rStyle w:val="slostrany"/>
            <w:szCs w:val="16"/>
          </w:rPr>
          <w:instrText xml:space="preserve"> PAGE </w:instrText>
        </w:r>
        <w:r w:rsidRPr="00246F0F">
          <w:rPr>
            <w:rStyle w:val="slostrany"/>
            <w:szCs w:val="16"/>
          </w:rPr>
          <w:fldChar w:fldCharType="separate"/>
        </w:r>
        <w:r w:rsidR="0077338C">
          <w:rPr>
            <w:rStyle w:val="slostrany"/>
            <w:noProof/>
            <w:szCs w:val="16"/>
          </w:rPr>
          <w:t>21</w:t>
        </w:r>
        <w:r w:rsidRPr="00246F0F">
          <w:rPr>
            <w:rStyle w:val="slostrany"/>
            <w:szCs w:val="16"/>
          </w:rPr>
          <w:fldChar w:fldCharType="end"/>
        </w:r>
      </w:p>
    </w:sdtContent>
  </w:sdt>
  <w:p w14:paraId="1F5C6EC0" w14:textId="7E137A32" w:rsidR="00434541" w:rsidRDefault="00434541" w:rsidP="00434541">
    <w:pPr>
      <w:ind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3F1658F9" w14:textId="3CEFD86C" w:rsidR="00AE04E4" w:rsidRDefault="00EA127C" w:rsidP="00BD4E96">
        <w:pPr>
          <w:pStyle w:val="Pta"/>
          <w:jc w:val="center"/>
        </w:pPr>
        <w:r>
          <w:fldChar w:fldCharType="begin"/>
        </w:r>
        <w:r>
          <w:instrText>PAGE   \* MERGEFORMAT</w:instrText>
        </w:r>
        <w:r>
          <w:fldChar w:fldCharType="separate"/>
        </w:r>
        <w:r w:rsidR="0077338C">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EC97" w14:textId="77777777" w:rsidR="00E57CA5" w:rsidRDefault="00E57CA5" w:rsidP="00670FEB">
      <w:r>
        <w:separator/>
      </w:r>
    </w:p>
  </w:footnote>
  <w:footnote w:type="continuationSeparator" w:id="0">
    <w:p w14:paraId="14D2D5C2" w14:textId="77777777" w:rsidR="00E57CA5" w:rsidRDefault="00E57CA5" w:rsidP="00670FEB">
      <w:r>
        <w:continuationSeparator/>
      </w:r>
    </w:p>
  </w:footnote>
  <w:footnote w:id="1">
    <w:p w14:paraId="612B0983" w14:textId="71485D2F" w:rsidR="00BD4E96" w:rsidRPr="00BD4E96" w:rsidRDefault="00BD4E96" w:rsidP="00BD4E96">
      <w:pPr>
        <w:pStyle w:val="Textpoznmkypodiarou"/>
        <w:spacing w:after="0" w:line="240" w:lineRule="auto"/>
        <w:rPr>
          <w:rFonts w:ascii="Times New Roman" w:hAnsi="Times New Roman" w:cs="Times New Roman"/>
        </w:rPr>
      </w:pPr>
      <w:r w:rsidRPr="00BD4E96">
        <w:rPr>
          <w:rStyle w:val="Odkaznapoznmkupodiarou"/>
          <w:rFonts w:ascii="Times New Roman" w:hAnsi="Times New Roman" w:cs="Times New Roman"/>
          <w:sz w:val="20"/>
        </w:rPr>
        <w:footnoteRef/>
      </w:r>
      <w:r w:rsidRPr="00BD4E96">
        <w:rPr>
          <w:rFonts w:ascii="Times New Roman" w:hAnsi="Times New Roman" w:cs="Times New Roman"/>
          <w:sz w:val="20"/>
        </w:rPr>
        <w:t xml:space="preserve"> Jednotný informačný systém štátnej štatistiky (synonymicky ozna</w:t>
      </w:r>
      <w:r>
        <w:rPr>
          <w:rFonts w:ascii="Times New Roman" w:hAnsi="Times New Roman" w:cs="Times New Roman"/>
          <w:sz w:val="20"/>
        </w:rPr>
        <w:t>čený v projekte Reforma zberu a </w:t>
      </w:r>
      <w:r w:rsidRPr="00BD4E96">
        <w:rPr>
          <w:rFonts w:ascii="Times New Roman" w:hAnsi="Times New Roman" w:cs="Times New Roman"/>
          <w:sz w:val="20"/>
        </w:rPr>
        <w:t>spracovania štatistických údajov vo verejnej správe ako Jednotný informačný systém štatistických údajov) predstavuje technicky len rozšírenie Štatistického informačného systému.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338B" w14:textId="77777777" w:rsidR="00434541" w:rsidRDefault="00434541" w:rsidP="00434541">
    <w:pPr>
      <w:pStyle w:val="Hlavika"/>
      <w:jc w:val="right"/>
    </w:pPr>
    <w:r>
      <w:t>Príloha č. 2</w:t>
    </w:r>
  </w:p>
  <w:p w14:paraId="275D32CA" w14:textId="77777777" w:rsidR="00434541" w:rsidRPr="00EB59C8" w:rsidRDefault="00434541" w:rsidP="00434541">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89F7" w14:textId="77777777" w:rsidR="00434541" w:rsidRPr="000A15AE" w:rsidRDefault="00434541" w:rsidP="00434541">
    <w:pPr>
      <w:pStyle w:val="Hlavika"/>
      <w:jc w:val="right"/>
    </w:pPr>
    <w: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048"/>
    <w:multiLevelType w:val="hybridMultilevel"/>
    <w:tmpl w:val="B956B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1B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B25DB"/>
    <w:multiLevelType w:val="hybridMultilevel"/>
    <w:tmpl w:val="E7C0446A"/>
    <w:lvl w:ilvl="0" w:tplc="041B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C4987"/>
    <w:multiLevelType w:val="hybridMultilevel"/>
    <w:tmpl w:val="185CF2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3354C1"/>
    <w:multiLevelType w:val="hybridMultilevel"/>
    <w:tmpl w:val="53066038"/>
    <w:lvl w:ilvl="0" w:tplc="5E320B94">
      <w:start w:val="1"/>
      <w:numFmt w:val="bullet"/>
      <w:lvlText w:val=""/>
      <w:lvlJc w:val="left"/>
      <w:pPr>
        <w:ind w:left="720" w:hanging="360"/>
      </w:pPr>
      <w:rPr>
        <w:rFonts w:ascii="Symbol" w:hAnsi="Symbol" w:hint="default"/>
      </w:rPr>
    </w:lvl>
    <w:lvl w:ilvl="1" w:tplc="DC8C9558">
      <w:numFmt w:val="bullet"/>
      <w:lvlText w:val="-"/>
      <w:lvlJc w:val="left"/>
      <w:pPr>
        <w:ind w:left="1440" w:hanging="360"/>
      </w:pPr>
      <w:rPr>
        <w:rFonts w:ascii="Times" w:eastAsia="Times New Roman" w:hAnsi="Times" w:cs="Time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DAE25ED"/>
    <w:multiLevelType w:val="hybridMultilevel"/>
    <w:tmpl w:val="5E8A4F3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7" w15:restartNumberingAfterBreak="0">
    <w:nsid w:val="3F3C10D4"/>
    <w:multiLevelType w:val="hybridMultilevel"/>
    <w:tmpl w:val="74FEB314"/>
    <w:lvl w:ilvl="0" w:tplc="041B0001">
      <w:start w:val="1"/>
      <w:numFmt w:val="bullet"/>
      <w:lvlText w:val=""/>
      <w:lvlJc w:val="left"/>
      <w:pPr>
        <w:ind w:left="1083" w:hanging="360"/>
      </w:pPr>
      <w:rPr>
        <w:rFonts w:ascii="Symbol" w:hAnsi="Symbol" w:hint="default"/>
      </w:rPr>
    </w:lvl>
    <w:lvl w:ilvl="1" w:tplc="041B0003" w:tentative="1">
      <w:start w:val="1"/>
      <w:numFmt w:val="bullet"/>
      <w:lvlText w:val="o"/>
      <w:lvlJc w:val="left"/>
      <w:pPr>
        <w:ind w:left="1803" w:hanging="360"/>
      </w:pPr>
      <w:rPr>
        <w:rFonts w:ascii="Courier New" w:hAnsi="Courier New" w:cs="Courier New" w:hint="default"/>
      </w:rPr>
    </w:lvl>
    <w:lvl w:ilvl="2" w:tplc="041B0005" w:tentative="1">
      <w:start w:val="1"/>
      <w:numFmt w:val="bullet"/>
      <w:lvlText w:val=""/>
      <w:lvlJc w:val="left"/>
      <w:pPr>
        <w:ind w:left="2523" w:hanging="360"/>
      </w:pPr>
      <w:rPr>
        <w:rFonts w:ascii="Wingdings" w:hAnsi="Wingdings" w:hint="default"/>
      </w:rPr>
    </w:lvl>
    <w:lvl w:ilvl="3" w:tplc="041B0001" w:tentative="1">
      <w:start w:val="1"/>
      <w:numFmt w:val="bullet"/>
      <w:lvlText w:val=""/>
      <w:lvlJc w:val="left"/>
      <w:pPr>
        <w:ind w:left="3243" w:hanging="360"/>
      </w:pPr>
      <w:rPr>
        <w:rFonts w:ascii="Symbol" w:hAnsi="Symbol" w:hint="default"/>
      </w:rPr>
    </w:lvl>
    <w:lvl w:ilvl="4" w:tplc="041B0003" w:tentative="1">
      <w:start w:val="1"/>
      <w:numFmt w:val="bullet"/>
      <w:lvlText w:val="o"/>
      <w:lvlJc w:val="left"/>
      <w:pPr>
        <w:ind w:left="3963" w:hanging="360"/>
      </w:pPr>
      <w:rPr>
        <w:rFonts w:ascii="Courier New" w:hAnsi="Courier New" w:cs="Courier New" w:hint="default"/>
      </w:rPr>
    </w:lvl>
    <w:lvl w:ilvl="5" w:tplc="041B0005" w:tentative="1">
      <w:start w:val="1"/>
      <w:numFmt w:val="bullet"/>
      <w:lvlText w:val=""/>
      <w:lvlJc w:val="left"/>
      <w:pPr>
        <w:ind w:left="4683" w:hanging="360"/>
      </w:pPr>
      <w:rPr>
        <w:rFonts w:ascii="Wingdings" w:hAnsi="Wingdings" w:hint="default"/>
      </w:rPr>
    </w:lvl>
    <w:lvl w:ilvl="6" w:tplc="041B0001" w:tentative="1">
      <w:start w:val="1"/>
      <w:numFmt w:val="bullet"/>
      <w:lvlText w:val=""/>
      <w:lvlJc w:val="left"/>
      <w:pPr>
        <w:ind w:left="5403" w:hanging="360"/>
      </w:pPr>
      <w:rPr>
        <w:rFonts w:ascii="Symbol" w:hAnsi="Symbol" w:hint="default"/>
      </w:rPr>
    </w:lvl>
    <w:lvl w:ilvl="7" w:tplc="041B0003" w:tentative="1">
      <w:start w:val="1"/>
      <w:numFmt w:val="bullet"/>
      <w:lvlText w:val="o"/>
      <w:lvlJc w:val="left"/>
      <w:pPr>
        <w:ind w:left="6123" w:hanging="360"/>
      </w:pPr>
      <w:rPr>
        <w:rFonts w:ascii="Courier New" w:hAnsi="Courier New" w:cs="Courier New" w:hint="default"/>
      </w:rPr>
    </w:lvl>
    <w:lvl w:ilvl="8" w:tplc="041B0005" w:tentative="1">
      <w:start w:val="1"/>
      <w:numFmt w:val="bullet"/>
      <w:lvlText w:val=""/>
      <w:lvlJc w:val="left"/>
      <w:pPr>
        <w:ind w:left="6843" w:hanging="360"/>
      </w:pPr>
      <w:rPr>
        <w:rFonts w:ascii="Wingdings" w:hAnsi="Wingdings" w:hint="default"/>
      </w:rPr>
    </w:lvl>
  </w:abstractNum>
  <w:abstractNum w:abstractNumId="8" w15:restartNumberingAfterBreak="0">
    <w:nsid w:val="4DFB4B1C"/>
    <w:multiLevelType w:val="multilevel"/>
    <w:tmpl w:val="910E3828"/>
    <w:lvl w:ilvl="0">
      <w:start w:val="1"/>
      <w:numFmt w:val="decimal"/>
      <w:lvlText w:val="%1"/>
      <w:lvlJc w:val="left"/>
      <w:pPr>
        <w:ind w:left="1068" w:hanging="964"/>
      </w:pPr>
      <w:rPr>
        <w:rFonts w:ascii="Arial" w:eastAsia="Arial" w:hAnsi="Arial" w:cs="Arial" w:hint="default"/>
        <w:b/>
        <w:bCs/>
        <w:color w:val="00338E"/>
        <w:w w:val="100"/>
        <w:sz w:val="32"/>
        <w:szCs w:val="32"/>
      </w:rPr>
    </w:lvl>
    <w:lvl w:ilvl="1">
      <w:start w:val="1"/>
      <w:numFmt w:val="decimal"/>
      <w:lvlText w:val="%1.%2"/>
      <w:lvlJc w:val="left"/>
      <w:pPr>
        <w:ind w:left="1068" w:hanging="964"/>
      </w:pPr>
      <w:rPr>
        <w:rFonts w:ascii="Arial" w:eastAsia="Arial" w:hAnsi="Arial" w:cs="Arial" w:hint="default"/>
        <w:b/>
        <w:bCs/>
        <w:color w:val="00338E"/>
        <w:w w:val="99"/>
        <w:sz w:val="28"/>
        <w:szCs w:val="28"/>
      </w:rPr>
    </w:lvl>
    <w:lvl w:ilvl="2">
      <w:start w:val="1"/>
      <w:numFmt w:val="decimal"/>
      <w:lvlText w:val="%1.%2.%3"/>
      <w:lvlJc w:val="left"/>
      <w:pPr>
        <w:ind w:left="1067" w:hanging="963"/>
      </w:pPr>
      <w:rPr>
        <w:rFonts w:ascii="Arial" w:eastAsia="Arial" w:hAnsi="Arial" w:cs="Arial" w:hint="default"/>
        <w:b/>
        <w:bCs/>
        <w:color w:val="00338E"/>
        <w:spacing w:val="-1"/>
        <w:w w:val="99"/>
        <w:sz w:val="24"/>
        <w:szCs w:val="24"/>
      </w:rPr>
    </w:lvl>
    <w:lvl w:ilvl="3">
      <w:start w:val="1"/>
      <w:numFmt w:val="bullet"/>
      <w:lvlText w:val="−"/>
      <w:lvlJc w:val="left"/>
      <w:pPr>
        <w:ind w:left="1788" w:hanging="361"/>
      </w:pPr>
      <w:rPr>
        <w:rFonts w:ascii="Times New Roman" w:hAnsi="Times New Roman" w:cs="Times New Roman" w:hint="default"/>
        <w:w w:val="99"/>
        <w:sz w:val="22"/>
        <w:szCs w:val="22"/>
      </w:rPr>
    </w:lvl>
    <w:lvl w:ilvl="4">
      <w:numFmt w:val="bullet"/>
      <w:lvlText w:val="o"/>
      <w:lvlJc w:val="left"/>
      <w:pPr>
        <w:ind w:left="2508" w:hanging="422"/>
      </w:pPr>
      <w:rPr>
        <w:rFonts w:ascii="Courier New" w:eastAsia="Courier New" w:hAnsi="Courier New" w:cs="Courier New" w:hint="default"/>
        <w:w w:val="99"/>
        <w:sz w:val="22"/>
        <w:szCs w:val="22"/>
      </w:rPr>
    </w:lvl>
    <w:lvl w:ilvl="5">
      <w:numFmt w:val="bullet"/>
      <w:lvlText w:val="•"/>
      <w:lvlJc w:val="left"/>
      <w:pPr>
        <w:ind w:left="4552" w:hanging="422"/>
      </w:pPr>
      <w:rPr>
        <w:rFonts w:hint="default"/>
      </w:rPr>
    </w:lvl>
    <w:lvl w:ilvl="6">
      <w:numFmt w:val="bullet"/>
      <w:lvlText w:val="•"/>
      <w:lvlJc w:val="left"/>
      <w:pPr>
        <w:ind w:left="5579" w:hanging="422"/>
      </w:pPr>
      <w:rPr>
        <w:rFonts w:hint="default"/>
      </w:rPr>
    </w:lvl>
    <w:lvl w:ilvl="7">
      <w:numFmt w:val="bullet"/>
      <w:lvlText w:val="•"/>
      <w:lvlJc w:val="left"/>
      <w:pPr>
        <w:ind w:left="6605" w:hanging="422"/>
      </w:pPr>
      <w:rPr>
        <w:rFonts w:hint="default"/>
      </w:rPr>
    </w:lvl>
    <w:lvl w:ilvl="8">
      <w:numFmt w:val="bullet"/>
      <w:lvlText w:val="•"/>
      <w:lvlJc w:val="left"/>
      <w:pPr>
        <w:ind w:left="7631" w:hanging="422"/>
      </w:pPr>
      <w:rPr>
        <w:rFonts w:hint="default"/>
      </w:rPr>
    </w:lvl>
  </w:abstractNum>
  <w:abstractNum w:abstractNumId="9" w15:restartNumberingAfterBreak="0">
    <w:nsid w:val="5037084C"/>
    <w:multiLevelType w:val="hybridMultilevel"/>
    <w:tmpl w:val="F8E64D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28374E"/>
    <w:multiLevelType w:val="hybridMultilevel"/>
    <w:tmpl w:val="DC8454AC"/>
    <w:lvl w:ilvl="0" w:tplc="5E320B9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D124002"/>
    <w:multiLevelType w:val="hybridMultilevel"/>
    <w:tmpl w:val="A572ABEC"/>
    <w:lvl w:ilvl="0" w:tplc="30963ABE">
      <w:start w:val="1"/>
      <w:numFmt w:val="bullet"/>
      <w:lvlText w:val="•"/>
      <w:lvlJc w:val="left"/>
      <w:pPr>
        <w:tabs>
          <w:tab w:val="num" w:pos="720"/>
        </w:tabs>
        <w:ind w:left="720" w:hanging="360"/>
      </w:pPr>
      <w:rPr>
        <w:rFonts w:ascii="Arial" w:hAnsi="Arial" w:hint="default"/>
      </w:rPr>
    </w:lvl>
    <w:lvl w:ilvl="1" w:tplc="D68666C4" w:tentative="1">
      <w:start w:val="1"/>
      <w:numFmt w:val="bullet"/>
      <w:lvlText w:val="•"/>
      <w:lvlJc w:val="left"/>
      <w:pPr>
        <w:tabs>
          <w:tab w:val="num" w:pos="1440"/>
        </w:tabs>
        <w:ind w:left="1440" w:hanging="360"/>
      </w:pPr>
      <w:rPr>
        <w:rFonts w:ascii="Arial" w:hAnsi="Arial" w:hint="default"/>
      </w:rPr>
    </w:lvl>
    <w:lvl w:ilvl="2" w:tplc="D30C218E" w:tentative="1">
      <w:start w:val="1"/>
      <w:numFmt w:val="bullet"/>
      <w:lvlText w:val="•"/>
      <w:lvlJc w:val="left"/>
      <w:pPr>
        <w:tabs>
          <w:tab w:val="num" w:pos="2160"/>
        </w:tabs>
        <w:ind w:left="2160" w:hanging="360"/>
      </w:pPr>
      <w:rPr>
        <w:rFonts w:ascii="Arial" w:hAnsi="Arial" w:hint="default"/>
      </w:rPr>
    </w:lvl>
    <w:lvl w:ilvl="3" w:tplc="A90256BE" w:tentative="1">
      <w:start w:val="1"/>
      <w:numFmt w:val="bullet"/>
      <w:lvlText w:val="•"/>
      <w:lvlJc w:val="left"/>
      <w:pPr>
        <w:tabs>
          <w:tab w:val="num" w:pos="2880"/>
        </w:tabs>
        <w:ind w:left="2880" w:hanging="360"/>
      </w:pPr>
      <w:rPr>
        <w:rFonts w:ascii="Arial" w:hAnsi="Arial" w:hint="default"/>
      </w:rPr>
    </w:lvl>
    <w:lvl w:ilvl="4" w:tplc="222C7BA0" w:tentative="1">
      <w:start w:val="1"/>
      <w:numFmt w:val="bullet"/>
      <w:lvlText w:val="•"/>
      <w:lvlJc w:val="left"/>
      <w:pPr>
        <w:tabs>
          <w:tab w:val="num" w:pos="3600"/>
        </w:tabs>
        <w:ind w:left="3600" w:hanging="360"/>
      </w:pPr>
      <w:rPr>
        <w:rFonts w:ascii="Arial" w:hAnsi="Arial" w:hint="default"/>
      </w:rPr>
    </w:lvl>
    <w:lvl w:ilvl="5" w:tplc="2A0EA356" w:tentative="1">
      <w:start w:val="1"/>
      <w:numFmt w:val="bullet"/>
      <w:lvlText w:val="•"/>
      <w:lvlJc w:val="left"/>
      <w:pPr>
        <w:tabs>
          <w:tab w:val="num" w:pos="4320"/>
        </w:tabs>
        <w:ind w:left="4320" w:hanging="360"/>
      </w:pPr>
      <w:rPr>
        <w:rFonts w:ascii="Arial" w:hAnsi="Arial" w:hint="default"/>
      </w:rPr>
    </w:lvl>
    <w:lvl w:ilvl="6" w:tplc="A65EFF2A" w:tentative="1">
      <w:start w:val="1"/>
      <w:numFmt w:val="bullet"/>
      <w:lvlText w:val="•"/>
      <w:lvlJc w:val="left"/>
      <w:pPr>
        <w:tabs>
          <w:tab w:val="num" w:pos="5040"/>
        </w:tabs>
        <w:ind w:left="5040" w:hanging="360"/>
      </w:pPr>
      <w:rPr>
        <w:rFonts w:ascii="Arial" w:hAnsi="Arial" w:hint="default"/>
      </w:rPr>
    </w:lvl>
    <w:lvl w:ilvl="7" w:tplc="A392969C" w:tentative="1">
      <w:start w:val="1"/>
      <w:numFmt w:val="bullet"/>
      <w:lvlText w:val="•"/>
      <w:lvlJc w:val="left"/>
      <w:pPr>
        <w:tabs>
          <w:tab w:val="num" w:pos="5760"/>
        </w:tabs>
        <w:ind w:left="5760" w:hanging="360"/>
      </w:pPr>
      <w:rPr>
        <w:rFonts w:ascii="Arial" w:hAnsi="Arial" w:hint="default"/>
      </w:rPr>
    </w:lvl>
    <w:lvl w:ilvl="8" w:tplc="42E493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B5698B"/>
    <w:multiLevelType w:val="hybridMultilevel"/>
    <w:tmpl w:val="80302F32"/>
    <w:lvl w:ilvl="0" w:tplc="A20AD3C6">
      <w:start w:val="1"/>
      <w:numFmt w:val="bullet"/>
      <w:lvlText w:val="−"/>
      <w:lvlJc w:val="left"/>
      <w:pPr>
        <w:ind w:left="360" w:hanging="360"/>
      </w:pPr>
      <w:rPr>
        <w:rFonts w:ascii="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1B64DDA"/>
    <w:multiLevelType w:val="hybridMultilevel"/>
    <w:tmpl w:val="F1A6F3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2B16A36"/>
    <w:multiLevelType w:val="hybridMultilevel"/>
    <w:tmpl w:val="F6CA25F4"/>
    <w:lvl w:ilvl="0" w:tplc="041B0001">
      <w:start w:val="1"/>
      <w:numFmt w:val="bullet"/>
      <w:lvlText w:val=""/>
      <w:lvlJc w:val="left"/>
      <w:pPr>
        <w:ind w:left="719" w:hanging="360"/>
      </w:pPr>
      <w:rPr>
        <w:rFonts w:ascii="Symbol" w:hAnsi="Symbol" w:hint="default"/>
      </w:rPr>
    </w:lvl>
    <w:lvl w:ilvl="1" w:tplc="8E503C1A">
      <w:numFmt w:val="bullet"/>
      <w:lvlText w:val="•"/>
      <w:lvlJc w:val="left"/>
      <w:pPr>
        <w:ind w:left="1439" w:hanging="360"/>
      </w:pPr>
      <w:rPr>
        <w:rFonts w:ascii="Times New Roman" w:eastAsia="Times New Roman" w:hAnsi="Times New Roman" w:cs="Times New Roman" w:hint="default"/>
      </w:rPr>
    </w:lvl>
    <w:lvl w:ilvl="2" w:tplc="041B0005" w:tentative="1">
      <w:start w:val="1"/>
      <w:numFmt w:val="bullet"/>
      <w:lvlText w:val=""/>
      <w:lvlJc w:val="left"/>
      <w:pPr>
        <w:ind w:left="2159" w:hanging="360"/>
      </w:pPr>
      <w:rPr>
        <w:rFonts w:ascii="Wingdings" w:hAnsi="Wingdings" w:hint="default"/>
      </w:rPr>
    </w:lvl>
    <w:lvl w:ilvl="3" w:tplc="041B0001" w:tentative="1">
      <w:start w:val="1"/>
      <w:numFmt w:val="bullet"/>
      <w:lvlText w:val=""/>
      <w:lvlJc w:val="left"/>
      <w:pPr>
        <w:ind w:left="2879" w:hanging="360"/>
      </w:pPr>
      <w:rPr>
        <w:rFonts w:ascii="Symbol" w:hAnsi="Symbol" w:hint="default"/>
      </w:rPr>
    </w:lvl>
    <w:lvl w:ilvl="4" w:tplc="041B0003" w:tentative="1">
      <w:start w:val="1"/>
      <w:numFmt w:val="bullet"/>
      <w:lvlText w:val="o"/>
      <w:lvlJc w:val="left"/>
      <w:pPr>
        <w:ind w:left="3599" w:hanging="360"/>
      </w:pPr>
      <w:rPr>
        <w:rFonts w:ascii="Courier New" w:hAnsi="Courier New" w:cs="Courier New" w:hint="default"/>
      </w:rPr>
    </w:lvl>
    <w:lvl w:ilvl="5" w:tplc="041B0005" w:tentative="1">
      <w:start w:val="1"/>
      <w:numFmt w:val="bullet"/>
      <w:lvlText w:val=""/>
      <w:lvlJc w:val="left"/>
      <w:pPr>
        <w:ind w:left="4319" w:hanging="360"/>
      </w:pPr>
      <w:rPr>
        <w:rFonts w:ascii="Wingdings" w:hAnsi="Wingdings" w:hint="default"/>
      </w:rPr>
    </w:lvl>
    <w:lvl w:ilvl="6" w:tplc="041B0001" w:tentative="1">
      <w:start w:val="1"/>
      <w:numFmt w:val="bullet"/>
      <w:lvlText w:val=""/>
      <w:lvlJc w:val="left"/>
      <w:pPr>
        <w:ind w:left="5039" w:hanging="360"/>
      </w:pPr>
      <w:rPr>
        <w:rFonts w:ascii="Symbol" w:hAnsi="Symbol" w:hint="default"/>
      </w:rPr>
    </w:lvl>
    <w:lvl w:ilvl="7" w:tplc="041B0003" w:tentative="1">
      <w:start w:val="1"/>
      <w:numFmt w:val="bullet"/>
      <w:lvlText w:val="o"/>
      <w:lvlJc w:val="left"/>
      <w:pPr>
        <w:ind w:left="5759" w:hanging="360"/>
      </w:pPr>
      <w:rPr>
        <w:rFonts w:ascii="Courier New" w:hAnsi="Courier New" w:cs="Courier New" w:hint="default"/>
      </w:rPr>
    </w:lvl>
    <w:lvl w:ilvl="8" w:tplc="041B0005" w:tentative="1">
      <w:start w:val="1"/>
      <w:numFmt w:val="bullet"/>
      <w:lvlText w:val=""/>
      <w:lvlJc w:val="left"/>
      <w:pPr>
        <w:ind w:left="6479" w:hanging="360"/>
      </w:pPr>
      <w:rPr>
        <w:rFonts w:ascii="Wingdings" w:hAnsi="Wingdings" w:hint="default"/>
      </w:rPr>
    </w:lvl>
  </w:abstractNum>
  <w:abstractNum w:abstractNumId="15" w15:restartNumberingAfterBreak="0">
    <w:nsid w:val="62B74026"/>
    <w:multiLevelType w:val="hybridMultilevel"/>
    <w:tmpl w:val="BA1E84C0"/>
    <w:lvl w:ilvl="0" w:tplc="71C65258">
      <w:start w:val="31"/>
      <w:numFmt w:val="bullet"/>
      <w:lvlText w:val="-"/>
      <w:lvlJc w:val="left"/>
      <w:pPr>
        <w:ind w:left="432" w:hanging="360"/>
      </w:pPr>
      <w:rPr>
        <w:rFonts w:ascii="Arial" w:eastAsia="Times New Roman" w:hAnsi="Arial" w:cs="Arial" w:hint="default"/>
      </w:rPr>
    </w:lvl>
    <w:lvl w:ilvl="1" w:tplc="041B0003">
      <w:start w:val="1"/>
      <w:numFmt w:val="bullet"/>
      <w:lvlText w:val="o"/>
      <w:lvlJc w:val="left"/>
      <w:pPr>
        <w:ind w:left="1152" w:hanging="360"/>
      </w:pPr>
      <w:rPr>
        <w:rFonts w:ascii="Courier New" w:hAnsi="Courier New" w:cs="Courier New" w:hint="default"/>
      </w:rPr>
    </w:lvl>
    <w:lvl w:ilvl="2" w:tplc="22907744">
      <w:start w:val="54"/>
      <w:numFmt w:val="bullet"/>
      <w:lvlText w:val=""/>
      <w:lvlJc w:val="left"/>
      <w:pPr>
        <w:ind w:left="1872" w:hanging="360"/>
      </w:pPr>
      <w:rPr>
        <w:rFonts w:ascii="Symbol" w:eastAsia="Times New Roman" w:hAnsi="Symbol" w:cs="Times New Roman"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16" w15:restartNumberingAfterBreak="0">
    <w:nsid w:val="63CB3D72"/>
    <w:multiLevelType w:val="hybridMultilevel"/>
    <w:tmpl w:val="90709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672F4843"/>
    <w:multiLevelType w:val="hybridMultilevel"/>
    <w:tmpl w:val="F766B550"/>
    <w:lvl w:ilvl="0" w:tplc="041B0001">
      <w:start w:val="1"/>
      <w:numFmt w:val="bullet"/>
      <w:lvlText w:val=""/>
      <w:lvlJc w:val="left"/>
      <w:pPr>
        <w:ind w:left="718" w:hanging="360"/>
      </w:pPr>
      <w:rPr>
        <w:rFonts w:ascii="Symbol" w:hAnsi="Symbol" w:hint="default"/>
      </w:rPr>
    </w:lvl>
    <w:lvl w:ilvl="1" w:tplc="041B0003">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18" w15:restartNumberingAfterBreak="0">
    <w:nsid w:val="681072D6"/>
    <w:multiLevelType w:val="hybridMultilevel"/>
    <w:tmpl w:val="8BD866BE"/>
    <w:lvl w:ilvl="0" w:tplc="041B000F">
      <w:start w:val="1"/>
      <w:numFmt w:val="decimal"/>
      <w:lvlText w:val="%1."/>
      <w:lvlJc w:val="left"/>
      <w:pPr>
        <w:ind w:left="1426" w:hanging="360"/>
      </w:pPr>
      <w:rPr>
        <w:rFonts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19" w15:restartNumberingAfterBreak="0">
    <w:nsid w:val="68293564"/>
    <w:multiLevelType w:val="hybridMultilevel"/>
    <w:tmpl w:val="0BDE9CF0"/>
    <w:lvl w:ilvl="0" w:tplc="A20AD3C6">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70164F94"/>
    <w:multiLevelType w:val="hybridMultilevel"/>
    <w:tmpl w:val="5C2EE22A"/>
    <w:lvl w:ilvl="0" w:tplc="15547BB6">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75800314"/>
    <w:multiLevelType w:val="hybridMultilevel"/>
    <w:tmpl w:val="97FC1A6A"/>
    <w:lvl w:ilvl="0" w:tplc="5E320B94">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77042BDB"/>
    <w:multiLevelType w:val="hybridMultilevel"/>
    <w:tmpl w:val="722C63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E04AD9"/>
    <w:multiLevelType w:val="hybridMultilevel"/>
    <w:tmpl w:val="90709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79FC1C13"/>
    <w:multiLevelType w:val="hybridMultilevel"/>
    <w:tmpl w:val="9D50A72A"/>
    <w:lvl w:ilvl="0" w:tplc="A20AD3C6">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7BC50E8D"/>
    <w:multiLevelType w:val="hybridMultilevel"/>
    <w:tmpl w:val="C78A6DCA"/>
    <w:lvl w:ilvl="0" w:tplc="041B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7DC2448D"/>
    <w:multiLevelType w:val="hybridMultilevel"/>
    <w:tmpl w:val="5482971C"/>
    <w:lvl w:ilvl="0" w:tplc="0AE41AAA">
      <w:start w:val="31"/>
      <w:numFmt w:val="bullet"/>
      <w:lvlText w:val="-"/>
      <w:lvlJc w:val="left"/>
      <w:pPr>
        <w:ind w:left="432" w:hanging="360"/>
      </w:pPr>
      <w:rPr>
        <w:rFonts w:ascii="Arial" w:eastAsia="Times New Roman" w:hAnsi="Arial" w:cs="Arial" w:hint="default"/>
      </w:rPr>
    </w:lvl>
    <w:lvl w:ilvl="1" w:tplc="041B0003">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num w:numId="1">
    <w:abstractNumId w:val="14"/>
  </w:num>
  <w:num w:numId="2">
    <w:abstractNumId w:val="17"/>
  </w:num>
  <w:num w:numId="3">
    <w:abstractNumId w:val="3"/>
  </w:num>
  <w:num w:numId="4">
    <w:abstractNumId w:val="18"/>
  </w:num>
  <w:num w:numId="5">
    <w:abstractNumId w:val="19"/>
  </w:num>
  <w:num w:numId="6">
    <w:abstractNumId w:val="24"/>
  </w:num>
  <w:num w:numId="7">
    <w:abstractNumId w:val="8"/>
  </w:num>
  <w:num w:numId="8">
    <w:abstractNumId w:val="7"/>
  </w:num>
  <w:num w:numId="9">
    <w:abstractNumId w:val="9"/>
  </w:num>
  <w:num w:numId="10">
    <w:abstractNumId w:val="25"/>
  </w:num>
  <w:num w:numId="11">
    <w:abstractNumId w:val="0"/>
  </w:num>
  <w:num w:numId="12">
    <w:abstractNumId w:val="1"/>
  </w:num>
  <w:num w:numId="13">
    <w:abstractNumId w:val="26"/>
  </w:num>
  <w:num w:numId="14">
    <w:abstractNumId w:val="13"/>
  </w:num>
  <w:num w:numId="15">
    <w:abstractNumId w:val="20"/>
  </w:num>
  <w:num w:numId="16">
    <w:abstractNumId w:val="6"/>
  </w:num>
  <w:num w:numId="17">
    <w:abstractNumId w:val="5"/>
  </w:num>
  <w:num w:numId="18">
    <w:abstractNumId w:val="11"/>
  </w:num>
  <w:num w:numId="19">
    <w:abstractNumId w:val="27"/>
  </w:num>
  <w:num w:numId="20">
    <w:abstractNumId w:val="15"/>
  </w:num>
  <w:num w:numId="21">
    <w:abstractNumId w:val="22"/>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10"/>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F87816"/>
    <w:rsid w:val="0000116C"/>
    <w:rsid w:val="00001E12"/>
    <w:rsid w:val="00002159"/>
    <w:rsid w:val="00003328"/>
    <w:rsid w:val="00003828"/>
    <w:rsid w:val="00003B72"/>
    <w:rsid w:val="00003FDF"/>
    <w:rsid w:val="00004500"/>
    <w:rsid w:val="000055AB"/>
    <w:rsid w:val="00006670"/>
    <w:rsid w:val="00006CA3"/>
    <w:rsid w:val="000103CC"/>
    <w:rsid w:val="00011245"/>
    <w:rsid w:val="0001130A"/>
    <w:rsid w:val="000119CB"/>
    <w:rsid w:val="0001205C"/>
    <w:rsid w:val="00012BC0"/>
    <w:rsid w:val="00015DD5"/>
    <w:rsid w:val="000205FD"/>
    <w:rsid w:val="00021AFB"/>
    <w:rsid w:val="00022182"/>
    <w:rsid w:val="00022E09"/>
    <w:rsid w:val="00023A03"/>
    <w:rsid w:val="00023D56"/>
    <w:rsid w:val="00023D6C"/>
    <w:rsid w:val="000242C9"/>
    <w:rsid w:val="00024AF5"/>
    <w:rsid w:val="00025134"/>
    <w:rsid w:val="000252D6"/>
    <w:rsid w:val="000268CA"/>
    <w:rsid w:val="000272BC"/>
    <w:rsid w:val="00027DF8"/>
    <w:rsid w:val="000308F8"/>
    <w:rsid w:val="00030EEE"/>
    <w:rsid w:val="000315BD"/>
    <w:rsid w:val="00031BCA"/>
    <w:rsid w:val="00032594"/>
    <w:rsid w:val="00033222"/>
    <w:rsid w:val="00033339"/>
    <w:rsid w:val="00033D27"/>
    <w:rsid w:val="000347C8"/>
    <w:rsid w:val="00034954"/>
    <w:rsid w:val="0004119E"/>
    <w:rsid w:val="00041500"/>
    <w:rsid w:val="00042BB2"/>
    <w:rsid w:val="00043AD4"/>
    <w:rsid w:val="00043E1D"/>
    <w:rsid w:val="00044DE0"/>
    <w:rsid w:val="0004532C"/>
    <w:rsid w:val="00047C3B"/>
    <w:rsid w:val="00050CA7"/>
    <w:rsid w:val="00050CDA"/>
    <w:rsid w:val="00051886"/>
    <w:rsid w:val="000529AA"/>
    <w:rsid w:val="00053346"/>
    <w:rsid w:val="000538EA"/>
    <w:rsid w:val="000545FA"/>
    <w:rsid w:val="00055356"/>
    <w:rsid w:val="0005554B"/>
    <w:rsid w:val="00055963"/>
    <w:rsid w:val="00055C17"/>
    <w:rsid w:val="00057704"/>
    <w:rsid w:val="00060AA0"/>
    <w:rsid w:val="00062470"/>
    <w:rsid w:val="000639FF"/>
    <w:rsid w:val="00065991"/>
    <w:rsid w:val="00066BCD"/>
    <w:rsid w:val="00066EFF"/>
    <w:rsid w:val="00067C9A"/>
    <w:rsid w:val="00067CA2"/>
    <w:rsid w:val="000712DD"/>
    <w:rsid w:val="0007268B"/>
    <w:rsid w:val="0007435F"/>
    <w:rsid w:val="0007683B"/>
    <w:rsid w:val="00080264"/>
    <w:rsid w:val="000813D9"/>
    <w:rsid w:val="0008147C"/>
    <w:rsid w:val="00081838"/>
    <w:rsid w:val="000820A7"/>
    <w:rsid w:val="0008268A"/>
    <w:rsid w:val="00082870"/>
    <w:rsid w:val="000842B1"/>
    <w:rsid w:val="00084B47"/>
    <w:rsid w:val="000851B0"/>
    <w:rsid w:val="00085712"/>
    <w:rsid w:val="00086074"/>
    <w:rsid w:val="00086629"/>
    <w:rsid w:val="00086A24"/>
    <w:rsid w:val="0008722D"/>
    <w:rsid w:val="00091591"/>
    <w:rsid w:val="000915CF"/>
    <w:rsid w:val="00092176"/>
    <w:rsid w:val="000921C3"/>
    <w:rsid w:val="00093057"/>
    <w:rsid w:val="000949FE"/>
    <w:rsid w:val="00094A03"/>
    <w:rsid w:val="00096359"/>
    <w:rsid w:val="00097B8A"/>
    <w:rsid w:val="00097DC2"/>
    <w:rsid w:val="000A0260"/>
    <w:rsid w:val="000A0666"/>
    <w:rsid w:val="000A1A45"/>
    <w:rsid w:val="000A247F"/>
    <w:rsid w:val="000A2E02"/>
    <w:rsid w:val="000A2F00"/>
    <w:rsid w:val="000A3185"/>
    <w:rsid w:val="000A37FC"/>
    <w:rsid w:val="000A3D71"/>
    <w:rsid w:val="000A3F88"/>
    <w:rsid w:val="000A4397"/>
    <w:rsid w:val="000A75B3"/>
    <w:rsid w:val="000A7A61"/>
    <w:rsid w:val="000B0760"/>
    <w:rsid w:val="000B1562"/>
    <w:rsid w:val="000B2833"/>
    <w:rsid w:val="000B2CB5"/>
    <w:rsid w:val="000B3010"/>
    <w:rsid w:val="000B3043"/>
    <w:rsid w:val="000B319F"/>
    <w:rsid w:val="000B61B8"/>
    <w:rsid w:val="000B6504"/>
    <w:rsid w:val="000B7241"/>
    <w:rsid w:val="000B7634"/>
    <w:rsid w:val="000C050D"/>
    <w:rsid w:val="000C0599"/>
    <w:rsid w:val="000C0C10"/>
    <w:rsid w:val="000C0F94"/>
    <w:rsid w:val="000C3993"/>
    <w:rsid w:val="000C3EF6"/>
    <w:rsid w:val="000C4EC6"/>
    <w:rsid w:val="000C60BF"/>
    <w:rsid w:val="000C618F"/>
    <w:rsid w:val="000C620B"/>
    <w:rsid w:val="000C7E84"/>
    <w:rsid w:val="000D06BE"/>
    <w:rsid w:val="000D486A"/>
    <w:rsid w:val="000D5616"/>
    <w:rsid w:val="000D57B0"/>
    <w:rsid w:val="000D6F65"/>
    <w:rsid w:val="000D78C5"/>
    <w:rsid w:val="000E08CE"/>
    <w:rsid w:val="000E0ECE"/>
    <w:rsid w:val="000E0EE6"/>
    <w:rsid w:val="000E335F"/>
    <w:rsid w:val="000E36BC"/>
    <w:rsid w:val="000E457E"/>
    <w:rsid w:val="000E4EC8"/>
    <w:rsid w:val="000E59F4"/>
    <w:rsid w:val="000E5EEA"/>
    <w:rsid w:val="000E6650"/>
    <w:rsid w:val="000E697D"/>
    <w:rsid w:val="000E74DC"/>
    <w:rsid w:val="000E7B1E"/>
    <w:rsid w:val="000E7B85"/>
    <w:rsid w:val="000F097D"/>
    <w:rsid w:val="000F25CE"/>
    <w:rsid w:val="000F2763"/>
    <w:rsid w:val="000F27C1"/>
    <w:rsid w:val="000F3A99"/>
    <w:rsid w:val="000F3CAD"/>
    <w:rsid w:val="000F44EC"/>
    <w:rsid w:val="000F55DC"/>
    <w:rsid w:val="000F594A"/>
    <w:rsid w:val="000F6881"/>
    <w:rsid w:val="001005A1"/>
    <w:rsid w:val="001008EF"/>
    <w:rsid w:val="00100DF5"/>
    <w:rsid w:val="001030EE"/>
    <w:rsid w:val="00104287"/>
    <w:rsid w:val="00105DFE"/>
    <w:rsid w:val="00105F33"/>
    <w:rsid w:val="0010636C"/>
    <w:rsid w:val="001079E6"/>
    <w:rsid w:val="00107D7C"/>
    <w:rsid w:val="00107DAE"/>
    <w:rsid w:val="001102A0"/>
    <w:rsid w:val="00110E15"/>
    <w:rsid w:val="001110F8"/>
    <w:rsid w:val="0011159A"/>
    <w:rsid w:val="00112591"/>
    <w:rsid w:val="00112BE0"/>
    <w:rsid w:val="00113B91"/>
    <w:rsid w:val="00113BDE"/>
    <w:rsid w:val="00113D71"/>
    <w:rsid w:val="001143BF"/>
    <w:rsid w:val="001166D6"/>
    <w:rsid w:val="00117607"/>
    <w:rsid w:val="0011762E"/>
    <w:rsid w:val="001201EE"/>
    <w:rsid w:val="001202CA"/>
    <w:rsid w:val="001209F5"/>
    <w:rsid w:val="00120D99"/>
    <w:rsid w:val="00123009"/>
    <w:rsid w:val="001232B2"/>
    <w:rsid w:val="00125BFF"/>
    <w:rsid w:val="0012610C"/>
    <w:rsid w:val="00126DB9"/>
    <w:rsid w:val="0012761B"/>
    <w:rsid w:val="001276CB"/>
    <w:rsid w:val="001303EB"/>
    <w:rsid w:val="00131564"/>
    <w:rsid w:val="00131A41"/>
    <w:rsid w:val="001335F1"/>
    <w:rsid w:val="00134929"/>
    <w:rsid w:val="00135767"/>
    <w:rsid w:val="00136287"/>
    <w:rsid w:val="00140575"/>
    <w:rsid w:val="00140A88"/>
    <w:rsid w:val="00140E91"/>
    <w:rsid w:val="001412EF"/>
    <w:rsid w:val="0014143D"/>
    <w:rsid w:val="001417BE"/>
    <w:rsid w:val="00141A64"/>
    <w:rsid w:val="00141CF3"/>
    <w:rsid w:val="001427CD"/>
    <w:rsid w:val="001440FB"/>
    <w:rsid w:val="00144261"/>
    <w:rsid w:val="00144BC0"/>
    <w:rsid w:val="001454C4"/>
    <w:rsid w:val="00146705"/>
    <w:rsid w:val="001472BF"/>
    <w:rsid w:val="00147A0B"/>
    <w:rsid w:val="00150989"/>
    <w:rsid w:val="001513F7"/>
    <w:rsid w:val="001518E5"/>
    <w:rsid w:val="00151A45"/>
    <w:rsid w:val="00151EAD"/>
    <w:rsid w:val="0015233B"/>
    <w:rsid w:val="00152773"/>
    <w:rsid w:val="001531BD"/>
    <w:rsid w:val="00153AD2"/>
    <w:rsid w:val="00154BAF"/>
    <w:rsid w:val="0015664C"/>
    <w:rsid w:val="00160DB9"/>
    <w:rsid w:val="00161492"/>
    <w:rsid w:val="001617D2"/>
    <w:rsid w:val="001618A4"/>
    <w:rsid w:val="00161BF2"/>
    <w:rsid w:val="00161EEB"/>
    <w:rsid w:val="00161FC3"/>
    <w:rsid w:val="001625FB"/>
    <w:rsid w:val="001636AA"/>
    <w:rsid w:val="00165CD7"/>
    <w:rsid w:val="001667B4"/>
    <w:rsid w:val="00167189"/>
    <w:rsid w:val="001672B2"/>
    <w:rsid w:val="00167989"/>
    <w:rsid w:val="00170751"/>
    <w:rsid w:val="001718F0"/>
    <w:rsid w:val="00172C8E"/>
    <w:rsid w:val="00172E38"/>
    <w:rsid w:val="001732C1"/>
    <w:rsid w:val="0017428D"/>
    <w:rsid w:val="0017676C"/>
    <w:rsid w:val="00180DF7"/>
    <w:rsid w:val="001814E2"/>
    <w:rsid w:val="0018171E"/>
    <w:rsid w:val="0018212A"/>
    <w:rsid w:val="001848F4"/>
    <w:rsid w:val="00184E27"/>
    <w:rsid w:val="00185664"/>
    <w:rsid w:val="00185A14"/>
    <w:rsid w:val="00186869"/>
    <w:rsid w:val="00186EA0"/>
    <w:rsid w:val="00187D25"/>
    <w:rsid w:val="00190A0E"/>
    <w:rsid w:val="00190B90"/>
    <w:rsid w:val="0019116F"/>
    <w:rsid w:val="00191205"/>
    <w:rsid w:val="00191A25"/>
    <w:rsid w:val="00191AB6"/>
    <w:rsid w:val="00191F08"/>
    <w:rsid w:val="001924F9"/>
    <w:rsid w:val="00192D55"/>
    <w:rsid w:val="00194D62"/>
    <w:rsid w:val="0019551D"/>
    <w:rsid w:val="00195DDE"/>
    <w:rsid w:val="00196199"/>
    <w:rsid w:val="00196FC3"/>
    <w:rsid w:val="001978AD"/>
    <w:rsid w:val="001A0B8F"/>
    <w:rsid w:val="001A1091"/>
    <w:rsid w:val="001A20B3"/>
    <w:rsid w:val="001A2376"/>
    <w:rsid w:val="001A2806"/>
    <w:rsid w:val="001A3677"/>
    <w:rsid w:val="001A3A70"/>
    <w:rsid w:val="001A4243"/>
    <w:rsid w:val="001A6E86"/>
    <w:rsid w:val="001A70BD"/>
    <w:rsid w:val="001A735F"/>
    <w:rsid w:val="001A73A6"/>
    <w:rsid w:val="001A7634"/>
    <w:rsid w:val="001B040A"/>
    <w:rsid w:val="001B0892"/>
    <w:rsid w:val="001B0CBB"/>
    <w:rsid w:val="001B240B"/>
    <w:rsid w:val="001B37FF"/>
    <w:rsid w:val="001B38BD"/>
    <w:rsid w:val="001B4EBC"/>
    <w:rsid w:val="001B5133"/>
    <w:rsid w:val="001B57E7"/>
    <w:rsid w:val="001B5B8F"/>
    <w:rsid w:val="001B5E75"/>
    <w:rsid w:val="001B7377"/>
    <w:rsid w:val="001B7650"/>
    <w:rsid w:val="001B7A07"/>
    <w:rsid w:val="001C132A"/>
    <w:rsid w:val="001C29CC"/>
    <w:rsid w:val="001C7B8D"/>
    <w:rsid w:val="001C7F8D"/>
    <w:rsid w:val="001D168E"/>
    <w:rsid w:val="001D275E"/>
    <w:rsid w:val="001D3139"/>
    <w:rsid w:val="001D314D"/>
    <w:rsid w:val="001D324E"/>
    <w:rsid w:val="001D4941"/>
    <w:rsid w:val="001D4A6C"/>
    <w:rsid w:val="001D5ACA"/>
    <w:rsid w:val="001D68B6"/>
    <w:rsid w:val="001E05DB"/>
    <w:rsid w:val="001E1420"/>
    <w:rsid w:val="001E14E9"/>
    <w:rsid w:val="001E2490"/>
    <w:rsid w:val="001E31E6"/>
    <w:rsid w:val="001E4A46"/>
    <w:rsid w:val="001E4F18"/>
    <w:rsid w:val="001E5ADA"/>
    <w:rsid w:val="001E73A7"/>
    <w:rsid w:val="001E7AA3"/>
    <w:rsid w:val="001E7C2E"/>
    <w:rsid w:val="001F124F"/>
    <w:rsid w:val="001F2125"/>
    <w:rsid w:val="001F27EE"/>
    <w:rsid w:val="001F3354"/>
    <w:rsid w:val="001F3363"/>
    <w:rsid w:val="001F51B4"/>
    <w:rsid w:val="001F5A83"/>
    <w:rsid w:val="001F6224"/>
    <w:rsid w:val="001F64B4"/>
    <w:rsid w:val="001F7D41"/>
    <w:rsid w:val="00201806"/>
    <w:rsid w:val="00201883"/>
    <w:rsid w:val="00201A01"/>
    <w:rsid w:val="00201C7D"/>
    <w:rsid w:val="0020210D"/>
    <w:rsid w:val="00205620"/>
    <w:rsid w:val="00206234"/>
    <w:rsid w:val="0020707D"/>
    <w:rsid w:val="0020716E"/>
    <w:rsid w:val="00211EA9"/>
    <w:rsid w:val="00216EDA"/>
    <w:rsid w:val="00217219"/>
    <w:rsid w:val="00217A23"/>
    <w:rsid w:val="0022194E"/>
    <w:rsid w:val="0022314F"/>
    <w:rsid w:val="00223CF4"/>
    <w:rsid w:val="00224608"/>
    <w:rsid w:val="00225967"/>
    <w:rsid w:val="00232614"/>
    <w:rsid w:val="002335E4"/>
    <w:rsid w:val="00233D0D"/>
    <w:rsid w:val="00235A7E"/>
    <w:rsid w:val="00237DB8"/>
    <w:rsid w:val="00240CEC"/>
    <w:rsid w:val="00241557"/>
    <w:rsid w:val="00242F2A"/>
    <w:rsid w:val="002437C8"/>
    <w:rsid w:val="002457FD"/>
    <w:rsid w:val="00245A5C"/>
    <w:rsid w:val="00245D1D"/>
    <w:rsid w:val="00245DA0"/>
    <w:rsid w:val="00246F0F"/>
    <w:rsid w:val="00247355"/>
    <w:rsid w:val="0024768C"/>
    <w:rsid w:val="00250668"/>
    <w:rsid w:val="0025110F"/>
    <w:rsid w:val="00251F22"/>
    <w:rsid w:val="00252381"/>
    <w:rsid w:val="002536ED"/>
    <w:rsid w:val="00253D7A"/>
    <w:rsid w:val="00254B58"/>
    <w:rsid w:val="002558BB"/>
    <w:rsid w:val="00255BE6"/>
    <w:rsid w:val="00255D0D"/>
    <w:rsid w:val="00255D46"/>
    <w:rsid w:val="00256391"/>
    <w:rsid w:val="002563B4"/>
    <w:rsid w:val="00256904"/>
    <w:rsid w:val="0025733A"/>
    <w:rsid w:val="002577C5"/>
    <w:rsid w:val="00257F04"/>
    <w:rsid w:val="0026049F"/>
    <w:rsid w:val="0026218A"/>
    <w:rsid w:val="00263601"/>
    <w:rsid w:val="00263B98"/>
    <w:rsid w:val="00263EFD"/>
    <w:rsid w:val="00263F5C"/>
    <w:rsid w:val="002645C8"/>
    <w:rsid w:val="00265788"/>
    <w:rsid w:val="002658FF"/>
    <w:rsid w:val="00270399"/>
    <w:rsid w:val="00270588"/>
    <w:rsid w:val="00270DCA"/>
    <w:rsid w:val="0027156E"/>
    <w:rsid w:val="00272B1C"/>
    <w:rsid w:val="00273241"/>
    <w:rsid w:val="00273A53"/>
    <w:rsid w:val="002753ED"/>
    <w:rsid w:val="00276861"/>
    <w:rsid w:val="00277BB7"/>
    <w:rsid w:val="00281015"/>
    <w:rsid w:val="002816F9"/>
    <w:rsid w:val="002839C4"/>
    <w:rsid w:val="002855F5"/>
    <w:rsid w:val="00286DD9"/>
    <w:rsid w:val="00286E09"/>
    <w:rsid w:val="002874DC"/>
    <w:rsid w:val="00287902"/>
    <w:rsid w:val="00291955"/>
    <w:rsid w:val="00291F9D"/>
    <w:rsid w:val="002926F6"/>
    <w:rsid w:val="00295F2B"/>
    <w:rsid w:val="00297E83"/>
    <w:rsid w:val="002A0B11"/>
    <w:rsid w:val="002A26A7"/>
    <w:rsid w:val="002A29D5"/>
    <w:rsid w:val="002A3BB5"/>
    <w:rsid w:val="002A5BAE"/>
    <w:rsid w:val="002A634B"/>
    <w:rsid w:val="002A63EA"/>
    <w:rsid w:val="002A6464"/>
    <w:rsid w:val="002A6F61"/>
    <w:rsid w:val="002B3245"/>
    <w:rsid w:val="002B331C"/>
    <w:rsid w:val="002B3F30"/>
    <w:rsid w:val="002B6CF7"/>
    <w:rsid w:val="002B75CC"/>
    <w:rsid w:val="002B7C64"/>
    <w:rsid w:val="002C0703"/>
    <w:rsid w:val="002C0AC8"/>
    <w:rsid w:val="002C1AD9"/>
    <w:rsid w:val="002C3C7C"/>
    <w:rsid w:val="002C45D4"/>
    <w:rsid w:val="002C4C12"/>
    <w:rsid w:val="002C6406"/>
    <w:rsid w:val="002C67BA"/>
    <w:rsid w:val="002C727D"/>
    <w:rsid w:val="002C7295"/>
    <w:rsid w:val="002C74CE"/>
    <w:rsid w:val="002C7797"/>
    <w:rsid w:val="002D0C2B"/>
    <w:rsid w:val="002D1D26"/>
    <w:rsid w:val="002D225B"/>
    <w:rsid w:val="002D2E16"/>
    <w:rsid w:val="002D3355"/>
    <w:rsid w:val="002D37DC"/>
    <w:rsid w:val="002D505E"/>
    <w:rsid w:val="002D55D5"/>
    <w:rsid w:val="002D6999"/>
    <w:rsid w:val="002D7A8C"/>
    <w:rsid w:val="002D7ED6"/>
    <w:rsid w:val="002E0BD2"/>
    <w:rsid w:val="002E230D"/>
    <w:rsid w:val="002E237E"/>
    <w:rsid w:val="002E3153"/>
    <w:rsid w:val="002E3434"/>
    <w:rsid w:val="002E46F8"/>
    <w:rsid w:val="002E47FF"/>
    <w:rsid w:val="002E558F"/>
    <w:rsid w:val="002E7076"/>
    <w:rsid w:val="002E70C2"/>
    <w:rsid w:val="002E70E4"/>
    <w:rsid w:val="002E7225"/>
    <w:rsid w:val="002F0526"/>
    <w:rsid w:val="002F129E"/>
    <w:rsid w:val="002F30EC"/>
    <w:rsid w:val="002F34D0"/>
    <w:rsid w:val="002F3662"/>
    <w:rsid w:val="002F39E1"/>
    <w:rsid w:val="002F4D31"/>
    <w:rsid w:val="002F6B70"/>
    <w:rsid w:val="002F6E9F"/>
    <w:rsid w:val="002F741E"/>
    <w:rsid w:val="002F767E"/>
    <w:rsid w:val="002F7711"/>
    <w:rsid w:val="002F77E6"/>
    <w:rsid w:val="002F77FF"/>
    <w:rsid w:val="00300305"/>
    <w:rsid w:val="00301333"/>
    <w:rsid w:val="0030171C"/>
    <w:rsid w:val="00301FD0"/>
    <w:rsid w:val="0030224C"/>
    <w:rsid w:val="003024F0"/>
    <w:rsid w:val="003025F4"/>
    <w:rsid w:val="00302697"/>
    <w:rsid w:val="00302732"/>
    <w:rsid w:val="003033DF"/>
    <w:rsid w:val="00303BAC"/>
    <w:rsid w:val="0030421A"/>
    <w:rsid w:val="003049D3"/>
    <w:rsid w:val="00304F5A"/>
    <w:rsid w:val="0030557C"/>
    <w:rsid w:val="00305E00"/>
    <w:rsid w:val="00306D1A"/>
    <w:rsid w:val="00307225"/>
    <w:rsid w:val="0031008C"/>
    <w:rsid w:val="00311600"/>
    <w:rsid w:val="00311B13"/>
    <w:rsid w:val="00312E21"/>
    <w:rsid w:val="00312F33"/>
    <w:rsid w:val="00313448"/>
    <w:rsid w:val="00314027"/>
    <w:rsid w:val="003147E6"/>
    <w:rsid w:val="00314C4D"/>
    <w:rsid w:val="00316819"/>
    <w:rsid w:val="00317440"/>
    <w:rsid w:val="00317A98"/>
    <w:rsid w:val="00320C74"/>
    <w:rsid w:val="00320CF6"/>
    <w:rsid w:val="00320F03"/>
    <w:rsid w:val="00321A70"/>
    <w:rsid w:val="00322F8D"/>
    <w:rsid w:val="00325941"/>
    <w:rsid w:val="003259D3"/>
    <w:rsid w:val="00325A4E"/>
    <w:rsid w:val="00325B27"/>
    <w:rsid w:val="00325B7C"/>
    <w:rsid w:val="00327C9E"/>
    <w:rsid w:val="00330537"/>
    <w:rsid w:val="00330AB2"/>
    <w:rsid w:val="00330ACB"/>
    <w:rsid w:val="00330C80"/>
    <w:rsid w:val="00331D81"/>
    <w:rsid w:val="00331F6F"/>
    <w:rsid w:val="00333363"/>
    <w:rsid w:val="00333496"/>
    <w:rsid w:val="00334298"/>
    <w:rsid w:val="00336D2F"/>
    <w:rsid w:val="0034034E"/>
    <w:rsid w:val="00341C55"/>
    <w:rsid w:val="00341EF7"/>
    <w:rsid w:val="003425D6"/>
    <w:rsid w:val="00343F66"/>
    <w:rsid w:val="00344B44"/>
    <w:rsid w:val="00347599"/>
    <w:rsid w:val="003475BE"/>
    <w:rsid w:val="00347D25"/>
    <w:rsid w:val="0035068F"/>
    <w:rsid w:val="00350914"/>
    <w:rsid w:val="00350F6F"/>
    <w:rsid w:val="0035151F"/>
    <w:rsid w:val="0035247D"/>
    <w:rsid w:val="00353173"/>
    <w:rsid w:val="003533A1"/>
    <w:rsid w:val="00353469"/>
    <w:rsid w:val="0035392E"/>
    <w:rsid w:val="00353A48"/>
    <w:rsid w:val="00354C27"/>
    <w:rsid w:val="003567C1"/>
    <w:rsid w:val="00357DB7"/>
    <w:rsid w:val="00360870"/>
    <w:rsid w:val="00360ADE"/>
    <w:rsid w:val="00361EA5"/>
    <w:rsid w:val="00362C9A"/>
    <w:rsid w:val="00363B83"/>
    <w:rsid w:val="00363B8C"/>
    <w:rsid w:val="003644C2"/>
    <w:rsid w:val="003648D1"/>
    <w:rsid w:val="00364C3D"/>
    <w:rsid w:val="00366281"/>
    <w:rsid w:val="00366BB8"/>
    <w:rsid w:val="003671D5"/>
    <w:rsid w:val="0036745D"/>
    <w:rsid w:val="00367EFB"/>
    <w:rsid w:val="0037010C"/>
    <w:rsid w:val="00370BDD"/>
    <w:rsid w:val="00372993"/>
    <w:rsid w:val="00372D52"/>
    <w:rsid w:val="00373576"/>
    <w:rsid w:val="003744F6"/>
    <w:rsid w:val="00375406"/>
    <w:rsid w:val="00375641"/>
    <w:rsid w:val="00375C6C"/>
    <w:rsid w:val="00375D5B"/>
    <w:rsid w:val="00376C43"/>
    <w:rsid w:val="003777C7"/>
    <w:rsid w:val="00380954"/>
    <w:rsid w:val="003833F2"/>
    <w:rsid w:val="0038353A"/>
    <w:rsid w:val="003839C1"/>
    <w:rsid w:val="003839D8"/>
    <w:rsid w:val="00385097"/>
    <w:rsid w:val="00385748"/>
    <w:rsid w:val="0038599E"/>
    <w:rsid w:val="0038694D"/>
    <w:rsid w:val="00387A95"/>
    <w:rsid w:val="00390758"/>
    <w:rsid w:val="003908AE"/>
    <w:rsid w:val="003908C9"/>
    <w:rsid w:val="003915C8"/>
    <w:rsid w:val="0039172D"/>
    <w:rsid w:val="00393ADA"/>
    <w:rsid w:val="00393B54"/>
    <w:rsid w:val="0039643B"/>
    <w:rsid w:val="00396A00"/>
    <w:rsid w:val="00397CFE"/>
    <w:rsid w:val="003A0849"/>
    <w:rsid w:val="003A0EFD"/>
    <w:rsid w:val="003A3CFC"/>
    <w:rsid w:val="003A456F"/>
    <w:rsid w:val="003A4BCF"/>
    <w:rsid w:val="003A4D44"/>
    <w:rsid w:val="003A544D"/>
    <w:rsid w:val="003A5565"/>
    <w:rsid w:val="003A556D"/>
    <w:rsid w:val="003A56CE"/>
    <w:rsid w:val="003A5956"/>
    <w:rsid w:val="003A61C1"/>
    <w:rsid w:val="003A6775"/>
    <w:rsid w:val="003A7EEF"/>
    <w:rsid w:val="003A7F8D"/>
    <w:rsid w:val="003B0C26"/>
    <w:rsid w:val="003B14D6"/>
    <w:rsid w:val="003B2060"/>
    <w:rsid w:val="003B3039"/>
    <w:rsid w:val="003B3A2A"/>
    <w:rsid w:val="003B5205"/>
    <w:rsid w:val="003B56C1"/>
    <w:rsid w:val="003B5949"/>
    <w:rsid w:val="003B6929"/>
    <w:rsid w:val="003C09C0"/>
    <w:rsid w:val="003C1590"/>
    <w:rsid w:val="003C17A1"/>
    <w:rsid w:val="003C19D4"/>
    <w:rsid w:val="003C21D5"/>
    <w:rsid w:val="003C29D6"/>
    <w:rsid w:val="003C2FB7"/>
    <w:rsid w:val="003C3345"/>
    <w:rsid w:val="003C38E7"/>
    <w:rsid w:val="003C434D"/>
    <w:rsid w:val="003C4492"/>
    <w:rsid w:val="003C4A93"/>
    <w:rsid w:val="003C4DE7"/>
    <w:rsid w:val="003C4F05"/>
    <w:rsid w:val="003C556A"/>
    <w:rsid w:val="003C68B7"/>
    <w:rsid w:val="003C6E1B"/>
    <w:rsid w:val="003D081A"/>
    <w:rsid w:val="003D09C6"/>
    <w:rsid w:val="003D154B"/>
    <w:rsid w:val="003D20DF"/>
    <w:rsid w:val="003D3F75"/>
    <w:rsid w:val="003D4167"/>
    <w:rsid w:val="003D479D"/>
    <w:rsid w:val="003D4C82"/>
    <w:rsid w:val="003D6E29"/>
    <w:rsid w:val="003D6FCA"/>
    <w:rsid w:val="003E195A"/>
    <w:rsid w:val="003E23E8"/>
    <w:rsid w:val="003E289A"/>
    <w:rsid w:val="003E28A0"/>
    <w:rsid w:val="003E2D1D"/>
    <w:rsid w:val="003E56C2"/>
    <w:rsid w:val="003E589A"/>
    <w:rsid w:val="003E58A1"/>
    <w:rsid w:val="003E74C6"/>
    <w:rsid w:val="003F028C"/>
    <w:rsid w:val="003F1D98"/>
    <w:rsid w:val="003F25B4"/>
    <w:rsid w:val="003F4205"/>
    <w:rsid w:val="003F4A66"/>
    <w:rsid w:val="003F4C51"/>
    <w:rsid w:val="003F7058"/>
    <w:rsid w:val="00400229"/>
    <w:rsid w:val="00400705"/>
    <w:rsid w:val="004009D3"/>
    <w:rsid w:val="00401ED4"/>
    <w:rsid w:val="00403656"/>
    <w:rsid w:val="00403FEA"/>
    <w:rsid w:val="00404625"/>
    <w:rsid w:val="004048F0"/>
    <w:rsid w:val="00405CA1"/>
    <w:rsid w:val="0040718A"/>
    <w:rsid w:val="004073C8"/>
    <w:rsid w:val="00407FD5"/>
    <w:rsid w:val="004110B6"/>
    <w:rsid w:val="00411149"/>
    <w:rsid w:val="004143D4"/>
    <w:rsid w:val="00414683"/>
    <w:rsid w:val="0041485D"/>
    <w:rsid w:val="00414D72"/>
    <w:rsid w:val="0041565A"/>
    <w:rsid w:val="0041584E"/>
    <w:rsid w:val="00415C46"/>
    <w:rsid w:val="00415CDE"/>
    <w:rsid w:val="004170ED"/>
    <w:rsid w:val="0042008C"/>
    <w:rsid w:val="00420349"/>
    <w:rsid w:val="00422505"/>
    <w:rsid w:val="00423041"/>
    <w:rsid w:val="004235D7"/>
    <w:rsid w:val="00426789"/>
    <w:rsid w:val="00426C8F"/>
    <w:rsid w:val="004308F7"/>
    <w:rsid w:val="004312ED"/>
    <w:rsid w:val="00433232"/>
    <w:rsid w:val="004340ED"/>
    <w:rsid w:val="00434388"/>
    <w:rsid w:val="00434541"/>
    <w:rsid w:val="00434DAF"/>
    <w:rsid w:val="00435008"/>
    <w:rsid w:val="00437ED1"/>
    <w:rsid w:val="00440267"/>
    <w:rsid w:val="004403DF"/>
    <w:rsid w:val="00440D2A"/>
    <w:rsid w:val="004412CE"/>
    <w:rsid w:val="004413B0"/>
    <w:rsid w:val="00441704"/>
    <w:rsid w:val="00441C59"/>
    <w:rsid w:val="004425D0"/>
    <w:rsid w:val="00442C87"/>
    <w:rsid w:val="00443B3E"/>
    <w:rsid w:val="004456C4"/>
    <w:rsid w:val="004457C7"/>
    <w:rsid w:val="0044675D"/>
    <w:rsid w:val="004474C2"/>
    <w:rsid w:val="00447FAA"/>
    <w:rsid w:val="00450437"/>
    <w:rsid w:val="00450FCC"/>
    <w:rsid w:val="0045209E"/>
    <w:rsid w:val="00452268"/>
    <w:rsid w:val="004528E7"/>
    <w:rsid w:val="00455D0D"/>
    <w:rsid w:val="00456C02"/>
    <w:rsid w:val="00460117"/>
    <w:rsid w:val="00460401"/>
    <w:rsid w:val="00460802"/>
    <w:rsid w:val="00460DC8"/>
    <w:rsid w:val="00461C13"/>
    <w:rsid w:val="00461F90"/>
    <w:rsid w:val="00464221"/>
    <w:rsid w:val="00465273"/>
    <w:rsid w:val="004654E6"/>
    <w:rsid w:val="00465B9D"/>
    <w:rsid w:val="00465C7F"/>
    <w:rsid w:val="0046683B"/>
    <w:rsid w:val="00466894"/>
    <w:rsid w:val="004669B2"/>
    <w:rsid w:val="00466C43"/>
    <w:rsid w:val="00470133"/>
    <w:rsid w:val="00471351"/>
    <w:rsid w:val="00471F3F"/>
    <w:rsid w:val="00474F35"/>
    <w:rsid w:val="00475252"/>
    <w:rsid w:val="00476B93"/>
    <w:rsid w:val="004779EA"/>
    <w:rsid w:val="00480658"/>
    <w:rsid w:val="00480CBC"/>
    <w:rsid w:val="00482044"/>
    <w:rsid w:val="00483716"/>
    <w:rsid w:val="0048489C"/>
    <w:rsid w:val="00484E60"/>
    <w:rsid w:val="00485356"/>
    <w:rsid w:val="004854DA"/>
    <w:rsid w:val="00485C87"/>
    <w:rsid w:val="00490043"/>
    <w:rsid w:val="004900C5"/>
    <w:rsid w:val="0049058F"/>
    <w:rsid w:val="00491D21"/>
    <w:rsid w:val="00492145"/>
    <w:rsid w:val="00492395"/>
    <w:rsid w:val="00493261"/>
    <w:rsid w:val="00493665"/>
    <w:rsid w:val="00493D17"/>
    <w:rsid w:val="00494284"/>
    <w:rsid w:val="004942D5"/>
    <w:rsid w:val="00494399"/>
    <w:rsid w:val="004944B7"/>
    <w:rsid w:val="004948B1"/>
    <w:rsid w:val="004950E1"/>
    <w:rsid w:val="004952D2"/>
    <w:rsid w:val="004953FE"/>
    <w:rsid w:val="004969B8"/>
    <w:rsid w:val="004A266C"/>
    <w:rsid w:val="004A285D"/>
    <w:rsid w:val="004A38EC"/>
    <w:rsid w:val="004A5E6F"/>
    <w:rsid w:val="004A64EC"/>
    <w:rsid w:val="004A774A"/>
    <w:rsid w:val="004B0BD6"/>
    <w:rsid w:val="004B23BC"/>
    <w:rsid w:val="004B2D23"/>
    <w:rsid w:val="004B390A"/>
    <w:rsid w:val="004B5116"/>
    <w:rsid w:val="004B515B"/>
    <w:rsid w:val="004B5337"/>
    <w:rsid w:val="004B5637"/>
    <w:rsid w:val="004B5A69"/>
    <w:rsid w:val="004B651D"/>
    <w:rsid w:val="004C08C1"/>
    <w:rsid w:val="004C18AA"/>
    <w:rsid w:val="004C1CA5"/>
    <w:rsid w:val="004C1CC2"/>
    <w:rsid w:val="004C2367"/>
    <w:rsid w:val="004C2769"/>
    <w:rsid w:val="004C2A4D"/>
    <w:rsid w:val="004C2B77"/>
    <w:rsid w:val="004C3E55"/>
    <w:rsid w:val="004C4B64"/>
    <w:rsid w:val="004C546A"/>
    <w:rsid w:val="004C559C"/>
    <w:rsid w:val="004C64E4"/>
    <w:rsid w:val="004C7615"/>
    <w:rsid w:val="004C7737"/>
    <w:rsid w:val="004D054F"/>
    <w:rsid w:val="004D1136"/>
    <w:rsid w:val="004D13F6"/>
    <w:rsid w:val="004D2178"/>
    <w:rsid w:val="004D3609"/>
    <w:rsid w:val="004D3E0D"/>
    <w:rsid w:val="004D44C7"/>
    <w:rsid w:val="004D536F"/>
    <w:rsid w:val="004D540D"/>
    <w:rsid w:val="004D54B2"/>
    <w:rsid w:val="004D6226"/>
    <w:rsid w:val="004E1464"/>
    <w:rsid w:val="004E1B18"/>
    <w:rsid w:val="004E236F"/>
    <w:rsid w:val="004E2AA5"/>
    <w:rsid w:val="004E480E"/>
    <w:rsid w:val="004E58DB"/>
    <w:rsid w:val="004E625A"/>
    <w:rsid w:val="004E77F7"/>
    <w:rsid w:val="004E7DBC"/>
    <w:rsid w:val="004F0F0F"/>
    <w:rsid w:val="004F1A9F"/>
    <w:rsid w:val="004F1C60"/>
    <w:rsid w:val="004F3879"/>
    <w:rsid w:val="004F4DEF"/>
    <w:rsid w:val="004F4E2A"/>
    <w:rsid w:val="004F516E"/>
    <w:rsid w:val="004F51A6"/>
    <w:rsid w:val="004F5522"/>
    <w:rsid w:val="004F6209"/>
    <w:rsid w:val="004F6D02"/>
    <w:rsid w:val="004F7F06"/>
    <w:rsid w:val="00500C86"/>
    <w:rsid w:val="00501AE7"/>
    <w:rsid w:val="00502403"/>
    <w:rsid w:val="00503505"/>
    <w:rsid w:val="0050362A"/>
    <w:rsid w:val="00503870"/>
    <w:rsid w:val="005044AB"/>
    <w:rsid w:val="005061C0"/>
    <w:rsid w:val="0050631A"/>
    <w:rsid w:val="005076BF"/>
    <w:rsid w:val="005076CF"/>
    <w:rsid w:val="00507D08"/>
    <w:rsid w:val="00510BE3"/>
    <w:rsid w:val="005119CD"/>
    <w:rsid w:val="00511EB8"/>
    <w:rsid w:val="00512243"/>
    <w:rsid w:val="00512B37"/>
    <w:rsid w:val="00513656"/>
    <w:rsid w:val="00513CAF"/>
    <w:rsid w:val="00514137"/>
    <w:rsid w:val="005144A9"/>
    <w:rsid w:val="00515A31"/>
    <w:rsid w:val="0052085E"/>
    <w:rsid w:val="00521BE1"/>
    <w:rsid w:val="00523C32"/>
    <w:rsid w:val="00523FAB"/>
    <w:rsid w:val="00524EE4"/>
    <w:rsid w:val="00525790"/>
    <w:rsid w:val="00525ADC"/>
    <w:rsid w:val="00525F9E"/>
    <w:rsid w:val="00526888"/>
    <w:rsid w:val="00530759"/>
    <w:rsid w:val="00531F0A"/>
    <w:rsid w:val="00532DF0"/>
    <w:rsid w:val="0053416D"/>
    <w:rsid w:val="0053467A"/>
    <w:rsid w:val="005349C3"/>
    <w:rsid w:val="00535643"/>
    <w:rsid w:val="00537AC4"/>
    <w:rsid w:val="005402AC"/>
    <w:rsid w:val="00540EEA"/>
    <w:rsid w:val="00541227"/>
    <w:rsid w:val="00542301"/>
    <w:rsid w:val="00542E3C"/>
    <w:rsid w:val="005442DE"/>
    <w:rsid w:val="00545E39"/>
    <w:rsid w:val="0054625B"/>
    <w:rsid w:val="005468B7"/>
    <w:rsid w:val="00550758"/>
    <w:rsid w:val="005519A5"/>
    <w:rsid w:val="00551B8E"/>
    <w:rsid w:val="00552276"/>
    <w:rsid w:val="005533ED"/>
    <w:rsid w:val="00553472"/>
    <w:rsid w:val="0055398D"/>
    <w:rsid w:val="00555F2D"/>
    <w:rsid w:val="00555FB2"/>
    <w:rsid w:val="00556174"/>
    <w:rsid w:val="005567D4"/>
    <w:rsid w:val="0055698C"/>
    <w:rsid w:val="00557312"/>
    <w:rsid w:val="00557E48"/>
    <w:rsid w:val="00560634"/>
    <w:rsid w:val="005606A3"/>
    <w:rsid w:val="00560BAF"/>
    <w:rsid w:val="0056116F"/>
    <w:rsid w:val="005614AF"/>
    <w:rsid w:val="00561CAC"/>
    <w:rsid w:val="00562199"/>
    <w:rsid w:val="0056302C"/>
    <w:rsid w:val="00565821"/>
    <w:rsid w:val="00565C0A"/>
    <w:rsid w:val="00567F36"/>
    <w:rsid w:val="005712F7"/>
    <w:rsid w:val="00572781"/>
    <w:rsid w:val="00572A77"/>
    <w:rsid w:val="00572C15"/>
    <w:rsid w:val="00576B12"/>
    <w:rsid w:val="00576CD2"/>
    <w:rsid w:val="00576FC0"/>
    <w:rsid w:val="00577227"/>
    <w:rsid w:val="005808C6"/>
    <w:rsid w:val="00581A28"/>
    <w:rsid w:val="00582856"/>
    <w:rsid w:val="005838B8"/>
    <w:rsid w:val="005850A3"/>
    <w:rsid w:val="005855D7"/>
    <w:rsid w:val="005863F6"/>
    <w:rsid w:val="005868CB"/>
    <w:rsid w:val="00586F95"/>
    <w:rsid w:val="00587134"/>
    <w:rsid w:val="00590BB3"/>
    <w:rsid w:val="00591AE9"/>
    <w:rsid w:val="0059228D"/>
    <w:rsid w:val="005931D5"/>
    <w:rsid w:val="00593692"/>
    <w:rsid w:val="00593B8F"/>
    <w:rsid w:val="00593BE5"/>
    <w:rsid w:val="00594F96"/>
    <w:rsid w:val="005963B4"/>
    <w:rsid w:val="005969CD"/>
    <w:rsid w:val="00596B04"/>
    <w:rsid w:val="005972B5"/>
    <w:rsid w:val="005A0764"/>
    <w:rsid w:val="005A0795"/>
    <w:rsid w:val="005A0D6B"/>
    <w:rsid w:val="005A27A9"/>
    <w:rsid w:val="005A3042"/>
    <w:rsid w:val="005A3AD1"/>
    <w:rsid w:val="005A4388"/>
    <w:rsid w:val="005A4667"/>
    <w:rsid w:val="005A4A45"/>
    <w:rsid w:val="005A4ED8"/>
    <w:rsid w:val="005A589B"/>
    <w:rsid w:val="005A5A8E"/>
    <w:rsid w:val="005A5ABF"/>
    <w:rsid w:val="005A6152"/>
    <w:rsid w:val="005A6262"/>
    <w:rsid w:val="005A6956"/>
    <w:rsid w:val="005A6BAD"/>
    <w:rsid w:val="005A7C79"/>
    <w:rsid w:val="005A7E90"/>
    <w:rsid w:val="005B12BF"/>
    <w:rsid w:val="005B63C6"/>
    <w:rsid w:val="005B6665"/>
    <w:rsid w:val="005B71A7"/>
    <w:rsid w:val="005B71B3"/>
    <w:rsid w:val="005B72FC"/>
    <w:rsid w:val="005B79F5"/>
    <w:rsid w:val="005C00CA"/>
    <w:rsid w:val="005C092A"/>
    <w:rsid w:val="005C0A11"/>
    <w:rsid w:val="005C16F0"/>
    <w:rsid w:val="005C1B25"/>
    <w:rsid w:val="005C26C9"/>
    <w:rsid w:val="005C27A4"/>
    <w:rsid w:val="005C4D98"/>
    <w:rsid w:val="005C5E23"/>
    <w:rsid w:val="005C6592"/>
    <w:rsid w:val="005C6EE3"/>
    <w:rsid w:val="005C6EE6"/>
    <w:rsid w:val="005C76C5"/>
    <w:rsid w:val="005D0AD7"/>
    <w:rsid w:val="005D10BA"/>
    <w:rsid w:val="005D2180"/>
    <w:rsid w:val="005D23E2"/>
    <w:rsid w:val="005D2478"/>
    <w:rsid w:val="005D2E93"/>
    <w:rsid w:val="005D39EB"/>
    <w:rsid w:val="005D3EAE"/>
    <w:rsid w:val="005D4147"/>
    <w:rsid w:val="005D4A6E"/>
    <w:rsid w:val="005D5597"/>
    <w:rsid w:val="005D5F27"/>
    <w:rsid w:val="005D6473"/>
    <w:rsid w:val="005D64BF"/>
    <w:rsid w:val="005D7C58"/>
    <w:rsid w:val="005E0B3C"/>
    <w:rsid w:val="005E0EAE"/>
    <w:rsid w:val="005E323F"/>
    <w:rsid w:val="005E3AC8"/>
    <w:rsid w:val="005E3AD0"/>
    <w:rsid w:val="005E3B1F"/>
    <w:rsid w:val="005E465D"/>
    <w:rsid w:val="005E4E2B"/>
    <w:rsid w:val="005E4EDF"/>
    <w:rsid w:val="005E593F"/>
    <w:rsid w:val="005E7402"/>
    <w:rsid w:val="005E762E"/>
    <w:rsid w:val="005E7E7F"/>
    <w:rsid w:val="005F02B0"/>
    <w:rsid w:val="005F0340"/>
    <w:rsid w:val="005F1762"/>
    <w:rsid w:val="005F1C16"/>
    <w:rsid w:val="005F5925"/>
    <w:rsid w:val="005F60AF"/>
    <w:rsid w:val="005F7ABC"/>
    <w:rsid w:val="005F7D13"/>
    <w:rsid w:val="00600206"/>
    <w:rsid w:val="006003B2"/>
    <w:rsid w:val="006008AE"/>
    <w:rsid w:val="00601442"/>
    <w:rsid w:val="00602776"/>
    <w:rsid w:val="00603883"/>
    <w:rsid w:val="00603E90"/>
    <w:rsid w:val="006051FA"/>
    <w:rsid w:val="006054CE"/>
    <w:rsid w:val="00605C67"/>
    <w:rsid w:val="0060651B"/>
    <w:rsid w:val="00607093"/>
    <w:rsid w:val="0060772F"/>
    <w:rsid w:val="00610333"/>
    <w:rsid w:val="0061065F"/>
    <w:rsid w:val="006121E9"/>
    <w:rsid w:val="0061235B"/>
    <w:rsid w:val="00612A76"/>
    <w:rsid w:val="00613131"/>
    <w:rsid w:val="006131AD"/>
    <w:rsid w:val="00613BE6"/>
    <w:rsid w:val="00613DB6"/>
    <w:rsid w:val="00614296"/>
    <w:rsid w:val="0061475B"/>
    <w:rsid w:val="00615E7C"/>
    <w:rsid w:val="006161EB"/>
    <w:rsid w:val="00621170"/>
    <w:rsid w:val="006211E3"/>
    <w:rsid w:val="00622F9A"/>
    <w:rsid w:val="0062320F"/>
    <w:rsid w:val="00624614"/>
    <w:rsid w:val="00627AF3"/>
    <w:rsid w:val="00631D95"/>
    <w:rsid w:val="006322EC"/>
    <w:rsid w:val="00632492"/>
    <w:rsid w:val="00632752"/>
    <w:rsid w:val="006331AD"/>
    <w:rsid w:val="00633844"/>
    <w:rsid w:val="00633C23"/>
    <w:rsid w:val="00634974"/>
    <w:rsid w:val="00635E15"/>
    <w:rsid w:val="00636088"/>
    <w:rsid w:val="0063687F"/>
    <w:rsid w:val="00637CCB"/>
    <w:rsid w:val="006412E8"/>
    <w:rsid w:val="0064423F"/>
    <w:rsid w:val="00644EC2"/>
    <w:rsid w:val="006451C7"/>
    <w:rsid w:val="00646523"/>
    <w:rsid w:val="00646E76"/>
    <w:rsid w:val="00650096"/>
    <w:rsid w:val="00650382"/>
    <w:rsid w:val="00651373"/>
    <w:rsid w:val="0065164D"/>
    <w:rsid w:val="00651734"/>
    <w:rsid w:val="00652589"/>
    <w:rsid w:val="0065465B"/>
    <w:rsid w:val="00655197"/>
    <w:rsid w:val="00656C6D"/>
    <w:rsid w:val="0065701B"/>
    <w:rsid w:val="0066050C"/>
    <w:rsid w:val="00660B5C"/>
    <w:rsid w:val="00660E50"/>
    <w:rsid w:val="00661215"/>
    <w:rsid w:val="006613BB"/>
    <w:rsid w:val="006613DF"/>
    <w:rsid w:val="006615C3"/>
    <w:rsid w:val="00661A0A"/>
    <w:rsid w:val="00661D28"/>
    <w:rsid w:val="00662F5A"/>
    <w:rsid w:val="0066318A"/>
    <w:rsid w:val="006632C0"/>
    <w:rsid w:val="006639B2"/>
    <w:rsid w:val="00663B27"/>
    <w:rsid w:val="0066477B"/>
    <w:rsid w:val="00664C71"/>
    <w:rsid w:val="006665D2"/>
    <w:rsid w:val="00666AC5"/>
    <w:rsid w:val="00670FEB"/>
    <w:rsid w:val="00671113"/>
    <w:rsid w:val="00671B77"/>
    <w:rsid w:val="00672B6E"/>
    <w:rsid w:val="00673938"/>
    <w:rsid w:val="006749F9"/>
    <w:rsid w:val="00675F0E"/>
    <w:rsid w:val="006762E0"/>
    <w:rsid w:val="00676A64"/>
    <w:rsid w:val="00677104"/>
    <w:rsid w:val="006805AA"/>
    <w:rsid w:val="006806D3"/>
    <w:rsid w:val="00680776"/>
    <w:rsid w:val="0068109B"/>
    <w:rsid w:val="006814C5"/>
    <w:rsid w:val="00682CC4"/>
    <w:rsid w:val="0068428B"/>
    <w:rsid w:val="00684601"/>
    <w:rsid w:val="0068596E"/>
    <w:rsid w:val="006868F1"/>
    <w:rsid w:val="00686EE9"/>
    <w:rsid w:val="006921EF"/>
    <w:rsid w:val="00692767"/>
    <w:rsid w:val="00692894"/>
    <w:rsid w:val="006931E1"/>
    <w:rsid w:val="0069324F"/>
    <w:rsid w:val="00693A4C"/>
    <w:rsid w:val="00693E30"/>
    <w:rsid w:val="00694D70"/>
    <w:rsid w:val="00695ED4"/>
    <w:rsid w:val="00696C02"/>
    <w:rsid w:val="00697642"/>
    <w:rsid w:val="00697849"/>
    <w:rsid w:val="006A02AF"/>
    <w:rsid w:val="006A125B"/>
    <w:rsid w:val="006A1DB5"/>
    <w:rsid w:val="006A1E43"/>
    <w:rsid w:val="006A33CA"/>
    <w:rsid w:val="006A4782"/>
    <w:rsid w:val="006A588D"/>
    <w:rsid w:val="006A5F43"/>
    <w:rsid w:val="006A7836"/>
    <w:rsid w:val="006A7A79"/>
    <w:rsid w:val="006A7F90"/>
    <w:rsid w:val="006B0875"/>
    <w:rsid w:val="006B13BA"/>
    <w:rsid w:val="006B34D5"/>
    <w:rsid w:val="006B3C37"/>
    <w:rsid w:val="006B440E"/>
    <w:rsid w:val="006B45A2"/>
    <w:rsid w:val="006B62FF"/>
    <w:rsid w:val="006B6541"/>
    <w:rsid w:val="006B6C7D"/>
    <w:rsid w:val="006C2466"/>
    <w:rsid w:val="006C2C87"/>
    <w:rsid w:val="006C425A"/>
    <w:rsid w:val="006C4477"/>
    <w:rsid w:val="006C4CC9"/>
    <w:rsid w:val="006C50FE"/>
    <w:rsid w:val="006C5A93"/>
    <w:rsid w:val="006C6B1E"/>
    <w:rsid w:val="006C73B2"/>
    <w:rsid w:val="006C7AD0"/>
    <w:rsid w:val="006C7EDA"/>
    <w:rsid w:val="006D035F"/>
    <w:rsid w:val="006D060F"/>
    <w:rsid w:val="006D0863"/>
    <w:rsid w:val="006D11E1"/>
    <w:rsid w:val="006D1FC3"/>
    <w:rsid w:val="006D2FCD"/>
    <w:rsid w:val="006D3051"/>
    <w:rsid w:val="006D3A58"/>
    <w:rsid w:val="006D3E93"/>
    <w:rsid w:val="006D41EF"/>
    <w:rsid w:val="006D4C54"/>
    <w:rsid w:val="006D4EE4"/>
    <w:rsid w:val="006D594F"/>
    <w:rsid w:val="006E0BD5"/>
    <w:rsid w:val="006E2E86"/>
    <w:rsid w:val="006E2F8A"/>
    <w:rsid w:val="006E3530"/>
    <w:rsid w:val="006E40D2"/>
    <w:rsid w:val="006E4768"/>
    <w:rsid w:val="006E5126"/>
    <w:rsid w:val="006E53E0"/>
    <w:rsid w:val="006E6667"/>
    <w:rsid w:val="006E7105"/>
    <w:rsid w:val="006E723B"/>
    <w:rsid w:val="006E7E0E"/>
    <w:rsid w:val="006E7F0F"/>
    <w:rsid w:val="006F098F"/>
    <w:rsid w:val="006F0A7F"/>
    <w:rsid w:val="006F0E86"/>
    <w:rsid w:val="006F1E81"/>
    <w:rsid w:val="006F3CBE"/>
    <w:rsid w:val="006F4E65"/>
    <w:rsid w:val="006F6075"/>
    <w:rsid w:val="006F6E0C"/>
    <w:rsid w:val="006F706C"/>
    <w:rsid w:val="007023CD"/>
    <w:rsid w:val="00702AF1"/>
    <w:rsid w:val="007031EE"/>
    <w:rsid w:val="00704095"/>
    <w:rsid w:val="007054A2"/>
    <w:rsid w:val="00706345"/>
    <w:rsid w:val="00706976"/>
    <w:rsid w:val="00707888"/>
    <w:rsid w:val="00707E55"/>
    <w:rsid w:val="00710403"/>
    <w:rsid w:val="00710BDB"/>
    <w:rsid w:val="00714615"/>
    <w:rsid w:val="00714D7F"/>
    <w:rsid w:val="007155E5"/>
    <w:rsid w:val="00716C04"/>
    <w:rsid w:val="00720364"/>
    <w:rsid w:val="00720C42"/>
    <w:rsid w:val="00721084"/>
    <w:rsid w:val="007222FC"/>
    <w:rsid w:val="0072254B"/>
    <w:rsid w:val="00722798"/>
    <w:rsid w:val="00722C39"/>
    <w:rsid w:val="0072327A"/>
    <w:rsid w:val="007233CD"/>
    <w:rsid w:val="00723549"/>
    <w:rsid w:val="00723604"/>
    <w:rsid w:val="0072435E"/>
    <w:rsid w:val="00724640"/>
    <w:rsid w:val="0072465C"/>
    <w:rsid w:val="00724896"/>
    <w:rsid w:val="00724F23"/>
    <w:rsid w:val="00725A8D"/>
    <w:rsid w:val="00731028"/>
    <w:rsid w:val="0073153F"/>
    <w:rsid w:val="00732319"/>
    <w:rsid w:val="00736112"/>
    <w:rsid w:val="0073740C"/>
    <w:rsid w:val="007405A7"/>
    <w:rsid w:val="00742FFA"/>
    <w:rsid w:val="00743288"/>
    <w:rsid w:val="00743B9F"/>
    <w:rsid w:val="0074489E"/>
    <w:rsid w:val="00746A00"/>
    <w:rsid w:val="00746B0E"/>
    <w:rsid w:val="007473CA"/>
    <w:rsid w:val="00747F91"/>
    <w:rsid w:val="007504B0"/>
    <w:rsid w:val="007513BB"/>
    <w:rsid w:val="00751B8E"/>
    <w:rsid w:val="00752113"/>
    <w:rsid w:val="00752396"/>
    <w:rsid w:val="007528F1"/>
    <w:rsid w:val="00755327"/>
    <w:rsid w:val="00756125"/>
    <w:rsid w:val="00756C2D"/>
    <w:rsid w:val="007570A4"/>
    <w:rsid w:val="0075737C"/>
    <w:rsid w:val="00757764"/>
    <w:rsid w:val="00757DD9"/>
    <w:rsid w:val="00757E04"/>
    <w:rsid w:val="0076055A"/>
    <w:rsid w:val="00761160"/>
    <w:rsid w:val="00763AA2"/>
    <w:rsid w:val="00765070"/>
    <w:rsid w:val="007656B6"/>
    <w:rsid w:val="00766C83"/>
    <w:rsid w:val="00766CB8"/>
    <w:rsid w:val="0076701C"/>
    <w:rsid w:val="007670A0"/>
    <w:rsid w:val="00767ECB"/>
    <w:rsid w:val="0077067C"/>
    <w:rsid w:val="00770E40"/>
    <w:rsid w:val="007711AF"/>
    <w:rsid w:val="0077338C"/>
    <w:rsid w:val="007735F3"/>
    <w:rsid w:val="00773D2A"/>
    <w:rsid w:val="0077419E"/>
    <w:rsid w:val="00774D41"/>
    <w:rsid w:val="00774E9F"/>
    <w:rsid w:val="00775ED1"/>
    <w:rsid w:val="007768B7"/>
    <w:rsid w:val="007771C0"/>
    <w:rsid w:val="00777BD7"/>
    <w:rsid w:val="00780851"/>
    <w:rsid w:val="00780B46"/>
    <w:rsid w:val="00782AB5"/>
    <w:rsid w:val="00782E34"/>
    <w:rsid w:val="00783371"/>
    <w:rsid w:val="007848E4"/>
    <w:rsid w:val="00784F71"/>
    <w:rsid w:val="007850AF"/>
    <w:rsid w:val="00786B08"/>
    <w:rsid w:val="00787633"/>
    <w:rsid w:val="00787F23"/>
    <w:rsid w:val="007900E3"/>
    <w:rsid w:val="0079221C"/>
    <w:rsid w:val="007929D4"/>
    <w:rsid w:val="0079394C"/>
    <w:rsid w:val="00793A5A"/>
    <w:rsid w:val="00794DC1"/>
    <w:rsid w:val="00794E1E"/>
    <w:rsid w:val="00796573"/>
    <w:rsid w:val="007A1AF0"/>
    <w:rsid w:val="007A2DF5"/>
    <w:rsid w:val="007A37C0"/>
    <w:rsid w:val="007A5750"/>
    <w:rsid w:val="007A592F"/>
    <w:rsid w:val="007A6CB2"/>
    <w:rsid w:val="007A6CF3"/>
    <w:rsid w:val="007B1ABB"/>
    <w:rsid w:val="007B1DE5"/>
    <w:rsid w:val="007B22FC"/>
    <w:rsid w:val="007B2C93"/>
    <w:rsid w:val="007B2F63"/>
    <w:rsid w:val="007B3741"/>
    <w:rsid w:val="007B3C46"/>
    <w:rsid w:val="007B4172"/>
    <w:rsid w:val="007B5115"/>
    <w:rsid w:val="007B7877"/>
    <w:rsid w:val="007C146D"/>
    <w:rsid w:val="007C1C02"/>
    <w:rsid w:val="007C39BB"/>
    <w:rsid w:val="007C3AEA"/>
    <w:rsid w:val="007C3F39"/>
    <w:rsid w:val="007C48EC"/>
    <w:rsid w:val="007C4B6E"/>
    <w:rsid w:val="007C5277"/>
    <w:rsid w:val="007C5A4D"/>
    <w:rsid w:val="007C663C"/>
    <w:rsid w:val="007C675F"/>
    <w:rsid w:val="007C6D41"/>
    <w:rsid w:val="007C6E08"/>
    <w:rsid w:val="007C7063"/>
    <w:rsid w:val="007C7095"/>
    <w:rsid w:val="007D23D5"/>
    <w:rsid w:val="007D3305"/>
    <w:rsid w:val="007D3354"/>
    <w:rsid w:val="007D66B6"/>
    <w:rsid w:val="007D6980"/>
    <w:rsid w:val="007D6A11"/>
    <w:rsid w:val="007D6BBF"/>
    <w:rsid w:val="007D7815"/>
    <w:rsid w:val="007E0308"/>
    <w:rsid w:val="007E10D4"/>
    <w:rsid w:val="007E134B"/>
    <w:rsid w:val="007E1358"/>
    <w:rsid w:val="007E35F5"/>
    <w:rsid w:val="007E398A"/>
    <w:rsid w:val="007E49A5"/>
    <w:rsid w:val="007E5C59"/>
    <w:rsid w:val="007E5F88"/>
    <w:rsid w:val="007E6732"/>
    <w:rsid w:val="007E6812"/>
    <w:rsid w:val="007F1806"/>
    <w:rsid w:val="007F1AD2"/>
    <w:rsid w:val="007F2260"/>
    <w:rsid w:val="007F275B"/>
    <w:rsid w:val="007F340D"/>
    <w:rsid w:val="007F55D8"/>
    <w:rsid w:val="007F68F1"/>
    <w:rsid w:val="007F6FD9"/>
    <w:rsid w:val="00802AB7"/>
    <w:rsid w:val="00802ADB"/>
    <w:rsid w:val="008030BB"/>
    <w:rsid w:val="00803673"/>
    <w:rsid w:val="00803DB4"/>
    <w:rsid w:val="008049CA"/>
    <w:rsid w:val="00805B5F"/>
    <w:rsid w:val="008102A4"/>
    <w:rsid w:val="00810A63"/>
    <w:rsid w:val="008127FB"/>
    <w:rsid w:val="00813C2D"/>
    <w:rsid w:val="008140D5"/>
    <w:rsid w:val="00814313"/>
    <w:rsid w:val="00816456"/>
    <w:rsid w:val="00816D7F"/>
    <w:rsid w:val="00820217"/>
    <w:rsid w:val="00820393"/>
    <w:rsid w:val="00822683"/>
    <w:rsid w:val="0082386F"/>
    <w:rsid w:val="008247F7"/>
    <w:rsid w:val="008265DF"/>
    <w:rsid w:val="0082664A"/>
    <w:rsid w:val="0082739E"/>
    <w:rsid w:val="008274B2"/>
    <w:rsid w:val="00827C9A"/>
    <w:rsid w:val="0083005B"/>
    <w:rsid w:val="00830E92"/>
    <w:rsid w:val="00831EFB"/>
    <w:rsid w:val="00834797"/>
    <w:rsid w:val="00834ED2"/>
    <w:rsid w:val="00835729"/>
    <w:rsid w:val="00836D21"/>
    <w:rsid w:val="008379BC"/>
    <w:rsid w:val="00837A6C"/>
    <w:rsid w:val="008447B3"/>
    <w:rsid w:val="00845329"/>
    <w:rsid w:val="008462BD"/>
    <w:rsid w:val="0084680F"/>
    <w:rsid w:val="0084710D"/>
    <w:rsid w:val="00850CE8"/>
    <w:rsid w:val="00851369"/>
    <w:rsid w:val="00851580"/>
    <w:rsid w:val="00853AD5"/>
    <w:rsid w:val="00853F4B"/>
    <w:rsid w:val="00853FD9"/>
    <w:rsid w:val="008543C5"/>
    <w:rsid w:val="008552CC"/>
    <w:rsid w:val="008564B4"/>
    <w:rsid w:val="00856CB6"/>
    <w:rsid w:val="008576D4"/>
    <w:rsid w:val="00860794"/>
    <w:rsid w:val="0086326D"/>
    <w:rsid w:val="00863DFE"/>
    <w:rsid w:val="0086486F"/>
    <w:rsid w:val="00865587"/>
    <w:rsid w:val="008666EE"/>
    <w:rsid w:val="008676A8"/>
    <w:rsid w:val="0086791D"/>
    <w:rsid w:val="00867B43"/>
    <w:rsid w:val="0087140E"/>
    <w:rsid w:val="00872BE9"/>
    <w:rsid w:val="00874A10"/>
    <w:rsid w:val="00875110"/>
    <w:rsid w:val="00875C33"/>
    <w:rsid w:val="008768FE"/>
    <w:rsid w:val="00877133"/>
    <w:rsid w:val="00877340"/>
    <w:rsid w:val="00880158"/>
    <w:rsid w:val="00881E52"/>
    <w:rsid w:val="0088401B"/>
    <w:rsid w:val="00884C14"/>
    <w:rsid w:val="00886543"/>
    <w:rsid w:val="00886B85"/>
    <w:rsid w:val="00890B74"/>
    <w:rsid w:val="008920F8"/>
    <w:rsid w:val="008932F7"/>
    <w:rsid w:val="008933A5"/>
    <w:rsid w:val="00893ABC"/>
    <w:rsid w:val="00893E29"/>
    <w:rsid w:val="008948F9"/>
    <w:rsid w:val="00894F80"/>
    <w:rsid w:val="00895AB4"/>
    <w:rsid w:val="00895B63"/>
    <w:rsid w:val="008964E6"/>
    <w:rsid w:val="0089794B"/>
    <w:rsid w:val="00897EC5"/>
    <w:rsid w:val="008A0333"/>
    <w:rsid w:val="008A0399"/>
    <w:rsid w:val="008A0429"/>
    <w:rsid w:val="008A0AF3"/>
    <w:rsid w:val="008A0C4C"/>
    <w:rsid w:val="008A13F7"/>
    <w:rsid w:val="008A1A26"/>
    <w:rsid w:val="008A25F6"/>
    <w:rsid w:val="008A270E"/>
    <w:rsid w:val="008A2C18"/>
    <w:rsid w:val="008A2C8C"/>
    <w:rsid w:val="008A5576"/>
    <w:rsid w:val="008A7845"/>
    <w:rsid w:val="008B0352"/>
    <w:rsid w:val="008B2B59"/>
    <w:rsid w:val="008B2D0B"/>
    <w:rsid w:val="008B4241"/>
    <w:rsid w:val="008B472A"/>
    <w:rsid w:val="008B4B32"/>
    <w:rsid w:val="008B6E84"/>
    <w:rsid w:val="008B6EF5"/>
    <w:rsid w:val="008B7649"/>
    <w:rsid w:val="008B7C26"/>
    <w:rsid w:val="008C0269"/>
    <w:rsid w:val="008C46DD"/>
    <w:rsid w:val="008C7B4F"/>
    <w:rsid w:val="008C7D13"/>
    <w:rsid w:val="008D01EF"/>
    <w:rsid w:val="008D248D"/>
    <w:rsid w:val="008D5759"/>
    <w:rsid w:val="008D6106"/>
    <w:rsid w:val="008D6B53"/>
    <w:rsid w:val="008D7438"/>
    <w:rsid w:val="008E0021"/>
    <w:rsid w:val="008E0E30"/>
    <w:rsid w:val="008E4492"/>
    <w:rsid w:val="008E4657"/>
    <w:rsid w:val="008E4A2C"/>
    <w:rsid w:val="008E5A71"/>
    <w:rsid w:val="008E5DEC"/>
    <w:rsid w:val="008E6B7E"/>
    <w:rsid w:val="008E6D8C"/>
    <w:rsid w:val="008E70C9"/>
    <w:rsid w:val="008F0054"/>
    <w:rsid w:val="008F081A"/>
    <w:rsid w:val="008F0A0A"/>
    <w:rsid w:val="008F0EC8"/>
    <w:rsid w:val="008F1985"/>
    <w:rsid w:val="008F2804"/>
    <w:rsid w:val="008F3F99"/>
    <w:rsid w:val="008F5A54"/>
    <w:rsid w:val="008F6ED9"/>
    <w:rsid w:val="008F726E"/>
    <w:rsid w:val="008F7587"/>
    <w:rsid w:val="00901D6A"/>
    <w:rsid w:val="00901E91"/>
    <w:rsid w:val="00902A1A"/>
    <w:rsid w:val="00902CC7"/>
    <w:rsid w:val="0090344B"/>
    <w:rsid w:val="0090586D"/>
    <w:rsid w:val="009059EF"/>
    <w:rsid w:val="00905C2F"/>
    <w:rsid w:val="00906A7E"/>
    <w:rsid w:val="009114FE"/>
    <w:rsid w:val="009117C3"/>
    <w:rsid w:val="00912244"/>
    <w:rsid w:val="00912454"/>
    <w:rsid w:val="00912E4C"/>
    <w:rsid w:val="009143CC"/>
    <w:rsid w:val="0091550A"/>
    <w:rsid w:val="00917381"/>
    <w:rsid w:val="00917CEA"/>
    <w:rsid w:val="009228E8"/>
    <w:rsid w:val="009254F2"/>
    <w:rsid w:val="00926332"/>
    <w:rsid w:val="0092668E"/>
    <w:rsid w:val="00926822"/>
    <w:rsid w:val="00930805"/>
    <w:rsid w:val="009320E6"/>
    <w:rsid w:val="009325C3"/>
    <w:rsid w:val="0093275B"/>
    <w:rsid w:val="009347A7"/>
    <w:rsid w:val="009348C6"/>
    <w:rsid w:val="00934A49"/>
    <w:rsid w:val="00935B28"/>
    <w:rsid w:val="009378E4"/>
    <w:rsid w:val="00937DEF"/>
    <w:rsid w:val="009416BE"/>
    <w:rsid w:val="00941DAC"/>
    <w:rsid w:val="00942D64"/>
    <w:rsid w:val="00944B23"/>
    <w:rsid w:val="009454E5"/>
    <w:rsid w:val="009465D2"/>
    <w:rsid w:val="00946E1E"/>
    <w:rsid w:val="00950888"/>
    <w:rsid w:val="00952AED"/>
    <w:rsid w:val="00952DE7"/>
    <w:rsid w:val="00953118"/>
    <w:rsid w:val="00953D75"/>
    <w:rsid w:val="00953DA9"/>
    <w:rsid w:val="009548F1"/>
    <w:rsid w:val="00956023"/>
    <w:rsid w:val="009560A3"/>
    <w:rsid w:val="00956237"/>
    <w:rsid w:val="0095700E"/>
    <w:rsid w:val="00957E4C"/>
    <w:rsid w:val="00960BFF"/>
    <w:rsid w:val="00961A3A"/>
    <w:rsid w:val="00961CA9"/>
    <w:rsid w:val="00962546"/>
    <w:rsid w:val="009660F1"/>
    <w:rsid w:val="00970EF6"/>
    <w:rsid w:val="0097308A"/>
    <w:rsid w:val="00973D33"/>
    <w:rsid w:val="0097400F"/>
    <w:rsid w:val="009742F6"/>
    <w:rsid w:val="00974530"/>
    <w:rsid w:val="0097504C"/>
    <w:rsid w:val="009761E6"/>
    <w:rsid w:val="00976E9D"/>
    <w:rsid w:val="009770F1"/>
    <w:rsid w:val="00977C81"/>
    <w:rsid w:val="00980046"/>
    <w:rsid w:val="00980401"/>
    <w:rsid w:val="00982B80"/>
    <w:rsid w:val="00982C1C"/>
    <w:rsid w:val="009840C8"/>
    <w:rsid w:val="009840E5"/>
    <w:rsid w:val="00985276"/>
    <w:rsid w:val="009855D0"/>
    <w:rsid w:val="00986398"/>
    <w:rsid w:val="009863CE"/>
    <w:rsid w:val="00987747"/>
    <w:rsid w:val="009877C9"/>
    <w:rsid w:val="00987824"/>
    <w:rsid w:val="009878BA"/>
    <w:rsid w:val="00987C0F"/>
    <w:rsid w:val="00987FA5"/>
    <w:rsid w:val="009928B8"/>
    <w:rsid w:val="0099307E"/>
    <w:rsid w:val="00993768"/>
    <w:rsid w:val="0099436F"/>
    <w:rsid w:val="009949AB"/>
    <w:rsid w:val="009949B1"/>
    <w:rsid w:val="00994CCD"/>
    <w:rsid w:val="009958CC"/>
    <w:rsid w:val="009A18A8"/>
    <w:rsid w:val="009A3C79"/>
    <w:rsid w:val="009A3E15"/>
    <w:rsid w:val="009A4332"/>
    <w:rsid w:val="009A4E7C"/>
    <w:rsid w:val="009A5033"/>
    <w:rsid w:val="009A5493"/>
    <w:rsid w:val="009A5AB5"/>
    <w:rsid w:val="009A7E42"/>
    <w:rsid w:val="009B0068"/>
    <w:rsid w:val="009B008E"/>
    <w:rsid w:val="009B08A6"/>
    <w:rsid w:val="009B1F45"/>
    <w:rsid w:val="009B2621"/>
    <w:rsid w:val="009B2DC2"/>
    <w:rsid w:val="009B3B75"/>
    <w:rsid w:val="009B475C"/>
    <w:rsid w:val="009B6505"/>
    <w:rsid w:val="009B6885"/>
    <w:rsid w:val="009B79EB"/>
    <w:rsid w:val="009B7BF5"/>
    <w:rsid w:val="009C04B6"/>
    <w:rsid w:val="009C0C38"/>
    <w:rsid w:val="009C0CC1"/>
    <w:rsid w:val="009C16CB"/>
    <w:rsid w:val="009C1809"/>
    <w:rsid w:val="009C1E82"/>
    <w:rsid w:val="009C279A"/>
    <w:rsid w:val="009C29DC"/>
    <w:rsid w:val="009C3867"/>
    <w:rsid w:val="009C5017"/>
    <w:rsid w:val="009C515A"/>
    <w:rsid w:val="009C515D"/>
    <w:rsid w:val="009C641F"/>
    <w:rsid w:val="009C693D"/>
    <w:rsid w:val="009C69BF"/>
    <w:rsid w:val="009C7E14"/>
    <w:rsid w:val="009D347F"/>
    <w:rsid w:val="009D3D95"/>
    <w:rsid w:val="009D515E"/>
    <w:rsid w:val="009D585A"/>
    <w:rsid w:val="009D6A7F"/>
    <w:rsid w:val="009D6B64"/>
    <w:rsid w:val="009D6B9A"/>
    <w:rsid w:val="009D6CB5"/>
    <w:rsid w:val="009D70AF"/>
    <w:rsid w:val="009D7B0E"/>
    <w:rsid w:val="009D7C12"/>
    <w:rsid w:val="009D7DC3"/>
    <w:rsid w:val="009E15A9"/>
    <w:rsid w:val="009E1863"/>
    <w:rsid w:val="009E259A"/>
    <w:rsid w:val="009E28E5"/>
    <w:rsid w:val="009E4E3C"/>
    <w:rsid w:val="009E59F4"/>
    <w:rsid w:val="009E6AD8"/>
    <w:rsid w:val="009E711E"/>
    <w:rsid w:val="009E731B"/>
    <w:rsid w:val="009E7FA4"/>
    <w:rsid w:val="009F0301"/>
    <w:rsid w:val="009F10A8"/>
    <w:rsid w:val="009F1CC4"/>
    <w:rsid w:val="009F2439"/>
    <w:rsid w:val="009F25EC"/>
    <w:rsid w:val="009F47D4"/>
    <w:rsid w:val="009F5CF6"/>
    <w:rsid w:val="009F6EED"/>
    <w:rsid w:val="009F78F9"/>
    <w:rsid w:val="009F7B30"/>
    <w:rsid w:val="00A000E0"/>
    <w:rsid w:val="00A0014B"/>
    <w:rsid w:val="00A0046A"/>
    <w:rsid w:val="00A008FD"/>
    <w:rsid w:val="00A0134D"/>
    <w:rsid w:val="00A0181B"/>
    <w:rsid w:val="00A029E8"/>
    <w:rsid w:val="00A02C2F"/>
    <w:rsid w:val="00A03745"/>
    <w:rsid w:val="00A0411E"/>
    <w:rsid w:val="00A04306"/>
    <w:rsid w:val="00A051C8"/>
    <w:rsid w:val="00A07237"/>
    <w:rsid w:val="00A075D9"/>
    <w:rsid w:val="00A1059D"/>
    <w:rsid w:val="00A105CF"/>
    <w:rsid w:val="00A14DFB"/>
    <w:rsid w:val="00A16728"/>
    <w:rsid w:val="00A20C76"/>
    <w:rsid w:val="00A217CA"/>
    <w:rsid w:val="00A218AC"/>
    <w:rsid w:val="00A21FD6"/>
    <w:rsid w:val="00A22B4F"/>
    <w:rsid w:val="00A22E33"/>
    <w:rsid w:val="00A22FE8"/>
    <w:rsid w:val="00A231C2"/>
    <w:rsid w:val="00A235C2"/>
    <w:rsid w:val="00A23D3F"/>
    <w:rsid w:val="00A24F50"/>
    <w:rsid w:val="00A254B0"/>
    <w:rsid w:val="00A26333"/>
    <w:rsid w:val="00A26DCC"/>
    <w:rsid w:val="00A26DDC"/>
    <w:rsid w:val="00A309A6"/>
    <w:rsid w:val="00A30D02"/>
    <w:rsid w:val="00A33214"/>
    <w:rsid w:val="00A33622"/>
    <w:rsid w:val="00A3362E"/>
    <w:rsid w:val="00A33E9E"/>
    <w:rsid w:val="00A345F7"/>
    <w:rsid w:val="00A3522D"/>
    <w:rsid w:val="00A3528A"/>
    <w:rsid w:val="00A35E4B"/>
    <w:rsid w:val="00A36E38"/>
    <w:rsid w:val="00A37126"/>
    <w:rsid w:val="00A37888"/>
    <w:rsid w:val="00A4149C"/>
    <w:rsid w:val="00A415B0"/>
    <w:rsid w:val="00A420B3"/>
    <w:rsid w:val="00A4224D"/>
    <w:rsid w:val="00A4280B"/>
    <w:rsid w:val="00A43918"/>
    <w:rsid w:val="00A43A88"/>
    <w:rsid w:val="00A44A80"/>
    <w:rsid w:val="00A50262"/>
    <w:rsid w:val="00A50F99"/>
    <w:rsid w:val="00A52D3A"/>
    <w:rsid w:val="00A53FE2"/>
    <w:rsid w:val="00A54D59"/>
    <w:rsid w:val="00A55A80"/>
    <w:rsid w:val="00A5658E"/>
    <w:rsid w:val="00A5674B"/>
    <w:rsid w:val="00A56F59"/>
    <w:rsid w:val="00A57562"/>
    <w:rsid w:val="00A57AEA"/>
    <w:rsid w:val="00A601D8"/>
    <w:rsid w:val="00A60D31"/>
    <w:rsid w:val="00A61482"/>
    <w:rsid w:val="00A61D70"/>
    <w:rsid w:val="00A61EA1"/>
    <w:rsid w:val="00A620AD"/>
    <w:rsid w:val="00A62966"/>
    <w:rsid w:val="00A62E61"/>
    <w:rsid w:val="00A632CF"/>
    <w:rsid w:val="00A6571E"/>
    <w:rsid w:val="00A660B5"/>
    <w:rsid w:val="00A665D5"/>
    <w:rsid w:val="00A66628"/>
    <w:rsid w:val="00A66AD0"/>
    <w:rsid w:val="00A670D6"/>
    <w:rsid w:val="00A67838"/>
    <w:rsid w:val="00A7062D"/>
    <w:rsid w:val="00A7202E"/>
    <w:rsid w:val="00A74D45"/>
    <w:rsid w:val="00A7534D"/>
    <w:rsid w:val="00A753D8"/>
    <w:rsid w:val="00A83B9B"/>
    <w:rsid w:val="00A841B3"/>
    <w:rsid w:val="00A85929"/>
    <w:rsid w:val="00A85E6C"/>
    <w:rsid w:val="00A8683C"/>
    <w:rsid w:val="00A87315"/>
    <w:rsid w:val="00A87A4E"/>
    <w:rsid w:val="00A87B18"/>
    <w:rsid w:val="00A87E7B"/>
    <w:rsid w:val="00A90FFB"/>
    <w:rsid w:val="00A91E5F"/>
    <w:rsid w:val="00A924A9"/>
    <w:rsid w:val="00A924BD"/>
    <w:rsid w:val="00A941C6"/>
    <w:rsid w:val="00A9445F"/>
    <w:rsid w:val="00A94FDD"/>
    <w:rsid w:val="00A956F1"/>
    <w:rsid w:val="00A95C0C"/>
    <w:rsid w:val="00A95C1F"/>
    <w:rsid w:val="00A95CC0"/>
    <w:rsid w:val="00A968E5"/>
    <w:rsid w:val="00A97905"/>
    <w:rsid w:val="00AA04FA"/>
    <w:rsid w:val="00AA0FA8"/>
    <w:rsid w:val="00AA1CF1"/>
    <w:rsid w:val="00AA2506"/>
    <w:rsid w:val="00AA2791"/>
    <w:rsid w:val="00AA2F5C"/>
    <w:rsid w:val="00AA356D"/>
    <w:rsid w:val="00AA447D"/>
    <w:rsid w:val="00AA44F5"/>
    <w:rsid w:val="00AA5961"/>
    <w:rsid w:val="00AA6B0B"/>
    <w:rsid w:val="00AA7C37"/>
    <w:rsid w:val="00AA7ECD"/>
    <w:rsid w:val="00AB00AC"/>
    <w:rsid w:val="00AB1CD7"/>
    <w:rsid w:val="00AB3693"/>
    <w:rsid w:val="00AB40F4"/>
    <w:rsid w:val="00AB43D2"/>
    <w:rsid w:val="00AB4B5F"/>
    <w:rsid w:val="00AB4DD9"/>
    <w:rsid w:val="00AB6264"/>
    <w:rsid w:val="00AB7D23"/>
    <w:rsid w:val="00AC14AB"/>
    <w:rsid w:val="00AC1E3A"/>
    <w:rsid w:val="00AC29A5"/>
    <w:rsid w:val="00AC3411"/>
    <w:rsid w:val="00AC3848"/>
    <w:rsid w:val="00AC459E"/>
    <w:rsid w:val="00AC57A6"/>
    <w:rsid w:val="00AC63C7"/>
    <w:rsid w:val="00AC7258"/>
    <w:rsid w:val="00AC75BB"/>
    <w:rsid w:val="00AC7B49"/>
    <w:rsid w:val="00AD064A"/>
    <w:rsid w:val="00AD0BD7"/>
    <w:rsid w:val="00AD0F75"/>
    <w:rsid w:val="00AD1344"/>
    <w:rsid w:val="00AD17E7"/>
    <w:rsid w:val="00AD1C10"/>
    <w:rsid w:val="00AD1C24"/>
    <w:rsid w:val="00AD35E4"/>
    <w:rsid w:val="00AD4E62"/>
    <w:rsid w:val="00AD5098"/>
    <w:rsid w:val="00AD53F7"/>
    <w:rsid w:val="00AD6A33"/>
    <w:rsid w:val="00AD757E"/>
    <w:rsid w:val="00AE0704"/>
    <w:rsid w:val="00AE1CA8"/>
    <w:rsid w:val="00AE203B"/>
    <w:rsid w:val="00AE21FD"/>
    <w:rsid w:val="00AE394B"/>
    <w:rsid w:val="00AE5984"/>
    <w:rsid w:val="00AE5AA1"/>
    <w:rsid w:val="00AE5BAD"/>
    <w:rsid w:val="00AE63D5"/>
    <w:rsid w:val="00AE6503"/>
    <w:rsid w:val="00AF0991"/>
    <w:rsid w:val="00AF0EDA"/>
    <w:rsid w:val="00AF2640"/>
    <w:rsid w:val="00AF2836"/>
    <w:rsid w:val="00AF2C0C"/>
    <w:rsid w:val="00AF3136"/>
    <w:rsid w:val="00AF38AB"/>
    <w:rsid w:val="00AF38CE"/>
    <w:rsid w:val="00AF40BE"/>
    <w:rsid w:val="00AF411B"/>
    <w:rsid w:val="00AF693F"/>
    <w:rsid w:val="00AF7CFC"/>
    <w:rsid w:val="00B007F4"/>
    <w:rsid w:val="00B00CD6"/>
    <w:rsid w:val="00B017C8"/>
    <w:rsid w:val="00B02269"/>
    <w:rsid w:val="00B02442"/>
    <w:rsid w:val="00B05520"/>
    <w:rsid w:val="00B05F0A"/>
    <w:rsid w:val="00B06753"/>
    <w:rsid w:val="00B067A2"/>
    <w:rsid w:val="00B078D0"/>
    <w:rsid w:val="00B079B0"/>
    <w:rsid w:val="00B07B43"/>
    <w:rsid w:val="00B07F2A"/>
    <w:rsid w:val="00B1020D"/>
    <w:rsid w:val="00B10FA3"/>
    <w:rsid w:val="00B1123E"/>
    <w:rsid w:val="00B11A43"/>
    <w:rsid w:val="00B12DA8"/>
    <w:rsid w:val="00B13590"/>
    <w:rsid w:val="00B14A0E"/>
    <w:rsid w:val="00B14F8F"/>
    <w:rsid w:val="00B15C30"/>
    <w:rsid w:val="00B15CB2"/>
    <w:rsid w:val="00B17C2A"/>
    <w:rsid w:val="00B21927"/>
    <w:rsid w:val="00B220EF"/>
    <w:rsid w:val="00B22D7A"/>
    <w:rsid w:val="00B23606"/>
    <w:rsid w:val="00B252CF"/>
    <w:rsid w:val="00B2650D"/>
    <w:rsid w:val="00B27128"/>
    <w:rsid w:val="00B27399"/>
    <w:rsid w:val="00B30CD6"/>
    <w:rsid w:val="00B31110"/>
    <w:rsid w:val="00B3120F"/>
    <w:rsid w:val="00B32BD3"/>
    <w:rsid w:val="00B3668D"/>
    <w:rsid w:val="00B4047F"/>
    <w:rsid w:val="00B40E3B"/>
    <w:rsid w:val="00B4141A"/>
    <w:rsid w:val="00B4170E"/>
    <w:rsid w:val="00B42DD1"/>
    <w:rsid w:val="00B43586"/>
    <w:rsid w:val="00B44017"/>
    <w:rsid w:val="00B44BE4"/>
    <w:rsid w:val="00B4590C"/>
    <w:rsid w:val="00B45F43"/>
    <w:rsid w:val="00B46D6C"/>
    <w:rsid w:val="00B5208F"/>
    <w:rsid w:val="00B52D36"/>
    <w:rsid w:val="00B5384E"/>
    <w:rsid w:val="00B53C97"/>
    <w:rsid w:val="00B54D4C"/>
    <w:rsid w:val="00B55495"/>
    <w:rsid w:val="00B60367"/>
    <w:rsid w:val="00B6102F"/>
    <w:rsid w:val="00B615C7"/>
    <w:rsid w:val="00B6407E"/>
    <w:rsid w:val="00B66CA5"/>
    <w:rsid w:val="00B67229"/>
    <w:rsid w:val="00B70DE4"/>
    <w:rsid w:val="00B711C8"/>
    <w:rsid w:val="00B71250"/>
    <w:rsid w:val="00B72720"/>
    <w:rsid w:val="00B73D93"/>
    <w:rsid w:val="00B7637A"/>
    <w:rsid w:val="00B80EA9"/>
    <w:rsid w:val="00B81278"/>
    <w:rsid w:val="00B816A3"/>
    <w:rsid w:val="00B82F36"/>
    <w:rsid w:val="00B84366"/>
    <w:rsid w:val="00B85CDF"/>
    <w:rsid w:val="00B86F6F"/>
    <w:rsid w:val="00B87842"/>
    <w:rsid w:val="00B900B5"/>
    <w:rsid w:val="00B90743"/>
    <w:rsid w:val="00B910F4"/>
    <w:rsid w:val="00B91BFA"/>
    <w:rsid w:val="00B921DF"/>
    <w:rsid w:val="00B9220F"/>
    <w:rsid w:val="00B92676"/>
    <w:rsid w:val="00B92DD7"/>
    <w:rsid w:val="00B936B5"/>
    <w:rsid w:val="00B93856"/>
    <w:rsid w:val="00B95771"/>
    <w:rsid w:val="00B96036"/>
    <w:rsid w:val="00B963BE"/>
    <w:rsid w:val="00B966E9"/>
    <w:rsid w:val="00B96DF9"/>
    <w:rsid w:val="00B97829"/>
    <w:rsid w:val="00BA09C9"/>
    <w:rsid w:val="00BA1B3B"/>
    <w:rsid w:val="00BA1C6B"/>
    <w:rsid w:val="00BA1EF1"/>
    <w:rsid w:val="00BA22E1"/>
    <w:rsid w:val="00BA244E"/>
    <w:rsid w:val="00BA38C6"/>
    <w:rsid w:val="00BA5370"/>
    <w:rsid w:val="00BA58E7"/>
    <w:rsid w:val="00BA5F34"/>
    <w:rsid w:val="00BB01AD"/>
    <w:rsid w:val="00BB02C4"/>
    <w:rsid w:val="00BB08B4"/>
    <w:rsid w:val="00BB0B99"/>
    <w:rsid w:val="00BB0F6D"/>
    <w:rsid w:val="00BB296E"/>
    <w:rsid w:val="00BB2CD3"/>
    <w:rsid w:val="00BB3719"/>
    <w:rsid w:val="00BB4CB0"/>
    <w:rsid w:val="00BB54DB"/>
    <w:rsid w:val="00BB5C5B"/>
    <w:rsid w:val="00BB613A"/>
    <w:rsid w:val="00BB65BC"/>
    <w:rsid w:val="00BB6AE5"/>
    <w:rsid w:val="00BB7DBF"/>
    <w:rsid w:val="00BC070A"/>
    <w:rsid w:val="00BC0CBD"/>
    <w:rsid w:val="00BC13B9"/>
    <w:rsid w:val="00BC24FF"/>
    <w:rsid w:val="00BC3085"/>
    <w:rsid w:val="00BC3279"/>
    <w:rsid w:val="00BC4B4C"/>
    <w:rsid w:val="00BC56D4"/>
    <w:rsid w:val="00BC60DE"/>
    <w:rsid w:val="00BC69E3"/>
    <w:rsid w:val="00BC7020"/>
    <w:rsid w:val="00BD025D"/>
    <w:rsid w:val="00BD1879"/>
    <w:rsid w:val="00BD3667"/>
    <w:rsid w:val="00BD4173"/>
    <w:rsid w:val="00BD4E96"/>
    <w:rsid w:val="00BD5A25"/>
    <w:rsid w:val="00BD610C"/>
    <w:rsid w:val="00BD748D"/>
    <w:rsid w:val="00BD780E"/>
    <w:rsid w:val="00BE022F"/>
    <w:rsid w:val="00BE09C5"/>
    <w:rsid w:val="00BE0C13"/>
    <w:rsid w:val="00BE2215"/>
    <w:rsid w:val="00BE229B"/>
    <w:rsid w:val="00BE2F27"/>
    <w:rsid w:val="00BE345D"/>
    <w:rsid w:val="00BE5CAF"/>
    <w:rsid w:val="00BE63CB"/>
    <w:rsid w:val="00BE6935"/>
    <w:rsid w:val="00BF0A0B"/>
    <w:rsid w:val="00BF0DF9"/>
    <w:rsid w:val="00BF2B52"/>
    <w:rsid w:val="00BF49DA"/>
    <w:rsid w:val="00BF5302"/>
    <w:rsid w:val="00BF5487"/>
    <w:rsid w:val="00BF6F5E"/>
    <w:rsid w:val="00BF7778"/>
    <w:rsid w:val="00C00EE8"/>
    <w:rsid w:val="00C01F53"/>
    <w:rsid w:val="00C057AD"/>
    <w:rsid w:val="00C06128"/>
    <w:rsid w:val="00C06164"/>
    <w:rsid w:val="00C06E35"/>
    <w:rsid w:val="00C075EE"/>
    <w:rsid w:val="00C07787"/>
    <w:rsid w:val="00C079F4"/>
    <w:rsid w:val="00C07DA7"/>
    <w:rsid w:val="00C100D2"/>
    <w:rsid w:val="00C10EF2"/>
    <w:rsid w:val="00C12871"/>
    <w:rsid w:val="00C12F2F"/>
    <w:rsid w:val="00C135F2"/>
    <w:rsid w:val="00C137E0"/>
    <w:rsid w:val="00C14527"/>
    <w:rsid w:val="00C1562E"/>
    <w:rsid w:val="00C15733"/>
    <w:rsid w:val="00C15D44"/>
    <w:rsid w:val="00C166FF"/>
    <w:rsid w:val="00C178FE"/>
    <w:rsid w:val="00C17F79"/>
    <w:rsid w:val="00C20F54"/>
    <w:rsid w:val="00C22BCD"/>
    <w:rsid w:val="00C22ED6"/>
    <w:rsid w:val="00C22EE2"/>
    <w:rsid w:val="00C230BC"/>
    <w:rsid w:val="00C23414"/>
    <w:rsid w:val="00C23BCD"/>
    <w:rsid w:val="00C23E3F"/>
    <w:rsid w:val="00C248D1"/>
    <w:rsid w:val="00C25701"/>
    <w:rsid w:val="00C259E3"/>
    <w:rsid w:val="00C260B9"/>
    <w:rsid w:val="00C27D0E"/>
    <w:rsid w:val="00C31568"/>
    <w:rsid w:val="00C31F9B"/>
    <w:rsid w:val="00C321AE"/>
    <w:rsid w:val="00C3257C"/>
    <w:rsid w:val="00C33E61"/>
    <w:rsid w:val="00C3567C"/>
    <w:rsid w:val="00C357E2"/>
    <w:rsid w:val="00C35931"/>
    <w:rsid w:val="00C36577"/>
    <w:rsid w:val="00C367CD"/>
    <w:rsid w:val="00C4042F"/>
    <w:rsid w:val="00C4054F"/>
    <w:rsid w:val="00C40BC6"/>
    <w:rsid w:val="00C41A20"/>
    <w:rsid w:val="00C43027"/>
    <w:rsid w:val="00C43946"/>
    <w:rsid w:val="00C43B59"/>
    <w:rsid w:val="00C449AF"/>
    <w:rsid w:val="00C44EA8"/>
    <w:rsid w:val="00C450CC"/>
    <w:rsid w:val="00C466CB"/>
    <w:rsid w:val="00C47050"/>
    <w:rsid w:val="00C47CDE"/>
    <w:rsid w:val="00C50FB1"/>
    <w:rsid w:val="00C516A7"/>
    <w:rsid w:val="00C51CA6"/>
    <w:rsid w:val="00C52449"/>
    <w:rsid w:val="00C52A47"/>
    <w:rsid w:val="00C53C43"/>
    <w:rsid w:val="00C54FE0"/>
    <w:rsid w:val="00C55C8C"/>
    <w:rsid w:val="00C57D2F"/>
    <w:rsid w:val="00C638FA"/>
    <w:rsid w:val="00C6531D"/>
    <w:rsid w:val="00C66122"/>
    <w:rsid w:val="00C662AB"/>
    <w:rsid w:val="00C67F6F"/>
    <w:rsid w:val="00C70B9C"/>
    <w:rsid w:val="00C70FFA"/>
    <w:rsid w:val="00C7152E"/>
    <w:rsid w:val="00C71C04"/>
    <w:rsid w:val="00C73766"/>
    <w:rsid w:val="00C75C4B"/>
    <w:rsid w:val="00C75C9B"/>
    <w:rsid w:val="00C76D4C"/>
    <w:rsid w:val="00C772B7"/>
    <w:rsid w:val="00C77A91"/>
    <w:rsid w:val="00C8097E"/>
    <w:rsid w:val="00C83AAD"/>
    <w:rsid w:val="00C84429"/>
    <w:rsid w:val="00C85839"/>
    <w:rsid w:val="00C85D15"/>
    <w:rsid w:val="00C86647"/>
    <w:rsid w:val="00C87617"/>
    <w:rsid w:val="00C87A48"/>
    <w:rsid w:val="00C9140C"/>
    <w:rsid w:val="00C929EA"/>
    <w:rsid w:val="00C92AC4"/>
    <w:rsid w:val="00C96073"/>
    <w:rsid w:val="00C96622"/>
    <w:rsid w:val="00C97EFE"/>
    <w:rsid w:val="00CA16C2"/>
    <w:rsid w:val="00CA1B41"/>
    <w:rsid w:val="00CA20A3"/>
    <w:rsid w:val="00CA25DF"/>
    <w:rsid w:val="00CA2FE3"/>
    <w:rsid w:val="00CA3D28"/>
    <w:rsid w:val="00CA3DFA"/>
    <w:rsid w:val="00CA4E6C"/>
    <w:rsid w:val="00CA4F8C"/>
    <w:rsid w:val="00CA51F5"/>
    <w:rsid w:val="00CA6D37"/>
    <w:rsid w:val="00CB1375"/>
    <w:rsid w:val="00CB16C3"/>
    <w:rsid w:val="00CB182F"/>
    <w:rsid w:val="00CB1FBB"/>
    <w:rsid w:val="00CB28E8"/>
    <w:rsid w:val="00CB3642"/>
    <w:rsid w:val="00CB36B1"/>
    <w:rsid w:val="00CB384D"/>
    <w:rsid w:val="00CB45FB"/>
    <w:rsid w:val="00CB50FB"/>
    <w:rsid w:val="00CB69C0"/>
    <w:rsid w:val="00CB7667"/>
    <w:rsid w:val="00CC0382"/>
    <w:rsid w:val="00CC121A"/>
    <w:rsid w:val="00CC19AC"/>
    <w:rsid w:val="00CC1D21"/>
    <w:rsid w:val="00CC281A"/>
    <w:rsid w:val="00CC2EE6"/>
    <w:rsid w:val="00CC30A9"/>
    <w:rsid w:val="00CC4227"/>
    <w:rsid w:val="00CC49FC"/>
    <w:rsid w:val="00CC50A9"/>
    <w:rsid w:val="00CC5187"/>
    <w:rsid w:val="00CC5287"/>
    <w:rsid w:val="00CD0C55"/>
    <w:rsid w:val="00CD1232"/>
    <w:rsid w:val="00CD21D3"/>
    <w:rsid w:val="00CD34D3"/>
    <w:rsid w:val="00CD3EF8"/>
    <w:rsid w:val="00CD4156"/>
    <w:rsid w:val="00CD4170"/>
    <w:rsid w:val="00CE0A5C"/>
    <w:rsid w:val="00CE0AD8"/>
    <w:rsid w:val="00CE40FD"/>
    <w:rsid w:val="00CE45D7"/>
    <w:rsid w:val="00CE4D65"/>
    <w:rsid w:val="00CE5132"/>
    <w:rsid w:val="00CE5A3E"/>
    <w:rsid w:val="00CE5AB3"/>
    <w:rsid w:val="00CE5F7F"/>
    <w:rsid w:val="00CE6194"/>
    <w:rsid w:val="00CF0633"/>
    <w:rsid w:val="00CF0F56"/>
    <w:rsid w:val="00CF111D"/>
    <w:rsid w:val="00CF1A60"/>
    <w:rsid w:val="00CF23DB"/>
    <w:rsid w:val="00CF2F60"/>
    <w:rsid w:val="00CF3C14"/>
    <w:rsid w:val="00CF4546"/>
    <w:rsid w:val="00CF6E8F"/>
    <w:rsid w:val="00CF6F8C"/>
    <w:rsid w:val="00CF75C7"/>
    <w:rsid w:val="00CF7BFE"/>
    <w:rsid w:val="00D02075"/>
    <w:rsid w:val="00D02A37"/>
    <w:rsid w:val="00D02CD1"/>
    <w:rsid w:val="00D03701"/>
    <w:rsid w:val="00D03CA8"/>
    <w:rsid w:val="00D03E0B"/>
    <w:rsid w:val="00D04169"/>
    <w:rsid w:val="00D04D81"/>
    <w:rsid w:val="00D05810"/>
    <w:rsid w:val="00D0638A"/>
    <w:rsid w:val="00D07117"/>
    <w:rsid w:val="00D07F5E"/>
    <w:rsid w:val="00D10291"/>
    <w:rsid w:val="00D102F2"/>
    <w:rsid w:val="00D10D3C"/>
    <w:rsid w:val="00D1191A"/>
    <w:rsid w:val="00D11B90"/>
    <w:rsid w:val="00D12005"/>
    <w:rsid w:val="00D1261B"/>
    <w:rsid w:val="00D13BF2"/>
    <w:rsid w:val="00D1432F"/>
    <w:rsid w:val="00D153B0"/>
    <w:rsid w:val="00D157BC"/>
    <w:rsid w:val="00D165F8"/>
    <w:rsid w:val="00D16948"/>
    <w:rsid w:val="00D201C8"/>
    <w:rsid w:val="00D205EA"/>
    <w:rsid w:val="00D21C83"/>
    <w:rsid w:val="00D22A21"/>
    <w:rsid w:val="00D230D1"/>
    <w:rsid w:val="00D23CDD"/>
    <w:rsid w:val="00D24E6C"/>
    <w:rsid w:val="00D2693F"/>
    <w:rsid w:val="00D272DC"/>
    <w:rsid w:val="00D301B2"/>
    <w:rsid w:val="00D30215"/>
    <w:rsid w:val="00D323A5"/>
    <w:rsid w:val="00D33446"/>
    <w:rsid w:val="00D3414E"/>
    <w:rsid w:val="00D353B6"/>
    <w:rsid w:val="00D35A43"/>
    <w:rsid w:val="00D36ECA"/>
    <w:rsid w:val="00D37A24"/>
    <w:rsid w:val="00D37CCD"/>
    <w:rsid w:val="00D37E6A"/>
    <w:rsid w:val="00D40C78"/>
    <w:rsid w:val="00D41916"/>
    <w:rsid w:val="00D4309E"/>
    <w:rsid w:val="00D43451"/>
    <w:rsid w:val="00D43AC1"/>
    <w:rsid w:val="00D43BA6"/>
    <w:rsid w:val="00D43CE7"/>
    <w:rsid w:val="00D44391"/>
    <w:rsid w:val="00D44FAB"/>
    <w:rsid w:val="00D46861"/>
    <w:rsid w:val="00D46DEE"/>
    <w:rsid w:val="00D47CCB"/>
    <w:rsid w:val="00D47CEE"/>
    <w:rsid w:val="00D47F87"/>
    <w:rsid w:val="00D519B5"/>
    <w:rsid w:val="00D537C5"/>
    <w:rsid w:val="00D54C3A"/>
    <w:rsid w:val="00D54DB6"/>
    <w:rsid w:val="00D5656E"/>
    <w:rsid w:val="00D57052"/>
    <w:rsid w:val="00D61957"/>
    <w:rsid w:val="00D61E0A"/>
    <w:rsid w:val="00D62056"/>
    <w:rsid w:val="00D62186"/>
    <w:rsid w:val="00D6339E"/>
    <w:rsid w:val="00D63DC6"/>
    <w:rsid w:val="00D66928"/>
    <w:rsid w:val="00D66C27"/>
    <w:rsid w:val="00D6781F"/>
    <w:rsid w:val="00D67A4E"/>
    <w:rsid w:val="00D67DE0"/>
    <w:rsid w:val="00D71E80"/>
    <w:rsid w:val="00D722A4"/>
    <w:rsid w:val="00D72C3F"/>
    <w:rsid w:val="00D73375"/>
    <w:rsid w:val="00D74090"/>
    <w:rsid w:val="00D74C55"/>
    <w:rsid w:val="00D74D4D"/>
    <w:rsid w:val="00D8404C"/>
    <w:rsid w:val="00D84483"/>
    <w:rsid w:val="00D84535"/>
    <w:rsid w:val="00D851C4"/>
    <w:rsid w:val="00D863A7"/>
    <w:rsid w:val="00D86762"/>
    <w:rsid w:val="00D872D0"/>
    <w:rsid w:val="00D87842"/>
    <w:rsid w:val="00D91817"/>
    <w:rsid w:val="00D918ED"/>
    <w:rsid w:val="00D91A24"/>
    <w:rsid w:val="00D92FCE"/>
    <w:rsid w:val="00D931FA"/>
    <w:rsid w:val="00D94321"/>
    <w:rsid w:val="00D94749"/>
    <w:rsid w:val="00D95AB0"/>
    <w:rsid w:val="00D95F9D"/>
    <w:rsid w:val="00DA0CAE"/>
    <w:rsid w:val="00DA14A4"/>
    <w:rsid w:val="00DA18F0"/>
    <w:rsid w:val="00DA2D7C"/>
    <w:rsid w:val="00DA335A"/>
    <w:rsid w:val="00DA3D6F"/>
    <w:rsid w:val="00DA47F1"/>
    <w:rsid w:val="00DA4C56"/>
    <w:rsid w:val="00DA6C7B"/>
    <w:rsid w:val="00DB1EA8"/>
    <w:rsid w:val="00DB33FB"/>
    <w:rsid w:val="00DB342E"/>
    <w:rsid w:val="00DB45F5"/>
    <w:rsid w:val="00DB489A"/>
    <w:rsid w:val="00DB4E71"/>
    <w:rsid w:val="00DB595C"/>
    <w:rsid w:val="00DB63EE"/>
    <w:rsid w:val="00DB6537"/>
    <w:rsid w:val="00DB6FDA"/>
    <w:rsid w:val="00DB7558"/>
    <w:rsid w:val="00DC1B8F"/>
    <w:rsid w:val="00DC3473"/>
    <w:rsid w:val="00DC4687"/>
    <w:rsid w:val="00DC4981"/>
    <w:rsid w:val="00DC544F"/>
    <w:rsid w:val="00DC5DCA"/>
    <w:rsid w:val="00DC64ED"/>
    <w:rsid w:val="00DC67B6"/>
    <w:rsid w:val="00DC689C"/>
    <w:rsid w:val="00DC7BD3"/>
    <w:rsid w:val="00DD1285"/>
    <w:rsid w:val="00DD3634"/>
    <w:rsid w:val="00DD3DB5"/>
    <w:rsid w:val="00DD4837"/>
    <w:rsid w:val="00DE03F3"/>
    <w:rsid w:val="00DE1878"/>
    <w:rsid w:val="00DE225E"/>
    <w:rsid w:val="00DE3AB6"/>
    <w:rsid w:val="00DE56DD"/>
    <w:rsid w:val="00DE5BA2"/>
    <w:rsid w:val="00DE5D83"/>
    <w:rsid w:val="00DE63E6"/>
    <w:rsid w:val="00DE6C5D"/>
    <w:rsid w:val="00DE78DB"/>
    <w:rsid w:val="00DE7CE0"/>
    <w:rsid w:val="00DF0003"/>
    <w:rsid w:val="00DF0536"/>
    <w:rsid w:val="00DF0F61"/>
    <w:rsid w:val="00DF2CEA"/>
    <w:rsid w:val="00DF3A13"/>
    <w:rsid w:val="00DF3BF9"/>
    <w:rsid w:val="00DF684F"/>
    <w:rsid w:val="00DF6B8A"/>
    <w:rsid w:val="00DF7B92"/>
    <w:rsid w:val="00E03B6B"/>
    <w:rsid w:val="00E04E0C"/>
    <w:rsid w:val="00E0541C"/>
    <w:rsid w:val="00E11A1F"/>
    <w:rsid w:val="00E126E5"/>
    <w:rsid w:val="00E1273C"/>
    <w:rsid w:val="00E12A1B"/>
    <w:rsid w:val="00E12BB6"/>
    <w:rsid w:val="00E12C1A"/>
    <w:rsid w:val="00E1409B"/>
    <w:rsid w:val="00E1421B"/>
    <w:rsid w:val="00E14B1F"/>
    <w:rsid w:val="00E15357"/>
    <w:rsid w:val="00E156B1"/>
    <w:rsid w:val="00E16093"/>
    <w:rsid w:val="00E1611B"/>
    <w:rsid w:val="00E16334"/>
    <w:rsid w:val="00E2010C"/>
    <w:rsid w:val="00E213B9"/>
    <w:rsid w:val="00E213D6"/>
    <w:rsid w:val="00E21848"/>
    <w:rsid w:val="00E21C31"/>
    <w:rsid w:val="00E21FBE"/>
    <w:rsid w:val="00E22250"/>
    <w:rsid w:val="00E247B4"/>
    <w:rsid w:val="00E25678"/>
    <w:rsid w:val="00E276E7"/>
    <w:rsid w:val="00E303B1"/>
    <w:rsid w:val="00E30C2F"/>
    <w:rsid w:val="00E3106B"/>
    <w:rsid w:val="00E31F85"/>
    <w:rsid w:val="00E324C3"/>
    <w:rsid w:val="00E3304C"/>
    <w:rsid w:val="00E3343B"/>
    <w:rsid w:val="00E33C03"/>
    <w:rsid w:val="00E342D9"/>
    <w:rsid w:val="00E34C06"/>
    <w:rsid w:val="00E35226"/>
    <w:rsid w:val="00E357F0"/>
    <w:rsid w:val="00E411BD"/>
    <w:rsid w:val="00E416DB"/>
    <w:rsid w:val="00E41FA0"/>
    <w:rsid w:val="00E4202C"/>
    <w:rsid w:val="00E42967"/>
    <w:rsid w:val="00E42A39"/>
    <w:rsid w:val="00E42B60"/>
    <w:rsid w:val="00E42C50"/>
    <w:rsid w:val="00E42DCE"/>
    <w:rsid w:val="00E42E53"/>
    <w:rsid w:val="00E44737"/>
    <w:rsid w:val="00E45065"/>
    <w:rsid w:val="00E46261"/>
    <w:rsid w:val="00E46346"/>
    <w:rsid w:val="00E467D4"/>
    <w:rsid w:val="00E46ADE"/>
    <w:rsid w:val="00E50275"/>
    <w:rsid w:val="00E51381"/>
    <w:rsid w:val="00E52C7B"/>
    <w:rsid w:val="00E52DF7"/>
    <w:rsid w:val="00E53C43"/>
    <w:rsid w:val="00E54C30"/>
    <w:rsid w:val="00E5579E"/>
    <w:rsid w:val="00E55865"/>
    <w:rsid w:val="00E5681D"/>
    <w:rsid w:val="00E569D2"/>
    <w:rsid w:val="00E5779B"/>
    <w:rsid w:val="00E578B1"/>
    <w:rsid w:val="00E579DD"/>
    <w:rsid w:val="00E57CA5"/>
    <w:rsid w:val="00E57F30"/>
    <w:rsid w:val="00E6098A"/>
    <w:rsid w:val="00E61079"/>
    <w:rsid w:val="00E610AA"/>
    <w:rsid w:val="00E614F6"/>
    <w:rsid w:val="00E62D60"/>
    <w:rsid w:val="00E63A8D"/>
    <w:rsid w:val="00E63CC2"/>
    <w:rsid w:val="00E64BE0"/>
    <w:rsid w:val="00E64C63"/>
    <w:rsid w:val="00E66330"/>
    <w:rsid w:val="00E67085"/>
    <w:rsid w:val="00E711B3"/>
    <w:rsid w:val="00E71212"/>
    <w:rsid w:val="00E717DC"/>
    <w:rsid w:val="00E71D9D"/>
    <w:rsid w:val="00E72745"/>
    <w:rsid w:val="00E72C68"/>
    <w:rsid w:val="00E72D7B"/>
    <w:rsid w:val="00E74033"/>
    <w:rsid w:val="00E75712"/>
    <w:rsid w:val="00E75831"/>
    <w:rsid w:val="00E763DD"/>
    <w:rsid w:val="00E76C99"/>
    <w:rsid w:val="00E76F82"/>
    <w:rsid w:val="00E7715E"/>
    <w:rsid w:val="00E7771B"/>
    <w:rsid w:val="00E80B1A"/>
    <w:rsid w:val="00E82ACB"/>
    <w:rsid w:val="00E82FCC"/>
    <w:rsid w:val="00E83DA3"/>
    <w:rsid w:val="00E83E4E"/>
    <w:rsid w:val="00E84233"/>
    <w:rsid w:val="00E85E2B"/>
    <w:rsid w:val="00E86F76"/>
    <w:rsid w:val="00E86FBE"/>
    <w:rsid w:val="00E87052"/>
    <w:rsid w:val="00E87556"/>
    <w:rsid w:val="00E902F4"/>
    <w:rsid w:val="00E90532"/>
    <w:rsid w:val="00E9077F"/>
    <w:rsid w:val="00E9148F"/>
    <w:rsid w:val="00E91E47"/>
    <w:rsid w:val="00E922A7"/>
    <w:rsid w:val="00E92CDD"/>
    <w:rsid w:val="00E93FF7"/>
    <w:rsid w:val="00E943DE"/>
    <w:rsid w:val="00E9470B"/>
    <w:rsid w:val="00E9526C"/>
    <w:rsid w:val="00E957EF"/>
    <w:rsid w:val="00E96676"/>
    <w:rsid w:val="00E96F50"/>
    <w:rsid w:val="00E97053"/>
    <w:rsid w:val="00E97AAE"/>
    <w:rsid w:val="00EA0882"/>
    <w:rsid w:val="00EA0E56"/>
    <w:rsid w:val="00EA127C"/>
    <w:rsid w:val="00EA2104"/>
    <w:rsid w:val="00EA2DD2"/>
    <w:rsid w:val="00EA2DED"/>
    <w:rsid w:val="00EA6B58"/>
    <w:rsid w:val="00EA7B0C"/>
    <w:rsid w:val="00EA7DD5"/>
    <w:rsid w:val="00EB0143"/>
    <w:rsid w:val="00EB05CF"/>
    <w:rsid w:val="00EB06A1"/>
    <w:rsid w:val="00EB0DC0"/>
    <w:rsid w:val="00EB2D63"/>
    <w:rsid w:val="00EB3A1D"/>
    <w:rsid w:val="00EB452A"/>
    <w:rsid w:val="00EB56FD"/>
    <w:rsid w:val="00EB5C36"/>
    <w:rsid w:val="00EB6983"/>
    <w:rsid w:val="00EB6D02"/>
    <w:rsid w:val="00EB70CF"/>
    <w:rsid w:val="00EB717E"/>
    <w:rsid w:val="00EC0326"/>
    <w:rsid w:val="00EC0F4D"/>
    <w:rsid w:val="00EC3BC2"/>
    <w:rsid w:val="00EC4D55"/>
    <w:rsid w:val="00EC566E"/>
    <w:rsid w:val="00EC57F8"/>
    <w:rsid w:val="00EC5FBB"/>
    <w:rsid w:val="00EC6D52"/>
    <w:rsid w:val="00EC74EE"/>
    <w:rsid w:val="00EC7C5C"/>
    <w:rsid w:val="00EC7DA6"/>
    <w:rsid w:val="00EC7DB6"/>
    <w:rsid w:val="00ED13FF"/>
    <w:rsid w:val="00ED238C"/>
    <w:rsid w:val="00ED2D80"/>
    <w:rsid w:val="00ED40B0"/>
    <w:rsid w:val="00ED41B5"/>
    <w:rsid w:val="00ED48C7"/>
    <w:rsid w:val="00ED5499"/>
    <w:rsid w:val="00ED5592"/>
    <w:rsid w:val="00ED69B2"/>
    <w:rsid w:val="00EE0E5B"/>
    <w:rsid w:val="00EE1095"/>
    <w:rsid w:val="00EE16C5"/>
    <w:rsid w:val="00EE1A6D"/>
    <w:rsid w:val="00EE2819"/>
    <w:rsid w:val="00EE34BB"/>
    <w:rsid w:val="00EE38A1"/>
    <w:rsid w:val="00EE3CCC"/>
    <w:rsid w:val="00EE5145"/>
    <w:rsid w:val="00EE5596"/>
    <w:rsid w:val="00EE67B3"/>
    <w:rsid w:val="00EE6DEF"/>
    <w:rsid w:val="00EE71CB"/>
    <w:rsid w:val="00EE7832"/>
    <w:rsid w:val="00EF08D8"/>
    <w:rsid w:val="00EF1628"/>
    <w:rsid w:val="00EF1B2A"/>
    <w:rsid w:val="00EF1D52"/>
    <w:rsid w:val="00EF335B"/>
    <w:rsid w:val="00EF3F67"/>
    <w:rsid w:val="00EF418C"/>
    <w:rsid w:val="00EF4B47"/>
    <w:rsid w:val="00EF537E"/>
    <w:rsid w:val="00EF650A"/>
    <w:rsid w:val="00EF69C4"/>
    <w:rsid w:val="00EF6A70"/>
    <w:rsid w:val="00EF6C92"/>
    <w:rsid w:val="00EF718D"/>
    <w:rsid w:val="00F017CC"/>
    <w:rsid w:val="00F02967"/>
    <w:rsid w:val="00F03746"/>
    <w:rsid w:val="00F039B0"/>
    <w:rsid w:val="00F042B4"/>
    <w:rsid w:val="00F0585E"/>
    <w:rsid w:val="00F06CC8"/>
    <w:rsid w:val="00F079F7"/>
    <w:rsid w:val="00F07B27"/>
    <w:rsid w:val="00F07F0B"/>
    <w:rsid w:val="00F07F92"/>
    <w:rsid w:val="00F100B0"/>
    <w:rsid w:val="00F1087E"/>
    <w:rsid w:val="00F1208D"/>
    <w:rsid w:val="00F12B86"/>
    <w:rsid w:val="00F13DCC"/>
    <w:rsid w:val="00F14B37"/>
    <w:rsid w:val="00F164F2"/>
    <w:rsid w:val="00F16B7B"/>
    <w:rsid w:val="00F17480"/>
    <w:rsid w:val="00F174E2"/>
    <w:rsid w:val="00F178CE"/>
    <w:rsid w:val="00F20177"/>
    <w:rsid w:val="00F2062F"/>
    <w:rsid w:val="00F20BE3"/>
    <w:rsid w:val="00F20DA5"/>
    <w:rsid w:val="00F2144B"/>
    <w:rsid w:val="00F2407E"/>
    <w:rsid w:val="00F24ED0"/>
    <w:rsid w:val="00F25286"/>
    <w:rsid w:val="00F26C0F"/>
    <w:rsid w:val="00F27759"/>
    <w:rsid w:val="00F30911"/>
    <w:rsid w:val="00F30BAC"/>
    <w:rsid w:val="00F3155C"/>
    <w:rsid w:val="00F31787"/>
    <w:rsid w:val="00F330DC"/>
    <w:rsid w:val="00F338AA"/>
    <w:rsid w:val="00F3547A"/>
    <w:rsid w:val="00F35B18"/>
    <w:rsid w:val="00F36078"/>
    <w:rsid w:val="00F36917"/>
    <w:rsid w:val="00F36B1F"/>
    <w:rsid w:val="00F37821"/>
    <w:rsid w:val="00F37A22"/>
    <w:rsid w:val="00F4184A"/>
    <w:rsid w:val="00F41873"/>
    <w:rsid w:val="00F42868"/>
    <w:rsid w:val="00F43579"/>
    <w:rsid w:val="00F437DF"/>
    <w:rsid w:val="00F442F4"/>
    <w:rsid w:val="00F452E5"/>
    <w:rsid w:val="00F4700E"/>
    <w:rsid w:val="00F4712D"/>
    <w:rsid w:val="00F47646"/>
    <w:rsid w:val="00F5036C"/>
    <w:rsid w:val="00F51A36"/>
    <w:rsid w:val="00F53773"/>
    <w:rsid w:val="00F557BB"/>
    <w:rsid w:val="00F5619F"/>
    <w:rsid w:val="00F56CE4"/>
    <w:rsid w:val="00F5786D"/>
    <w:rsid w:val="00F60D7E"/>
    <w:rsid w:val="00F612FC"/>
    <w:rsid w:val="00F61E4F"/>
    <w:rsid w:val="00F61F49"/>
    <w:rsid w:val="00F6232C"/>
    <w:rsid w:val="00F627DD"/>
    <w:rsid w:val="00F62F6C"/>
    <w:rsid w:val="00F64EB6"/>
    <w:rsid w:val="00F6502D"/>
    <w:rsid w:val="00F655B5"/>
    <w:rsid w:val="00F6591C"/>
    <w:rsid w:val="00F66480"/>
    <w:rsid w:val="00F67AE1"/>
    <w:rsid w:val="00F70031"/>
    <w:rsid w:val="00F70578"/>
    <w:rsid w:val="00F70834"/>
    <w:rsid w:val="00F70850"/>
    <w:rsid w:val="00F709D3"/>
    <w:rsid w:val="00F70F52"/>
    <w:rsid w:val="00F73834"/>
    <w:rsid w:val="00F762C4"/>
    <w:rsid w:val="00F76BE4"/>
    <w:rsid w:val="00F772CC"/>
    <w:rsid w:val="00F77C62"/>
    <w:rsid w:val="00F802C1"/>
    <w:rsid w:val="00F8052D"/>
    <w:rsid w:val="00F80AF8"/>
    <w:rsid w:val="00F82C56"/>
    <w:rsid w:val="00F831F3"/>
    <w:rsid w:val="00F836A4"/>
    <w:rsid w:val="00F841A6"/>
    <w:rsid w:val="00F85505"/>
    <w:rsid w:val="00F85763"/>
    <w:rsid w:val="00F8591A"/>
    <w:rsid w:val="00F85B77"/>
    <w:rsid w:val="00F86D85"/>
    <w:rsid w:val="00F874DB"/>
    <w:rsid w:val="00F87816"/>
    <w:rsid w:val="00F90C26"/>
    <w:rsid w:val="00F9269A"/>
    <w:rsid w:val="00F93D53"/>
    <w:rsid w:val="00F948E3"/>
    <w:rsid w:val="00F94DAA"/>
    <w:rsid w:val="00F94F50"/>
    <w:rsid w:val="00F9652F"/>
    <w:rsid w:val="00F978E9"/>
    <w:rsid w:val="00FA0A3B"/>
    <w:rsid w:val="00FA0B15"/>
    <w:rsid w:val="00FA1DD3"/>
    <w:rsid w:val="00FA1F55"/>
    <w:rsid w:val="00FA1FFB"/>
    <w:rsid w:val="00FA2BB6"/>
    <w:rsid w:val="00FA2CD3"/>
    <w:rsid w:val="00FA39F7"/>
    <w:rsid w:val="00FA4824"/>
    <w:rsid w:val="00FA49B2"/>
    <w:rsid w:val="00FA4DC9"/>
    <w:rsid w:val="00FA57D4"/>
    <w:rsid w:val="00FA5E5A"/>
    <w:rsid w:val="00FB081F"/>
    <w:rsid w:val="00FB1506"/>
    <w:rsid w:val="00FB170F"/>
    <w:rsid w:val="00FB1901"/>
    <w:rsid w:val="00FB1F72"/>
    <w:rsid w:val="00FB2104"/>
    <w:rsid w:val="00FB2613"/>
    <w:rsid w:val="00FB439D"/>
    <w:rsid w:val="00FB499C"/>
    <w:rsid w:val="00FB5FDD"/>
    <w:rsid w:val="00FB65B7"/>
    <w:rsid w:val="00FB6E61"/>
    <w:rsid w:val="00FB7C58"/>
    <w:rsid w:val="00FC0BD6"/>
    <w:rsid w:val="00FC0EE5"/>
    <w:rsid w:val="00FC1700"/>
    <w:rsid w:val="00FC196E"/>
    <w:rsid w:val="00FC1A9C"/>
    <w:rsid w:val="00FC263A"/>
    <w:rsid w:val="00FC37BF"/>
    <w:rsid w:val="00FC4366"/>
    <w:rsid w:val="00FC51D1"/>
    <w:rsid w:val="00FC5E63"/>
    <w:rsid w:val="00FC6317"/>
    <w:rsid w:val="00FC6D2B"/>
    <w:rsid w:val="00FD1145"/>
    <w:rsid w:val="00FD1CBA"/>
    <w:rsid w:val="00FD2F56"/>
    <w:rsid w:val="00FD4245"/>
    <w:rsid w:val="00FD5388"/>
    <w:rsid w:val="00FD53A6"/>
    <w:rsid w:val="00FD559B"/>
    <w:rsid w:val="00FD673F"/>
    <w:rsid w:val="00FD7F9E"/>
    <w:rsid w:val="00FE08BB"/>
    <w:rsid w:val="00FE1048"/>
    <w:rsid w:val="00FE1882"/>
    <w:rsid w:val="00FE3094"/>
    <w:rsid w:val="00FE3D42"/>
    <w:rsid w:val="00FE489D"/>
    <w:rsid w:val="00FE5DB2"/>
    <w:rsid w:val="00FE6B43"/>
    <w:rsid w:val="00FE6DC6"/>
    <w:rsid w:val="00FE7344"/>
    <w:rsid w:val="00FF0487"/>
    <w:rsid w:val="00FF089E"/>
    <w:rsid w:val="00FF0F72"/>
    <w:rsid w:val="00FF1585"/>
    <w:rsid w:val="00FF1E0C"/>
    <w:rsid w:val="00FF2678"/>
    <w:rsid w:val="00FF2864"/>
    <w:rsid w:val="00FF3171"/>
    <w:rsid w:val="00FF3F79"/>
    <w:rsid w:val="00FF436A"/>
    <w:rsid w:val="00FF4B34"/>
    <w:rsid w:val="00FF50FD"/>
    <w:rsid w:val="00FF699C"/>
    <w:rsid w:val="00FF6AC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3B6E"/>
  <w15:docId w15:val="{E81EC8C1-3D08-4A52-A897-51618D28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line="276" w:lineRule="auto"/>
        <w:ind w:firstLine="65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6"/>
    <w:rPr>
      <w:rFonts w:ascii="Times New Roman" w:eastAsia="Times New Roman" w:hAnsi="Times New Roman" w:cs="Times New Roman"/>
      <w:lang w:val="sk-SK"/>
    </w:rPr>
  </w:style>
  <w:style w:type="paragraph" w:styleId="Nadpis1">
    <w:name w:val="heading 1"/>
    <w:aliases w:val="h1,Heading 11111"/>
    <w:basedOn w:val="Normlny"/>
    <w:link w:val="Nadpis1Char"/>
    <w:qFormat/>
    <w:rsid w:val="00094A03"/>
    <w:pPr>
      <w:spacing w:before="100" w:beforeAutospacing="1" w:after="100" w:afterAutospacing="1"/>
      <w:outlineLvl w:val="0"/>
    </w:pPr>
    <w:rPr>
      <w:b/>
      <w:bCs/>
      <w:kern w:val="36"/>
      <w:sz w:val="48"/>
      <w:szCs w:val="48"/>
      <w:lang w:eastAsia="sk-SK"/>
    </w:rPr>
  </w:style>
  <w:style w:type="paragraph" w:styleId="Nadpis2">
    <w:name w:val="heading 2"/>
    <w:aliases w:val="h2,h2 main heading,B Sub/Bold"/>
    <w:basedOn w:val="Normlny"/>
    <w:next w:val="Normlny"/>
    <w:link w:val="Nadpis2Char"/>
    <w:unhideWhenUsed/>
    <w:qFormat/>
    <w:rsid w:val="006846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
    <w:basedOn w:val="Normlny"/>
    <w:next w:val="Normlny"/>
    <w:link w:val="Nadpis3Char"/>
    <w:unhideWhenUsed/>
    <w:qFormat/>
    <w:rsid w:val="00CA3DFA"/>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aliases w:val="h4"/>
    <w:basedOn w:val="Nadpis1"/>
    <w:next w:val="Normlny"/>
    <w:link w:val="Nadpis4Char"/>
    <w:qFormat/>
    <w:rsid w:val="00434541"/>
    <w:pPr>
      <w:keepNext/>
      <w:widowControl w:val="0"/>
      <w:tabs>
        <w:tab w:val="left" w:pos="720"/>
      </w:tabs>
      <w:autoSpaceDE w:val="0"/>
      <w:autoSpaceDN w:val="0"/>
      <w:adjustRightInd w:val="0"/>
      <w:spacing w:before="0" w:beforeAutospacing="0" w:after="240" w:afterAutospacing="0" w:line="240" w:lineRule="exact"/>
      <w:ind w:left="864" w:hanging="864"/>
      <w:jc w:val="left"/>
      <w:outlineLvl w:val="3"/>
    </w:pPr>
    <w:rPr>
      <w:rFonts w:ascii="EYInterstate Light" w:hAnsi="EYInterstate Light"/>
      <w:color w:val="000000"/>
      <w:kern w:val="0"/>
      <w:sz w:val="20"/>
      <w:szCs w:val="24"/>
      <w:lang w:val="en-US" w:eastAsia="en-US"/>
    </w:rPr>
  </w:style>
  <w:style w:type="paragraph" w:styleId="Nadpis5">
    <w:name w:val="heading 5"/>
    <w:basedOn w:val="Normlny"/>
    <w:next w:val="Normlny"/>
    <w:link w:val="Nadpis5Char"/>
    <w:semiHidden/>
    <w:unhideWhenUsed/>
    <w:qFormat/>
    <w:rsid w:val="00434541"/>
    <w:pPr>
      <w:keepNext/>
      <w:keepLines/>
      <w:spacing w:before="40" w:after="0"/>
      <w:outlineLvl w:val="4"/>
    </w:pPr>
    <w:rPr>
      <w:rFonts w:ascii="Cambria" w:hAnsi="Cambria"/>
      <w:color w:val="365F91"/>
      <w:szCs w:val="20"/>
      <w:lang w:val="en-US"/>
    </w:rPr>
  </w:style>
  <w:style w:type="paragraph" w:styleId="Nadpis6">
    <w:name w:val="heading 6"/>
    <w:basedOn w:val="Normlny"/>
    <w:next w:val="Normlny"/>
    <w:link w:val="Nadpis6Char"/>
    <w:semiHidden/>
    <w:unhideWhenUsed/>
    <w:qFormat/>
    <w:rsid w:val="00434541"/>
    <w:pPr>
      <w:keepNext/>
      <w:keepLines/>
      <w:spacing w:before="40" w:after="0"/>
      <w:outlineLvl w:val="5"/>
    </w:pPr>
    <w:rPr>
      <w:rFonts w:ascii="Cambria" w:hAnsi="Cambria"/>
      <w:color w:val="243F60"/>
      <w:szCs w:val="20"/>
      <w:lang w:val="en-US"/>
    </w:rPr>
  </w:style>
  <w:style w:type="paragraph" w:styleId="Nadpis7">
    <w:name w:val="heading 7"/>
    <w:basedOn w:val="Normlny"/>
    <w:next w:val="Normlny"/>
    <w:link w:val="Nadpis7Char"/>
    <w:semiHidden/>
    <w:unhideWhenUsed/>
    <w:qFormat/>
    <w:rsid w:val="00434541"/>
    <w:pPr>
      <w:keepNext/>
      <w:keepLines/>
      <w:spacing w:before="40" w:after="0"/>
      <w:outlineLvl w:val="6"/>
    </w:pPr>
    <w:rPr>
      <w:rFonts w:ascii="Cambria" w:hAnsi="Cambria"/>
      <w:i/>
      <w:iCs/>
      <w:color w:val="243F60"/>
      <w:szCs w:val="20"/>
      <w:lang w:val="en-US"/>
    </w:rPr>
  </w:style>
  <w:style w:type="paragraph" w:styleId="Nadpis8">
    <w:name w:val="heading 8"/>
    <w:basedOn w:val="Normlny"/>
    <w:next w:val="Normlny"/>
    <w:link w:val="Nadpis8Char"/>
    <w:semiHidden/>
    <w:unhideWhenUsed/>
    <w:qFormat/>
    <w:rsid w:val="00434541"/>
    <w:pPr>
      <w:keepNext/>
      <w:keepLines/>
      <w:spacing w:before="40" w:after="0"/>
      <w:outlineLvl w:val="7"/>
    </w:pPr>
    <w:rPr>
      <w:rFonts w:ascii="Cambria" w:hAnsi="Cambria"/>
      <w:color w:val="272727"/>
      <w:sz w:val="21"/>
      <w:szCs w:val="21"/>
      <w:lang w:val="en-US"/>
    </w:rPr>
  </w:style>
  <w:style w:type="paragraph" w:styleId="Nadpis9">
    <w:name w:val="heading 9"/>
    <w:basedOn w:val="Normlny"/>
    <w:next w:val="Normlny"/>
    <w:link w:val="Nadpis9Char"/>
    <w:semiHidden/>
    <w:unhideWhenUsed/>
    <w:qFormat/>
    <w:rsid w:val="00434541"/>
    <w:pPr>
      <w:keepNext/>
      <w:keepLines/>
      <w:spacing w:before="40" w:after="0"/>
      <w:outlineLvl w:val="8"/>
    </w:pPr>
    <w:rPr>
      <w:rFonts w:ascii="Cambria" w:hAnsi="Cambria"/>
      <w:i/>
      <w:iCs/>
      <w:color w:val="272727"/>
      <w:sz w:val="21"/>
      <w:szCs w:val="21"/>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C2A"/>
    <w:pPr>
      <w:ind w:left="720"/>
      <w:contextualSpacing/>
    </w:pPr>
    <w:rPr>
      <w:rFonts w:asciiTheme="minorHAnsi" w:hAnsiTheme="minorHAnsi" w:cstheme="minorBidi"/>
    </w:rPr>
  </w:style>
  <w:style w:type="paragraph" w:styleId="Textpoznmkypodiarou">
    <w:name w:val="footnote text"/>
    <w:basedOn w:val="Normlny"/>
    <w:link w:val="TextpoznmkypodiarouChar"/>
    <w:uiPriority w:val="99"/>
    <w:unhideWhenUsed/>
    <w:rsid w:val="00670FEB"/>
    <w:rPr>
      <w:rFonts w:asciiTheme="minorHAnsi" w:hAnsiTheme="minorHAnsi" w:cstheme="minorBidi"/>
    </w:rPr>
  </w:style>
  <w:style w:type="character" w:customStyle="1" w:styleId="TextpoznmkypodiarouChar">
    <w:name w:val="Text poznámky pod čiarou Char"/>
    <w:basedOn w:val="Predvolenpsmoodseku"/>
    <w:link w:val="Textpoznmkypodiarou"/>
    <w:uiPriority w:val="99"/>
    <w:rsid w:val="00670FEB"/>
  </w:style>
  <w:style w:type="character" w:styleId="Odkaznapoznmkupodiarou">
    <w:name w:val="footnote reference"/>
    <w:basedOn w:val="Predvolenpsmoodseku"/>
    <w:uiPriority w:val="99"/>
    <w:unhideWhenUsed/>
    <w:rsid w:val="00670FEB"/>
    <w:rPr>
      <w:vertAlign w:val="superscript"/>
    </w:rPr>
  </w:style>
  <w:style w:type="paragraph" w:customStyle="1" w:styleId="p1">
    <w:name w:val="p1"/>
    <w:basedOn w:val="Normlny"/>
    <w:rsid w:val="00373576"/>
    <w:rPr>
      <w:rFonts w:ascii="Helvetica" w:hAnsi="Helvetica"/>
      <w:sz w:val="14"/>
      <w:szCs w:val="14"/>
    </w:rPr>
  </w:style>
  <w:style w:type="character" w:customStyle="1" w:styleId="s1">
    <w:name w:val="s1"/>
    <w:basedOn w:val="Predvolenpsmoodseku"/>
    <w:rsid w:val="00373576"/>
    <w:rPr>
      <w:rFonts w:ascii="Helvetica" w:hAnsi="Helvetica" w:hint="default"/>
      <w:sz w:val="13"/>
      <w:szCs w:val="13"/>
    </w:rPr>
  </w:style>
  <w:style w:type="character" w:customStyle="1" w:styleId="apple-converted-space">
    <w:name w:val="apple-converted-space"/>
    <w:basedOn w:val="Predvolenpsmoodseku"/>
    <w:rsid w:val="00373576"/>
  </w:style>
  <w:style w:type="character" w:styleId="Odkaznakomentr">
    <w:name w:val="annotation reference"/>
    <w:basedOn w:val="Predvolenpsmoodseku"/>
    <w:uiPriority w:val="99"/>
    <w:unhideWhenUsed/>
    <w:rsid w:val="00D84483"/>
    <w:rPr>
      <w:sz w:val="18"/>
      <w:szCs w:val="18"/>
    </w:rPr>
  </w:style>
  <w:style w:type="paragraph" w:styleId="Textkomentra">
    <w:name w:val="annotation text"/>
    <w:basedOn w:val="Normlny"/>
    <w:link w:val="TextkomentraChar"/>
    <w:uiPriority w:val="99"/>
    <w:unhideWhenUsed/>
    <w:rsid w:val="005A5ABF"/>
    <w:rPr>
      <w:rFonts w:asciiTheme="minorHAnsi" w:hAnsiTheme="minorHAnsi" w:cstheme="minorBidi"/>
    </w:rPr>
  </w:style>
  <w:style w:type="character" w:customStyle="1" w:styleId="TextkomentraChar">
    <w:name w:val="Text komentára Char"/>
    <w:basedOn w:val="Predvolenpsmoodseku"/>
    <w:link w:val="Textkomentra"/>
    <w:uiPriority w:val="99"/>
    <w:rsid w:val="005A5ABF"/>
    <w:rPr>
      <w:rFonts w:eastAsia="Times New Roman"/>
      <w:lang w:val="sk-SK"/>
    </w:rPr>
  </w:style>
  <w:style w:type="paragraph" w:styleId="Predmetkomentra">
    <w:name w:val="annotation subject"/>
    <w:basedOn w:val="Textkomentra"/>
    <w:next w:val="Textkomentra"/>
    <w:link w:val="PredmetkomentraChar"/>
    <w:uiPriority w:val="99"/>
    <w:semiHidden/>
    <w:unhideWhenUsed/>
    <w:rsid w:val="00D84483"/>
    <w:rPr>
      <w:b/>
      <w:bCs/>
      <w:sz w:val="20"/>
      <w:szCs w:val="20"/>
    </w:rPr>
  </w:style>
  <w:style w:type="character" w:customStyle="1" w:styleId="PredmetkomentraChar">
    <w:name w:val="Predmet komentára Char"/>
    <w:basedOn w:val="TextkomentraChar"/>
    <w:link w:val="Predmetkomentra"/>
    <w:uiPriority w:val="99"/>
    <w:semiHidden/>
    <w:rsid w:val="00D84483"/>
    <w:rPr>
      <w:rFonts w:eastAsia="Times New Roman"/>
      <w:b/>
      <w:bCs/>
      <w:sz w:val="20"/>
      <w:szCs w:val="20"/>
      <w:lang w:val="sk-SK"/>
    </w:rPr>
  </w:style>
  <w:style w:type="paragraph" w:styleId="Textbubliny">
    <w:name w:val="Balloon Text"/>
    <w:basedOn w:val="Normlny"/>
    <w:link w:val="TextbublinyChar"/>
    <w:uiPriority w:val="99"/>
    <w:semiHidden/>
    <w:unhideWhenUsed/>
    <w:rsid w:val="00D84483"/>
    <w:rPr>
      <w:sz w:val="18"/>
      <w:szCs w:val="18"/>
    </w:rPr>
  </w:style>
  <w:style w:type="character" w:customStyle="1" w:styleId="TextbublinyChar">
    <w:name w:val="Text bubliny Char"/>
    <w:basedOn w:val="Predvolenpsmoodseku"/>
    <w:link w:val="Textbubliny"/>
    <w:uiPriority w:val="99"/>
    <w:semiHidden/>
    <w:rsid w:val="00D84483"/>
    <w:rPr>
      <w:rFonts w:ascii="Times New Roman" w:hAnsi="Times New Roman" w:cs="Times New Roman"/>
      <w:sz w:val="18"/>
      <w:szCs w:val="18"/>
    </w:rPr>
  </w:style>
  <w:style w:type="character" w:customStyle="1" w:styleId="s2">
    <w:name w:val="s2"/>
    <w:basedOn w:val="Predvolenpsmoodseku"/>
    <w:rsid w:val="002536ED"/>
    <w:rPr>
      <w:color w:val="5B677D"/>
    </w:rPr>
  </w:style>
  <w:style w:type="paragraph" w:customStyle="1" w:styleId="p2">
    <w:name w:val="p2"/>
    <w:basedOn w:val="Normlny"/>
    <w:rsid w:val="002C3C7C"/>
    <w:rPr>
      <w:rFonts w:ascii="Trebuchet MS" w:hAnsi="Trebuchet MS"/>
      <w:color w:val="494949"/>
      <w:sz w:val="21"/>
      <w:szCs w:val="21"/>
    </w:rPr>
  </w:style>
  <w:style w:type="paragraph" w:customStyle="1" w:styleId="p3">
    <w:name w:val="p3"/>
    <w:basedOn w:val="Normlny"/>
    <w:rsid w:val="002C3C7C"/>
    <w:pPr>
      <w:shd w:val="clear" w:color="auto" w:fill="FFFFFF"/>
    </w:pPr>
    <w:rPr>
      <w:rFonts w:ascii="Trebuchet MS" w:hAnsi="Trebuchet MS"/>
      <w:color w:val="494949"/>
      <w:sz w:val="21"/>
      <w:szCs w:val="21"/>
    </w:rPr>
  </w:style>
  <w:style w:type="character" w:customStyle="1" w:styleId="s3">
    <w:name w:val="s3"/>
    <w:basedOn w:val="Predvolenpsmoodseku"/>
    <w:rsid w:val="002C3C7C"/>
    <w:rPr>
      <w:color w:val="5F1675"/>
      <w:shd w:val="clear" w:color="auto" w:fill="FFFFFF"/>
    </w:rPr>
  </w:style>
  <w:style w:type="character" w:customStyle="1" w:styleId="s4">
    <w:name w:val="s4"/>
    <w:basedOn w:val="Predvolenpsmoodseku"/>
    <w:rsid w:val="002C3C7C"/>
  </w:style>
  <w:style w:type="character" w:customStyle="1" w:styleId="s5">
    <w:name w:val="s5"/>
    <w:basedOn w:val="Predvolenpsmoodseku"/>
    <w:rsid w:val="007A1AF0"/>
  </w:style>
  <w:style w:type="character" w:customStyle="1" w:styleId="s6">
    <w:name w:val="s6"/>
    <w:basedOn w:val="Predvolenpsmoodseku"/>
    <w:rsid w:val="00723549"/>
    <w:rPr>
      <w:color w:val="5F1675"/>
    </w:rPr>
  </w:style>
  <w:style w:type="character" w:styleId="Hypertextovprepojenie">
    <w:name w:val="Hyperlink"/>
    <w:basedOn w:val="Predvolenpsmoodseku"/>
    <w:uiPriority w:val="99"/>
    <w:unhideWhenUsed/>
    <w:rsid w:val="008D6106"/>
    <w:rPr>
      <w:color w:val="0000FF"/>
      <w:u w:val="single"/>
    </w:rPr>
  </w:style>
  <w:style w:type="paragraph" w:styleId="Normlnywebov">
    <w:name w:val="Normal (Web)"/>
    <w:basedOn w:val="Normlny"/>
    <w:uiPriority w:val="99"/>
    <w:semiHidden/>
    <w:unhideWhenUsed/>
    <w:rsid w:val="00E467D4"/>
    <w:pPr>
      <w:spacing w:before="100" w:beforeAutospacing="1" w:after="100" w:afterAutospacing="1"/>
    </w:pPr>
  </w:style>
  <w:style w:type="paragraph" w:styleId="Revzia">
    <w:name w:val="Revision"/>
    <w:hidden/>
    <w:uiPriority w:val="99"/>
    <w:semiHidden/>
    <w:rsid w:val="00B14A0E"/>
    <w:rPr>
      <w:rFonts w:ascii="Times New Roman" w:hAnsi="Times New Roman" w:cs="Times New Roman"/>
    </w:rPr>
  </w:style>
  <w:style w:type="paragraph" w:styleId="Hlavika">
    <w:name w:val="header"/>
    <w:basedOn w:val="Normlny"/>
    <w:link w:val="HlavikaChar"/>
    <w:uiPriority w:val="99"/>
    <w:unhideWhenUsed/>
    <w:rsid w:val="00E97AAE"/>
    <w:pPr>
      <w:tabs>
        <w:tab w:val="center" w:pos="4680"/>
        <w:tab w:val="right" w:pos="9360"/>
      </w:tabs>
    </w:pPr>
  </w:style>
  <w:style w:type="character" w:customStyle="1" w:styleId="HlavikaChar">
    <w:name w:val="Hlavička Char"/>
    <w:basedOn w:val="Predvolenpsmoodseku"/>
    <w:link w:val="Hlavika"/>
    <w:uiPriority w:val="99"/>
    <w:rsid w:val="00E97AAE"/>
    <w:rPr>
      <w:rFonts w:ascii="Times New Roman" w:hAnsi="Times New Roman" w:cs="Times New Roman"/>
    </w:rPr>
  </w:style>
  <w:style w:type="paragraph" w:styleId="Pta">
    <w:name w:val="footer"/>
    <w:basedOn w:val="Normlny"/>
    <w:link w:val="PtaChar"/>
    <w:uiPriority w:val="99"/>
    <w:unhideWhenUsed/>
    <w:rsid w:val="00E97AAE"/>
    <w:pPr>
      <w:tabs>
        <w:tab w:val="center" w:pos="4680"/>
        <w:tab w:val="right" w:pos="9360"/>
      </w:tabs>
    </w:pPr>
  </w:style>
  <w:style w:type="character" w:customStyle="1" w:styleId="PtaChar">
    <w:name w:val="Päta Char"/>
    <w:basedOn w:val="Predvolenpsmoodseku"/>
    <w:link w:val="Pta"/>
    <w:uiPriority w:val="99"/>
    <w:rsid w:val="00E97AAE"/>
    <w:rPr>
      <w:rFonts w:ascii="Times New Roman" w:hAnsi="Times New Roman" w:cs="Times New Roman"/>
    </w:rPr>
  </w:style>
  <w:style w:type="character" w:styleId="slostrany">
    <w:name w:val="page number"/>
    <w:basedOn w:val="Predvolenpsmoodseku"/>
    <w:uiPriority w:val="99"/>
    <w:unhideWhenUsed/>
    <w:rsid w:val="00E97AAE"/>
  </w:style>
  <w:style w:type="character" w:customStyle="1" w:styleId="Nadpis1Char">
    <w:name w:val="Nadpis 1 Char"/>
    <w:aliases w:val="h1 Char,Heading 11111 Char"/>
    <w:basedOn w:val="Predvolenpsmoodseku"/>
    <w:link w:val="Nadpis1"/>
    <w:rsid w:val="00094A03"/>
    <w:rPr>
      <w:rFonts w:ascii="Times New Roman" w:eastAsia="Times New Roman" w:hAnsi="Times New Roman" w:cs="Times New Roman"/>
      <w:b/>
      <w:bCs/>
      <w:kern w:val="36"/>
      <w:sz w:val="48"/>
      <w:szCs w:val="48"/>
      <w:lang w:val="sk-SK" w:eastAsia="sk-SK"/>
    </w:rPr>
  </w:style>
  <w:style w:type="character" w:customStyle="1" w:styleId="Nadpis2Char">
    <w:name w:val="Nadpis 2 Char"/>
    <w:aliases w:val="h2 Char,h2 main heading Char,B Sub/Bold Char"/>
    <w:basedOn w:val="Predvolenpsmoodseku"/>
    <w:link w:val="Nadpis2"/>
    <w:rsid w:val="00684601"/>
    <w:rPr>
      <w:rFonts w:asciiTheme="majorHAnsi" w:eastAsiaTheme="majorEastAsia" w:hAnsiTheme="majorHAnsi" w:cstheme="majorBidi"/>
      <w:color w:val="2F5496" w:themeColor="accent1" w:themeShade="BF"/>
      <w:sz w:val="26"/>
      <w:szCs w:val="26"/>
      <w:lang w:val="sk-SK"/>
    </w:rPr>
  </w:style>
  <w:style w:type="paragraph" w:customStyle="1" w:styleId="norm">
    <w:name w:val="norm"/>
    <w:basedOn w:val="Normlny"/>
    <w:rsid w:val="00614296"/>
    <w:pPr>
      <w:spacing w:before="100" w:beforeAutospacing="1" w:after="100" w:afterAutospacing="1"/>
    </w:pPr>
    <w:rPr>
      <w:lang w:eastAsia="sk-SK"/>
    </w:rPr>
  </w:style>
  <w:style w:type="table" w:styleId="Mriekatabuky">
    <w:name w:val="Table Grid"/>
    <w:basedOn w:val="Normlnatabuka"/>
    <w:uiPriority w:val="39"/>
    <w:rsid w:val="00D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72B1C"/>
    <w:rPr>
      <w:rFonts w:ascii="Times New Roman" w:hAnsi="Times New Roman"/>
      <w:color w:val="808080"/>
    </w:rPr>
  </w:style>
  <w:style w:type="paragraph" w:styleId="Obyajntext">
    <w:name w:val="Plain Text"/>
    <w:basedOn w:val="Normlny"/>
    <w:link w:val="ObyajntextChar"/>
    <w:uiPriority w:val="99"/>
    <w:semiHidden/>
    <w:unhideWhenUsed/>
    <w:rsid w:val="00F174E2"/>
    <w:rPr>
      <w:rFonts w:ascii="Calibri" w:eastAsiaTheme="minorHAnsi" w:hAnsi="Calibri" w:cs="Calibri"/>
      <w:color w:val="1E4E9D"/>
      <w:sz w:val="22"/>
      <w:szCs w:val="22"/>
    </w:rPr>
  </w:style>
  <w:style w:type="character" w:customStyle="1" w:styleId="ObyajntextChar">
    <w:name w:val="Obyčajný text Char"/>
    <w:basedOn w:val="Predvolenpsmoodseku"/>
    <w:link w:val="Obyajntext"/>
    <w:uiPriority w:val="99"/>
    <w:semiHidden/>
    <w:rsid w:val="00F174E2"/>
    <w:rPr>
      <w:rFonts w:ascii="Calibri" w:hAnsi="Calibri" w:cs="Calibri"/>
      <w:color w:val="1E4E9D"/>
      <w:sz w:val="22"/>
      <w:szCs w:val="22"/>
      <w:lang w:val="sk-SK"/>
    </w:rPr>
  </w:style>
  <w:style w:type="character" w:customStyle="1" w:styleId="Nadpis3Char">
    <w:name w:val="Nadpis 3 Char"/>
    <w:aliases w:val="h3 Char"/>
    <w:basedOn w:val="Predvolenpsmoodseku"/>
    <w:link w:val="Nadpis3"/>
    <w:rsid w:val="00CA3DFA"/>
    <w:rPr>
      <w:rFonts w:asciiTheme="majorHAnsi" w:eastAsiaTheme="majorEastAsia" w:hAnsiTheme="majorHAnsi" w:cstheme="majorBidi"/>
      <w:color w:val="1F3763" w:themeColor="accent1" w:themeShade="7F"/>
      <w:lang w:val="sk-SK"/>
    </w:rPr>
  </w:style>
  <w:style w:type="paragraph" w:styleId="Zkladntext">
    <w:name w:val="Body Text"/>
    <w:basedOn w:val="Normlny"/>
    <w:link w:val="ZkladntextChar"/>
    <w:uiPriority w:val="1"/>
    <w:qFormat/>
    <w:rsid w:val="00CA3DFA"/>
    <w:pPr>
      <w:widowControl w:val="0"/>
      <w:autoSpaceDE w:val="0"/>
      <w:autoSpaceDN w:val="0"/>
    </w:pPr>
    <w:rPr>
      <w:rFonts w:ascii="Arial" w:eastAsia="Arial" w:hAnsi="Arial" w:cs="Arial"/>
      <w:sz w:val="22"/>
      <w:szCs w:val="22"/>
      <w:lang w:val="en-US"/>
    </w:rPr>
  </w:style>
  <w:style w:type="character" w:customStyle="1" w:styleId="ZkladntextChar">
    <w:name w:val="Základný text Char"/>
    <w:basedOn w:val="Predvolenpsmoodseku"/>
    <w:link w:val="Zkladntext"/>
    <w:uiPriority w:val="1"/>
    <w:rsid w:val="00CA3DFA"/>
    <w:rPr>
      <w:rFonts w:ascii="Arial" w:eastAsia="Arial" w:hAnsi="Arial" w:cs="Arial"/>
      <w:sz w:val="22"/>
      <w:szCs w:val="22"/>
    </w:rPr>
  </w:style>
  <w:style w:type="table" w:customStyle="1" w:styleId="Mriekatabuky1">
    <w:name w:val="Mriežka tabuľky1"/>
    <w:basedOn w:val="Normlnatabuka"/>
    <w:next w:val="Mriekatabuky"/>
    <w:uiPriority w:val="59"/>
    <w:rsid w:val="00140575"/>
    <w:pPr>
      <w:spacing w:after="0" w:line="240" w:lineRule="auto"/>
      <w:ind w:firstLine="0"/>
      <w:jc w:val="left"/>
    </w:pPr>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h4 Char"/>
    <w:basedOn w:val="Predvolenpsmoodseku"/>
    <w:link w:val="Nadpis4"/>
    <w:rsid w:val="00434541"/>
    <w:rPr>
      <w:rFonts w:ascii="EYInterstate Light" w:eastAsia="Times New Roman" w:hAnsi="EYInterstate Light" w:cs="Times New Roman"/>
      <w:b/>
      <w:bCs/>
      <w:color w:val="000000"/>
      <w:sz w:val="20"/>
    </w:rPr>
  </w:style>
  <w:style w:type="paragraph" w:customStyle="1" w:styleId="Nadpis51">
    <w:name w:val="Nadpis 51"/>
    <w:basedOn w:val="Normlny"/>
    <w:next w:val="Normlny"/>
    <w:semiHidden/>
    <w:unhideWhenUsed/>
    <w:qFormat/>
    <w:rsid w:val="00434541"/>
    <w:pPr>
      <w:keepNext/>
      <w:keepLines/>
      <w:widowControl w:val="0"/>
      <w:autoSpaceDE w:val="0"/>
      <w:autoSpaceDN w:val="0"/>
      <w:adjustRightInd w:val="0"/>
      <w:spacing w:before="40" w:after="0" w:line="280" w:lineRule="atLeast"/>
      <w:ind w:left="4306" w:hanging="360"/>
      <w:jc w:val="left"/>
      <w:outlineLvl w:val="4"/>
    </w:pPr>
    <w:rPr>
      <w:rFonts w:ascii="Cambria" w:hAnsi="Cambria"/>
      <w:color w:val="365F91"/>
      <w:szCs w:val="20"/>
      <w:lang w:val="en-US"/>
    </w:rPr>
  </w:style>
  <w:style w:type="paragraph" w:customStyle="1" w:styleId="Nadpis61">
    <w:name w:val="Nadpis 61"/>
    <w:basedOn w:val="Normlny"/>
    <w:next w:val="Normlny"/>
    <w:semiHidden/>
    <w:unhideWhenUsed/>
    <w:qFormat/>
    <w:rsid w:val="00434541"/>
    <w:pPr>
      <w:keepNext/>
      <w:keepLines/>
      <w:widowControl w:val="0"/>
      <w:autoSpaceDE w:val="0"/>
      <w:autoSpaceDN w:val="0"/>
      <w:adjustRightInd w:val="0"/>
      <w:spacing w:before="40" w:after="0" w:line="280" w:lineRule="atLeast"/>
      <w:ind w:left="5026" w:hanging="360"/>
      <w:jc w:val="left"/>
      <w:outlineLvl w:val="5"/>
    </w:pPr>
    <w:rPr>
      <w:rFonts w:ascii="Cambria" w:hAnsi="Cambria"/>
      <w:color w:val="243F60"/>
      <w:szCs w:val="20"/>
      <w:lang w:val="en-US"/>
    </w:rPr>
  </w:style>
  <w:style w:type="paragraph" w:customStyle="1" w:styleId="Nadpis71">
    <w:name w:val="Nadpis 71"/>
    <w:basedOn w:val="Normlny"/>
    <w:next w:val="Normlny"/>
    <w:semiHidden/>
    <w:unhideWhenUsed/>
    <w:qFormat/>
    <w:rsid w:val="00434541"/>
    <w:pPr>
      <w:keepNext/>
      <w:keepLines/>
      <w:widowControl w:val="0"/>
      <w:autoSpaceDE w:val="0"/>
      <w:autoSpaceDN w:val="0"/>
      <w:adjustRightInd w:val="0"/>
      <w:spacing w:before="40" w:after="0" w:line="280" w:lineRule="atLeast"/>
      <w:ind w:left="5746" w:hanging="360"/>
      <w:jc w:val="left"/>
      <w:outlineLvl w:val="6"/>
    </w:pPr>
    <w:rPr>
      <w:rFonts w:ascii="Cambria" w:hAnsi="Cambria"/>
      <w:i/>
      <w:iCs/>
      <w:color w:val="243F60"/>
      <w:szCs w:val="20"/>
      <w:lang w:val="en-US"/>
    </w:rPr>
  </w:style>
  <w:style w:type="paragraph" w:customStyle="1" w:styleId="Nadpis81">
    <w:name w:val="Nadpis 81"/>
    <w:basedOn w:val="Normlny"/>
    <w:next w:val="Normlny"/>
    <w:semiHidden/>
    <w:unhideWhenUsed/>
    <w:qFormat/>
    <w:rsid w:val="00434541"/>
    <w:pPr>
      <w:keepNext/>
      <w:keepLines/>
      <w:widowControl w:val="0"/>
      <w:autoSpaceDE w:val="0"/>
      <w:autoSpaceDN w:val="0"/>
      <w:adjustRightInd w:val="0"/>
      <w:spacing w:before="40" w:after="0" w:line="280" w:lineRule="atLeast"/>
      <w:ind w:left="6466" w:hanging="360"/>
      <w:jc w:val="left"/>
      <w:outlineLvl w:val="7"/>
    </w:pPr>
    <w:rPr>
      <w:rFonts w:ascii="Cambria" w:hAnsi="Cambria"/>
      <w:color w:val="272727"/>
      <w:sz w:val="21"/>
      <w:szCs w:val="21"/>
      <w:lang w:val="en-US"/>
    </w:rPr>
  </w:style>
  <w:style w:type="paragraph" w:customStyle="1" w:styleId="Nadpis91">
    <w:name w:val="Nadpis 91"/>
    <w:basedOn w:val="Normlny"/>
    <w:next w:val="Normlny"/>
    <w:semiHidden/>
    <w:unhideWhenUsed/>
    <w:qFormat/>
    <w:rsid w:val="00434541"/>
    <w:pPr>
      <w:keepNext/>
      <w:keepLines/>
      <w:widowControl w:val="0"/>
      <w:autoSpaceDE w:val="0"/>
      <w:autoSpaceDN w:val="0"/>
      <w:adjustRightInd w:val="0"/>
      <w:spacing w:before="40" w:after="0" w:line="280" w:lineRule="atLeast"/>
      <w:ind w:left="7186" w:hanging="360"/>
      <w:jc w:val="left"/>
      <w:outlineLvl w:val="8"/>
    </w:pPr>
    <w:rPr>
      <w:rFonts w:ascii="Cambria" w:hAnsi="Cambria"/>
      <w:i/>
      <w:iCs/>
      <w:color w:val="272727"/>
      <w:sz w:val="21"/>
      <w:szCs w:val="21"/>
      <w:lang w:val="en-US"/>
    </w:rPr>
  </w:style>
  <w:style w:type="numbering" w:customStyle="1" w:styleId="Bezzoznamu1">
    <w:name w:val="Bez zoznamu1"/>
    <w:next w:val="Bezzoznamu"/>
    <w:uiPriority w:val="99"/>
    <w:semiHidden/>
    <w:unhideWhenUsed/>
    <w:rsid w:val="00434541"/>
  </w:style>
  <w:style w:type="paragraph" w:customStyle="1" w:styleId="EYNormal">
    <w:name w:val="EY Normal"/>
    <w:link w:val="EYNormalChar"/>
    <w:rsid w:val="00434541"/>
    <w:pPr>
      <w:spacing w:after="0" w:line="240" w:lineRule="auto"/>
      <w:ind w:firstLine="0"/>
      <w:jc w:val="left"/>
    </w:pPr>
    <w:rPr>
      <w:rFonts w:ascii="EYInterstate Light" w:eastAsia="Times New Roman" w:hAnsi="EYInterstate Light" w:cs="Times New Roman"/>
      <w:kern w:val="12"/>
      <w:sz w:val="20"/>
    </w:rPr>
  </w:style>
  <w:style w:type="character" w:customStyle="1" w:styleId="EYNormalChar">
    <w:name w:val="EY Normal Char"/>
    <w:basedOn w:val="Predvolenpsmoodseku"/>
    <w:link w:val="EYNormal"/>
    <w:rsid w:val="00434541"/>
    <w:rPr>
      <w:rFonts w:ascii="EYInterstate Light" w:eastAsia="Times New Roman" w:hAnsi="EYInterstate Light" w:cs="Times New Roman"/>
      <w:kern w:val="12"/>
      <w:sz w:val="20"/>
    </w:rPr>
  </w:style>
  <w:style w:type="character" w:customStyle="1" w:styleId="Nadpis5Char">
    <w:name w:val="Nadpis 5 Char"/>
    <w:basedOn w:val="Predvolenpsmoodseku"/>
    <w:link w:val="Nadpis5"/>
    <w:semiHidden/>
    <w:rsid w:val="00434541"/>
    <w:rPr>
      <w:rFonts w:ascii="Cambria" w:eastAsia="Times New Roman" w:hAnsi="Cambria" w:cs="Times New Roman"/>
      <w:color w:val="365F91"/>
      <w:sz w:val="24"/>
      <w:szCs w:val="20"/>
      <w:lang w:val="en-US"/>
    </w:rPr>
  </w:style>
  <w:style w:type="character" w:customStyle="1" w:styleId="Nadpis6Char">
    <w:name w:val="Nadpis 6 Char"/>
    <w:basedOn w:val="Predvolenpsmoodseku"/>
    <w:link w:val="Nadpis6"/>
    <w:semiHidden/>
    <w:rsid w:val="00434541"/>
    <w:rPr>
      <w:rFonts w:ascii="Cambria" w:eastAsia="Times New Roman" w:hAnsi="Cambria" w:cs="Times New Roman"/>
      <w:color w:val="243F60"/>
      <w:sz w:val="24"/>
      <w:szCs w:val="20"/>
      <w:lang w:val="en-US"/>
    </w:rPr>
  </w:style>
  <w:style w:type="character" w:customStyle="1" w:styleId="Nadpis7Char">
    <w:name w:val="Nadpis 7 Char"/>
    <w:basedOn w:val="Predvolenpsmoodseku"/>
    <w:link w:val="Nadpis7"/>
    <w:semiHidden/>
    <w:rsid w:val="00434541"/>
    <w:rPr>
      <w:rFonts w:ascii="Cambria" w:eastAsia="Times New Roman" w:hAnsi="Cambria" w:cs="Times New Roman"/>
      <w:i/>
      <w:iCs/>
      <w:color w:val="243F60"/>
      <w:sz w:val="24"/>
      <w:szCs w:val="20"/>
      <w:lang w:val="en-US"/>
    </w:rPr>
  </w:style>
  <w:style w:type="character" w:customStyle="1" w:styleId="Nadpis8Char">
    <w:name w:val="Nadpis 8 Char"/>
    <w:basedOn w:val="Predvolenpsmoodseku"/>
    <w:link w:val="Nadpis8"/>
    <w:semiHidden/>
    <w:rsid w:val="00434541"/>
    <w:rPr>
      <w:rFonts w:ascii="Cambria" w:eastAsia="Times New Roman" w:hAnsi="Cambria" w:cs="Times New Roman"/>
      <w:color w:val="272727"/>
      <w:sz w:val="21"/>
      <w:szCs w:val="21"/>
      <w:lang w:val="en-US"/>
    </w:rPr>
  </w:style>
  <w:style w:type="character" w:customStyle="1" w:styleId="Nadpis9Char">
    <w:name w:val="Nadpis 9 Char"/>
    <w:basedOn w:val="Predvolenpsmoodseku"/>
    <w:link w:val="Nadpis9"/>
    <w:semiHidden/>
    <w:rsid w:val="00434541"/>
    <w:rPr>
      <w:rFonts w:ascii="Cambria" w:eastAsia="Times New Roman" w:hAnsi="Cambria" w:cs="Times New Roman"/>
      <w:i/>
      <w:iCs/>
      <w:color w:val="272727"/>
      <w:sz w:val="21"/>
      <w:szCs w:val="21"/>
      <w:lang w:val="en-US"/>
    </w:rPr>
  </w:style>
  <w:style w:type="paragraph" w:customStyle="1" w:styleId="EYBulletedList1">
    <w:name w:val="EY Bulleted List 1"/>
    <w:rsid w:val="00434541"/>
    <w:pPr>
      <w:numPr>
        <w:numId w:val="16"/>
      </w:numPr>
      <w:spacing w:after="0" w:line="240" w:lineRule="auto"/>
      <w:jc w:val="left"/>
    </w:pPr>
    <w:rPr>
      <w:rFonts w:ascii="EYInterstate Light" w:eastAsia="Times New Roman" w:hAnsi="EYInterstate Light" w:cs="Times New Roman"/>
      <w:kern w:val="12"/>
      <w:sz w:val="20"/>
    </w:rPr>
  </w:style>
  <w:style w:type="paragraph" w:customStyle="1" w:styleId="EYBulletedList2">
    <w:name w:val="EY Bulleted List 2"/>
    <w:rsid w:val="00434541"/>
    <w:pPr>
      <w:numPr>
        <w:ilvl w:val="1"/>
        <w:numId w:val="16"/>
      </w:numPr>
      <w:spacing w:after="0" w:line="240" w:lineRule="auto"/>
      <w:jc w:val="left"/>
    </w:pPr>
    <w:rPr>
      <w:rFonts w:ascii="EYInterstate Light" w:eastAsia="Times New Roman" w:hAnsi="EYInterstate Light" w:cs="Times New Roman"/>
      <w:kern w:val="12"/>
      <w:sz w:val="20"/>
    </w:rPr>
  </w:style>
  <w:style w:type="paragraph" w:customStyle="1" w:styleId="EYBulletedList3">
    <w:name w:val="EY Bulleted List 3"/>
    <w:rsid w:val="00434541"/>
    <w:pPr>
      <w:numPr>
        <w:ilvl w:val="2"/>
        <w:numId w:val="16"/>
      </w:numPr>
      <w:spacing w:after="0" w:line="240" w:lineRule="auto"/>
      <w:jc w:val="left"/>
    </w:pPr>
    <w:rPr>
      <w:rFonts w:ascii="EYInterstate Light" w:eastAsia="Times New Roman" w:hAnsi="EYInterstate Light" w:cs="Times New Roman"/>
      <w:kern w:val="12"/>
      <w:sz w:val="20"/>
    </w:rPr>
  </w:style>
  <w:style w:type="table" w:customStyle="1" w:styleId="Mriekatabuky2">
    <w:name w:val="Mriežka tabuľky2"/>
    <w:basedOn w:val="Normlnatabuka"/>
    <w:next w:val="Mriekatabuky"/>
    <w:uiPriority w:val="39"/>
    <w:rsid w:val="00434541"/>
    <w:pPr>
      <w:spacing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434541"/>
    <w:rPr>
      <w:i/>
      <w:iCs/>
    </w:rPr>
  </w:style>
  <w:style w:type="character" w:customStyle="1" w:styleId="Nadpis5Char1">
    <w:name w:val="Nadpis 5 Char1"/>
    <w:basedOn w:val="Predvolenpsmoodseku"/>
    <w:uiPriority w:val="9"/>
    <w:semiHidden/>
    <w:rsid w:val="00434541"/>
    <w:rPr>
      <w:rFonts w:asciiTheme="majorHAnsi" w:eastAsiaTheme="majorEastAsia" w:hAnsiTheme="majorHAnsi" w:cstheme="majorBidi"/>
      <w:color w:val="2F5496" w:themeColor="accent1" w:themeShade="BF"/>
      <w:lang w:val="sk-SK"/>
    </w:rPr>
  </w:style>
  <w:style w:type="character" w:customStyle="1" w:styleId="Nadpis6Char1">
    <w:name w:val="Nadpis 6 Char1"/>
    <w:basedOn w:val="Predvolenpsmoodseku"/>
    <w:uiPriority w:val="9"/>
    <w:semiHidden/>
    <w:rsid w:val="00434541"/>
    <w:rPr>
      <w:rFonts w:asciiTheme="majorHAnsi" w:eastAsiaTheme="majorEastAsia" w:hAnsiTheme="majorHAnsi" w:cstheme="majorBidi"/>
      <w:color w:val="1F3763" w:themeColor="accent1" w:themeShade="7F"/>
      <w:lang w:val="sk-SK"/>
    </w:rPr>
  </w:style>
  <w:style w:type="character" w:customStyle="1" w:styleId="Nadpis7Char1">
    <w:name w:val="Nadpis 7 Char1"/>
    <w:basedOn w:val="Predvolenpsmoodseku"/>
    <w:uiPriority w:val="9"/>
    <w:semiHidden/>
    <w:rsid w:val="00434541"/>
    <w:rPr>
      <w:rFonts w:asciiTheme="majorHAnsi" w:eastAsiaTheme="majorEastAsia" w:hAnsiTheme="majorHAnsi" w:cstheme="majorBidi"/>
      <w:i/>
      <w:iCs/>
      <w:color w:val="1F3763" w:themeColor="accent1" w:themeShade="7F"/>
      <w:lang w:val="sk-SK"/>
    </w:rPr>
  </w:style>
  <w:style w:type="character" w:customStyle="1" w:styleId="Nadpis8Char1">
    <w:name w:val="Nadpis 8 Char1"/>
    <w:basedOn w:val="Predvolenpsmoodseku"/>
    <w:uiPriority w:val="9"/>
    <w:semiHidden/>
    <w:rsid w:val="00434541"/>
    <w:rPr>
      <w:rFonts w:asciiTheme="majorHAnsi" w:eastAsiaTheme="majorEastAsia" w:hAnsiTheme="majorHAnsi" w:cstheme="majorBidi"/>
      <w:color w:val="272727" w:themeColor="text1" w:themeTint="D8"/>
      <w:sz w:val="21"/>
      <w:szCs w:val="21"/>
      <w:lang w:val="sk-SK"/>
    </w:rPr>
  </w:style>
  <w:style w:type="character" w:customStyle="1" w:styleId="Nadpis9Char1">
    <w:name w:val="Nadpis 9 Char1"/>
    <w:basedOn w:val="Predvolenpsmoodseku"/>
    <w:uiPriority w:val="9"/>
    <w:semiHidden/>
    <w:rsid w:val="00434541"/>
    <w:rPr>
      <w:rFonts w:asciiTheme="majorHAnsi" w:eastAsiaTheme="majorEastAsia" w:hAnsiTheme="majorHAnsi" w:cstheme="majorBidi"/>
      <w:i/>
      <w:iCs/>
      <w:color w:val="272727" w:themeColor="text1" w:themeTint="D8"/>
      <w:sz w:val="21"/>
      <w:szCs w:val="21"/>
      <w:lang w:val="sk-SK"/>
    </w:rPr>
  </w:style>
  <w:style w:type="table" w:customStyle="1" w:styleId="Mriekatabuky3">
    <w:name w:val="Mriežka tabuľky3"/>
    <w:basedOn w:val="Normlnatabuka"/>
    <w:next w:val="Mriekatabuky"/>
    <w:uiPriority w:val="59"/>
    <w:rsid w:val="00BD4E96"/>
    <w:pPr>
      <w:spacing w:after="0" w:line="240" w:lineRule="auto"/>
      <w:ind w:firstLine="0"/>
      <w:jc w:val="left"/>
    </w:pPr>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rsid w:val="00147A0B"/>
    <w:pPr>
      <w:spacing w:after="0" w:line="240" w:lineRule="auto"/>
      <w:ind w:firstLine="0"/>
      <w:jc w:val="left"/>
    </w:pPr>
    <w:rPr>
      <w:rFonts w:ascii="Times New Roman" w:eastAsia="Times New Roman" w:hAnsi="Times New Roman" w:cs="Times New Roman"/>
      <w:sz w:val="22"/>
      <w:szCs w:val="22"/>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169">
      <w:bodyDiv w:val="1"/>
      <w:marLeft w:val="0"/>
      <w:marRight w:val="0"/>
      <w:marTop w:val="0"/>
      <w:marBottom w:val="0"/>
      <w:divBdr>
        <w:top w:val="none" w:sz="0" w:space="0" w:color="auto"/>
        <w:left w:val="none" w:sz="0" w:space="0" w:color="auto"/>
        <w:bottom w:val="none" w:sz="0" w:space="0" w:color="auto"/>
        <w:right w:val="none" w:sz="0" w:space="0" w:color="auto"/>
      </w:divBdr>
    </w:div>
    <w:div w:id="55324448">
      <w:bodyDiv w:val="1"/>
      <w:marLeft w:val="0"/>
      <w:marRight w:val="0"/>
      <w:marTop w:val="0"/>
      <w:marBottom w:val="0"/>
      <w:divBdr>
        <w:top w:val="none" w:sz="0" w:space="0" w:color="auto"/>
        <w:left w:val="none" w:sz="0" w:space="0" w:color="auto"/>
        <w:bottom w:val="none" w:sz="0" w:space="0" w:color="auto"/>
        <w:right w:val="none" w:sz="0" w:space="0" w:color="auto"/>
      </w:divBdr>
    </w:div>
    <w:div w:id="60713963">
      <w:bodyDiv w:val="1"/>
      <w:marLeft w:val="0"/>
      <w:marRight w:val="0"/>
      <w:marTop w:val="0"/>
      <w:marBottom w:val="0"/>
      <w:divBdr>
        <w:top w:val="none" w:sz="0" w:space="0" w:color="auto"/>
        <w:left w:val="none" w:sz="0" w:space="0" w:color="auto"/>
        <w:bottom w:val="none" w:sz="0" w:space="0" w:color="auto"/>
        <w:right w:val="none" w:sz="0" w:space="0" w:color="auto"/>
      </w:divBdr>
      <w:divsChild>
        <w:div w:id="6949959">
          <w:marLeft w:val="255"/>
          <w:marRight w:val="0"/>
          <w:marTop w:val="75"/>
          <w:marBottom w:val="0"/>
          <w:divBdr>
            <w:top w:val="none" w:sz="0" w:space="0" w:color="auto"/>
            <w:left w:val="none" w:sz="0" w:space="0" w:color="auto"/>
            <w:bottom w:val="none" w:sz="0" w:space="0" w:color="auto"/>
            <w:right w:val="none" w:sz="0" w:space="0" w:color="auto"/>
          </w:divBdr>
        </w:div>
        <w:div w:id="2091149199">
          <w:marLeft w:val="255"/>
          <w:marRight w:val="0"/>
          <w:marTop w:val="75"/>
          <w:marBottom w:val="0"/>
          <w:divBdr>
            <w:top w:val="none" w:sz="0" w:space="0" w:color="auto"/>
            <w:left w:val="none" w:sz="0" w:space="0" w:color="auto"/>
            <w:bottom w:val="none" w:sz="0" w:space="0" w:color="auto"/>
            <w:right w:val="none" w:sz="0" w:space="0" w:color="auto"/>
          </w:divBdr>
        </w:div>
      </w:divsChild>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30901421">
      <w:bodyDiv w:val="1"/>
      <w:marLeft w:val="0"/>
      <w:marRight w:val="0"/>
      <w:marTop w:val="0"/>
      <w:marBottom w:val="0"/>
      <w:divBdr>
        <w:top w:val="none" w:sz="0" w:space="0" w:color="auto"/>
        <w:left w:val="none" w:sz="0" w:space="0" w:color="auto"/>
        <w:bottom w:val="none" w:sz="0" w:space="0" w:color="auto"/>
        <w:right w:val="none" w:sz="0" w:space="0" w:color="auto"/>
      </w:divBdr>
    </w:div>
    <w:div w:id="235356686">
      <w:bodyDiv w:val="1"/>
      <w:marLeft w:val="0"/>
      <w:marRight w:val="0"/>
      <w:marTop w:val="0"/>
      <w:marBottom w:val="0"/>
      <w:divBdr>
        <w:top w:val="none" w:sz="0" w:space="0" w:color="auto"/>
        <w:left w:val="none" w:sz="0" w:space="0" w:color="auto"/>
        <w:bottom w:val="none" w:sz="0" w:space="0" w:color="auto"/>
        <w:right w:val="none" w:sz="0" w:space="0" w:color="auto"/>
      </w:divBdr>
      <w:divsChild>
        <w:div w:id="256669403">
          <w:marLeft w:val="255"/>
          <w:marRight w:val="0"/>
          <w:marTop w:val="75"/>
          <w:marBottom w:val="0"/>
          <w:divBdr>
            <w:top w:val="none" w:sz="0" w:space="0" w:color="auto"/>
            <w:left w:val="none" w:sz="0" w:space="0" w:color="auto"/>
            <w:bottom w:val="none" w:sz="0" w:space="0" w:color="auto"/>
            <w:right w:val="none" w:sz="0" w:space="0" w:color="auto"/>
          </w:divBdr>
        </w:div>
        <w:div w:id="1407144786">
          <w:marLeft w:val="255"/>
          <w:marRight w:val="0"/>
          <w:marTop w:val="75"/>
          <w:marBottom w:val="0"/>
          <w:divBdr>
            <w:top w:val="none" w:sz="0" w:space="0" w:color="auto"/>
            <w:left w:val="none" w:sz="0" w:space="0" w:color="auto"/>
            <w:bottom w:val="none" w:sz="0" w:space="0" w:color="auto"/>
            <w:right w:val="none" w:sz="0" w:space="0" w:color="auto"/>
          </w:divBdr>
        </w:div>
      </w:divsChild>
    </w:div>
    <w:div w:id="260720540">
      <w:bodyDiv w:val="1"/>
      <w:marLeft w:val="0"/>
      <w:marRight w:val="0"/>
      <w:marTop w:val="0"/>
      <w:marBottom w:val="0"/>
      <w:divBdr>
        <w:top w:val="none" w:sz="0" w:space="0" w:color="auto"/>
        <w:left w:val="none" w:sz="0" w:space="0" w:color="auto"/>
        <w:bottom w:val="none" w:sz="0" w:space="0" w:color="auto"/>
        <w:right w:val="none" w:sz="0" w:space="0" w:color="auto"/>
      </w:divBdr>
    </w:div>
    <w:div w:id="299380918">
      <w:bodyDiv w:val="1"/>
      <w:marLeft w:val="0"/>
      <w:marRight w:val="0"/>
      <w:marTop w:val="0"/>
      <w:marBottom w:val="0"/>
      <w:divBdr>
        <w:top w:val="none" w:sz="0" w:space="0" w:color="auto"/>
        <w:left w:val="none" w:sz="0" w:space="0" w:color="auto"/>
        <w:bottom w:val="none" w:sz="0" w:space="0" w:color="auto"/>
        <w:right w:val="none" w:sz="0" w:space="0" w:color="auto"/>
      </w:divBdr>
    </w:div>
    <w:div w:id="310213053">
      <w:bodyDiv w:val="1"/>
      <w:marLeft w:val="0"/>
      <w:marRight w:val="0"/>
      <w:marTop w:val="0"/>
      <w:marBottom w:val="0"/>
      <w:divBdr>
        <w:top w:val="none" w:sz="0" w:space="0" w:color="auto"/>
        <w:left w:val="none" w:sz="0" w:space="0" w:color="auto"/>
        <w:bottom w:val="none" w:sz="0" w:space="0" w:color="auto"/>
        <w:right w:val="none" w:sz="0" w:space="0" w:color="auto"/>
      </w:divBdr>
    </w:div>
    <w:div w:id="334499822">
      <w:bodyDiv w:val="1"/>
      <w:marLeft w:val="0"/>
      <w:marRight w:val="0"/>
      <w:marTop w:val="0"/>
      <w:marBottom w:val="0"/>
      <w:divBdr>
        <w:top w:val="none" w:sz="0" w:space="0" w:color="auto"/>
        <w:left w:val="none" w:sz="0" w:space="0" w:color="auto"/>
        <w:bottom w:val="none" w:sz="0" w:space="0" w:color="auto"/>
        <w:right w:val="none" w:sz="0" w:space="0" w:color="auto"/>
      </w:divBdr>
    </w:div>
    <w:div w:id="366881960">
      <w:bodyDiv w:val="1"/>
      <w:marLeft w:val="0"/>
      <w:marRight w:val="0"/>
      <w:marTop w:val="0"/>
      <w:marBottom w:val="0"/>
      <w:divBdr>
        <w:top w:val="none" w:sz="0" w:space="0" w:color="auto"/>
        <w:left w:val="none" w:sz="0" w:space="0" w:color="auto"/>
        <w:bottom w:val="none" w:sz="0" w:space="0" w:color="auto"/>
        <w:right w:val="none" w:sz="0" w:space="0" w:color="auto"/>
      </w:divBdr>
    </w:div>
    <w:div w:id="381176491">
      <w:bodyDiv w:val="1"/>
      <w:marLeft w:val="0"/>
      <w:marRight w:val="0"/>
      <w:marTop w:val="0"/>
      <w:marBottom w:val="0"/>
      <w:divBdr>
        <w:top w:val="none" w:sz="0" w:space="0" w:color="auto"/>
        <w:left w:val="none" w:sz="0" w:space="0" w:color="auto"/>
        <w:bottom w:val="none" w:sz="0" w:space="0" w:color="auto"/>
        <w:right w:val="none" w:sz="0" w:space="0" w:color="auto"/>
      </w:divBdr>
      <w:divsChild>
        <w:div w:id="57169973">
          <w:marLeft w:val="255"/>
          <w:marRight w:val="0"/>
          <w:marTop w:val="75"/>
          <w:marBottom w:val="0"/>
          <w:divBdr>
            <w:top w:val="none" w:sz="0" w:space="0" w:color="auto"/>
            <w:left w:val="none" w:sz="0" w:space="0" w:color="auto"/>
            <w:bottom w:val="none" w:sz="0" w:space="0" w:color="auto"/>
            <w:right w:val="none" w:sz="0" w:space="0" w:color="auto"/>
          </w:divBdr>
        </w:div>
        <w:div w:id="927807779">
          <w:marLeft w:val="255"/>
          <w:marRight w:val="0"/>
          <w:marTop w:val="75"/>
          <w:marBottom w:val="0"/>
          <w:divBdr>
            <w:top w:val="none" w:sz="0" w:space="0" w:color="auto"/>
            <w:left w:val="none" w:sz="0" w:space="0" w:color="auto"/>
            <w:bottom w:val="none" w:sz="0" w:space="0" w:color="auto"/>
            <w:right w:val="none" w:sz="0" w:space="0" w:color="auto"/>
          </w:divBdr>
          <w:divsChild>
            <w:div w:id="97674792">
              <w:marLeft w:val="255"/>
              <w:marRight w:val="0"/>
              <w:marTop w:val="0"/>
              <w:marBottom w:val="0"/>
              <w:divBdr>
                <w:top w:val="none" w:sz="0" w:space="0" w:color="auto"/>
                <w:left w:val="none" w:sz="0" w:space="0" w:color="auto"/>
                <w:bottom w:val="none" w:sz="0" w:space="0" w:color="auto"/>
                <w:right w:val="none" w:sz="0" w:space="0" w:color="auto"/>
              </w:divBdr>
            </w:div>
            <w:div w:id="564265499">
              <w:marLeft w:val="255"/>
              <w:marRight w:val="0"/>
              <w:marTop w:val="0"/>
              <w:marBottom w:val="0"/>
              <w:divBdr>
                <w:top w:val="none" w:sz="0" w:space="0" w:color="auto"/>
                <w:left w:val="none" w:sz="0" w:space="0" w:color="auto"/>
                <w:bottom w:val="none" w:sz="0" w:space="0" w:color="auto"/>
                <w:right w:val="none" w:sz="0" w:space="0" w:color="auto"/>
              </w:divBdr>
            </w:div>
            <w:div w:id="1283881734">
              <w:marLeft w:val="255"/>
              <w:marRight w:val="0"/>
              <w:marTop w:val="0"/>
              <w:marBottom w:val="0"/>
              <w:divBdr>
                <w:top w:val="none" w:sz="0" w:space="0" w:color="auto"/>
                <w:left w:val="none" w:sz="0" w:space="0" w:color="auto"/>
                <w:bottom w:val="none" w:sz="0" w:space="0" w:color="auto"/>
                <w:right w:val="none" w:sz="0" w:space="0" w:color="auto"/>
              </w:divBdr>
            </w:div>
            <w:div w:id="1141657009">
              <w:marLeft w:val="255"/>
              <w:marRight w:val="0"/>
              <w:marTop w:val="0"/>
              <w:marBottom w:val="0"/>
              <w:divBdr>
                <w:top w:val="none" w:sz="0" w:space="0" w:color="auto"/>
                <w:left w:val="none" w:sz="0" w:space="0" w:color="auto"/>
                <w:bottom w:val="none" w:sz="0" w:space="0" w:color="auto"/>
                <w:right w:val="none" w:sz="0" w:space="0" w:color="auto"/>
              </w:divBdr>
            </w:div>
            <w:div w:id="603852571">
              <w:marLeft w:val="255"/>
              <w:marRight w:val="0"/>
              <w:marTop w:val="0"/>
              <w:marBottom w:val="0"/>
              <w:divBdr>
                <w:top w:val="none" w:sz="0" w:space="0" w:color="auto"/>
                <w:left w:val="none" w:sz="0" w:space="0" w:color="auto"/>
                <w:bottom w:val="none" w:sz="0" w:space="0" w:color="auto"/>
                <w:right w:val="none" w:sz="0" w:space="0" w:color="auto"/>
              </w:divBdr>
            </w:div>
            <w:div w:id="90664348">
              <w:marLeft w:val="255"/>
              <w:marRight w:val="0"/>
              <w:marTop w:val="0"/>
              <w:marBottom w:val="0"/>
              <w:divBdr>
                <w:top w:val="none" w:sz="0" w:space="0" w:color="auto"/>
                <w:left w:val="none" w:sz="0" w:space="0" w:color="auto"/>
                <w:bottom w:val="none" w:sz="0" w:space="0" w:color="auto"/>
                <w:right w:val="none" w:sz="0" w:space="0" w:color="auto"/>
              </w:divBdr>
            </w:div>
            <w:div w:id="482307903">
              <w:marLeft w:val="255"/>
              <w:marRight w:val="0"/>
              <w:marTop w:val="0"/>
              <w:marBottom w:val="0"/>
              <w:divBdr>
                <w:top w:val="none" w:sz="0" w:space="0" w:color="auto"/>
                <w:left w:val="none" w:sz="0" w:space="0" w:color="auto"/>
                <w:bottom w:val="none" w:sz="0" w:space="0" w:color="auto"/>
                <w:right w:val="none" w:sz="0" w:space="0" w:color="auto"/>
              </w:divBdr>
            </w:div>
            <w:div w:id="1687827074">
              <w:marLeft w:val="255"/>
              <w:marRight w:val="0"/>
              <w:marTop w:val="0"/>
              <w:marBottom w:val="0"/>
              <w:divBdr>
                <w:top w:val="none" w:sz="0" w:space="0" w:color="auto"/>
                <w:left w:val="none" w:sz="0" w:space="0" w:color="auto"/>
                <w:bottom w:val="none" w:sz="0" w:space="0" w:color="auto"/>
                <w:right w:val="none" w:sz="0" w:space="0" w:color="auto"/>
              </w:divBdr>
            </w:div>
            <w:div w:id="697198694">
              <w:marLeft w:val="255"/>
              <w:marRight w:val="0"/>
              <w:marTop w:val="0"/>
              <w:marBottom w:val="0"/>
              <w:divBdr>
                <w:top w:val="none" w:sz="0" w:space="0" w:color="auto"/>
                <w:left w:val="none" w:sz="0" w:space="0" w:color="auto"/>
                <w:bottom w:val="none" w:sz="0" w:space="0" w:color="auto"/>
                <w:right w:val="none" w:sz="0" w:space="0" w:color="auto"/>
              </w:divBdr>
            </w:div>
            <w:div w:id="983586954">
              <w:marLeft w:val="255"/>
              <w:marRight w:val="0"/>
              <w:marTop w:val="0"/>
              <w:marBottom w:val="0"/>
              <w:divBdr>
                <w:top w:val="none" w:sz="0" w:space="0" w:color="auto"/>
                <w:left w:val="none" w:sz="0" w:space="0" w:color="auto"/>
                <w:bottom w:val="none" w:sz="0" w:space="0" w:color="auto"/>
                <w:right w:val="none" w:sz="0" w:space="0" w:color="auto"/>
              </w:divBdr>
            </w:div>
          </w:divsChild>
        </w:div>
        <w:div w:id="168057948">
          <w:marLeft w:val="255"/>
          <w:marRight w:val="0"/>
          <w:marTop w:val="75"/>
          <w:marBottom w:val="0"/>
          <w:divBdr>
            <w:top w:val="none" w:sz="0" w:space="0" w:color="auto"/>
            <w:left w:val="none" w:sz="0" w:space="0" w:color="auto"/>
            <w:bottom w:val="none" w:sz="0" w:space="0" w:color="auto"/>
            <w:right w:val="none" w:sz="0" w:space="0" w:color="auto"/>
          </w:divBdr>
        </w:div>
        <w:div w:id="1694183334">
          <w:marLeft w:val="255"/>
          <w:marRight w:val="0"/>
          <w:marTop w:val="75"/>
          <w:marBottom w:val="0"/>
          <w:divBdr>
            <w:top w:val="none" w:sz="0" w:space="0" w:color="auto"/>
            <w:left w:val="none" w:sz="0" w:space="0" w:color="auto"/>
            <w:bottom w:val="none" w:sz="0" w:space="0" w:color="auto"/>
            <w:right w:val="none" w:sz="0" w:space="0" w:color="auto"/>
          </w:divBdr>
        </w:div>
        <w:div w:id="388575409">
          <w:marLeft w:val="255"/>
          <w:marRight w:val="0"/>
          <w:marTop w:val="75"/>
          <w:marBottom w:val="0"/>
          <w:divBdr>
            <w:top w:val="none" w:sz="0" w:space="0" w:color="auto"/>
            <w:left w:val="none" w:sz="0" w:space="0" w:color="auto"/>
            <w:bottom w:val="none" w:sz="0" w:space="0" w:color="auto"/>
            <w:right w:val="none" w:sz="0" w:space="0" w:color="auto"/>
          </w:divBdr>
          <w:divsChild>
            <w:div w:id="27920206">
              <w:marLeft w:val="255"/>
              <w:marRight w:val="0"/>
              <w:marTop w:val="0"/>
              <w:marBottom w:val="0"/>
              <w:divBdr>
                <w:top w:val="none" w:sz="0" w:space="0" w:color="auto"/>
                <w:left w:val="none" w:sz="0" w:space="0" w:color="auto"/>
                <w:bottom w:val="none" w:sz="0" w:space="0" w:color="auto"/>
                <w:right w:val="none" w:sz="0" w:space="0" w:color="auto"/>
              </w:divBdr>
            </w:div>
            <w:div w:id="985664975">
              <w:marLeft w:val="255"/>
              <w:marRight w:val="0"/>
              <w:marTop w:val="0"/>
              <w:marBottom w:val="0"/>
              <w:divBdr>
                <w:top w:val="none" w:sz="0" w:space="0" w:color="auto"/>
                <w:left w:val="none" w:sz="0" w:space="0" w:color="auto"/>
                <w:bottom w:val="none" w:sz="0" w:space="0" w:color="auto"/>
                <w:right w:val="none" w:sz="0" w:space="0" w:color="auto"/>
              </w:divBdr>
            </w:div>
            <w:div w:id="1194536305">
              <w:marLeft w:val="255"/>
              <w:marRight w:val="0"/>
              <w:marTop w:val="0"/>
              <w:marBottom w:val="0"/>
              <w:divBdr>
                <w:top w:val="none" w:sz="0" w:space="0" w:color="auto"/>
                <w:left w:val="none" w:sz="0" w:space="0" w:color="auto"/>
                <w:bottom w:val="none" w:sz="0" w:space="0" w:color="auto"/>
                <w:right w:val="none" w:sz="0" w:space="0" w:color="auto"/>
              </w:divBdr>
            </w:div>
            <w:div w:id="1578126220">
              <w:marLeft w:val="255"/>
              <w:marRight w:val="0"/>
              <w:marTop w:val="0"/>
              <w:marBottom w:val="0"/>
              <w:divBdr>
                <w:top w:val="none" w:sz="0" w:space="0" w:color="auto"/>
                <w:left w:val="none" w:sz="0" w:space="0" w:color="auto"/>
                <w:bottom w:val="none" w:sz="0" w:space="0" w:color="auto"/>
                <w:right w:val="none" w:sz="0" w:space="0" w:color="auto"/>
              </w:divBdr>
            </w:div>
            <w:div w:id="1583097571">
              <w:marLeft w:val="255"/>
              <w:marRight w:val="0"/>
              <w:marTop w:val="0"/>
              <w:marBottom w:val="0"/>
              <w:divBdr>
                <w:top w:val="none" w:sz="0" w:space="0" w:color="auto"/>
                <w:left w:val="none" w:sz="0" w:space="0" w:color="auto"/>
                <w:bottom w:val="none" w:sz="0" w:space="0" w:color="auto"/>
                <w:right w:val="none" w:sz="0" w:space="0" w:color="auto"/>
              </w:divBdr>
            </w:div>
            <w:div w:id="1613246761">
              <w:marLeft w:val="255"/>
              <w:marRight w:val="0"/>
              <w:marTop w:val="0"/>
              <w:marBottom w:val="0"/>
              <w:divBdr>
                <w:top w:val="none" w:sz="0" w:space="0" w:color="auto"/>
                <w:left w:val="none" w:sz="0" w:space="0" w:color="auto"/>
                <w:bottom w:val="none" w:sz="0" w:space="0" w:color="auto"/>
                <w:right w:val="none" w:sz="0" w:space="0" w:color="auto"/>
              </w:divBdr>
            </w:div>
          </w:divsChild>
        </w:div>
        <w:div w:id="392000337">
          <w:marLeft w:val="255"/>
          <w:marRight w:val="0"/>
          <w:marTop w:val="75"/>
          <w:marBottom w:val="0"/>
          <w:divBdr>
            <w:top w:val="none" w:sz="0" w:space="0" w:color="auto"/>
            <w:left w:val="none" w:sz="0" w:space="0" w:color="auto"/>
            <w:bottom w:val="none" w:sz="0" w:space="0" w:color="auto"/>
            <w:right w:val="none" w:sz="0" w:space="0" w:color="auto"/>
          </w:divBdr>
        </w:div>
      </w:divsChild>
    </w:div>
    <w:div w:id="430399719">
      <w:bodyDiv w:val="1"/>
      <w:marLeft w:val="0"/>
      <w:marRight w:val="0"/>
      <w:marTop w:val="0"/>
      <w:marBottom w:val="0"/>
      <w:divBdr>
        <w:top w:val="none" w:sz="0" w:space="0" w:color="auto"/>
        <w:left w:val="none" w:sz="0" w:space="0" w:color="auto"/>
        <w:bottom w:val="none" w:sz="0" w:space="0" w:color="auto"/>
        <w:right w:val="none" w:sz="0" w:space="0" w:color="auto"/>
      </w:divBdr>
      <w:divsChild>
        <w:div w:id="1314138773">
          <w:marLeft w:val="0"/>
          <w:marRight w:val="0"/>
          <w:marTop w:val="0"/>
          <w:marBottom w:val="300"/>
          <w:divBdr>
            <w:top w:val="none" w:sz="0" w:space="0" w:color="auto"/>
            <w:left w:val="none" w:sz="0" w:space="0" w:color="auto"/>
            <w:bottom w:val="none" w:sz="0" w:space="0" w:color="auto"/>
            <w:right w:val="none" w:sz="0" w:space="0" w:color="auto"/>
          </w:divBdr>
        </w:div>
        <w:div w:id="623313954">
          <w:marLeft w:val="255"/>
          <w:marRight w:val="0"/>
          <w:marTop w:val="75"/>
          <w:marBottom w:val="0"/>
          <w:divBdr>
            <w:top w:val="none" w:sz="0" w:space="0" w:color="auto"/>
            <w:left w:val="none" w:sz="0" w:space="0" w:color="auto"/>
            <w:bottom w:val="none" w:sz="0" w:space="0" w:color="auto"/>
            <w:right w:val="none" w:sz="0" w:space="0" w:color="auto"/>
          </w:divBdr>
        </w:div>
      </w:divsChild>
    </w:div>
    <w:div w:id="431321366">
      <w:bodyDiv w:val="1"/>
      <w:marLeft w:val="0"/>
      <w:marRight w:val="0"/>
      <w:marTop w:val="0"/>
      <w:marBottom w:val="0"/>
      <w:divBdr>
        <w:top w:val="none" w:sz="0" w:space="0" w:color="auto"/>
        <w:left w:val="none" w:sz="0" w:space="0" w:color="auto"/>
        <w:bottom w:val="none" w:sz="0" w:space="0" w:color="auto"/>
        <w:right w:val="none" w:sz="0" w:space="0" w:color="auto"/>
      </w:divBdr>
    </w:div>
    <w:div w:id="443037619">
      <w:bodyDiv w:val="1"/>
      <w:marLeft w:val="0"/>
      <w:marRight w:val="0"/>
      <w:marTop w:val="0"/>
      <w:marBottom w:val="0"/>
      <w:divBdr>
        <w:top w:val="none" w:sz="0" w:space="0" w:color="auto"/>
        <w:left w:val="none" w:sz="0" w:space="0" w:color="auto"/>
        <w:bottom w:val="none" w:sz="0" w:space="0" w:color="auto"/>
        <w:right w:val="none" w:sz="0" w:space="0" w:color="auto"/>
      </w:divBdr>
    </w:div>
    <w:div w:id="460150779">
      <w:bodyDiv w:val="1"/>
      <w:marLeft w:val="0"/>
      <w:marRight w:val="0"/>
      <w:marTop w:val="0"/>
      <w:marBottom w:val="0"/>
      <w:divBdr>
        <w:top w:val="none" w:sz="0" w:space="0" w:color="auto"/>
        <w:left w:val="none" w:sz="0" w:space="0" w:color="auto"/>
        <w:bottom w:val="none" w:sz="0" w:space="0" w:color="auto"/>
        <w:right w:val="none" w:sz="0" w:space="0" w:color="auto"/>
      </w:divBdr>
    </w:div>
    <w:div w:id="503671545">
      <w:bodyDiv w:val="1"/>
      <w:marLeft w:val="0"/>
      <w:marRight w:val="0"/>
      <w:marTop w:val="0"/>
      <w:marBottom w:val="0"/>
      <w:divBdr>
        <w:top w:val="none" w:sz="0" w:space="0" w:color="auto"/>
        <w:left w:val="none" w:sz="0" w:space="0" w:color="auto"/>
        <w:bottom w:val="none" w:sz="0" w:space="0" w:color="auto"/>
        <w:right w:val="none" w:sz="0" w:space="0" w:color="auto"/>
      </w:divBdr>
      <w:divsChild>
        <w:div w:id="750276445">
          <w:marLeft w:val="255"/>
          <w:marRight w:val="0"/>
          <w:marTop w:val="75"/>
          <w:marBottom w:val="0"/>
          <w:divBdr>
            <w:top w:val="none" w:sz="0" w:space="0" w:color="auto"/>
            <w:left w:val="none" w:sz="0" w:space="0" w:color="auto"/>
            <w:bottom w:val="none" w:sz="0" w:space="0" w:color="auto"/>
            <w:right w:val="none" w:sz="0" w:space="0" w:color="auto"/>
          </w:divBdr>
        </w:div>
        <w:div w:id="923228452">
          <w:marLeft w:val="255"/>
          <w:marRight w:val="0"/>
          <w:marTop w:val="75"/>
          <w:marBottom w:val="0"/>
          <w:divBdr>
            <w:top w:val="none" w:sz="0" w:space="0" w:color="auto"/>
            <w:left w:val="none" w:sz="0" w:space="0" w:color="auto"/>
            <w:bottom w:val="none" w:sz="0" w:space="0" w:color="auto"/>
            <w:right w:val="none" w:sz="0" w:space="0" w:color="auto"/>
          </w:divBdr>
        </w:div>
        <w:div w:id="1713649245">
          <w:marLeft w:val="255"/>
          <w:marRight w:val="0"/>
          <w:marTop w:val="75"/>
          <w:marBottom w:val="0"/>
          <w:divBdr>
            <w:top w:val="none" w:sz="0" w:space="0" w:color="auto"/>
            <w:left w:val="none" w:sz="0" w:space="0" w:color="auto"/>
            <w:bottom w:val="none" w:sz="0" w:space="0" w:color="auto"/>
            <w:right w:val="none" w:sz="0" w:space="0" w:color="auto"/>
          </w:divBdr>
        </w:div>
      </w:divsChild>
    </w:div>
    <w:div w:id="522978923">
      <w:bodyDiv w:val="1"/>
      <w:marLeft w:val="0"/>
      <w:marRight w:val="0"/>
      <w:marTop w:val="0"/>
      <w:marBottom w:val="0"/>
      <w:divBdr>
        <w:top w:val="none" w:sz="0" w:space="0" w:color="auto"/>
        <w:left w:val="none" w:sz="0" w:space="0" w:color="auto"/>
        <w:bottom w:val="none" w:sz="0" w:space="0" w:color="auto"/>
        <w:right w:val="none" w:sz="0" w:space="0" w:color="auto"/>
      </w:divBdr>
    </w:div>
    <w:div w:id="525142040">
      <w:bodyDiv w:val="1"/>
      <w:marLeft w:val="0"/>
      <w:marRight w:val="0"/>
      <w:marTop w:val="0"/>
      <w:marBottom w:val="0"/>
      <w:divBdr>
        <w:top w:val="none" w:sz="0" w:space="0" w:color="auto"/>
        <w:left w:val="none" w:sz="0" w:space="0" w:color="auto"/>
        <w:bottom w:val="none" w:sz="0" w:space="0" w:color="auto"/>
        <w:right w:val="none" w:sz="0" w:space="0" w:color="auto"/>
      </w:divBdr>
    </w:div>
    <w:div w:id="525292777">
      <w:bodyDiv w:val="1"/>
      <w:marLeft w:val="0"/>
      <w:marRight w:val="0"/>
      <w:marTop w:val="0"/>
      <w:marBottom w:val="0"/>
      <w:divBdr>
        <w:top w:val="none" w:sz="0" w:space="0" w:color="auto"/>
        <w:left w:val="none" w:sz="0" w:space="0" w:color="auto"/>
        <w:bottom w:val="none" w:sz="0" w:space="0" w:color="auto"/>
        <w:right w:val="none" w:sz="0" w:space="0" w:color="auto"/>
      </w:divBdr>
    </w:div>
    <w:div w:id="554313941">
      <w:bodyDiv w:val="1"/>
      <w:marLeft w:val="0"/>
      <w:marRight w:val="0"/>
      <w:marTop w:val="0"/>
      <w:marBottom w:val="0"/>
      <w:divBdr>
        <w:top w:val="none" w:sz="0" w:space="0" w:color="auto"/>
        <w:left w:val="none" w:sz="0" w:space="0" w:color="auto"/>
        <w:bottom w:val="none" w:sz="0" w:space="0" w:color="auto"/>
        <w:right w:val="none" w:sz="0" w:space="0" w:color="auto"/>
      </w:divBdr>
    </w:div>
    <w:div w:id="575407206">
      <w:bodyDiv w:val="1"/>
      <w:marLeft w:val="0"/>
      <w:marRight w:val="0"/>
      <w:marTop w:val="0"/>
      <w:marBottom w:val="0"/>
      <w:divBdr>
        <w:top w:val="none" w:sz="0" w:space="0" w:color="auto"/>
        <w:left w:val="none" w:sz="0" w:space="0" w:color="auto"/>
        <w:bottom w:val="none" w:sz="0" w:space="0" w:color="auto"/>
        <w:right w:val="none" w:sz="0" w:space="0" w:color="auto"/>
      </w:divBdr>
    </w:div>
    <w:div w:id="609623585">
      <w:bodyDiv w:val="1"/>
      <w:marLeft w:val="0"/>
      <w:marRight w:val="0"/>
      <w:marTop w:val="0"/>
      <w:marBottom w:val="0"/>
      <w:divBdr>
        <w:top w:val="none" w:sz="0" w:space="0" w:color="auto"/>
        <w:left w:val="none" w:sz="0" w:space="0" w:color="auto"/>
        <w:bottom w:val="none" w:sz="0" w:space="0" w:color="auto"/>
        <w:right w:val="none" w:sz="0" w:space="0" w:color="auto"/>
      </w:divBdr>
      <w:divsChild>
        <w:div w:id="387383682">
          <w:marLeft w:val="0"/>
          <w:marRight w:val="0"/>
          <w:marTop w:val="225"/>
          <w:marBottom w:val="0"/>
          <w:divBdr>
            <w:top w:val="none" w:sz="0" w:space="0" w:color="auto"/>
            <w:left w:val="none" w:sz="0" w:space="0" w:color="auto"/>
            <w:bottom w:val="none" w:sz="0" w:space="0" w:color="auto"/>
            <w:right w:val="none" w:sz="0" w:space="0" w:color="auto"/>
          </w:divBdr>
          <w:divsChild>
            <w:div w:id="1391417217">
              <w:marLeft w:val="0"/>
              <w:marRight w:val="0"/>
              <w:marTop w:val="0"/>
              <w:marBottom w:val="0"/>
              <w:divBdr>
                <w:top w:val="none" w:sz="0" w:space="0" w:color="auto"/>
                <w:left w:val="none" w:sz="0" w:space="0" w:color="auto"/>
                <w:bottom w:val="none" w:sz="0" w:space="0" w:color="auto"/>
                <w:right w:val="none" w:sz="0" w:space="0" w:color="auto"/>
              </w:divBdr>
            </w:div>
            <w:div w:id="483012979">
              <w:marLeft w:val="0"/>
              <w:marRight w:val="0"/>
              <w:marTop w:val="0"/>
              <w:marBottom w:val="0"/>
              <w:divBdr>
                <w:top w:val="none" w:sz="0" w:space="0" w:color="auto"/>
                <w:left w:val="none" w:sz="0" w:space="0" w:color="auto"/>
                <w:bottom w:val="none" w:sz="0" w:space="0" w:color="auto"/>
                <w:right w:val="none" w:sz="0" w:space="0" w:color="auto"/>
              </w:divBdr>
            </w:div>
          </w:divsChild>
        </w:div>
        <w:div w:id="1358696123">
          <w:marLeft w:val="0"/>
          <w:marRight w:val="0"/>
          <w:marTop w:val="225"/>
          <w:marBottom w:val="0"/>
          <w:divBdr>
            <w:top w:val="none" w:sz="0" w:space="0" w:color="auto"/>
            <w:left w:val="none" w:sz="0" w:space="0" w:color="auto"/>
            <w:bottom w:val="none" w:sz="0" w:space="0" w:color="auto"/>
            <w:right w:val="none" w:sz="0" w:space="0" w:color="auto"/>
          </w:divBdr>
          <w:divsChild>
            <w:div w:id="1663267099">
              <w:marLeft w:val="0"/>
              <w:marRight w:val="0"/>
              <w:marTop w:val="0"/>
              <w:marBottom w:val="0"/>
              <w:divBdr>
                <w:top w:val="none" w:sz="0" w:space="0" w:color="auto"/>
                <w:left w:val="none" w:sz="0" w:space="0" w:color="auto"/>
                <w:bottom w:val="none" w:sz="0" w:space="0" w:color="auto"/>
                <w:right w:val="none" w:sz="0" w:space="0" w:color="auto"/>
              </w:divBdr>
            </w:div>
            <w:div w:id="1092358748">
              <w:marLeft w:val="0"/>
              <w:marRight w:val="0"/>
              <w:marTop w:val="0"/>
              <w:marBottom w:val="0"/>
              <w:divBdr>
                <w:top w:val="none" w:sz="0" w:space="0" w:color="auto"/>
                <w:left w:val="none" w:sz="0" w:space="0" w:color="auto"/>
                <w:bottom w:val="none" w:sz="0" w:space="0" w:color="auto"/>
                <w:right w:val="none" w:sz="0" w:space="0" w:color="auto"/>
              </w:divBdr>
            </w:div>
          </w:divsChild>
        </w:div>
        <w:div w:id="1159032687">
          <w:marLeft w:val="0"/>
          <w:marRight w:val="0"/>
          <w:marTop w:val="225"/>
          <w:marBottom w:val="0"/>
          <w:divBdr>
            <w:top w:val="none" w:sz="0" w:space="0" w:color="auto"/>
            <w:left w:val="none" w:sz="0" w:space="0" w:color="auto"/>
            <w:bottom w:val="none" w:sz="0" w:space="0" w:color="auto"/>
            <w:right w:val="none" w:sz="0" w:space="0" w:color="auto"/>
          </w:divBdr>
          <w:divsChild>
            <w:div w:id="813569968">
              <w:marLeft w:val="0"/>
              <w:marRight w:val="0"/>
              <w:marTop w:val="0"/>
              <w:marBottom w:val="0"/>
              <w:divBdr>
                <w:top w:val="none" w:sz="0" w:space="0" w:color="auto"/>
                <w:left w:val="none" w:sz="0" w:space="0" w:color="auto"/>
                <w:bottom w:val="none" w:sz="0" w:space="0" w:color="auto"/>
                <w:right w:val="none" w:sz="0" w:space="0" w:color="auto"/>
              </w:divBdr>
            </w:div>
            <w:div w:id="15479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488">
      <w:bodyDiv w:val="1"/>
      <w:marLeft w:val="0"/>
      <w:marRight w:val="0"/>
      <w:marTop w:val="0"/>
      <w:marBottom w:val="0"/>
      <w:divBdr>
        <w:top w:val="none" w:sz="0" w:space="0" w:color="auto"/>
        <w:left w:val="none" w:sz="0" w:space="0" w:color="auto"/>
        <w:bottom w:val="none" w:sz="0" w:space="0" w:color="auto"/>
        <w:right w:val="none" w:sz="0" w:space="0" w:color="auto"/>
      </w:divBdr>
      <w:divsChild>
        <w:div w:id="189607582">
          <w:marLeft w:val="255"/>
          <w:marRight w:val="0"/>
          <w:marTop w:val="75"/>
          <w:marBottom w:val="0"/>
          <w:divBdr>
            <w:top w:val="none" w:sz="0" w:space="0" w:color="auto"/>
            <w:left w:val="none" w:sz="0" w:space="0" w:color="auto"/>
            <w:bottom w:val="none" w:sz="0" w:space="0" w:color="auto"/>
            <w:right w:val="none" w:sz="0" w:space="0" w:color="auto"/>
          </w:divBdr>
          <w:divsChild>
            <w:div w:id="1954630763">
              <w:marLeft w:val="255"/>
              <w:marRight w:val="0"/>
              <w:marTop w:val="0"/>
              <w:marBottom w:val="0"/>
              <w:divBdr>
                <w:top w:val="none" w:sz="0" w:space="0" w:color="auto"/>
                <w:left w:val="none" w:sz="0" w:space="0" w:color="auto"/>
                <w:bottom w:val="none" w:sz="0" w:space="0" w:color="auto"/>
                <w:right w:val="none" w:sz="0" w:space="0" w:color="auto"/>
              </w:divBdr>
            </w:div>
            <w:div w:id="1173104967">
              <w:marLeft w:val="255"/>
              <w:marRight w:val="0"/>
              <w:marTop w:val="0"/>
              <w:marBottom w:val="0"/>
              <w:divBdr>
                <w:top w:val="none" w:sz="0" w:space="0" w:color="auto"/>
                <w:left w:val="none" w:sz="0" w:space="0" w:color="auto"/>
                <w:bottom w:val="none" w:sz="0" w:space="0" w:color="auto"/>
                <w:right w:val="none" w:sz="0" w:space="0" w:color="auto"/>
              </w:divBdr>
            </w:div>
            <w:div w:id="322854952">
              <w:marLeft w:val="255"/>
              <w:marRight w:val="0"/>
              <w:marTop w:val="0"/>
              <w:marBottom w:val="0"/>
              <w:divBdr>
                <w:top w:val="none" w:sz="0" w:space="0" w:color="auto"/>
                <w:left w:val="none" w:sz="0" w:space="0" w:color="auto"/>
                <w:bottom w:val="none" w:sz="0" w:space="0" w:color="auto"/>
                <w:right w:val="none" w:sz="0" w:space="0" w:color="auto"/>
              </w:divBdr>
            </w:div>
          </w:divsChild>
        </w:div>
        <w:div w:id="2135246604">
          <w:marLeft w:val="255"/>
          <w:marRight w:val="0"/>
          <w:marTop w:val="75"/>
          <w:marBottom w:val="0"/>
          <w:divBdr>
            <w:top w:val="none" w:sz="0" w:space="0" w:color="auto"/>
            <w:left w:val="none" w:sz="0" w:space="0" w:color="auto"/>
            <w:bottom w:val="none" w:sz="0" w:space="0" w:color="auto"/>
            <w:right w:val="none" w:sz="0" w:space="0" w:color="auto"/>
          </w:divBdr>
        </w:div>
      </w:divsChild>
    </w:div>
    <w:div w:id="678508436">
      <w:bodyDiv w:val="1"/>
      <w:marLeft w:val="0"/>
      <w:marRight w:val="0"/>
      <w:marTop w:val="0"/>
      <w:marBottom w:val="0"/>
      <w:divBdr>
        <w:top w:val="none" w:sz="0" w:space="0" w:color="auto"/>
        <w:left w:val="none" w:sz="0" w:space="0" w:color="auto"/>
        <w:bottom w:val="none" w:sz="0" w:space="0" w:color="auto"/>
        <w:right w:val="none" w:sz="0" w:space="0" w:color="auto"/>
      </w:divBdr>
    </w:div>
    <w:div w:id="6829782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29">
          <w:marLeft w:val="0"/>
          <w:marRight w:val="0"/>
          <w:marTop w:val="0"/>
          <w:marBottom w:val="0"/>
          <w:divBdr>
            <w:top w:val="none" w:sz="0" w:space="0" w:color="auto"/>
            <w:left w:val="none" w:sz="0" w:space="0" w:color="auto"/>
            <w:bottom w:val="none" w:sz="0" w:space="0" w:color="auto"/>
            <w:right w:val="none" w:sz="0" w:space="0" w:color="auto"/>
          </w:divBdr>
          <w:divsChild>
            <w:div w:id="1737436462">
              <w:marLeft w:val="0"/>
              <w:marRight w:val="0"/>
              <w:marTop w:val="0"/>
              <w:marBottom w:val="0"/>
              <w:divBdr>
                <w:top w:val="none" w:sz="0" w:space="0" w:color="auto"/>
                <w:left w:val="none" w:sz="0" w:space="0" w:color="auto"/>
                <w:bottom w:val="none" w:sz="0" w:space="0" w:color="auto"/>
                <w:right w:val="none" w:sz="0" w:space="0" w:color="auto"/>
              </w:divBdr>
              <w:divsChild>
                <w:div w:id="70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965">
      <w:bodyDiv w:val="1"/>
      <w:marLeft w:val="0"/>
      <w:marRight w:val="0"/>
      <w:marTop w:val="0"/>
      <w:marBottom w:val="0"/>
      <w:divBdr>
        <w:top w:val="none" w:sz="0" w:space="0" w:color="auto"/>
        <w:left w:val="none" w:sz="0" w:space="0" w:color="auto"/>
        <w:bottom w:val="none" w:sz="0" w:space="0" w:color="auto"/>
        <w:right w:val="none" w:sz="0" w:space="0" w:color="auto"/>
      </w:divBdr>
    </w:div>
    <w:div w:id="740837444">
      <w:bodyDiv w:val="1"/>
      <w:marLeft w:val="0"/>
      <w:marRight w:val="0"/>
      <w:marTop w:val="0"/>
      <w:marBottom w:val="0"/>
      <w:divBdr>
        <w:top w:val="none" w:sz="0" w:space="0" w:color="auto"/>
        <w:left w:val="none" w:sz="0" w:space="0" w:color="auto"/>
        <w:bottom w:val="none" w:sz="0" w:space="0" w:color="auto"/>
        <w:right w:val="none" w:sz="0" w:space="0" w:color="auto"/>
      </w:divBdr>
    </w:div>
    <w:div w:id="800342984">
      <w:bodyDiv w:val="1"/>
      <w:marLeft w:val="0"/>
      <w:marRight w:val="0"/>
      <w:marTop w:val="0"/>
      <w:marBottom w:val="0"/>
      <w:divBdr>
        <w:top w:val="none" w:sz="0" w:space="0" w:color="auto"/>
        <w:left w:val="none" w:sz="0" w:space="0" w:color="auto"/>
        <w:bottom w:val="none" w:sz="0" w:space="0" w:color="auto"/>
        <w:right w:val="none" w:sz="0" w:space="0" w:color="auto"/>
      </w:divBdr>
    </w:div>
    <w:div w:id="808858565">
      <w:bodyDiv w:val="1"/>
      <w:marLeft w:val="0"/>
      <w:marRight w:val="0"/>
      <w:marTop w:val="0"/>
      <w:marBottom w:val="0"/>
      <w:divBdr>
        <w:top w:val="none" w:sz="0" w:space="0" w:color="auto"/>
        <w:left w:val="none" w:sz="0" w:space="0" w:color="auto"/>
        <w:bottom w:val="none" w:sz="0" w:space="0" w:color="auto"/>
        <w:right w:val="none" w:sz="0" w:space="0" w:color="auto"/>
      </w:divBdr>
    </w:div>
    <w:div w:id="811757392">
      <w:bodyDiv w:val="1"/>
      <w:marLeft w:val="0"/>
      <w:marRight w:val="0"/>
      <w:marTop w:val="0"/>
      <w:marBottom w:val="0"/>
      <w:divBdr>
        <w:top w:val="none" w:sz="0" w:space="0" w:color="auto"/>
        <w:left w:val="none" w:sz="0" w:space="0" w:color="auto"/>
        <w:bottom w:val="none" w:sz="0" w:space="0" w:color="auto"/>
        <w:right w:val="none" w:sz="0" w:space="0" w:color="auto"/>
      </w:divBdr>
    </w:div>
    <w:div w:id="820199564">
      <w:bodyDiv w:val="1"/>
      <w:marLeft w:val="0"/>
      <w:marRight w:val="0"/>
      <w:marTop w:val="0"/>
      <w:marBottom w:val="0"/>
      <w:divBdr>
        <w:top w:val="none" w:sz="0" w:space="0" w:color="auto"/>
        <w:left w:val="none" w:sz="0" w:space="0" w:color="auto"/>
        <w:bottom w:val="none" w:sz="0" w:space="0" w:color="auto"/>
        <w:right w:val="none" w:sz="0" w:space="0" w:color="auto"/>
      </w:divBdr>
    </w:div>
    <w:div w:id="869033994">
      <w:bodyDiv w:val="1"/>
      <w:marLeft w:val="0"/>
      <w:marRight w:val="0"/>
      <w:marTop w:val="0"/>
      <w:marBottom w:val="0"/>
      <w:divBdr>
        <w:top w:val="none" w:sz="0" w:space="0" w:color="auto"/>
        <w:left w:val="none" w:sz="0" w:space="0" w:color="auto"/>
        <w:bottom w:val="none" w:sz="0" w:space="0" w:color="auto"/>
        <w:right w:val="none" w:sz="0" w:space="0" w:color="auto"/>
      </w:divBdr>
    </w:div>
    <w:div w:id="882254389">
      <w:bodyDiv w:val="1"/>
      <w:marLeft w:val="0"/>
      <w:marRight w:val="0"/>
      <w:marTop w:val="0"/>
      <w:marBottom w:val="0"/>
      <w:divBdr>
        <w:top w:val="none" w:sz="0" w:space="0" w:color="auto"/>
        <w:left w:val="none" w:sz="0" w:space="0" w:color="auto"/>
        <w:bottom w:val="none" w:sz="0" w:space="0" w:color="auto"/>
        <w:right w:val="none" w:sz="0" w:space="0" w:color="auto"/>
      </w:divBdr>
    </w:div>
    <w:div w:id="906963826">
      <w:bodyDiv w:val="1"/>
      <w:marLeft w:val="0"/>
      <w:marRight w:val="0"/>
      <w:marTop w:val="0"/>
      <w:marBottom w:val="0"/>
      <w:divBdr>
        <w:top w:val="none" w:sz="0" w:space="0" w:color="auto"/>
        <w:left w:val="none" w:sz="0" w:space="0" w:color="auto"/>
        <w:bottom w:val="none" w:sz="0" w:space="0" w:color="auto"/>
        <w:right w:val="none" w:sz="0" w:space="0" w:color="auto"/>
      </w:divBdr>
    </w:div>
    <w:div w:id="934048944">
      <w:bodyDiv w:val="1"/>
      <w:marLeft w:val="0"/>
      <w:marRight w:val="0"/>
      <w:marTop w:val="0"/>
      <w:marBottom w:val="0"/>
      <w:divBdr>
        <w:top w:val="none" w:sz="0" w:space="0" w:color="auto"/>
        <w:left w:val="none" w:sz="0" w:space="0" w:color="auto"/>
        <w:bottom w:val="none" w:sz="0" w:space="0" w:color="auto"/>
        <w:right w:val="none" w:sz="0" w:space="0" w:color="auto"/>
      </w:divBdr>
    </w:div>
    <w:div w:id="948580921">
      <w:bodyDiv w:val="1"/>
      <w:marLeft w:val="0"/>
      <w:marRight w:val="0"/>
      <w:marTop w:val="0"/>
      <w:marBottom w:val="0"/>
      <w:divBdr>
        <w:top w:val="none" w:sz="0" w:space="0" w:color="auto"/>
        <w:left w:val="none" w:sz="0" w:space="0" w:color="auto"/>
        <w:bottom w:val="none" w:sz="0" w:space="0" w:color="auto"/>
        <w:right w:val="none" w:sz="0" w:space="0" w:color="auto"/>
      </w:divBdr>
    </w:div>
    <w:div w:id="977415354">
      <w:bodyDiv w:val="1"/>
      <w:marLeft w:val="0"/>
      <w:marRight w:val="0"/>
      <w:marTop w:val="0"/>
      <w:marBottom w:val="0"/>
      <w:divBdr>
        <w:top w:val="none" w:sz="0" w:space="0" w:color="auto"/>
        <w:left w:val="none" w:sz="0" w:space="0" w:color="auto"/>
        <w:bottom w:val="none" w:sz="0" w:space="0" w:color="auto"/>
        <w:right w:val="none" w:sz="0" w:space="0" w:color="auto"/>
      </w:divBdr>
    </w:div>
    <w:div w:id="1038353424">
      <w:bodyDiv w:val="1"/>
      <w:marLeft w:val="0"/>
      <w:marRight w:val="0"/>
      <w:marTop w:val="0"/>
      <w:marBottom w:val="0"/>
      <w:divBdr>
        <w:top w:val="none" w:sz="0" w:space="0" w:color="auto"/>
        <w:left w:val="none" w:sz="0" w:space="0" w:color="auto"/>
        <w:bottom w:val="none" w:sz="0" w:space="0" w:color="auto"/>
        <w:right w:val="none" w:sz="0" w:space="0" w:color="auto"/>
      </w:divBdr>
    </w:div>
    <w:div w:id="1087193092">
      <w:bodyDiv w:val="1"/>
      <w:marLeft w:val="0"/>
      <w:marRight w:val="0"/>
      <w:marTop w:val="0"/>
      <w:marBottom w:val="0"/>
      <w:divBdr>
        <w:top w:val="none" w:sz="0" w:space="0" w:color="auto"/>
        <w:left w:val="none" w:sz="0" w:space="0" w:color="auto"/>
        <w:bottom w:val="none" w:sz="0" w:space="0" w:color="auto"/>
        <w:right w:val="none" w:sz="0" w:space="0" w:color="auto"/>
      </w:divBdr>
    </w:div>
    <w:div w:id="1099906134">
      <w:bodyDiv w:val="1"/>
      <w:marLeft w:val="0"/>
      <w:marRight w:val="0"/>
      <w:marTop w:val="0"/>
      <w:marBottom w:val="0"/>
      <w:divBdr>
        <w:top w:val="none" w:sz="0" w:space="0" w:color="auto"/>
        <w:left w:val="none" w:sz="0" w:space="0" w:color="auto"/>
        <w:bottom w:val="none" w:sz="0" w:space="0" w:color="auto"/>
        <w:right w:val="none" w:sz="0" w:space="0" w:color="auto"/>
      </w:divBdr>
      <w:divsChild>
        <w:div w:id="684937951">
          <w:marLeft w:val="255"/>
          <w:marRight w:val="0"/>
          <w:marTop w:val="75"/>
          <w:marBottom w:val="0"/>
          <w:divBdr>
            <w:top w:val="none" w:sz="0" w:space="0" w:color="auto"/>
            <w:left w:val="none" w:sz="0" w:space="0" w:color="auto"/>
            <w:bottom w:val="none" w:sz="0" w:space="0" w:color="auto"/>
            <w:right w:val="none" w:sz="0" w:space="0" w:color="auto"/>
          </w:divBdr>
        </w:div>
        <w:div w:id="1399740754">
          <w:marLeft w:val="255"/>
          <w:marRight w:val="0"/>
          <w:marTop w:val="75"/>
          <w:marBottom w:val="0"/>
          <w:divBdr>
            <w:top w:val="none" w:sz="0" w:space="0" w:color="auto"/>
            <w:left w:val="none" w:sz="0" w:space="0" w:color="auto"/>
            <w:bottom w:val="none" w:sz="0" w:space="0" w:color="auto"/>
            <w:right w:val="none" w:sz="0" w:space="0" w:color="auto"/>
          </w:divBdr>
        </w:div>
      </w:divsChild>
    </w:div>
    <w:div w:id="1142036931">
      <w:bodyDiv w:val="1"/>
      <w:marLeft w:val="0"/>
      <w:marRight w:val="0"/>
      <w:marTop w:val="0"/>
      <w:marBottom w:val="0"/>
      <w:divBdr>
        <w:top w:val="none" w:sz="0" w:space="0" w:color="auto"/>
        <w:left w:val="none" w:sz="0" w:space="0" w:color="auto"/>
        <w:bottom w:val="none" w:sz="0" w:space="0" w:color="auto"/>
        <w:right w:val="none" w:sz="0" w:space="0" w:color="auto"/>
      </w:divBdr>
    </w:div>
    <w:div w:id="1233007395">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91786760">
      <w:bodyDiv w:val="1"/>
      <w:marLeft w:val="0"/>
      <w:marRight w:val="0"/>
      <w:marTop w:val="0"/>
      <w:marBottom w:val="0"/>
      <w:divBdr>
        <w:top w:val="none" w:sz="0" w:space="0" w:color="auto"/>
        <w:left w:val="none" w:sz="0" w:space="0" w:color="auto"/>
        <w:bottom w:val="none" w:sz="0" w:space="0" w:color="auto"/>
        <w:right w:val="none" w:sz="0" w:space="0" w:color="auto"/>
      </w:divBdr>
    </w:div>
    <w:div w:id="1310403362">
      <w:bodyDiv w:val="1"/>
      <w:marLeft w:val="0"/>
      <w:marRight w:val="0"/>
      <w:marTop w:val="0"/>
      <w:marBottom w:val="0"/>
      <w:divBdr>
        <w:top w:val="none" w:sz="0" w:space="0" w:color="auto"/>
        <w:left w:val="none" w:sz="0" w:space="0" w:color="auto"/>
        <w:bottom w:val="none" w:sz="0" w:space="0" w:color="auto"/>
        <w:right w:val="none" w:sz="0" w:space="0" w:color="auto"/>
      </w:divBdr>
    </w:div>
    <w:div w:id="1343437395">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sChild>
        <w:div w:id="571744354">
          <w:marLeft w:val="0"/>
          <w:marRight w:val="0"/>
          <w:marTop w:val="0"/>
          <w:marBottom w:val="0"/>
          <w:divBdr>
            <w:top w:val="none" w:sz="0" w:space="0" w:color="auto"/>
            <w:left w:val="none" w:sz="0" w:space="0" w:color="auto"/>
            <w:bottom w:val="none" w:sz="0" w:space="0" w:color="auto"/>
            <w:right w:val="none" w:sz="0" w:space="0" w:color="auto"/>
          </w:divBdr>
          <w:divsChild>
            <w:div w:id="551575976">
              <w:marLeft w:val="0"/>
              <w:marRight w:val="0"/>
              <w:marTop w:val="0"/>
              <w:marBottom w:val="0"/>
              <w:divBdr>
                <w:top w:val="none" w:sz="0" w:space="0" w:color="auto"/>
                <w:left w:val="none" w:sz="0" w:space="0" w:color="auto"/>
                <w:bottom w:val="none" w:sz="0" w:space="0" w:color="auto"/>
                <w:right w:val="none" w:sz="0" w:space="0" w:color="auto"/>
              </w:divBdr>
              <w:divsChild>
                <w:div w:id="864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844">
      <w:bodyDiv w:val="1"/>
      <w:marLeft w:val="0"/>
      <w:marRight w:val="0"/>
      <w:marTop w:val="0"/>
      <w:marBottom w:val="0"/>
      <w:divBdr>
        <w:top w:val="none" w:sz="0" w:space="0" w:color="auto"/>
        <w:left w:val="none" w:sz="0" w:space="0" w:color="auto"/>
        <w:bottom w:val="none" w:sz="0" w:space="0" w:color="auto"/>
        <w:right w:val="none" w:sz="0" w:space="0" w:color="auto"/>
      </w:divBdr>
    </w:div>
    <w:div w:id="1459882043">
      <w:bodyDiv w:val="1"/>
      <w:marLeft w:val="0"/>
      <w:marRight w:val="0"/>
      <w:marTop w:val="0"/>
      <w:marBottom w:val="0"/>
      <w:divBdr>
        <w:top w:val="none" w:sz="0" w:space="0" w:color="auto"/>
        <w:left w:val="none" w:sz="0" w:space="0" w:color="auto"/>
        <w:bottom w:val="none" w:sz="0" w:space="0" w:color="auto"/>
        <w:right w:val="none" w:sz="0" w:space="0" w:color="auto"/>
      </w:divBdr>
    </w:div>
    <w:div w:id="1508859239">
      <w:bodyDiv w:val="1"/>
      <w:marLeft w:val="0"/>
      <w:marRight w:val="0"/>
      <w:marTop w:val="0"/>
      <w:marBottom w:val="0"/>
      <w:divBdr>
        <w:top w:val="none" w:sz="0" w:space="0" w:color="auto"/>
        <w:left w:val="none" w:sz="0" w:space="0" w:color="auto"/>
        <w:bottom w:val="none" w:sz="0" w:space="0" w:color="auto"/>
        <w:right w:val="none" w:sz="0" w:space="0" w:color="auto"/>
      </w:divBdr>
    </w:div>
    <w:div w:id="1519853860">
      <w:bodyDiv w:val="1"/>
      <w:marLeft w:val="0"/>
      <w:marRight w:val="0"/>
      <w:marTop w:val="0"/>
      <w:marBottom w:val="0"/>
      <w:divBdr>
        <w:top w:val="none" w:sz="0" w:space="0" w:color="auto"/>
        <w:left w:val="none" w:sz="0" w:space="0" w:color="auto"/>
        <w:bottom w:val="none" w:sz="0" w:space="0" w:color="auto"/>
        <w:right w:val="none" w:sz="0" w:space="0" w:color="auto"/>
      </w:divBdr>
      <w:divsChild>
        <w:div w:id="1856311768">
          <w:marLeft w:val="0"/>
          <w:marRight w:val="75"/>
          <w:marTop w:val="0"/>
          <w:marBottom w:val="0"/>
          <w:divBdr>
            <w:top w:val="none" w:sz="0" w:space="0" w:color="auto"/>
            <w:left w:val="none" w:sz="0" w:space="0" w:color="auto"/>
            <w:bottom w:val="none" w:sz="0" w:space="0" w:color="auto"/>
            <w:right w:val="none" w:sz="0" w:space="0" w:color="auto"/>
          </w:divBdr>
        </w:div>
        <w:div w:id="143933061">
          <w:marLeft w:val="0"/>
          <w:marRight w:val="0"/>
          <w:marTop w:val="0"/>
          <w:marBottom w:val="300"/>
          <w:divBdr>
            <w:top w:val="none" w:sz="0" w:space="0" w:color="auto"/>
            <w:left w:val="none" w:sz="0" w:space="0" w:color="auto"/>
            <w:bottom w:val="none" w:sz="0" w:space="0" w:color="auto"/>
            <w:right w:val="none" w:sz="0" w:space="0" w:color="auto"/>
          </w:divBdr>
        </w:div>
        <w:div w:id="1815098861">
          <w:marLeft w:val="255"/>
          <w:marRight w:val="0"/>
          <w:marTop w:val="75"/>
          <w:marBottom w:val="0"/>
          <w:divBdr>
            <w:top w:val="none" w:sz="0" w:space="0" w:color="auto"/>
            <w:left w:val="none" w:sz="0" w:space="0" w:color="auto"/>
            <w:bottom w:val="none" w:sz="0" w:space="0" w:color="auto"/>
            <w:right w:val="none" w:sz="0" w:space="0" w:color="auto"/>
          </w:divBdr>
          <w:divsChild>
            <w:div w:id="97220976">
              <w:marLeft w:val="255"/>
              <w:marRight w:val="0"/>
              <w:marTop w:val="0"/>
              <w:marBottom w:val="0"/>
              <w:divBdr>
                <w:top w:val="none" w:sz="0" w:space="0" w:color="auto"/>
                <w:left w:val="none" w:sz="0" w:space="0" w:color="auto"/>
                <w:bottom w:val="none" w:sz="0" w:space="0" w:color="auto"/>
                <w:right w:val="none" w:sz="0" w:space="0" w:color="auto"/>
              </w:divBdr>
            </w:div>
            <w:div w:id="1658533627">
              <w:marLeft w:val="255"/>
              <w:marRight w:val="0"/>
              <w:marTop w:val="0"/>
              <w:marBottom w:val="0"/>
              <w:divBdr>
                <w:top w:val="none" w:sz="0" w:space="0" w:color="auto"/>
                <w:left w:val="none" w:sz="0" w:space="0" w:color="auto"/>
                <w:bottom w:val="none" w:sz="0" w:space="0" w:color="auto"/>
                <w:right w:val="none" w:sz="0" w:space="0" w:color="auto"/>
              </w:divBdr>
            </w:div>
            <w:div w:id="1195119934">
              <w:marLeft w:val="255"/>
              <w:marRight w:val="0"/>
              <w:marTop w:val="0"/>
              <w:marBottom w:val="0"/>
              <w:divBdr>
                <w:top w:val="none" w:sz="0" w:space="0" w:color="auto"/>
                <w:left w:val="none" w:sz="0" w:space="0" w:color="auto"/>
                <w:bottom w:val="none" w:sz="0" w:space="0" w:color="auto"/>
                <w:right w:val="none" w:sz="0" w:space="0" w:color="auto"/>
              </w:divBdr>
            </w:div>
            <w:div w:id="57906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0072365">
      <w:bodyDiv w:val="1"/>
      <w:marLeft w:val="0"/>
      <w:marRight w:val="0"/>
      <w:marTop w:val="0"/>
      <w:marBottom w:val="0"/>
      <w:divBdr>
        <w:top w:val="none" w:sz="0" w:space="0" w:color="auto"/>
        <w:left w:val="none" w:sz="0" w:space="0" w:color="auto"/>
        <w:bottom w:val="none" w:sz="0" w:space="0" w:color="auto"/>
        <w:right w:val="none" w:sz="0" w:space="0" w:color="auto"/>
      </w:divBdr>
    </w:div>
    <w:div w:id="1565527639">
      <w:bodyDiv w:val="1"/>
      <w:marLeft w:val="0"/>
      <w:marRight w:val="0"/>
      <w:marTop w:val="0"/>
      <w:marBottom w:val="0"/>
      <w:divBdr>
        <w:top w:val="none" w:sz="0" w:space="0" w:color="auto"/>
        <w:left w:val="none" w:sz="0" w:space="0" w:color="auto"/>
        <w:bottom w:val="none" w:sz="0" w:space="0" w:color="auto"/>
        <w:right w:val="none" w:sz="0" w:space="0" w:color="auto"/>
      </w:divBdr>
    </w:div>
    <w:div w:id="1598443379">
      <w:bodyDiv w:val="1"/>
      <w:marLeft w:val="0"/>
      <w:marRight w:val="0"/>
      <w:marTop w:val="0"/>
      <w:marBottom w:val="0"/>
      <w:divBdr>
        <w:top w:val="none" w:sz="0" w:space="0" w:color="auto"/>
        <w:left w:val="none" w:sz="0" w:space="0" w:color="auto"/>
        <w:bottom w:val="none" w:sz="0" w:space="0" w:color="auto"/>
        <w:right w:val="none" w:sz="0" w:space="0" w:color="auto"/>
      </w:divBdr>
    </w:div>
    <w:div w:id="1608655726">
      <w:bodyDiv w:val="1"/>
      <w:marLeft w:val="0"/>
      <w:marRight w:val="0"/>
      <w:marTop w:val="0"/>
      <w:marBottom w:val="0"/>
      <w:divBdr>
        <w:top w:val="none" w:sz="0" w:space="0" w:color="auto"/>
        <w:left w:val="none" w:sz="0" w:space="0" w:color="auto"/>
        <w:bottom w:val="none" w:sz="0" w:space="0" w:color="auto"/>
        <w:right w:val="none" w:sz="0" w:space="0" w:color="auto"/>
      </w:divBdr>
    </w:div>
    <w:div w:id="1642689282">
      <w:bodyDiv w:val="1"/>
      <w:marLeft w:val="0"/>
      <w:marRight w:val="0"/>
      <w:marTop w:val="0"/>
      <w:marBottom w:val="0"/>
      <w:divBdr>
        <w:top w:val="none" w:sz="0" w:space="0" w:color="auto"/>
        <w:left w:val="none" w:sz="0" w:space="0" w:color="auto"/>
        <w:bottom w:val="none" w:sz="0" w:space="0" w:color="auto"/>
        <w:right w:val="none" w:sz="0" w:space="0" w:color="auto"/>
      </w:divBdr>
    </w:div>
    <w:div w:id="1648558681">
      <w:bodyDiv w:val="1"/>
      <w:marLeft w:val="0"/>
      <w:marRight w:val="0"/>
      <w:marTop w:val="0"/>
      <w:marBottom w:val="0"/>
      <w:divBdr>
        <w:top w:val="none" w:sz="0" w:space="0" w:color="auto"/>
        <w:left w:val="none" w:sz="0" w:space="0" w:color="auto"/>
        <w:bottom w:val="none" w:sz="0" w:space="0" w:color="auto"/>
        <w:right w:val="none" w:sz="0" w:space="0" w:color="auto"/>
      </w:divBdr>
    </w:div>
    <w:div w:id="1688558193">
      <w:bodyDiv w:val="1"/>
      <w:marLeft w:val="0"/>
      <w:marRight w:val="0"/>
      <w:marTop w:val="0"/>
      <w:marBottom w:val="0"/>
      <w:divBdr>
        <w:top w:val="none" w:sz="0" w:space="0" w:color="auto"/>
        <w:left w:val="none" w:sz="0" w:space="0" w:color="auto"/>
        <w:bottom w:val="none" w:sz="0" w:space="0" w:color="auto"/>
        <w:right w:val="none" w:sz="0" w:space="0" w:color="auto"/>
      </w:divBdr>
    </w:div>
    <w:div w:id="1693190816">
      <w:bodyDiv w:val="1"/>
      <w:marLeft w:val="0"/>
      <w:marRight w:val="0"/>
      <w:marTop w:val="0"/>
      <w:marBottom w:val="0"/>
      <w:divBdr>
        <w:top w:val="none" w:sz="0" w:space="0" w:color="auto"/>
        <w:left w:val="none" w:sz="0" w:space="0" w:color="auto"/>
        <w:bottom w:val="none" w:sz="0" w:space="0" w:color="auto"/>
        <w:right w:val="none" w:sz="0" w:space="0" w:color="auto"/>
      </w:divBdr>
      <w:divsChild>
        <w:div w:id="1609577221">
          <w:marLeft w:val="0"/>
          <w:marRight w:val="0"/>
          <w:marTop w:val="0"/>
          <w:marBottom w:val="300"/>
          <w:divBdr>
            <w:top w:val="none" w:sz="0" w:space="0" w:color="auto"/>
            <w:left w:val="none" w:sz="0" w:space="0" w:color="auto"/>
            <w:bottom w:val="none" w:sz="0" w:space="0" w:color="auto"/>
            <w:right w:val="none" w:sz="0" w:space="0" w:color="auto"/>
          </w:divBdr>
          <w:divsChild>
            <w:div w:id="82268768">
              <w:marLeft w:val="-225"/>
              <w:marRight w:val="-225"/>
              <w:marTop w:val="240"/>
              <w:marBottom w:val="0"/>
              <w:divBdr>
                <w:top w:val="none" w:sz="0" w:space="0" w:color="auto"/>
                <w:left w:val="none" w:sz="0" w:space="0" w:color="auto"/>
                <w:bottom w:val="none" w:sz="0" w:space="0" w:color="auto"/>
                <w:right w:val="none" w:sz="0" w:space="0" w:color="auto"/>
              </w:divBdr>
            </w:div>
          </w:divsChild>
        </w:div>
      </w:divsChild>
    </w:div>
    <w:div w:id="1730693178">
      <w:bodyDiv w:val="1"/>
      <w:marLeft w:val="0"/>
      <w:marRight w:val="0"/>
      <w:marTop w:val="0"/>
      <w:marBottom w:val="0"/>
      <w:divBdr>
        <w:top w:val="none" w:sz="0" w:space="0" w:color="auto"/>
        <w:left w:val="none" w:sz="0" w:space="0" w:color="auto"/>
        <w:bottom w:val="none" w:sz="0" w:space="0" w:color="auto"/>
        <w:right w:val="none" w:sz="0" w:space="0" w:color="auto"/>
      </w:divBdr>
    </w:div>
    <w:div w:id="1751849461">
      <w:bodyDiv w:val="1"/>
      <w:marLeft w:val="0"/>
      <w:marRight w:val="0"/>
      <w:marTop w:val="0"/>
      <w:marBottom w:val="0"/>
      <w:divBdr>
        <w:top w:val="none" w:sz="0" w:space="0" w:color="auto"/>
        <w:left w:val="none" w:sz="0" w:space="0" w:color="auto"/>
        <w:bottom w:val="none" w:sz="0" w:space="0" w:color="auto"/>
        <w:right w:val="none" w:sz="0" w:space="0" w:color="auto"/>
      </w:divBdr>
    </w:div>
    <w:div w:id="1770928893">
      <w:bodyDiv w:val="1"/>
      <w:marLeft w:val="0"/>
      <w:marRight w:val="0"/>
      <w:marTop w:val="0"/>
      <w:marBottom w:val="0"/>
      <w:divBdr>
        <w:top w:val="none" w:sz="0" w:space="0" w:color="auto"/>
        <w:left w:val="none" w:sz="0" w:space="0" w:color="auto"/>
        <w:bottom w:val="none" w:sz="0" w:space="0" w:color="auto"/>
        <w:right w:val="none" w:sz="0" w:space="0" w:color="auto"/>
      </w:divBdr>
    </w:div>
    <w:div w:id="1812286115">
      <w:bodyDiv w:val="1"/>
      <w:marLeft w:val="0"/>
      <w:marRight w:val="0"/>
      <w:marTop w:val="0"/>
      <w:marBottom w:val="0"/>
      <w:divBdr>
        <w:top w:val="none" w:sz="0" w:space="0" w:color="auto"/>
        <w:left w:val="none" w:sz="0" w:space="0" w:color="auto"/>
        <w:bottom w:val="none" w:sz="0" w:space="0" w:color="auto"/>
        <w:right w:val="none" w:sz="0" w:space="0" w:color="auto"/>
      </w:divBdr>
    </w:div>
    <w:div w:id="1813403809">
      <w:bodyDiv w:val="1"/>
      <w:marLeft w:val="0"/>
      <w:marRight w:val="0"/>
      <w:marTop w:val="0"/>
      <w:marBottom w:val="0"/>
      <w:divBdr>
        <w:top w:val="none" w:sz="0" w:space="0" w:color="auto"/>
        <w:left w:val="none" w:sz="0" w:space="0" w:color="auto"/>
        <w:bottom w:val="none" w:sz="0" w:space="0" w:color="auto"/>
        <w:right w:val="none" w:sz="0" w:space="0" w:color="auto"/>
      </w:divBdr>
    </w:div>
    <w:div w:id="1817379921">
      <w:bodyDiv w:val="1"/>
      <w:marLeft w:val="0"/>
      <w:marRight w:val="0"/>
      <w:marTop w:val="0"/>
      <w:marBottom w:val="0"/>
      <w:divBdr>
        <w:top w:val="none" w:sz="0" w:space="0" w:color="auto"/>
        <w:left w:val="none" w:sz="0" w:space="0" w:color="auto"/>
        <w:bottom w:val="none" w:sz="0" w:space="0" w:color="auto"/>
        <w:right w:val="none" w:sz="0" w:space="0" w:color="auto"/>
      </w:divBdr>
    </w:div>
    <w:div w:id="1847666615">
      <w:bodyDiv w:val="1"/>
      <w:marLeft w:val="0"/>
      <w:marRight w:val="0"/>
      <w:marTop w:val="0"/>
      <w:marBottom w:val="0"/>
      <w:divBdr>
        <w:top w:val="none" w:sz="0" w:space="0" w:color="auto"/>
        <w:left w:val="none" w:sz="0" w:space="0" w:color="auto"/>
        <w:bottom w:val="none" w:sz="0" w:space="0" w:color="auto"/>
        <w:right w:val="none" w:sz="0" w:space="0" w:color="auto"/>
      </w:divBdr>
      <w:divsChild>
        <w:div w:id="1520894002">
          <w:marLeft w:val="255"/>
          <w:marRight w:val="0"/>
          <w:marTop w:val="75"/>
          <w:marBottom w:val="0"/>
          <w:divBdr>
            <w:top w:val="none" w:sz="0" w:space="0" w:color="auto"/>
            <w:left w:val="none" w:sz="0" w:space="0" w:color="auto"/>
            <w:bottom w:val="none" w:sz="0" w:space="0" w:color="auto"/>
            <w:right w:val="none" w:sz="0" w:space="0" w:color="auto"/>
          </w:divBdr>
        </w:div>
        <w:div w:id="94517772">
          <w:marLeft w:val="255"/>
          <w:marRight w:val="0"/>
          <w:marTop w:val="75"/>
          <w:marBottom w:val="0"/>
          <w:divBdr>
            <w:top w:val="none" w:sz="0" w:space="0" w:color="auto"/>
            <w:left w:val="none" w:sz="0" w:space="0" w:color="auto"/>
            <w:bottom w:val="none" w:sz="0" w:space="0" w:color="auto"/>
            <w:right w:val="none" w:sz="0" w:space="0" w:color="auto"/>
          </w:divBdr>
        </w:div>
      </w:divsChild>
    </w:div>
    <w:div w:id="1863854711">
      <w:bodyDiv w:val="1"/>
      <w:marLeft w:val="0"/>
      <w:marRight w:val="0"/>
      <w:marTop w:val="0"/>
      <w:marBottom w:val="0"/>
      <w:divBdr>
        <w:top w:val="none" w:sz="0" w:space="0" w:color="auto"/>
        <w:left w:val="none" w:sz="0" w:space="0" w:color="auto"/>
        <w:bottom w:val="none" w:sz="0" w:space="0" w:color="auto"/>
        <w:right w:val="none" w:sz="0" w:space="0" w:color="auto"/>
      </w:divBdr>
    </w:div>
    <w:div w:id="1866364367">
      <w:bodyDiv w:val="1"/>
      <w:marLeft w:val="0"/>
      <w:marRight w:val="0"/>
      <w:marTop w:val="0"/>
      <w:marBottom w:val="0"/>
      <w:divBdr>
        <w:top w:val="none" w:sz="0" w:space="0" w:color="auto"/>
        <w:left w:val="none" w:sz="0" w:space="0" w:color="auto"/>
        <w:bottom w:val="none" w:sz="0" w:space="0" w:color="auto"/>
        <w:right w:val="none" w:sz="0" w:space="0" w:color="auto"/>
      </w:divBdr>
    </w:div>
    <w:div w:id="1919512196">
      <w:bodyDiv w:val="1"/>
      <w:marLeft w:val="0"/>
      <w:marRight w:val="0"/>
      <w:marTop w:val="0"/>
      <w:marBottom w:val="0"/>
      <w:divBdr>
        <w:top w:val="none" w:sz="0" w:space="0" w:color="auto"/>
        <w:left w:val="none" w:sz="0" w:space="0" w:color="auto"/>
        <w:bottom w:val="none" w:sz="0" w:space="0" w:color="auto"/>
        <w:right w:val="none" w:sz="0" w:space="0" w:color="auto"/>
      </w:divBdr>
      <w:divsChild>
        <w:div w:id="566300849">
          <w:marLeft w:val="0"/>
          <w:marRight w:val="75"/>
          <w:marTop w:val="0"/>
          <w:marBottom w:val="0"/>
          <w:divBdr>
            <w:top w:val="none" w:sz="0" w:space="0" w:color="auto"/>
            <w:left w:val="none" w:sz="0" w:space="0" w:color="auto"/>
            <w:bottom w:val="none" w:sz="0" w:space="0" w:color="auto"/>
            <w:right w:val="none" w:sz="0" w:space="0" w:color="auto"/>
          </w:divBdr>
        </w:div>
        <w:div w:id="1689023859">
          <w:marLeft w:val="0"/>
          <w:marRight w:val="0"/>
          <w:marTop w:val="0"/>
          <w:marBottom w:val="300"/>
          <w:divBdr>
            <w:top w:val="none" w:sz="0" w:space="0" w:color="auto"/>
            <w:left w:val="none" w:sz="0" w:space="0" w:color="auto"/>
            <w:bottom w:val="none" w:sz="0" w:space="0" w:color="auto"/>
            <w:right w:val="none" w:sz="0" w:space="0" w:color="auto"/>
          </w:divBdr>
        </w:div>
      </w:divsChild>
    </w:div>
    <w:div w:id="1949190617">
      <w:bodyDiv w:val="1"/>
      <w:marLeft w:val="0"/>
      <w:marRight w:val="0"/>
      <w:marTop w:val="0"/>
      <w:marBottom w:val="0"/>
      <w:divBdr>
        <w:top w:val="none" w:sz="0" w:space="0" w:color="auto"/>
        <w:left w:val="none" w:sz="0" w:space="0" w:color="auto"/>
        <w:bottom w:val="none" w:sz="0" w:space="0" w:color="auto"/>
        <w:right w:val="none" w:sz="0" w:space="0" w:color="auto"/>
      </w:divBdr>
    </w:div>
    <w:div w:id="1961182434">
      <w:bodyDiv w:val="1"/>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255"/>
          <w:marRight w:val="0"/>
          <w:marTop w:val="75"/>
          <w:marBottom w:val="0"/>
          <w:divBdr>
            <w:top w:val="none" w:sz="0" w:space="0" w:color="auto"/>
            <w:left w:val="none" w:sz="0" w:space="0" w:color="auto"/>
            <w:bottom w:val="none" w:sz="0" w:space="0" w:color="auto"/>
            <w:right w:val="none" w:sz="0" w:space="0" w:color="auto"/>
          </w:divBdr>
        </w:div>
        <w:div w:id="1979143841">
          <w:marLeft w:val="255"/>
          <w:marRight w:val="0"/>
          <w:marTop w:val="75"/>
          <w:marBottom w:val="0"/>
          <w:divBdr>
            <w:top w:val="none" w:sz="0" w:space="0" w:color="auto"/>
            <w:left w:val="none" w:sz="0" w:space="0" w:color="auto"/>
            <w:bottom w:val="none" w:sz="0" w:space="0" w:color="auto"/>
            <w:right w:val="none" w:sz="0" w:space="0" w:color="auto"/>
          </w:divBdr>
        </w:div>
        <w:div w:id="55322583">
          <w:marLeft w:val="255"/>
          <w:marRight w:val="0"/>
          <w:marTop w:val="75"/>
          <w:marBottom w:val="0"/>
          <w:divBdr>
            <w:top w:val="none" w:sz="0" w:space="0" w:color="auto"/>
            <w:left w:val="none" w:sz="0" w:space="0" w:color="auto"/>
            <w:bottom w:val="none" w:sz="0" w:space="0" w:color="auto"/>
            <w:right w:val="none" w:sz="0" w:space="0" w:color="auto"/>
          </w:divBdr>
        </w:div>
      </w:divsChild>
    </w:div>
    <w:div w:id="2011985030">
      <w:bodyDiv w:val="1"/>
      <w:marLeft w:val="0"/>
      <w:marRight w:val="0"/>
      <w:marTop w:val="0"/>
      <w:marBottom w:val="0"/>
      <w:divBdr>
        <w:top w:val="none" w:sz="0" w:space="0" w:color="auto"/>
        <w:left w:val="none" w:sz="0" w:space="0" w:color="auto"/>
        <w:bottom w:val="none" w:sz="0" w:space="0" w:color="auto"/>
        <w:right w:val="none" w:sz="0" w:space="0" w:color="auto"/>
      </w:divBdr>
      <w:divsChild>
        <w:div w:id="1758285285">
          <w:marLeft w:val="0"/>
          <w:marRight w:val="0"/>
          <w:marTop w:val="0"/>
          <w:marBottom w:val="0"/>
          <w:divBdr>
            <w:top w:val="none" w:sz="0" w:space="0" w:color="auto"/>
            <w:left w:val="none" w:sz="0" w:space="0" w:color="auto"/>
            <w:bottom w:val="none" w:sz="0" w:space="0" w:color="auto"/>
            <w:right w:val="none" w:sz="0" w:space="0" w:color="auto"/>
          </w:divBdr>
          <w:divsChild>
            <w:div w:id="1658340329">
              <w:marLeft w:val="0"/>
              <w:marRight w:val="0"/>
              <w:marTop w:val="0"/>
              <w:marBottom w:val="0"/>
              <w:divBdr>
                <w:top w:val="none" w:sz="0" w:space="0" w:color="auto"/>
                <w:left w:val="none" w:sz="0" w:space="0" w:color="auto"/>
                <w:bottom w:val="none" w:sz="0" w:space="0" w:color="auto"/>
                <w:right w:val="none" w:sz="0" w:space="0" w:color="auto"/>
              </w:divBdr>
              <w:divsChild>
                <w:div w:id="1866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6097">
      <w:bodyDiv w:val="1"/>
      <w:marLeft w:val="0"/>
      <w:marRight w:val="0"/>
      <w:marTop w:val="0"/>
      <w:marBottom w:val="0"/>
      <w:divBdr>
        <w:top w:val="none" w:sz="0" w:space="0" w:color="auto"/>
        <w:left w:val="none" w:sz="0" w:space="0" w:color="auto"/>
        <w:bottom w:val="none" w:sz="0" w:space="0" w:color="auto"/>
        <w:right w:val="none" w:sz="0" w:space="0" w:color="auto"/>
      </w:divBdr>
    </w:div>
    <w:div w:id="2065980485">
      <w:bodyDiv w:val="1"/>
      <w:marLeft w:val="0"/>
      <w:marRight w:val="0"/>
      <w:marTop w:val="0"/>
      <w:marBottom w:val="0"/>
      <w:divBdr>
        <w:top w:val="none" w:sz="0" w:space="0" w:color="auto"/>
        <w:left w:val="none" w:sz="0" w:space="0" w:color="auto"/>
        <w:bottom w:val="none" w:sz="0" w:space="0" w:color="auto"/>
        <w:right w:val="none" w:sz="0" w:space="0" w:color="auto"/>
      </w:divBdr>
    </w:div>
    <w:div w:id="2071727066">
      <w:bodyDiv w:val="1"/>
      <w:marLeft w:val="0"/>
      <w:marRight w:val="0"/>
      <w:marTop w:val="0"/>
      <w:marBottom w:val="0"/>
      <w:divBdr>
        <w:top w:val="none" w:sz="0" w:space="0" w:color="auto"/>
        <w:left w:val="none" w:sz="0" w:space="0" w:color="auto"/>
        <w:bottom w:val="none" w:sz="0" w:space="0" w:color="auto"/>
        <w:right w:val="none" w:sz="0" w:space="0" w:color="auto"/>
      </w:divBdr>
    </w:div>
    <w:div w:id="212179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p.gov.sk/index.php?cms_location=reforma-zberu-a-spracovania-statistickych-udajov-vo-verejnej-sprave"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sr.sk/podnikatelske-prostredie/jednotna-metodika/prebiehajuce-konzultacie-a-predbezne-informacie" TargetMode="External"/><Relationship Id="rId7" Type="http://schemas.openxmlformats.org/officeDocument/2006/relationships/endnotes" Target="endnotes.xml"/><Relationship Id="rId12" Type="http://schemas.openxmlformats.org/officeDocument/2006/relationships/hyperlink" Target="https://slovak.statistics.sk:443/wps/portal?urile=wcm:path:/obsah-sk/static-content/onas/cerpanie-prostriedkov-z-eu-op-integrovana-infrastruktura-2014-2020/jednotny-informacny-system-statistickych-udajov-jis-s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lovak.statistics.sk/wps/portal?urile=wcm:path:/obsah-sk/static-content/onas/legislativa/materialy-na-pripomienkove-kon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glaser-opitzova@statistics.sk"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tais.vicepremier.gov.sk/studia/detail/f6f7fea5-ad9c-f56b-f79e-b2d163ced141?tab=basicForm" TargetMode="External"/><Relationship Id="rId10" Type="http://schemas.openxmlformats.org/officeDocument/2006/relationships/hyperlink" Target="mailto:pavol.vadovic@statistics.s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an.papol@statistics.sk" TargetMode="External"/><Relationship Id="rId14" Type="http://schemas.openxmlformats.org/officeDocument/2006/relationships/footer" Target="footer1.xml"/><Relationship Id="rId22" Type="http://schemas.openxmlformats.org/officeDocument/2006/relationships/hyperlink" Target="https://ec.europa.eu/eurostat/ramon/nomenclatures/index.cfm?TargetUrl=LST_NOM_DTL&amp;StrNom=CAT_STAND&amp;StrLanguageCode=EN&amp;IntPcKey=&amp;StrLayoutCode=HIERARC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B4C6C6-9E3A-499B-B241-67FD6E1E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16488</Words>
  <Characters>93984</Characters>
  <Application>Microsoft Office Word</Application>
  <DocSecurity>0</DocSecurity>
  <Lines>783</Lines>
  <Paragraphs>220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Bokol Viliam</cp:lastModifiedBy>
  <cp:revision>7</cp:revision>
  <cp:lastPrinted>2021-01-07T11:33:00Z</cp:lastPrinted>
  <dcterms:created xsi:type="dcterms:W3CDTF">2021-01-05T12:21:00Z</dcterms:created>
  <dcterms:modified xsi:type="dcterms:W3CDTF">2021-01-07T11:40:00Z</dcterms:modified>
</cp:coreProperties>
</file>