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64" w:rsidRPr="00186664" w:rsidRDefault="00186664" w:rsidP="00186664">
      <w:pPr>
        <w:pStyle w:val="Nadpis1"/>
        <w:tabs>
          <w:tab w:val="left" w:pos="360"/>
        </w:tabs>
        <w:spacing w:before="100" w:beforeAutospacing="1" w:after="100" w:afterAutospacing="1"/>
        <w:rPr>
          <w:b w:val="0"/>
          <w:bCs w:val="0"/>
          <w:sz w:val="24"/>
          <w:szCs w:val="24"/>
        </w:rPr>
      </w:pPr>
      <w:bookmarkStart w:id="0" w:name="_GoBack"/>
      <w:bookmarkEnd w:id="0"/>
      <w:r w:rsidRPr="00186664">
        <w:rPr>
          <w:b w:val="0"/>
          <w:bCs w:val="0"/>
          <w:sz w:val="24"/>
          <w:szCs w:val="24"/>
        </w:rPr>
        <w:t>Návrh</w:t>
      </w:r>
    </w:p>
    <w:p w:rsidR="009709CE" w:rsidRPr="00816234" w:rsidRDefault="009709CE" w:rsidP="00186664">
      <w:pPr>
        <w:pStyle w:val="Nadpis1"/>
        <w:tabs>
          <w:tab w:val="left" w:pos="360"/>
        </w:tabs>
        <w:spacing w:before="100" w:beforeAutospacing="1" w:after="100" w:afterAutospacing="1"/>
        <w:rPr>
          <w:bCs w:val="0"/>
          <w:sz w:val="24"/>
          <w:szCs w:val="24"/>
        </w:rPr>
      </w:pPr>
      <w:r w:rsidRPr="00816234">
        <w:rPr>
          <w:bCs w:val="0"/>
          <w:sz w:val="24"/>
          <w:szCs w:val="24"/>
        </w:rPr>
        <w:t>VYHLÁŠKA</w:t>
      </w:r>
    </w:p>
    <w:p w:rsidR="009709CE" w:rsidRPr="00816234" w:rsidRDefault="009709CE" w:rsidP="00186664">
      <w:pPr>
        <w:tabs>
          <w:tab w:val="left" w:pos="360"/>
        </w:tabs>
        <w:spacing w:before="100" w:beforeAutospacing="1" w:after="100" w:afterAutospacing="1"/>
        <w:jc w:val="center"/>
        <w:rPr>
          <w:b/>
        </w:rPr>
      </w:pPr>
      <w:r w:rsidRPr="00816234">
        <w:rPr>
          <w:b/>
        </w:rPr>
        <w:t>Protimonopolného úradu Slovenskej republiky</w:t>
      </w:r>
    </w:p>
    <w:p w:rsidR="009709CE" w:rsidRPr="00186664" w:rsidRDefault="00BF46AB" w:rsidP="00186664">
      <w:pPr>
        <w:tabs>
          <w:tab w:val="left" w:pos="360"/>
        </w:tabs>
        <w:spacing w:before="100" w:beforeAutospacing="1" w:after="100" w:afterAutospacing="1"/>
        <w:jc w:val="center"/>
      </w:pPr>
      <w:r w:rsidRPr="00186664">
        <w:t xml:space="preserve">z ....... </w:t>
      </w:r>
      <w:r w:rsidR="00CA3E3D" w:rsidRPr="00186664">
        <w:t>2021</w:t>
      </w:r>
      <w:r w:rsidR="009709CE" w:rsidRPr="00186664">
        <w:t>,</w:t>
      </w:r>
    </w:p>
    <w:p w:rsidR="009709CE" w:rsidRPr="00816234" w:rsidRDefault="00E40A72" w:rsidP="00186664">
      <w:pPr>
        <w:pStyle w:val="Zkladntext"/>
        <w:tabs>
          <w:tab w:val="left" w:pos="360"/>
          <w:tab w:val="left" w:pos="930"/>
          <w:tab w:val="center" w:pos="4536"/>
        </w:tabs>
        <w:spacing w:before="100" w:beforeAutospacing="1" w:after="100" w:afterAutospacing="1"/>
        <w:jc w:val="left"/>
        <w:rPr>
          <w:b/>
          <w:bCs/>
        </w:rPr>
      </w:pPr>
      <w:r w:rsidRPr="00816234">
        <w:rPr>
          <w:b/>
          <w:bCs/>
        </w:rPr>
        <w:tab/>
      </w:r>
      <w:r w:rsidRPr="00816234">
        <w:rPr>
          <w:b/>
          <w:bCs/>
        </w:rPr>
        <w:tab/>
      </w:r>
      <w:r w:rsidRPr="00816234">
        <w:rPr>
          <w:b/>
          <w:bCs/>
        </w:rPr>
        <w:tab/>
      </w:r>
      <w:r w:rsidR="009709CE" w:rsidRPr="00816234">
        <w:rPr>
          <w:b/>
          <w:bCs/>
        </w:rPr>
        <w:t>ktorou sa ustanovujú podrobnosti o podmienkach urovnania</w:t>
      </w:r>
    </w:p>
    <w:p w:rsidR="009709CE" w:rsidRPr="00816234" w:rsidRDefault="009709CE" w:rsidP="009709CE">
      <w:pPr>
        <w:tabs>
          <w:tab w:val="left" w:pos="360"/>
        </w:tabs>
        <w:jc w:val="both"/>
      </w:pPr>
    </w:p>
    <w:p w:rsidR="009709CE" w:rsidRPr="00816234" w:rsidRDefault="009709CE" w:rsidP="009709CE">
      <w:pPr>
        <w:pStyle w:val="Zkladntext"/>
        <w:tabs>
          <w:tab w:val="left" w:pos="36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280"/>
        </w:tabs>
      </w:pPr>
      <w:r w:rsidRPr="00816234">
        <w:t>Protimonopolný úrad Slovenskej republiky</w:t>
      </w:r>
      <w:r w:rsidR="00867844" w:rsidRPr="00816234">
        <w:t xml:space="preserve"> (ďalej len „úrad“) podľa </w:t>
      </w:r>
      <w:r w:rsidR="00BF46AB" w:rsidRPr="00816234">
        <w:t xml:space="preserve">§ </w:t>
      </w:r>
      <w:r w:rsidR="008E6856">
        <w:t xml:space="preserve">64 písm. </w:t>
      </w:r>
      <w:r w:rsidR="003014F3">
        <w:t>e</w:t>
      </w:r>
      <w:r w:rsidR="008E6856">
        <w:t>)</w:t>
      </w:r>
      <w:r w:rsidR="00BF46AB" w:rsidRPr="00816234">
        <w:t xml:space="preserve"> </w:t>
      </w:r>
      <w:r w:rsidR="00F71EDC" w:rsidRPr="00816234">
        <w:t>zákona č.</w:t>
      </w:r>
      <w:r w:rsidR="00186664">
        <w:t xml:space="preserve"> ...</w:t>
      </w:r>
      <w:r w:rsidR="00F71EDC" w:rsidRPr="00816234">
        <w:t xml:space="preserve"> </w:t>
      </w:r>
      <w:r w:rsidR="00867844" w:rsidRPr="00816234">
        <w:t>/202</w:t>
      </w:r>
      <w:r w:rsidR="00A71607">
        <w:t>1</w:t>
      </w:r>
      <w:r w:rsidR="00505997" w:rsidRPr="00816234">
        <w:t xml:space="preserve"> Z. </w:t>
      </w:r>
      <w:r w:rsidR="00BF46AB" w:rsidRPr="00816234">
        <w:t xml:space="preserve">z. </w:t>
      </w:r>
      <w:r w:rsidR="00867844" w:rsidRPr="00816234">
        <w:t xml:space="preserve">o ochrane hospodárskej súťaže </w:t>
      </w:r>
      <w:r w:rsidR="00505997" w:rsidRPr="00816234">
        <w:t xml:space="preserve">a o zmene </w:t>
      </w:r>
      <w:r w:rsidR="00CA3E3D">
        <w:t>a doplnení niektorých zákonov</w:t>
      </w:r>
      <w:r w:rsidR="00867844" w:rsidRPr="00816234">
        <w:t xml:space="preserve"> </w:t>
      </w:r>
      <w:r w:rsidRPr="00816234">
        <w:t>(ďalej len „zákon“) ustanovuje:</w:t>
      </w:r>
    </w:p>
    <w:p w:rsidR="009709CE" w:rsidRPr="00816234" w:rsidRDefault="009709CE" w:rsidP="009709CE">
      <w:pPr>
        <w:jc w:val="both"/>
      </w:pPr>
      <w:r w:rsidRPr="00816234">
        <w:tab/>
      </w:r>
      <w:r w:rsidRPr="00816234">
        <w:tab/>
      </w:r>
      <w:r w:rsidRPr="00816234">
        <w:tab/>
      </w:r>
    </w:p>
    <w:p w:rsidR="00186664" w:rsidRDefault="009709CE" w:rsidP="009709CE">
      <w:pPr>
        <w:jc w:val="both"/>
        <w:rPr>
          <w:b/>
        </w:rPr>
      </w:pP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</w:p>
    <w:p w:rsidR="009709CE" w:rsidRPr="00816234" w:rsidRDefault="009709CE" w:rsidP="00186664">
      <w:pPr>
        <w:jc w:val="center"/>
        <w:rPr>
          <w:b/>
        </w:rPr>
      </w:pPr>
      <w:r w:rsidRPr="00816234">
        <w:rPr>
          <w:b/>
        </w:rPr>
        <w:t xml:space="preserve">§ </w:t>
      </w:r>
      <w:r w:rsidR="000A08F1" w:rsidRPr="00816234">
        <w:rPr>
          <w:b/>
        </w:rPr>
        <w:t>1</w:t>
      </w:r>
    </w:p>
    <w:p w:rsidR="009709CE" w:rsidRPr="00816234" w:rsidRDefault="009709CE" w:rsidP="009709CE">
      <w:pPr>
        <w:tabs>
          <w:tab w:val="num" w:pos="1080"/>
        </w:tabs>
        <w:jc w:val="both"/>
      </w:pPr>
    </w:p>
    <w:p w:rsidR="007D766A" w:rsidRPr="00816234" w:rsidRDefault="009709CE" w:rsidP="00867844">
      <w:pPr>
        <w:jc w:val="both"/>
      </w:pPr>
      <w:r w:rsidRPr="00816234">
        <w:t>(</w:t>
      </w:r>
      <w:r w:rsidR="009029F8" w:rsidRPr="00816234">
        <w:t>1</w:t>
      </w:r>
      <w:r w:rsidRPr="00816234">
        <w:t>)</w:t>
      </w:r>
      <w:r w:rsidR="00D84D13" w:rsidRPr="00816234">
        <w:t xml:space="preserve"> V konaní začatom podľa § </w:t>
      </w:r>
      <w:r w:rsidR="00307DB9">
        <w:t>19</w:t>
      </w:r>
      <w:r w:rsidR="00307DB9" w:rsidRPr="00816234">
        <w:t xml:space="preserve"> </w:t>
      </w:r>
      <w:r w:rsidR="00D84D13" w:rsidRPr="00816234">
        <w:t>ods. 1 zákona (ďalej len „konanie“)</w:t>
      </w:r>
      <w:r w:rsidR="00867844" w:rsidRPr="00816234">
        <w:t xml:space="preserve"> </w:t>
      </w:r>
      <w:r w:rsidR="00D84D13" w:rsidRPr="00816234">
        <w:t xml:space="preserve">vo veci porušenia zákona sa rokovanie o urovnaní </w:t>
      </w:r>
      <w:r w:rsidR="00867844" w:rsidRPr="00816234">
        <w:t xml:space="preserve">(ďalej len „rokovanie“) </w:t>
      </w:r>
      <w:r w:rsidR="00D84D13" w:rsidRPr="00816234">
        <w:t xml:space="preserve">začína </w:t>
      </w:r>
    </w:p>
    <w:p w:rsidR="007D766A" w:rsidRPr="00816234" w:rsidRDefault="007D766A" w:rsidP="00867844">
      <w:pPr>
        <w:jc w:val="both"/>
      </w:pPr>
    </w:p>
    <w:p w:rsidR="007D766A" w:rsidRPr="00816234" w:rsidRDefault="007D766A" w:rsidP="007D766A">
      <w:pPr>
        <w:numPr>
          <w:ilvl w:val="0"/>
          <w:numId w:val="31"/>
        </w:numPr>
        <w:jc w:val="both"/>
      </w:pPr>
      <w:r w:rsidRPr="00816234">
        <w:t xml:space="preserve">návrhom úradu na začatie rokovania doručeným účastníkovi konania podľa § </w:t>
      </w:r>
      <w:r w:rsidR="00307DB9">
        <w:t>20</w:t>
      </w:r>
      <w:r w:rsidR="00307DB9" w:rsidRPr="00816234">
        <w:t xml:space="preserve"> </w:t>
      </w:r>
      <w:r w:rsidRPr="00816234">
        <w:t xml:space="preserve">ods. </w:t>
      </w:r>
      <w:r w:rsidR="00307DB9">
        <w:t>1</w:t>
      </w:r>
      <w:r w:rsidRPr="00816234">
        <w:t xml:space="preserve"> a </w:t>
      </w:r>
      <w:r w:rsidR="00307DB9">
        <w:t>2</w:t>
      </w:r>
      <w:r w:rsidRPr="00816234">
        <w:t xml:space="preserve"> zákona (ďalej len „účastník“) alebo</w:t>
      </w:r>
    </w:p>
    <w:p w:rsidR="007D766A" w:rsidRPr="00816234" w:rsidRDefault="007D766A" w:rsidP="007D766A">
      <w:pPr>
        <w:numPr>
          <w:ilvl w:val="0"/>
          <w:numId w:val="31"/>
        </w:numPr>
        <w:jc w:val="both"/>
      </w:pPr>
      <w:r w:rsidRPr="00816234">
        <w:t xml:space="preserve">žiadosťou účastníka na začatie rokovania doručenou úradu. </w:t>
      </w:r>
    </w:p>
    <w:p w:rsidR="00867844" w:rsidRPr="00816234" w:rsidRDefault="00867844" w:rsidP="00867844">
      <w:pPr>
        <w:jc w:val="both"/>
      </w:pPr>
    </w:p>
    <w:p w:rsidR="00B07096" w:rsidRPr="00816234" w:rsidRDefault="007D766A" w:rsidP="00B07096">
      <w:pPr>
        <w:jc w:val="both"/>
      </w:pPr>
      <w:r w:rsidRPr="00816234">
        <w:t>(2)</w:t>
      </w:r>
      <w:r w:rsidR="00505997" w:rsidRPr="00816234">
        <w:t xml:space="preserve"> </w:t>
      </w:r>
      <w:r w:rsidRPr="00816234">
        <w:t>Ak sa začalo rokovanie podľa odseku 1 písm. a), účastník sa v určenej lehote vyjadrí, či má záujem o rokovanie. Na vyjadrenie doručené po uplynutí tejto</w:t>
      </w:r>
      <w:r w:rsidR="00867844" w:rsidRPr="00816234">
        <w:t xml:space="preserve"> lehoty </w:t>
      </w:r>
      <w:r w:rsidR="00B07096" w:rsidRPr="00816234">
        <w:t>sa neprihliada. Márnym uplynutím lehoty určenej na vyjadrenie sa rokovanie považuje za skončené.</w:t>
      </w:r>
    </w:p>
    <w:p w:rsidR="00B07096" w:rsidRPr="00816234" w:rsidRDefault="00B07096" w:rsidP="00B07096">
      <w:pPr>
        <w:jc w:val="both"/>
      </w:pPr>
    </w:p>
    <w:p w:rsidR="00B07096" w:rsidRPr="00816234" w:rsidRDefault="00B07096" w:rsidP="00B07096">
      <w:pPr>
        <w:jc w:val="both"/>
      </w:pPr>
      <w:r w:rsidRPr="00816234">
        <w:t>(3) Žiadosť na začatie rokovania sa podáva kedykoľvek v priebehu konania, najneskôr však do uplynutia lehoty na vyjadrenie účastníka konania k výzve pred</w:t>
      </w:r>
      <w:r w:rsidR="005A0415" w:rsidRPr="00816234">
        <w:t xml:space="preserve"> vydaním rozhodnutia podľa § </w:t>
      </w:r>
      <w:r w:rsidR="0018311F">
        <w:t>26</w:t>
      </w:r>
      <w:r w:rsidR="0018311F" w:rsidRPr="00816234">
        <w:t xml:space="preserve"> </w:t>
      </w:r>
      <w:r w:rsidRPr="00816234">
        <w:t xml:space="preserve">zákona. Žiadosti doručené po uplynutí tejto lehoty sa nezohľadnia. </w:t>
      </w:r>
    </w:p>
    <w:p w:rsidR="009709CE" w:rsidRPr="00816234" w:rsidRDefault="009709CE" w:rsidP="009709CE">
      <w:pPr>
        <w:jc w:val="both"/>
      </w:pPr>
    </w:p>
    <w:p w:rsidR="009709CE" w:rsidRPr="00816234" w:rsidRDefault="009709CE" w:rsidP="009709CE">
      <w:pPr>
        <w:jc w:val="both"/>
        <w:rPr>
          <w:b/>
        </w:rPr>
      </w:pP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  <w:t xml:space="preserve">§ </w:t>
      </w:r>
      <w:r w:rsidR="000A08F1" w:rsidRPr="00816234">
        <w:rPr>
          <w:b/>
        </w:rPr>
        <w:t>2</w:t>
      </w:r>
    </w:p>
    <w:p w:rsidR="009709CE" w:rsidRPr="00816234" w:rsidRDefault="009709CE" w:rsidP="009709CE">
      <w:pPr>
        <w:jc w:val="both"/>
      </w:pPr>
    </w:p>
    <w:p w:rsidR="001A7118" w:rsidRPr="00816234" w:rsidRDefault="0036058F" w:rsidP="0036058F">
      <w:pPr>
        <w:jc w:val="both"/>
      </w:pPr>
      <w:r w:rsidRPr="00816234">
        <w:t xml:space="preserve">(1) </w:t>
      </w:r>
      <w:r w:rsidR="005A0415" w:rsidRPr="00816234">
        <w:t xml:space="preserve">Ak sa vedie rokovanie pred tým, ako bola účastníkovi doručená výzva pred vydaním rozhodnutia podľa § </w:t>
      </w:r>
      <w:r w:rsidR="0018311F">
        <w:t>26</w:t>
      </w:r>
      <w:r w:rsidR="0018311F" w:rsidRPr="00816234">
        <w:t xml:space="preserve"> </w:t>
      </w:r>
      <w:r w:rsidR="005A0415" w:rsidRPr="00816234">
        <w:t>zákona, účastníkovi sa poskytnú predbežné závery konania. Účastník sa v určenej lehote môže vyjadriť, či chce pokračovať v rokovaní. Márnym uplynutím lehoty určenej úradom sa rokovanie považuje za skončené.</w:t>
      </w:r>
    </w:p>
    <w:p w:rsidR="001A7118" w:rsidRPr="00816234" w:rsidRDefault="001A7118" w:rsidP="001A7118">
      <w:pPr>
        <w:jc w:val="both"/>
      </w:pPr>
      <w:r w:rsidRPr="00816234">
        <w:t xml:space="preserve"> </w:t>
      </w:r>
    </w:p>
    <w:p w:rsidR="005A0415" w:rsidRPr="00816234" w:rsidRDefault="0036058F" w:rsidP="0036058F">
      <w:pPr>
        <w:jc w:val="both"/>
      </w:pPr>
      <w:r w:rsidRPr="00816234">
        <w:t xml:space="preserve">(2) </w:t>
      </w:r>
      <w:r w:rsidR="005A0415" w:rsidRPr="00816234">
        <w:t xml:space="preserve">Návrh urovnania predložený účastníkovi úradom v závere rokovania obsahuje popis porušenia zákona alebo čl. 101 alebo 102 Zmluvy o fungovaní Európskej únie vrátane jeho trvania, ktoré úrad považuje za preukázané, a pokutu, ktorú mu úrad zamýšľa v predmetnom konaní uložiť podľa </w:t>
      </w:r>
      <w:hyperlink r:id="rId9" w:anchor="paragraf-4" w:tooltip="Odkaz na predpis alebo ustanovenie" w:history="1">
        <w:r w:rsidR="005A0415" w:rsidRPr="00816234">
          <w:rPr>
            <w:rStyle w:val="Hypertextovprepojenie"/>
            <w:color w:val="000000" w:themeColor="text1"/>
            <w:u w:val="none"/>
          </w:rPr>
          <w:t>§ 4</w:t>
        </w:r>
      </w:hyperlink>
      <w:r w:rsidR="005A0415" w:rsidRPr="00816234">
        <w:rPr>
          <w:color w:val="000000" w:themeColor="text1"/>
        </w:rPr>
        <w:t>.</w:t>
      </w:r>
    </w:p>
    <w:p w:rsidR="000E7D4A" w:rsidRPr="00816234" w:rsidRDefault="000E7D4A" w:rsidP="000E7D4A">
      <w:pPr>
        <w:jc w:val="both"/>
      </w:pPr>
    </w:p>
    <w:p w:rsidR="000E7D4A" w:rsidRPr="00816234" w:rsidRDefault="0036058F" w:rsidP="0036058F">
      <w:pPr>
        <w:jc w:val="both"/>
      </w:pPr>
      <w:r w:rsidRPr="00816234">
        <w:t xml:space="preserve">(3) </w:t>
      </w:r>
      <w:r w:rsidR="000E7D4A" w:rsidRPr="00816234">
        <w:t>Účastník sa môže vyjadriť k návrhu urovnania alebo môže predložiť vyhlásenie podľa § 3 v určenej lehote. Ak sa účastník v určenej lehote nevyjadrí alebo písomne oznámi, že s návrhom urovnania nesúhlasí, rokovanie sa považuje za skončené.</w:t>
      </w:r>
    </w:p>
    <w:p w:rsidR="005A0415" w:rsidRPr="00816234" w:rsidRDefault="005A0415" w:rsidP="005A0415">
      <w:pPr>
        <w:jc w:val="both"/>
      </w:pPr>
    </w:p>
    <w:p w:rsidR="00186664" w:rsidRDefault="00186664" w:rsidP="00C31F6F">
      <w:pPr>
        <w:jc w:val="center"/>
        <w:rPr>
          <w:b/>
        </w:rPr>
      </w:pPr>
    </w:p>
    <w:p w:rsidR="00C31F6F" w:rsidRPr="00816234" w:rsidRDefault="00C31F6F" w:rsidP="00C31F6F">
      <w:pPr>
        <w:jc w:val="center"/>
        <w:rPr>
          <w:b/>
        </w:rPr>
      </w:pPr>
      <w:r w:rsidRPr="00816234">
        <w:rPr>
          <w:b/>
        </w:rPr>
        <w:lastRenderedPageBreak/>
        <w:t>§ 3</w:t>
      </w:r>
    </w:p>
    <w:p w:rsidR="001A7118" w:rsidRPr="00816234" w:rsidRDefault="001A7118" w:rsidP="005A0415">
      <w:pPr>
        <w:jc w:val="both"/>
      </w:pPr>
    </w:p>
    <w:p w:rsidR="009709CE" w:rsidRPr="00816234" w:rsidRDefault="00C31F6F" w:rsidP="009709CE">
      <w:pPr>
        <w:tabs>
          <w:tab w:val="num" w:pos="1080"/>
        </w:tabs>
        <w:jc w:val="both"/>
      </w:pPr>
      <w:r w:rsidRPr="00816234">
        <w:t>(1)</w:t>
      </w:r>
      <w:r w:rsidR="005A0415" w:rsidRPr="00816234">
        <w:t xml:space="preserve"> </w:t>
      </w:r>
      <w:r w:rsidR="007C086E" w:rsidRPr="00816234">
        <w:t xml:space="preserve">Ak účastník </w:t>
      </w:r>
      <w:r w:rsidR="009709CE" w:rsidRPr="00816234">
        <w:t xml:space="preserve">s návrhom urovnania súhlasí, doručí úradu </w:t>
      </w:r>
      <w:r w:rsidR="0036058F" w:rsidRPr="00816234">
        <w:t xml:space="preserve">v lehote podľa § 2 ods. 3 </w:t>
      </w:r>
      <w:r w:rsidR="009709CE" w:rsidRPr="00816234">
        <w:t>písomné vyhlásenie o svojej účasti na porušení</w:t>
      </w:r>
      <w:r w:rsidR="00602D51" w:rsidRPr="00816234">
        <w:t xml:space="preserve"> zákona alebo</w:t>
      </w:r>
      <w:r w:rsidR="0036058F" w:rsidRPr="00816234">
        <w:t xml:space="preserve"> čl. 101 alebo 102 Zmluvy o fungovaní európskej únie a </w:t>
      </w:r>
      <w:r w:rsidR="009709CE" w:rsidRPr="00816234">
        <w:t xml:space="preserve">prizná svoju zodpovednosť za takéto konanie. Vyhlásenie je možné urobiť aj ústne do zápisnice. </w:t>
      </w:r>
    </w:p>
    <w:p w:rsidR="009709CE" w:rsidRPr="00816234" w:rsidRDefault="009709CE" w:rsidP="009709CE">
      <w:pPr>
        <w:tabs>
          <w:tab w:val="num" w:pos="1080"/>
        </w:tabs>
        <w:jc w:val="both"/>
      </w:pPr>
    </w:p>
    <w:p w:rsidR="009709CE" w:rsidRPr="00816234" w:rsidRDefault="009709CE" w:rsidP="009709CE">
      <w:pPr>
        <w:jc w:val="both"/>
      </w:pPr>
      <w:r w:rsidRPr="00816234">
        <w:t>(2) Vyhlásenie obsah</w:t>
      </w:r>
      <w:r w:rsidR="00844481" w:rsidRPr="00816234">
        <w:t>uje</w:t>
      </w:r>
      <w:r w:rsidRPr="00816234">
        <w:t xml:space="preserve"> </w:t>
      </w:r>
    </w:p>
    <w:p w:rsidR="009709CE" w:rsidRPr="00816234" w:rsidRDefault="009709CE" w:rsidP="009709CE">
      <w:pPr>
        <w:jc w:val="both"/>
      </w:pPr>
    </w:p>
    <w:p w:rsidR="009709CE" w:rsidRPr="00816234" w:rsidRDefault="00504305" w:rsidP="009709CE">
      <w:pPr>
        <w:ind w:firstLine="708"/>
        <w:jc w:val="both"/>
      </w:pPr>
      <w:r w:rsidRPr="00816234">
        <w:t>a) označenie účastníka</w:t>
      </w:r>
      <w:r w:rsidR="009709CE" w:rsidRPr="00816234">
        <w:t>,</w:t>
      </w:r>
    </w:p>
    <w:p w:rsidR="0036058F" w:rsidRPr="00816234" w:rsidRDefault="009709CE" w:rsidP="009709CE">
      <w:pPr>
        <w:ind w:left="708"/>
        <w:jc w:val="both"/>
      </w:pPr>
      <w:r w:rsidRPr="00816234">
        <w:t>b) priznanie účasti na porušení</w:t>
      </w:r>
      <w:r w:rsidR="00602D51" w:rsidRPr="00816234">
        <w:t xml:space="preserve"> zákona alebo</w:t>
      </w:r>
      <w:r w:rsidR="0036058F" w:rsidRPr="00816234">
        <w:t xml:space="preserve"> čl. 101 alebo 102 Zmluvy o fungovaní Európskej únie, ako bolo vymedzené v návrhu urovnania,</w:t>
      </w:r>
    </w:p>
    <w:p w:rsidR="009709CE" w:rsidRPr="00816234" w:rsidRDefault="009709CE" w:rsidP="009709CE">
      <w:pPr>
        <w:ind w:left="708"/>
        <w:jc w:val="both"/>
      </w:pPr>
      <w:r w:rsidRPr="00816234">
        <w:t>c) súhlas s pokut</w:t>
      </w:r>
      <w:r w:rsidR="0036058F" w:rsidRPr="00816234">
        <w:t>ou uvedenou v návrhu urovnania a</w:t>
      </w:r>
    </w:p>
    <w:p w:rsidR="009709CE" w:rsidRPr="00816234" w:rsidRDefault="00504305" w:rsidP="009709CE">
      <w:pPr>
        <w:ind w:left="708"/>
        <w:jc w:val="both"/>
      </w:pPr>
      <w:r w:rsidRPr="00816234">
        <w:t xml:space="preserve">d) vyhlásenie účastníka </w:t>
      </w:r>
      <w:r w:rsidR="009709CE" w:rsidRPr="00816234">
        <w:t xml:space="preserve">o tom, že ho úrad dostatočne informoval o predbežných záveroch podľa § </w:t>
      </w:r>
      <w:r w:rsidR="0036058F" w:rsidRPr="00816234">
        <w:t>2</w:t>
      </w:r>
      <w:r w:rsidR="009709CE" w:rsidRPr="00816234">
        <w:t xml:space="preserve"> ods.</w:t>
      </w:r>
      <w:r w:rsidR="00BD0A3F" w:rsidRPr="00816234">
        <w:t xml:space="preserve"> 1</w:t>
      </w:r>
      <w:r w:rsidR="009709CE" w:rsidRPr="00816234">
        <w:t xml:space="preserve"> a</w:t>
      </w:r>
      <w:r w:rsidR="0036058F" w:rsidRPr="00816234">
        <w:t xml:space="preserve"> poskytol mu primeraný čas na vyjadrenie sa k týmto záverom. </w:t>
      </w:r>
    </w:p>
    <w:p w:rsidR="009709CE" w:rsidRPr="00816234" w:rsidRDefault="009709CE" w:rsidP="009709CE">
      <w:pPr>
        <w:jc w:val="both"/>
      </w:pPr>
    </w:p>
    <w:p w:rsidR="00BD0A3F" w:rsidRPr="00816234" w:rsidRDefault="00BD0A3F" w:rsidP="00BD0A3F">
      <w:pPr>
        <w:jc w:val="both"/>
      </w:pPr>
      <w:r w:rsidRPr="00816234">
        <w:t>(3) A</w:t>
      </w:r>
      <w:r w:rsidR="00504305" w:rsidRPr="00816234">
        <w:t>k majú viacerí účastníci</w:t>
      </w:r>
      <w:r w:rsidRPr="00816234">
        <w:t xml:space="preserve"> spoločného zástupcu a urobia spoločné vyhlásenie, náležitosti podľa odseku 2 sa uvedú osobi</w:t>
      </w:r>
      <w:r w:rsidR="00504305" w:rsidRPr="00816234">
        <w:t>tne za každého účastníka</w:t>
      </w:r>
      <w:r w:rsidRPr="00816234">
        <w:t>.</w:t>
      </w:r>
    </w:p>
    <w:p w:rsidR="00BD0A3F" w:rsidRPr="00816234" w:rsidRDefault="00BD0A3F" w:rsidP="00BD0A3F">
      <w:pPr>
        <w:jc w:val="both"/>
      </w:pPr>
    </w:p>
    <w:p w:rsidR="00BD0A3F" w:rsidRPr="00816234" w:rsidRDefault="0036058F" w:rsidP="00BD0A3F">
      <w:pPr>
        <w:jc w:val="both"/>
      </w:pPr>
      <w:r w:rsidRPr="00816234">
        <w:t xml:space="preserve">(4) </w:t>
      </w:r>
      <w:r w:rsidR="00BD0A3F" w:rsidRPr="00816234">
        <w:t>Ak obsah písomného vyhlásenia zodpovedá ná</w:t>
      </w:r>
      <w:r w:rsidR="00504305" w:rsidRPr="00816234">
        <w:t xml:space="preserve">vrhu urovnania, účastník </w:t>
      </w:r>
      <w:r w:rsidR="00BD0A3F" w:rsidRPr="00816234">
        <w:t>sa upovedomí o tom, že jeho vyhlásenie bolo akceptované. Doručením upovedomenia o akceptovaní vyhlásenia sa rokovanie považuje za ukončené urovnaním.</w:t>
      </w:r>
    </w:p>
    <w:p w:rsidR="00BD0A3F" w:rsidRPr="00816234" w:rsidRDefault="00BD0A3F" w:rsidP="00BD0A3F">
      <w:pPr>
        <w:jc w:val="both"/>
      </w:pPr>
    </w:p>
    <w:p w:rsidR="00BD0A3F" w:rsidRPr="00816234" w:rsidRDefault="00BD0A3F" w:rsidP="00BD0A3F">
      <w:pPr>
        <w:jc w:val="both"/>
      </w:pPr>
      <w:r w:rsidRPr="00816234">
        <w:t>(5) Ak sa rokovanie neskončí ur</w:t>
      </w:r>
      <w:r w:rsidR="00504305" w:rsidRPr="00816234">
        <w:t xml:space="preserve">ovnaním, neprihliada sa </w:t>
      </w:r>
      <w:r w:rsidRPr="00816234">
        <w:t>na ď</w:t>
      </w:r>
      <w:r w:rsidR="00504305" w:rsidRPr="00816234">
        <w:t>alšie žiadosti účastníka, s ktorým bolo rokovanie skončené.</w:t>
      </w:r>
    </w:p>
    <w:p w:rsidR="006A16C1" w:rsidRPr="00816234" w:rsidRDefault="006A16C1" w:rsidP="00BD0A3F">
      <w:pPr>
        <w:jc w:val="center"/>
      </w:pPr>
    </w:p>
    <w:p w:rsidR="009709CE" w:rsidRPr="00816234" w:rsidRDefault="00504305" w:rsidP="00504305">
      <w:pPr>
        <w:jc w:val="center"/>
      </w:pPr>
      <w:r w:rsidRPr="00816234">
        <w:rPr>
          <w:b/>
        </w:rPr>
        <w:t>§ 4</w:t>
      </w:r>
    </w:p>
    <w:p w:rsidR="00BD0A3F" w:rsidRPr="00816234" w:rsidRDefault="00BD0A3F" w:rsidP="00BD0A3F">
      <w:pPr>
        <w:jc w:val="center"/>
      </w:pPr>
    </w:p>
    <w:p w:rsidR="00BD0A3F" w:rsidRPr="00816234" w:rsidRDefault="00BD0A3F" w:rsidP="00BD0A3F">
      <w:pPr>
        <w:jc w:val="both"/>
      </w:pPr>
      <w:r w:rsidRPr="00816234">
        <w:t xml:space="preserve">(1) Ak sa rokovanie skončí urovnaním, </w:t>
      </w:r>
      <w:r w:rsidR="00504305" w:rsidRPr="00816234">
        <w:t>pokuta, ktorá by bola inak účastníkovi uložená, sa zníži o 30% v konaní vo veci dohody obmedzujúcej súťaž podľa § 4 ods. 1 zákona alebo čl. 101 Zmluvy o fungovaní Európskej únie uzatvorenej medzi podnikateľmi, ktorí na účely dohody podnikajú na rovnakej úrovni výrobného reťazca alebo distribučného reťazca, a v konaní vo veci zneužitia dominantného postavenia podľa</w:t>
      </w:r>
      <w:r w:rsidR="00504305" w:rsidRPr="00816234">
        <w:rPr>
          <w:color w:val="000000" w:themeColor="text1"/>
        </w:rPr>
        <w:t xml:space="preserve"> </w:t>
      </w:r>
      <w:hyperlink r:id="rId10" w:anchor="paragraf-8.odsek-3" w:tooltip="Odkaz na predpis alebo ustanovenie" w:history="1">
        <w:r w:rsidR="0000076D" w:rsidRPr="00816234">
          <w:rPr>
            <w:rStyle w:val="Hypertextovprepojenie"/>
            <w:color w:val="000000" w:themeColor="text1"/>
            <w:u w:val="none"/>
          </w:rPr>
          <w:t xml:space="preserve">§ </w:t>
        </w:r>
        <w:r w:rsidR="0018311F">
          <w:rPr>
            <w:rStyle w:val="Hypertextovprepojenie"/>
            <w:color w:val="000000" w:themeColor="text1"/>
            <w:u w:val="none"/>
          </w:rPr>
          <w:t>5</w:t>
        </w:r>
        <w:r w:rsidR="00504305" w:rsidRPr="00816234">
          <w:rPr>
            <w:rStyle w:val="Hypertextovprepojenie"/>
            <w:color w:val="000000" w:themeColor="text1"/>
            <w:u w:val="none"/>
          </w:rPr>
          <w:t xml:space="preserve"> ods. </w:t>
        </w:r>
        <w:r w:rsidR="0018311F">
          <w:rPr>
            <w:rStyle w:val="Hypertextovprepojenie"/>
            <w:color w:val="000000" w:themeColor="text1"/>
            <w:u w:val="none"/>
          </w:rPr>
          <w:t>1</w:t>
        </w:r>
        <w:r w:rsidR="00504305" w:rsidRPr="00816234">
          <w:rPr>
            <w:rStyle w:val="Hypertextovprepojenie"/>
            <w:color w:val="000000" w:themeColor="text1"/>
            <w:u w:val="none"/>
          </w:rPr>
          <w:t xml:space="preserve"> zákona</w:t>
        </w:r>
      </w:hyperlink>
      <w:r w:rsidR="00504305" w:rsidRPr="00816234">
        <w:t xml:space="preserve"> alebo čl. 102 Zmluvy o fungovaní Európskej únie. </w:t>
      </w:r>
    </w:p>
    <w:p w:rsidR="0000076D" w:rsidRPr="00816234" w:rsidRDefault="0000076D" w:rsidP="00BD0A3F">
      <w:pPr>
        <w:jc w:val="both"/>
      </w:pPr>
    </w:p>
    <w:p w:rsidR="0000076D" w:rsidRPr="00816234" w:rsidRDefault="00BD0A3F" w:rsidP="00BD0A3F">
      <w:pPr>
        <w:jc w:val="both"/>
      </w:pPr>
      <w:r w:rsidRPr="00816234">
        <w:t xml:space="preserve">(2) </w:t>
      </w:r>
      <w:r w:rsidR="0000076D" w:rsidRPr="00816234">
        <w:t>Pokuta, ktorá by bola inak účastníkovi uložená, sa zníži o 50 %, ak sa rokovanie skončí urovnaním v prípadoch iných ako v odseku 1.</w:t>
      </w:r>
    </w:p>
    <w:p w:rsidR="00BD0A3F" w:rsidRPr="00816234" w:rsidRDefault="0000076D" w:rsidP="00BD0A3F">
      <w:pPr>
        <w:jc w:val="both"/>
      </w:pPr>
      <w:r w:rsidRPr="00816234">
        <w:t xml:space="preserve"> </w:t>
      </w:r>
    </w:p>
    <w:p w:rsidR="00BD0A3F" w:rsidRPr="00816234" w:rsidRDefault="00BD0A3F" w:rsidP="00BD0A3F">
      <w:pPr>
        <w:jc w:val="both"/>
        <w:rPr>
          <w:color w:val="000000" w:themeColor="text1"/>
        </w:rPr>
      </w:pPr>
      <w:r w:rsidRPr="00816234">
        <w:t xml:space="preserve">(3) </w:t>
      </w:r>
      <w:r w:rsidR="0000076D" w:rsidRPr="00816234">
        <w:rPr>
          <w:color w:val="000000" w:themeColor="text1"/>
        </w:rPr>
        <w:t xml:space="preserve">Ak účastník, ktorý navrhol urovnanie a zároveň požiadal o zníženie pokuty podľa </w:t>
      </w:r>
      <w:hyperlink r:id="rId11" w:anchor="paragraf-38d.odsek-2" w:tooltip="Odkaz na predpis alebo ustanovenie" w:history="1">
        <w:r w:rsidR="0000076D" w:rsidRPr="00816234">
          <w:rPr>
            <w:rStyle w:val="Hypertextovprepojenie"/>
            <w:color w:val="000000" w:themeColor="text1"/>
            <w:u w:val="none"/>
          </w:rPr>
          <w:t>§ 5</w:t>
        </w:r>
        <w:r w:rsidR="007C03C9">
          <w:rPr>
            <w:rStyle w:val="Hypertextovprepojenie"/>
            <w:color w:val="000000" w:themeColor="text1"/>
            <w:u w:val="none"/>
          </w:rPr>
          <w:t>1</w:t>
        </w:r>
        <w:r w:rsidR="0000076D" w:rsidRPr="00816234">
          <w:rPr>
            <w:rStyle w:val="Hypertextovprepojenie"/>
            <w:color w:val="000000" w:themeColor="text1"/>
            <w:u w:val="none"/>
          </w:rPr>
          <w:t xml:space="preserve"> ods. 2 zákona</w:t>
        </w:r>
      </w:hyperlink>
      <w:r w:rsidR="0000076D" w:rsidRPr="00816234">
        <w:rPr>
          <w:color w:val="000000" w:themeColor="text1"/>
        </w:rPr>
        <w:t xml:space="preserve">, pokuta sa zníži na základe urovnania zo sumy pokuty zníženej podľa </w:t>
      </w:r>
      <w:hyperlink r:id="rId12" w:anchor="paragraf-38d.odsek-2" w:tooltip="Odkaz na predpis alebo ustanovenie" w:history="1">
        <w:r w:rsidR="0000076D" w:rsidRPr="00816234">
          <w:rPr>
            <w:rStyle w:val="Hypertextovprepojenie"/>
            <w:color w:val="000000" w:themeColor="text1"/>
            <w:u w:val="none"/>
          </w:rPr>
          <w:t>§ 5</w:t>
        </w:r>
        <w:r w:rsidR="007C03C9">
          <w:rPr>
            <w:rStyle w:val="Hypertextovprepojenie"/>
            <w:color w:val="000000" w:themeColor="text1"/>
            <w:u w:val="none"/>
          </w:rPr>
          <w:t>1</w:t>
        </w:r>
        <w:r w:rsidR="0000076D" w:rsidRPr="00816234">
          <w:rPr>
            <w:rStyle w:val="Hypertextovprepojenie"/>
            <w:color w:val="000000" w:themeColor="text1"/>
            <w:u w:val="none"/>
          </w:rPr>
          <w:t xml:space="preserve"> ods. 2 zákona</w:t>
        </w:r>
      </w:hyperlink>
      <w:r w:rsidR="0000076D" w:rsidRPr="00816234">
        <w:rPr>
          <w:color w:val="000000" w:themeColor="text1"/>
        </w:rPr>
        <w:t xml:space="preserve">. </w:t>
      </w:r>
    </w:p>
    <w:p w:rsidR="0000076D" w:rsidRPr="00816234" w:rsidRDefault="0000076D" w:rsidP="00BD0A3F">
      <w:pPr>
        <w:jc w:val="both"/>
        <w:rPr>
          <w:color w:val="000000" w:themeColor="text1"/>
        </w:rPr>
      </w:pPr>
    </w:p>
    <w:p w:rsidR="00BD0A3F" w:rsidRPr="00816234" w:rsidRDefault="00BD0A3F" w:rsidP="00BD0A3F">
      <w:pPr>
        <w:jc w:val="both"/>
      </w:pPr>
      <w:r w:rsidRPr="00816234">
        <w:t>(4) Ak nedôjde k urovnaniu, na vyhlásenie účastníka konania podľa §</w:t>
      </w:r>
      <w:r w:rsidR="006A2705" w:rsidRPr="00816234">
        <w:t xml:space="preserve"> 3</w:t>
      </w:r>
      <w:r w:rsidRPr="00816234">
        <w:t xml:space="preserve"> ods. 1 a 2 sa neprihliada.</w:t>
      </w:r>
    </w:p>
    <w:p w:rsidR="009709CE" w:rsidRPr="00816234" w:rsidRDefault="009709CE" w:rsidP="009709CE">
      <w:pPr>
        <w:jc w:val="both"/>
        <w:rPr>
          <w:b/>
        </w:rPr>
      </w:pP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  <w:r w:rsidRPr="00816234">
        <w:rPr>
          <w:b/>
        </w:rPr>
        <w:tab/>
      </w:r>
    </w:p>
    <w:p w:rsidR="009709CE" w:rsidRDefault="00186664" w:rsidP="00186664">
      <w:pPr>
        <w:jc w:val="center"/>
        <w:rPr>
          <w:b/>
        </w:rPr>
      </w:pPr>
      <w:r w:rsidRPr="00816234">
        <w:rPr>
          <w:b/>
        </w:rPr>
        <w:t xml:space="preserve">§ </w:t>
      </w:r>
      <w:r>
        <w:rPr>
          <w:b/>
        </w:rPr>
        <w:t>5</w:t>
      </w:r>
    </w:p>
    <w:p w:rsidR="00186664" w:rsidRPr="00816234" w:rsidRDefault="00186664" w:rsidP="00186664">
      <w:pPr>
        <w:jc w:val="center"/>
      </w:pPr>
    </w:p>
    <w:p w:rsidR="009709CE" w:rsidRPr="00816234" w:rsidRDefault="009709CE" w:rsidP="009709CE">
      <w:r w:rsidRPr="00816234">
        <w:t>T</w:t>
      </w:r>
      <w:r w:rsidR="006A2705" w:rsidRPr="00816234">
        <w:t>áto vyhláška</w:t>
      </w:r>
      <w:r w:rsidR="00244E4C">
        <w:t xml:space="preserve"> nadobúda účinnosť</w:t>
      </w:r>
      <w:r w:rsidR="00C35CFC">
        <w:t xml:space="preserve"> 1. mája 2021.</w:t>
      </w:r>
      <w:r w:rsidR="00CA3E3D">
        <w:t xml:space="preserve"> </w:t>
      </w:r>
    </w:p>
    <w:p w:rsidR="002C159B" w:rsidRPr="00505997" w:rsidRDefault="002C159B" w:rsidP="009709CE">
      <w:pPr>
        <w:jc w:val="both"/>
      </w:pPr>
    </w:p>
    <w:sectPr w:rsidR="002C159B" w:rsidRPr="00505997" w:rsidSect="00E86564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A3" w:rsidRDefault="00D725A3">
      <w:r>
        <w:separator/>
      </w:r>
    </w:p>
  </w:endnote>
  <w:endnote w:type="continuationSeparator" w:id="0">
    <w:p w:rsidR="00D725A3" w:rsidRDefault="00D725A3">
      <w:r>
        <w:continuationSeparator/>
      </w:r>
    </w:p>
  </w:endnote>
  <w:endnote w:type="continuationNotice" w:id="1">
    <w:p w:rsidR="00D725A3" w:rsidRDefault="00D72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C00" w:rsidRDefault="00D24C0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712A4">
      <w:rPr>
        <w:noProof/>
      </w:rPr>
      <w:t>2</w:t>
    </w:r>
    <w:r>
      <w:fldChar w:fldCharType="end"/>
    </w:r>
  </w:p>
  <w:p w:rsidR="00D24C00" w:rsidRDefault="00D24C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64" w:rsidRPr="00186664" w:rsidRDefault="00186664">
    <w:pPr>
      <w:pStyle w:val="Pta"/>
      <w:jc w:val="center"/>
      <w:rPr>
        <w:sz w:val="22"/>
        <w:szCs w:val="22"/>
      </w:rPr>
    </w:pPr>
    <w:r w:rsidRPr="00186664">
      <w:rPr>
        <w:sz w:val="22"/>
        <w:szCs w:val="22"/>
      </w:rPr>
      <w:fldChar w:fldCharType="begin"/>
    </w:r>
    <w:r w:rsidRPr="00186664">
      <w:rPr>
        <w:sz w:val="22"/>
        <w:szCs w:val="22"/>
      </w:rPr>
      <w:instrText>PAGE   \* MERGEFORMAT</w:instrText>
    </w:r>
    <w:r w:rsidRPr="00186664">
      <w:rPr>
        <w:sz w:val="22"/>
        <w:szCs w:val="22"/>
      </w:rPr>
      <w:fldChar w:fldCharType="separate"/>
    </w:r>
    <w:r w:rsidR="000712A4">
      <w:rPr>
        <w:noProof/>
        <w:sz w:val="22"/>
        <w:szCs w:val="22"/>
      </w:rPr>
      <w:t>1</w:t>
    </w:r>
    <w:r w:rsidRPr="00186664">
      <w:rPr>
        <w:sz w:val="22"/>
        <w:szCs w:val="22"/>
      </w:rPr>
      <w:fldChar w:fldCharType="end"/>
    </w:r>
  </w:p>
  <w:p w:rsidR="00186664" w:rsidRDefault="001866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A3" w:rsidRDefault="00D725A3">
      <w:r>
        <w:separator/>
      </w:r>
    </w:p>
  </w:footnote>
  <w:footnote w:type="continuationSeparator" w:id="0">
    <w:p w:rsidR="00D725A3" w:rsidRDefault="00D725A3">
      <w:r>
        <w:continuationSeparator/>
      </w:r>
    </w:p>
  </w:footnote>
  <w:footnote w:type="continuationNotice" w:id="1">
    <w:p w:rsidR="00D725A3" w:rsidRDefault="00D725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728"/>
    <w:multiLevelType w:val="singleLevel"/>
    <w:tmpl w:val="339C57E2"/>
    <w:lvl w:ilvl="0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</w:abstractNum>
  <w:abstractNum w:abstractNumId="1" w15:restartNumberingAfterBreak="0">
    <w:nsid w:val="045C6A8E"/>
    <w:multiLevelType w:val="hybridMultilevel"/>
    <w:tmpl w:val="8C5C1EAC"/>
    <w:lvl w:ilvl="0" w:tplc="BEBE13E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8AA2531"/>
    <w:multiLevelType w:val="hybridMultilevel"/>
    <w:tmpl w:val="0C846B56"/>
    <w:lvl w:ilvl="0" w:tplc="84DC62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6B6"/>
    <w:multiLevelType w:val="singleLevel"/>
    <w:tmpl w:val="8D80CD5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4" w15:restartNumberingAfterBreak="0">
    <w:nsid w:val="0A6A3E48"/>
    <w:multiLevelType w:val="hybridMultilevel"/>
    <w:tmpl w:val="3F701EF0"/>
    <w:lvl w:ilvl="0" w:tplc="84DC62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8C4593"/>
    <w:multiLevelType w:val="hybridMultilevel"/>
    <w:tmpl w:val="DC400B2C"/>
    <w:lvl w:ilvl="0" w:tplc="84DC62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085410"/>
    <w:multiLevelType w:val="multilevel"/>
    <w:tmpl w:val="5E927F3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1DF5AA5"/>
    <w:multiLevelType w:val="hybridMultilevel"/>
    <w:tmpl w:val="689A3D4C"/>
    <w:lvl w:ilvl="0" w:tplc="84DC62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F1378C"/>
    <w:multiLevelType w:val="hybridMultilevel"/>
    <w:tmpl w:val="90AEE1EA"/>
    <w:lvl w:ilvl="0" w:tplc="F20E8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8A413A"/>
    <w:multiLevelType w:val="singleLevel"/>
    <w:tmpl w:val="971233EC"/>
    <w:lvl w:ilvl="0">
      <w:start w:val="1"/>
      <w:numFmt w:val="lowerLetter"/>
      <w:lvlText w:val="%1) "/>
      <w:lvlJc w:val="left"/>
      <w:pPr>
        <w:tabs>
          <w:tab w:val="num" w:pos="927"/>
        </w:tabs>
        <w:ind w:left="927" w:hanging="56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0" w15:restartNumberingAfterBreak="0">
    <w:nsid w:val="21591063"/>
    <w:multiLevelType w:val="hybridMultilevel"/>
    <w:tmpl w:val="C3866302"/>
    <w:lvl w:ilvl="0" w:tplc="84DC62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DC5909"/>
    <w:multiLevelType w:val="hybridMultilevel"/>
    <w:tmpl w:val="CE22795E"/>
    <w:lvl w:ilvl="0" w:tplc="9FF61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B02516"/>
    <w:multiLevelType w:val="hybridMultilevel"/>
    <w:tmpl w:val="AF0A9A00"/>
    <w:lvl w:ilvl="0" w:tplc="D08882EA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 w15:restartNumberingAfterBreak="0">
    <w:nsid w:val="2B4945E4"/>
    <w:multiLevelType w:val="singleLevel"/>
    <w:tmpl w:val="C8C84C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063016E"/>
    <w:multiLevelType w:val="hybridMultilevel"/>
    <w:tmpl w:val="4E4C3FB2"/>
    <w:lvl w:ilvl="0" w:tplc="84DC62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933DD5"/>
    <w:multiLevelType w:val="multilevel"/>
    <w:tmpl w:val="49F8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6" w15:restartNumberingAfterBreak="0">
    <w:nsid w:val="42BA2591"/>
    <w:multiLevelType w:val="hybridMultilevel"/>
    <w:tmpl w:val="AF3643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52C6C73"/>
    <w:multiLevelType w:val="multilevel"/>
    <w:tmpl w:val="AD74DD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771623"/>
    <w:multiLevelType w:val="multilevel"/>
    <w:tmpl w:val="68FE6DF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0F7198"/>
    <w:multiLevelType w:val="hybridMultilevel"/>
    <w:tmpl w:val="254E7ED4"/>
    <w:lvl w:ilvl="0" w:tplc="7388AAE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638048A"/>
    <w:multiLevelType w:val="multilevel"/>
    <w:tmpl w:val="663A59C6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643472B"/>
    <w:multiLevelType w:val="multilevel"/>
    <w:tmpl w:val="1F4AB8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320712"/>
    <w:multiLevelType w:val="hybridMultilevel"/>
    <w:tmpl w:val="C8749914"/>
    <w:lvl w:ilvl="0" w:tplc="971233EC">
      <w:start w:val="1"/>
      <w:numFmt w:val="lowerLetter"/>
      <w:lvlText w:val="%1) 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6B7C76"/>
    <w:multiLevelType w:val="hybridMultilevel"/>
    <w:tmpl w:val="6F188AD0"/>
    <w:lvl w:ilvl="0" w:tplc="9D04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0ECC2A2">
      <w:start w:val="1"/>
      <w:numFmt w:val="decimal"/>
      <w:lvlText w:val="(%2)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0040B7"/>
    <w:multiLevelType w:val="hybridMultilevel"/>
    <w:tmpl w:val="3790FD0E"/>
    <w:lvl w:ilvl="0" w:tplc="A85A26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56633"/>
    <w:multiLevelType w:val="hybridMultilevel"/>
    <w:tmpl w:val="65CA83B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38C73D3"/>
    <w:multiLevelType w:val="multilevel"/>
    <w:tmpl w:val="75DC0192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D566F37"/>
    <w:multiLevelType w:val="multilevel"/>
    <w:tmpl w:val="9C26D00C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F10454F"/>
    <w:multiLevelType w:val="singleLevel"/>
    <w:tmpl w:val="7996CFDA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29" w15:restartNumberingAfterBreak="0">
    <w:nsid w:val="613036CA"/>
    <w:multiLevelType w:val="hybridMultilevel"/>
    <w:tmpl w:val="FA92404E"/>
    <w:lvl w:ilvl="0" w:tplc="84DC62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904189"/>
    <w:multiLevelType w:val="multilevel"/>
    <w:tmpl w:val="AE046F4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50709F5"/>
    <w:multiLevelType w:val="multilevel"/>
    <w:tmpl w:val="4742168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88F1542"/>
    <w:multiLevelType w:val="hybridMultilevel"/>
    <w:tmpl w:val="6DC6D892"/>
    <w:lvl w:ilvl="0" w:tplc="E71CBFF8">
      <w:start w:val="1"/>
      <w:numFmt w:val="lowerLetter"/>
      <w:lvlText w:val="%1)"/>
      <w:lvlJc w:val="left"/>
      <w:pPr>
        <w:ind w:left="306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abstractNum w:abstractNumId="33" w15:restartNumberingAfterBreak="0">
    <w:nsid w:val="6B3A5F24"/>
    <w:multiLevelType w:val="hybridMultilevel"/>
    <w:tmpl w:val="06BCD4CE"/>
    <w:lvl w:ilvl="0" w:tplc="1F4295A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1C1383F"/>
    <w:multiLevelType w:val="hybridMultilevel"/>
    <w:tmpl w:val="08F86410"/>
    <w:lvl w:ilvl="0" w:tplc="4942BE16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785720C"/>
    <w:multiLevelType w:val="hybridMultilevel"/>
    <w:tmpl w:val="FC6A2F58"/>
    <w:lvl w:ilvl="0" w:tplc="971233EC">
      <w:start w:val="1"/>
      <w:numFmt w:val="lowerLetter"/>
      <w:lvlText w:val="%1) 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187DDB"/>
    <w:multiLevelType w:val="hybridMultilevel"/>
    <w:tmpl w:val="889E7B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0"/>
  </w:num>
  <w:num w:numId="5">
    <w:abstractNumId w:val="28"/>
  </w:num>
  <w:num w:numId="6">
    <w:abstractNumId w:val="11"/>
  </w:num>
  <w:num w:numId="7">
    <w:abstractNumId w:val="35"/>
  </w:num>
  <w:num w:numId="8">
    <w:abstractNumId w:val="22"/>
  </w:num>
  <w:num w:numId="9">
    <w:abstractNumId w:val="32"/>
  </w:num>
  <w:num w:numId="10">
    <w:abstractNumId w:val="19"/>
  </w:num>
  <w:num w:numId="11">
    <w:abstractNumId w:val="25"/>
  </w:num>
  <w:num w:numId="12">
    <w:abstractNumId w:val="33"/>
  </w:num>
  <w:num w:numId="13">
    <w:abstractNumId w:val="16"/>
  </w:num>
  <w:num w:numId="14">
    <w:abstractNumId w:val="21"/>
  </w:num>
  <w:num w:numId="15">
    <w:abstractNumId w:val="26"/>
  </w:num>
  <w:num w:numId="16">
    <w:abstractNumId w:val="20"/>
  </w:num>
  <w:num w:numId="17">
    <w:abstractNumId w:val="30"/>
  </w:num>
  <w:num w:numId="18">
    <w:abstractNumId w:val="6"/>
  </w:num>
  <w:num w:numId="19">
    <w:abstractNumId w:val="27"/>
  </w:num>
  <w:num w:numId="20">
    <w:abstractNumId w:val="17"/>
  </w:num>
  <w:num w:numId="21">
    <w:abstractNumId w:val="18"/>
  </w:num>
  <w:num w:numId="22">
    <w:abstractNumId w:val="24"/>
  </w:num>
  <w:num w:numId="23">
    <w:abstractNumId w:val="31"/>
  </w:num>
  <w:num w:numId="24">
    <w:abstractNumId w:val="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8"/>
  </w:num>
  <w:num w:numId="31">
    <w:abstractNumId w:val="36"/>
  </w:num>
  <w:num w:numId="32">
    <w:abstractNumId w:val="5"/>
  </w:num>
  <w:num w:numId="33">
    <w:abstractNumId w:val="29"/>
  </w:num>
  <w:num w:numId="34">
    <w:abstractNumId w:val="2"/>
  </w:num>
  <w:num w:numId="35">
    <w:abstractNumId w:val="7"/>
  </w:num>
  <w:num w:numId="36">
    <w:abstractNumId w:val="4"/>
  </w:num>
  <w:num w:numId="37">
    <w:abstractNumId w:val="1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4941"/>
    <w:rsid w:val="0000076D"/>
    <w:rsid w:val="00002D75"/>
    <w:rsid w:val="00011833"/>
    <w:rsid w:val="00015797"/>
    <w:rsid w:val="000217F2"/>
    <w:rsid w:val="0002249C"/>
    <w:rsid w:val="00025B49"/>
    <w:rsid w:val="00034291"/>
    <w:rsid w:val="0003489E"/>
    <w:rsid w:val="00035F1F"/>
    <w:rsid w:val="00062B58"/>
    <w:rsid w:val="00063F8E"/>
    <w:rsid w:val="000712A4"/>
    <w:rsid w:val="00072C0B"/>
    <w:rsid w:val="0007315A"/>
    <w:rsid w:val="00074097"/>
    <w:rsid w:val="00080727"/>
    <w:rsid w:val="000827C4"/>
    <w:rsid w:val="0009792F"/>
    <w:rsid w:val="000A08F1"/>
    <w:rsid w:val="000B4CEC"/>
    <w:rsid w:val="000B5B2A"/>
    <w:rsid w:val="000B5EC2"/>
    <w:rsid w:val="000C1F3F"/>
    <w:rsid w:val="000C3988"/>
    <w:rsid w:val="000D2A96"/>
    <w:rsid w:val="000E026D"/>
    <w:rsid w:val="000E10A2"/>
    <w:rsid w:val="000E7D4A"/>
    <w:rsid w:val="000F3736"/>
    <w:rsid w:val="000F42E6"/>
    <w:rsid w:val="000F5A66"/>
    <w:rsid w:val="000F60E2"/>
    <w:rsid w:val="0010400A"/>
    <w:rsid w:val="00104199"/>
    <w:rsid w:val="0010493C"/>
    <w:rsid w:val="00107653"/>
    <w:rsid w:val="0011336C"/>
    <w:rsid w:val="00115729"/>
    <w:rsid w:val="00142B8F"/>
    <w:rsid w:val="00143308"/>
    <w:rsid w:val="00144297"/>
    <w:rsid w:val="001458B7"/>
    <w:rsid w:val="001532FF"/>
    <w:rsid w:val="0015484B"/>
    <w:rsid w:val="00156A3F"/>
    <w:rsid w:val="00156BBF"/>
    <w:rsid w:val="0016167D"/>
    <w:rsid w:val="0018311F"/>
    <w:rsid w:val="00186664"/>
    <w:rsid w:val="0018720F"/>
    <w:rsid w:val="00187B54"/>
    <w:rsid w:val="00191CAA"/>
    <w:rsid w:val="001A06DF"/>
    <w:rsid w:val="001A18F8"/>
    <w:rsid w:val="001A1C61"/>
    <w:rsid w:val="001A3AFE"/>
    <w:rsid w:val="001A7118"/>
    <w:rsid w:val="001B6357"/>
    <w:rsid w:val="001C08AB"/>
    <w:rsid w:val="001C3C1F"/>
    <w:rsid w:val="001C4FD5"/>
    <w:rsid w:val="001C6227"/>
    <w:rsid w:val="001D7B2E"/>
    <w:rsid w:val="001E2481"/>
    <w:rsid w:val="001E24CE"/>
    <w:rsid w:val="001F0C8A"/>
    <w:rsid w:val="001F2C3D"/>
    <w:rsid w:val="00203A4A"/>
    <w:rsid w:val="002072F5"/>
    <w:rsid w:val="002077ED"/>
    <w:rsid w:val="002078CE"/>
    <w:rsid w:val="00212554"/>
    <w:rsid w:val="00215C35"/>
    <w:rsid w:val="00216644"/>
    <w:rsid w:val="00230AEC"/>
    <w:rsid w:val="00234041"/>
    <w:rsid w:val="00235AB4"/>
    <w:rsid w:val="00244E4C"/>
    <w:rsid w:val="00246834"/>
    <w:rsid w:val="00260190"/>
    <w:rsid w:val="00261C3A"/>
    <w:rsid w:val="002703CD"/>
    <w:rsid w:val="002959F1"/>
    <w:rsid w:val="00295F89"/>
    <w:rsid w:val="002971F3"/>
    <w:rsid w:val="002A5527"/>
    <w:rsid w:val="002A7668"/>
    <w:rsid w:val="002C159B"/>
    <w:rsid w:val="002C4280"/>
    <w:rsid w:val="002C7C18"/>
    <w:rsid w:val="002E20E2"/>
    <w:rsid w:val="002E6DCB"/>
    <w:rsid w:val="002F6168"/>
    <w:rsid w:val="003014F3"/>
    <w:rsid w:val="00307DB9"/>
    <w:rsid w:val="00310BC9"/>
    <w:rsid w:val="00312667"/>
    <w:rsid w:val="00320AA6"/>
    <w:rsid w:val="00356162"/>
    <w:rsid w:val="00357C29"/>
    <w:rsid w:val="0036058F"/>
    <w:rsid w:val="00371DD6"/>
    <w:rsid w:val="00372438"/>
    <w:rsid w:val="00376709"/>
    <w:rsid w:val="00387766"/>
    <w:rsid w:val="003919F8"/>
    <w:rsid w:val="00395A8C"/>
    <w:rsid w:val="003A101A"/>
    <w:rsid w:val="003B6319"/>
    <w:rsid w:val="003D1A52"/>
    <w:rsid w:val="003D4A2A"/>
    <w:rsid w:val="003E338C"/>
    <w:rsid w:val="003E4F90"/>
    <w:rsid w:val="003F4F93"/>
    <w:rsid w:val="00402140"/>
    <w:rsid w:val="00403DF4"/>
    <w:rsid w:val="00404D2E"/>
    <w:rsid w:val="004179C0"/>
    <w:rsid w:val="00437046"/>
    <w:rsid w:val="00444AE1"/>
    <w:rsid w:val="00446453"/>
    <w:rsid w:val="00446E0C"/>
    <w:rsid w:val="004721CB"/>
    <w:rsid w:val="00476466"/>
    <w:rsid w:val="00482ABB"/>
    <w:rsid w:val="00492567"/>
    <w:rsid w:val="004A2ACC"/>
    <w:rsid w:val="004A47AB"/>
    <w:rsid w:val="004B1084"/>
    <w:rsid w:val="004B3C8D"/>
    <w:rsid w:val="004C084D"/>
    <w:rsid w:val="004C232C"/>
    <w:rsid w:val="004C2C07"/>
    <w:rsid w:val="004D30CA"/>
    <w:rsid w:val="004F5882"/>
    <w:rsid w:val="00504305"/>
    <w:rsid w:val="00505997"/>
    <w:rsid w:val="00506FBA"/>
    <w:rsid w:val="00510187"/>
    <w:rsid w:val="0051466A"/>
    <w:rsid w:val="00521384"/>
    <w:rsid w:val="005247DA"/>
    <w:rsid w:val="005337BB"/>
    <w:rsid w:val="0055120B"/>
    <w:rsid w:val="00552A5E"/>
    <w:rsid w:val="005566E6"/>
    <w:rsid w:val="00564A12"/>
    <w:rsid w:val="00564CB0"/>
    <w:rsid w:val="0056675A"/>
    <w:rsid w:val="00570B5A"/>
    <w:rsid w:val="0057408E"/>
    <w:rsid w:val="005806DA"/>
    <w:rsid w:val="00582D4E"/>
    <w:rsid w:val="0058566A"/>
    <w:rsid w:val="00592EA1"/>
    <w:rsid w:val="005A0415"/>
    <w:rsid w:val="005B2729"/>
    <w:rsid w:val="005B46AD"/>
    <w:rsid w:val="005B7F5E"/>
    <w:rsid w:val="005C01B9"/>
    <w:rsid w:val="005D25FA"/>
    <w:rsid w:val="005D3DC9"/>
    <w:rsid w:val="005E4B74"/>
    <w:rsid w:val="005F35E1"/>
    <w:rsid w:val="005F46D6"/>
    <w:rsid w:val="005F5164"/>
    <w:rsid w:val="00602D51"/>
    <w:rsid w:val="00604731"/>
    <w:rsid w:val="00616B5C"/>
    <w:rsid w:val="00617DBA"/>
    <w:rsid w:val="00622F1A"/>
    <w:rsid w:val="0063678E"/>
    <w:rsid w:val="00644D0E"/>
    <w:rsid w:val="00650296"/>
    <w:rsid w:val="00651C8F"/>
    <w:rsid w:val="006524B3"/>
    <w:rsid w:val="00652871"/>
    <w:rsid w:val="0065494A"/>
    <w:rsid w:val="0065611B"/>
    <w:rsid w:val="00666618"/>
    <w:rsid w:val="0066736D"/>
    <w:rsid w:val="006700C3"/>
    <w:rsid w:val="00673B1E"/>
    <w:rsid w:val="00687B89"/>
    <w:rsid w:val="0069305B"/>
    <w:rsid w:val="006A16C1"/>
    <w:rsid w:val="006A2705"/>
    <w:rsid w:val="006A5420"/>
    <w:rsid w:val="006D28BF"/>
    <w:rsid w:val="006D57BE"/>
    <w:rsid w:val="006E1EFC"/>
    <w:rsid w:val="006F2F3D"/>
    <w:rsid w:val="007002B4"/>
    <w:rsid w:val="007069C7"/>
    <w:rsid w:val="00711644"/>
    <w:rsid w:val="00713DFE"/>
    <w:rsid w:val="0071571E"/>
    <w:rsid w:val="00727B02"/>
    <w:rsid w:val="00737311"/>
    <w:rsid w:val="00737BDC"/>
    <w:rsid w:val="007408E8"/>
    <w:rsid w:val="0075232D"/>
    <w:rsid w:val="0075443D"/>
    <w:rsid w:val="00754D50"/>
    <w:rsid w:val="00754E73"/>
    <w:rsid w:val="007623AE"/>
    <w:rsid w:val="00765770"/>
    <w:rsid w:val="0077056E"/>
    <w:rsid w:val="00775CA1"/>
    <w:rsid w:val="007766F4"/>
    <w:rsid w:val="00781778"/>
    <w:rsid w:val="00783409"/>
    <w:rsid w:val="00791464"/>
    <w:rsid w:val="0079301B"/>
    <w:rsid w:val="00794973"/>
    <w:rsid w:val="00795651"/>
    <w:rsid w:val="00795F35"/>
    <w:rsid w:val="007B1964"/>
    <w:rsid w:val="007B313D"/>
    <w:rsid w:val="007C03C9"/>
    <w:rsid w:val="007C044D"/>
    <w:rsid w:val="007C086E"/>
    <w:rsid w:val="007C1D05"/>
    <w:rsid w:val="007C3A11"/>
    <w:rsid w:val="007C6E73"/>
    <w:rsid w:val="007D1D5C"/>
    <w:rsid w:val="007D3C7A"/>
    <w:rsid w:val="007D529F"/>
    <w:rsid w:val="007D766A"/>
    <w:rsid w:val="007E5887"/>
    <w:rsid w:val="007F2DB0"/>
    <w:rsid w:val="00800FF0"/>
    <w:rsid w:val="008026A6"/>
    <w:rsid w:val="008065B1"/>
    <w:rsid w:val="00811143"/>
    <w:rsid w:val="00812951"/>
    <w:rsid w:val="00813F4F"/>
    <w:rsid w:val="00815188"/>
    <w:rsid w:val="00816234"/>
    <w:rsid w:val="0081760D"/>
    <w:rsid w:val="00821C30"/>
    <w:rsid w:val="008244CC"/>
    <w:rsid w:val="00832B6E"/>
    <w:rsid w:val="00834F25"/>
    <w:rsid w:val="00844481"/>
    <w:rsid w:val="008459D1"/>
    <w:rsid w:val="00853033"/>
    <w:rsid w:val="00867844"/>
    <w:rsid w:val="00872E4B"/>
    <w:rsid w:val="00872FA7"/>
    <w:rsid w:val="00891330"/>
    <w:rsid w:val="008961EB"/>
    <w:rsid w:val="008A01AC"/>
    <w:rsid w:val="008A55A3"/>
    <w:rsid w:val="008A7A44"/>
    <w:rsid w:val="008C002A"/>
    <w:rsid w:val="008C4535"/>
    <w:rsid w:val="008E2A4F"/>
    <w:rsid w:val="008E5687"/>
    <w:rsid w:val="008E6856"/>
    <w:rsid w:val="00900E04"/>
    <w:rsid w:val="009029F8"/>
    <w:rsid w:val="00904941"/>
    <w:rsid w:val="0090571E"/>
    <w:rsid w:val="00905B61"/>
    <w:rsid w:val="00907A92"/>
    <w:rsid w:val="00911BB9"/>
    <w:rsid w:val="009218D5"/>
    <w:rsid w:val="0092353F"/>
    <w:rsid w:val="00923C41"/>
    <w:rsid w:val="00927290"/>
    <w:rsid w:val="00934A24"/>
    <w:rsid w:val="00936BD3"/>
    <w:rsid w:val="0093714B"/>
    <w:rsid w:val="009419DE"/>
    <w:rsid w:val="00942944"/>
    <w:rsid w:val="0094555E"/>
    <w:rsid w:val="00946CC4"/>
    <w:rsid w:val="00951A18"/>
    <w:rsid w:val="00952DE1"/>
    <w:rsid w:val="00953413"/>
    <w:rsid w:val="009539A6"/>
    <w:rsid w:val="009709CE"/>
    <w:rsid w:val="009730C3"/>
    <w:rsid w:val="00973C69"/>
    <w:rsid w:val="00973CCF"/>
    <w:rsid w:val="00981360"/>
    <w:rsid w:val="00981606"/>
    <w:rsid w:val="00987CD5"/>
    <w:rsid w:val="009913D8"/>
    <w:rsid w:val="00992327"/>
    <w:rsid w:val="0099238B"/>
    <w:rsid w:val="009A4569"/>
    <w:rsid w:val="009A5344"/>
    <w:rsid w:val="009B0A3B"/>
    <w:rsid w:val="009B155B"/>
    <w:rsid w:val="009C2680"/>
    <w:rsid w:val="009C4945"/>
    <w:rsid w:val="009C7C49"/>
    <w:rsid w:val="009D3D64"/>
    <w:rsid w:val="009D4848"/>
    <w:rsid w:val="009D6DF7"/>
    <w:rsid w:val="009E2B47"/>
    <w:rsid w:val="00A02838"/>
    <w:rsid w:val="00A02E50"/>
    <w:rsid w:val="00A031A8"/>
    <w:rsid w:val="00A03B24"/>
    <w:rsid w:val="00A040AC"/>
    <w:rsid w:val="00A0633B"/>
    <w:rsid w:val="00A122E6"/>
    <w:rsid w:val="00A16B70"/>
    <w:rsid w:val="00A23252"/>
    <w:rsid w:val="00A258C8"/>
    <w:rsid w:val="00A56943"/>
    <w:rsid w:val="00A63661"/>
    <w:rsid w:val="00A71607"/>
    <w:rsid w:val="00A76A94"/>
    <w:rsid w:val="00A7747D"/>
    <w:rsid w:val="00A83E90"/>
    <w:rsid w:val="00A875EB"/>
    <w:rsid w:val="00A876F2"/>
    <w:rsid w:val="00A87A52"/>
    <w:rsid w:val="00A9345C"/>
    <w:rsid w:val="00A942DE"/>
    <w:rsid w:val="00A9522A"/>
    <w:rsid w:val="00AA1B20"/>
    <w:rsid w:val="00AA71FF"/>
    <w:rsid w:val="00AB1607"/>
    <w:rsid w:val="00AB2986"/>
    <w:rsid w:val="00AB6527"/>
    <w:rsid w:val="00AC22C2"/>
    <w:rsid w:val="00AC4750"/>
    <w:rsid w:val="00AC6161"/>
    <w:rsid w:val="00AE69A6"/>
    <w:rsid w:val="00B05F00"/>
    <w:rsid w:val="00B07096"/>
    <w:rsid w:val="00B106B5"/>
    <w:rsid w:val="00B21D56"/>
    <w:rsid w:val="00B250DB"/>
    <w:rsid w:val="00B55C81"/>
    <w:rsid w:val="00B614A8"/>
    <w:rsid w:val="00B617A5"/>
    <w:rsid w:val="00B61D8D"/>
    <w:rsid w:val="00B76237"/>
    <w:rsid w:val="00B76C1A"/>
    <w:rsid w:val="00B77503"/>
    <w:rsid w:val="00B809C4"/>
    <w:rsid w:val="00B86611"/>
    <w:rsid w:val="00B918DA"/>
    <w:rsid w:val="00B96938"/>
    <w:rsid w:val="00BB0C5C"/>
    <w:rsid w:val="00BB4CE1"/>
    <w:rsid w:val="00BC03E6"/>
    <w:rsid w:val="00BC546C"/>
    <w:rsid w:val="00BD0A3F"/>
    <w:rsid w:val="00BD1C09"/>
    <w:rsid w:val="00BF28D7"/>
    <w:rsid w:val="00BF46AB"/>
    <w:rsid w:val="00C00EBD"/>
    <w:rsid w:val="00C0258F"/>
    <w:rsid w:val="00C05083"/>
    <w:rsid w:val="00C129DE"/>
    <w:rsid w:val="00C21A61"/>
    <w:rsid w:val="00C26144"/>
    <w:rsid w:val="00C30AC5"/>
    <w:rsid w:val="00C3193B"/>
    <w:rsid w:val="00C31F6F"/>
    <w:rsid w:val="00C3220B"/>
    <w:rsid w:val="00C35CFC"/>
    <w:rsid w:val="00C41860"/>
    <w:rsid w:val="00C645B7"/>
    <w:rsid w:val="00C647B6"/>
    <w:rsid w:val="00C67A94"/>
    <w:rsid w:val="00C84DAE"/>
    <w:rsid w:val="00C87D58"/>
    <w:rsid w:val="00CA33F8"/>
    <w:rsid w:val="00CA3E3D"/>
    <w:rsid w:val="00CC28C9"/>
    <w:rsid w:val="00CC37F9"/>
    <w:rsid w:val="00CC6847"/>
    <w:rsid w:val="00CD312E"/>
    <w:rsid w:val="00CD592E"/>
    <w:rsid w:val="00CE044D"/>
    <w:rsid w:val="00CE5521"/>
    <w:rsid w:val="00CE7B2B"/>
    <w:rsid w:val="00D003EC"/>
    <w:rsid w:val="00D06102"/>
    <w:rsid w:val="00D074C2"/>
    <w:rsid w:val="00D111F3"/>
    <w:rsid w:val="00D130FC"/>
    <w:rsid w:val="00D13C6F"/>
    <w:rsid w:val="00D16BF1"/>
    <w:rsid w:val="00D17F10"/>
    <w:rsid w:val="00D23407"/>
    <w:rsid w:val="00D24C00"/>
    <w:rsid w:val="00D35239"/>
    <w:rsid w:val="00D36B60"/>
    <w:rsid w:val="00D5026B"/>
    <w:rsid w:val="00D725A3"/>
    <w:rsid w:val="00D74292"/>
    <w:rsid w:val="00D83DFF"/>
    <w:rsid w:val="00D84D13"/>
    <w:rsid w:val="00D91705"/>
    <w:rsid w:val="00D9183D"/>
    <w:rsid w:val="00D97711"/>
    <w:rsid w:val="00DA0959"/>
    <w:rsid w:val="00DA218C"/>
    <w:rsid w:val="00DA74D8"/>
    <w:rsid w:val="00DA78A4"/>
    <w:rsid w:val="00DB1C2D"/>
    <w:rsid w:val="00DC09C6"/>
    <w:rsid w:val="00DD22C3"/>
    <w:rsid w:val="00DD488C"/>
    <w:rsid w:val="00DD5C81"/>
    <w:rsid w:val="00DF3812"/>
    <w:rsid w:val="00E016D6"/>
    <w:rsid w:val="00E040D7"/>
    <w:rsid w:val="00E12178"/>
    <w:rsid w:val="00E13E64"/>
    <w:rsid w:val="00E202AA"/>
    <w:rsid w:val="00E3050C"/>
    <w:rsid w:val="00E40A72"/>
    <w:rsid w:val="00E51A78"/>
    <w:rsid w:val="00E55C8C"/>
    <w:rsid w:val="00E602C5"/>
    <w:rsid w:val="00E70869"/>
    <w:rsid w:val="00E73FB6"/>
    <w:rsid w:val="00E81DF6"/>
    <w:rsid w:val="00E86564"/>
    <w:rsid w:val="00E905D3"/>
    <w:rsid w:val="00E93231"/>
    <w:rsid w:val="00EA4AF8"/>
    <w:rsid w:val="00EA67AF"/>
    <w:rsid w:val="00EA76B3"/>
    <w:rsid w:val="00EB5B17"/>
    <w:rsid w:val="00EC349C"/>
    <w:rsid w:val="00ED03E9"/>
    <w:rsid w:val="00ED2871"/>
    <w:rsid w:val="00EE2BD7"/>
    <w:rsid w:val="00EE49E8"/>
    <w:rsid w:val="00EF0068"/>
    <w:rsid w:val="00EF289E"/>
    <w:rsid w:val="00F03965"/>
    <w:rsid w:val="00F06DA8"/>
    <w:rsid w:val="00F123D2"/>
    <w:rsid w:val="00F21953"/>
    <w:rsid w:val="00F30C8D"/>
    <w:rsid w:val="00F33745"/>
    <w:rsid w:val="00F44204"/>
    <w:rsid w:val="00F467D9"/>
    <w:rsid w:val="00F508DF"/>
    <w:rsid w:val="00F5475E"/>
    <w:rsid w:val="00F57720"/>
    <w:rsid w:val="00F615EC"/>
    <w:rsid w:val="00F657EE"/>
    <w:rsid w:val="00F71EDC"/>
    <w:rsid w:val="00F7280D"/>
    <w:rsid w:val="00F7534D"/>
    <w:rsid w:val="00F875F2"/>
    <w:rsid w:val="00FA25C3"/>
    <w:rsid w:val="00FB11E1"/>
    <w:rsid w:val="00FB25BC"/>
    <w:rsid w:val="00FC1734"/>
    <w:rsid w:val="00FC29CE"/>
    <w:rsid w:val="00FC3B51"/>
    <w:rsid w:val="00FC3C3A"/>
    <w:rsid w:val="00FC6727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5BE1C9-5B4C-4CF6-AFAD-ECB58C07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941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04941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paragraph" w:styleId="Zkladntext">
    <w:name w:val="Body Text"/>
    <w:basedOn w:val="Normlny"/>
    <w:link w:val="ZkladntextChar"/>
    <w:uiPriority w:val="99"/>
    <w:rsid w:val="0090494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9049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9049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90494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rsid w:val="00904941"/>
    <w:rPr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90494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B61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semiHidden/>
    <w:rsid w:val="00B614A8"/>
    <w:rPr>
      <w:rFonts w:cs="Times New Roman"/>
      <w:sz w:val="16"/>
    </w:rPr>
  </w:style>
  <w:style w:type="paragraph" w:styleId="Textkomentra">
    <w:name w:val="annotation text"/>
    <w:aliases w:val="Char"/>
    <w:basedOn w:val="Normlny"/>
    <w:link w:val="TextkomentraChar"/>
    <w:uiPriority w:val="99"/>
    <w:semiHidden/>
    <w:rsid w:val="00B614A8"/>
    <w:rPr>
      <w:sz w:val="20"/>
      <w:szCs w:val="20"/>
    </w:rPr>
  </w:style>
  <w:style w:type="character" w:customStyle="1" w:styleId="TextkomentraChar">
    <w:name w:val="Text komentára Char"/>
    <w:aliases w:val="Char Char"/>
    <w:basedOn w:val="Predvolenpsmoodseku"/>
    <w:link w:val="Textkomentra"/>
    <w:uiPriority w:val="99"/>
    <w:locked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614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</w:rPr>
  </w:style>
  <w:style w:type="paragraph" w:styleId="Normlnywebov">
    <w:name w:val="Normal (Web)"/>
    <w:basedOn w:val="Normlny"/>
    <w:uiPriority w:val="99"/>
    <w:rsid w:val="0055120B"/>
    <w:pPr>
      <w:spacing w:before="100" w:beforeAutospacing="1" w:after="100" w:afterAutospacing="1"/>
    </w:pPr>
    <w:rPr>
      <w:lang w:val="en-US" w:eastAsia="en-US"/>
    </w:rPr>
  </w:style>
  <w:style w:type="paragraph" w:styleId="Hlavika">
    <w:name w:val="header"/>
    <w:basedOn w:val="Normlny"/>
    <w:link w:val="HlavikaChar"/>
    <w:uiPriority w:val="99"/>
    <w:rsid w:val="00D24C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24C00"/>
    <w:rPr>
      <w:rFonts w:cs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D24C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24C00"/>
    <w:rPr>
      <w:rFonts w:cs="Times New Roman"/>
      <w:sz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9709CE"/>
    <w:pPr>
      <w:ind w:left="720"/>
      <w:jc w:val="both"/>
    </w:pPr>
    <w:rPr>
      <w:rFonts w:ascii="Arial" w:hAnsi="Arial" w:cs="Arial"/>
      <w:color w:val="000000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9709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9709CE"/>
    <w:rPr>
      <w:rFonts w:ascii="Cambria" w:hAnsi="Cambria" w:cs="Times New Roman"/>
      <w:b/>
      <w:bCs/>
      <w:kern w:val="28"/>
      <w:sz w:val="32"/>
      <w:szCs w:val="32"/>
    </w:rPr>
  </w:style>
  <w:style w:type="paragraph" w:styleId="Revzia">
    <w:name w:val="Revision"/>
    <w:hidden/>
    <w:uiPriority w:val="99"/>
    <w:semiHidden/>
    <w:rsid w:val="00156BBF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5A04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35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55509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35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1/13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1/136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pravne-predpisy/SK/ZZ/2001/136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14/171/2014070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375F-2FE8-4572-8C64-A4D6F0483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2BFC4-8331-40A8-9E4C-AFF057B4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VYHLÁŠKA</vt:lpstr>
    </vt:vector>
  </TitlesOfParts>
  <Company>s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blazo</dc:creator>
  <cp:keywords/>
  <dc:description/>
  <cp:lastModifiedBy>Blaho Peter</cp:lastModifiedBy>
  <cp:revision>2</cp:revision>
  <cp:lastPrinted>2014-02-20T07:34:00Z</cp:lastPrinted>
  <dcterms:created xsi:type="dcterms:W3CDTF">2021-01-07T08:25:00Z</dcterms:created>
  <dcterms:modified xsi:type="dcterms:W3CDTF">2021-01-07T08:25:00Z</dcterms:modified>
</cp:coreProperties>
</file>