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478EB" w14:textId="77777777" w:rsidR="00F464DB" w:rsidRDefault="00FF75DC">
      <w:pPr>
        <w:widowControl/>
        <w:spacing w:after="200" w:line="276" w:lineRule="auto"/>
        <w:jc w:val="center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Dôvodová správa</w:t>
      </w:r>
    </w:p>
    <w:p w14:paraId="3ACF8552" w14:textId="77777777" w:rsidR="00F464DB" w:rsidRDefault="00FF75DC">
      <w:pPr>
        <w:widowControl/>
        <w:numPr>
          <w:ilvl w:val="0"/>
          <w:numId w:val="1"/>
        </w:numPr>
        <w:spacing w:after="200" w:line="276" w:lineRule="auto"/>
        <w:ind w:left="270" w:hanging="180"/>
        <w:jc w:val="both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Všeobecná časť</w:t>
      </w:r>
    </w:p>
    <w:p w14:paraId="463A6C3C" w14:textId="358A9148" w:rsidR="00F464DB" w:rsidRDefault="00351491">
      <w:pPr>
        <w:widowControl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</w:rPr>
        <w:pict w14:anchorId="3EE6C118">
          <v:line id="Rovná spojovacia šípka 2" o:spid="_x0000_s1027" style="position:absolute;left:0;text-align:left;z-index: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2pt,2.8pt" to="454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"/>
        </w:pict>
      </w:r>
    </w:p>
    <w:p w14:paraId="4A5724A5" w14:textId="4769204F" w:rsidR="00F464DB" w:rsidRDefault="00FF75DC">
      <w:pPr>
        <w:widowControl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Poslanci za stranu Kotlebovci – Ľudová strana Naše Slovensko </w:t>
      </w:r>
      <w:r w:rsidR="0035149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Marian Kotleba,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Marek Kotleba,</w:t>
      </w:r>
      <w:r w:rsidR="0035149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Eduard Kočiš, Peter Krupa a Miroslav Suja predkladajú do Národnej rady Slovenskej republiky návrh zákona, ktorým sa mení a dopĺňa zákon č. 361/2014 Z. z.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  <w:t>o dani z motorových vozidiel a o zmene a doplnení niektorých zákonov, ktorým sa mení</w:t>
      </w:r>
      <w:r w:rsidR="0008137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 dopĺňa zákon č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. </w:t>
      </w:r>
      <w:r>
        <w:rPr>
          <w:rStyle w:val="Internetovodkaz"/>
          <w:rFonts w:ascii="Book Antiqua" w:hAnsi="Book Antiqua" w:cs="Arial"/>
          <w:color w:val="000000"/>
          <w:kern w:val="0"/>
          <w:sz w:val="22"/>
          <w:szCs w:val="22"/>
          <w:u w:val="none"/>
          <w:lang w:bidi="ar-SA"/>
        </w:rPr>
        <w:t>145</w:t>
      </w:r>
      <w:hyperlink r:id="rId5" w:tgtFrame="Odkaz na predpis alebo ustanovenie">
        <w:r>
          <w:rPr>
            <w:rStyle w:val="Internetovodkaz"/>
            <w:rFonts w:ascii="Book Antiqua" w:hAnsi="Book Antiqua" w:cs="Arial"/>
            <w:color w:val="000000"/>
            <w:kern w:val="0"/>
            <w:sz w:val="22"/>
            <w:szCs w:val="22"/>
            <w:u w:val="none"/>
            <w:lang w:bidi="ar-SA"/>
          </w:rPr>
          <w:t>/1995 Z. z.</w:t>
        </w:r>
      </w:hyperlink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o správnych poplatkoch a ktorým sa mení a dopĺňa zákon č. 71/2013 o poskytovaní dotácií v  pôsobnosti Ministerstva hospodárs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tva Slovenskej republiky.</w:t>
      </w:r>
    </w:p>
    <w:p w14:paraId="0C25A888" w14:textId="77777777" w:rsidR="00F464DB" w:rsidRDefault="00FF75DC">
      <w:pPr>
        <w:widowControl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Cieľom uvedenej novely zákona je zatraktívniť nákup, registráciu a prestavbu vozidiel, ktoré využívajú alternatívne druhy paliva v snahe zníženia zaťaženia životného prostredia. Zvýšenie podielu vozidiel na alternatívny pohon na ú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zemí SR docielime radou opatrení, a to zvýhodnením v oblasti daní, poplatkov a dotácií.</w:t>
      </w:r>
    </w:p>
    <w:p w14:paraId="1BBF340A" w14:textId="2A8BF981" w:rsidR="00F464DB" w:rsidRDefault="00FF75DC">
      <w:pPr>
        <w:widowControl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Právo na ochranu životného prostredia je zakotvené priamo v Ústave Slovenskej republiky, a to v druhej hlave, v článku 44, ktorý stanovuje nasledovné:  „Každý má právo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na priaznivé životné prostredie.“ Článok 44 taktiež ukladá štátu povinnosť dbať o účinnú starostlivosť o životné prostredie. Jedným z opatrení, akým štát môže efektívne dbať</w:t>
      </w:r>
      <w:r w:rsidR="0008137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o životné prostredie je práve podpora alternatívnych palív v doprave. Alternatívne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palivá majú preukázateľne nižšie emisie. Prijatie opatrení na zníženie emisií v doprave, prostredníctvom motivačných opatrení pre občanov, je nevyhnutným krokom k zlepšeniu úrovne životného prostredia na Slovensku.</w:t>
      </w:r>
    </w:p>
    <w:p w14:paraId="113C13D1" w14:textId="7969BF89" w:rsidR="00F464DB" w:rsidRDefault="00FF75DC">
      <w:pPr>
        <w:widowControl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Dôležitým míľnikom pre legitimizáciu záv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äzkov v boji proti klimatickým zmenám</w:t>
      </w:r>
      <w:r w:rsidR="00BE196C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na medzinárodnej úrovni bol Parížsky klimatický samit, ktorý deklaroval požiadavku zníženia emisií. V súčasnosti sú opatrenia na podporu alternatívnych palív v</w:t>
      </w:r>
      <w:r w:rsidR="00243A6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 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doprave</w:t>
      </w:r>
      <w:r w:rsidR="00243A6B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aj podľa vyjadrenia Európskej komisie (ďalej len „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EK“) nedostatočné. Dňa 8. novembra 2017 EK zverejnila hodnotenie národných politických rámcov pre zavádzanie infraštruktúry alternatívnych palív. Opatrenia na podporu alternatívnych palív prijaté SR hodnotí nízkym skóre, s výnimkou podpory elektromobility.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Väčšinu opatrení hodnotí len ako administratívne opatrenia s obmedzeným vplyvom. </w:t>
      </w:r>
    </w:p>
    <w:p w14:paraId="48D0E489" w14:textId="4EF6B57E" w:rsidR="00F464DB" w:rsidRDefault="00FF75DC">
      <w:pPr>
        <w:widowControl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Na domácej pôde dokument Návrh – Revízia a aktualizácia politického rámca</w:t>
      </w:r>
      <w:r w:rsidR="0008137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pre rozvoj trhu s alternatívnymi palivami navrhuje 7 hlavných opatrení, ktoré sú potrebné pre podpo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ru alternatívnych palív v doprave. Samotný strategický dokument z dielne Ministerstva hospodárstva SR žiada opatrenia, ktoré sú predmetom tohto zákona</w:t>
      </w:r>
      <w:r w:rsidR="0008137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ako vytvorenie finančného mechanizmu na umožnenie podpory nákupu vozidiel či podpora využívania alternatí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vneho paliva CNG a LNG v doprave. V niektorých bodoch však návrh zákona presahuje rámec tohto dokumentu a stanovuje si ambicióznejšie ciele pri daniach</w:t>
      </w:r>
      <w:r w:rsidR="0008137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 poplatkoch za evidenciu či podpore na prestavbu vozidiel na alternatívny pohon.</w:t>
      </w:r>
    </w:p>
    <w:p w14:paraId="10DC2AAC" w14:textId="06CF8281" w:rsidR="00F464DB" w:rsidRDefault="00FF75DC">
      <w:pPr>
        <w:widowControl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Sme presvedčení, že na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vrhovanými opatreniami a teda znížením správneho poplatku za zápis motorového vozidla do evidencie vozidiel v Slovenskej republike pre vozidlá</w:t>
      </w:r>
      <w:r w:rsidR="0008137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lastRenderedPageBreak/>
        <w:t>s alternatívnym pohonom na 33 eur, odpustením dani z motorových vozidiel pre vozidlá</w:t>
      </w:r>
      <w:r w:rsidR="0008137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s pohonom na alternatívne pa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livá a zavedením priamej podpory na nákup a prestavbu vozidiel s alternatívnym pohonom docielime zvýšenie podielu vozidiel na alternatívny pohon, čo bude mať priaznivý vplyv na životné prostredie. Návrh zákona má negatívny vplyv na štátny rozpočet, nemá vp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lyv na manželstvo, rodičovstvo a rodinu. Predmetný návrh je v súlade s Ústavou SR.</w:t>
      </w:r>
    </w:p>
    <w:p w14:paraId="695DC639" w14:textId="77777777" w:rsidR="00F464DB" w:rsidRDefault="00F464DB">
      <w:pPr>
        <w:widowControl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</w:p>
    <w:p w14:paraId="4D8A6C52" w14:textId="77777777" w:rsidR="00F464DB" w:rsidRDefault="00F464DB">
      <w:pPr>
        <w:widowControl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</w:p>
    <w:p w14:paraId="526A6A0B" w14:textId="77777777" w:rsidR="00F464DB" w:rsidRDefault="00F464DB">
      <w:pPr>
        <w:widowControl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</w:p>
    <w:p w14:paraId="5773032F" w14:textId="77777777" w:rsidR="00F464DB" w:rsidRDefault="00F464DB">
      <w:pPr>
        <w:widowControl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14:paraId="724DFE15" w14:textId="77777777" w:rsidR="00F464DB" w:rsidRDefault="00FF75DC">
      <w:pPr>
        <w:widowControl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>
        <w:br w:type="page"/>
      </w:r>
    </w:p>
    <w:p w14:paraId="35196DEE" w14:textId="77777777" w:rsidR="00F464DB" w:rsidRDefault="00F464DB">
      <w:pPr>
        <w:widowControl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14:paraId="2B9B1882" w14:textId="77777777" w:rsidR="00F464DB" w:rsidRDefault="00FF75DC">
      <w:pPr>
        <w:widowControl/>
        <w:numPr>
          <w:ilvl w:val="0"/>
          <w:numId w:val="1"/>
        </w:numPr>
        <w:spacing w:after="200" w:line="276" w:lineRule="auto"/>
        <w:ind w:left="270" w:hanging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Osobitná časť</w:t>
      </w:r>
    </w:p>
    <w:p w14:paraId="7807ECEB" w14:textId="131562CD" w:rsidR="00F464DB" w:rsidRDefault="00351491">
      <w:pPr>
        <w:widowControl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</w:rPr>
        <w:pict w14:anchorId="7E72BEF9">
          <v:line id="Rovná spojovacia šípka 1" o:spid="_x0000_s1026" style="position:absolute;left:0;text-align:lef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2pt,2.8pt" to="454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"/>
        </w:pict>
      </w:r>
    </w:p>
    <w:p w14:paraId="6318EE54" w14:textId="77777777" w:rsidR="00F464DB" w:rsidRDefault="00FF75DC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Čl. I</w:t>
      </w:r>
    </w:p>
    <w:p w14:paraId="4E7BE934" w14:textId="77777777" w:rsidR="00F464DB" w:rsidRDefault="00FF75DC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1 až 2</w:t>
      </w:r>
    </w:p>
    <w:p w14:paraId="02AE3DD2" w14:textId="77777777" w:rsidR="00F464DB" w:rsidRDefault="00FF75DC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Rozširuje sa oslobodenie od dane z motorových vozidiel na vozidlá s alternatívnym pohonom.</w:t>
      </w:r>
    </w:p>
    <w:p w14:paraId="7186512A" w14:textId="77777777" w:rsidR="00F464DB" w:rsidRDefault="00FF75DC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3</w:t>
      </w:r>
    </w:p>
    <w:p w14:paraId="48E4BB16" w14:textId="77777777" w:rsidR="00F464DB" w:rsidRDefault="00FF75DC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ab/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Legislatívno-technická zmena nadväzujúca na body 1 až 2 (zohľadňuje rozšírenie oslobodenia od dane z motorových vozidiel).</w:t>
      </w:r>
    </w:p>
    <w:p w14:paraId="09EA0B18" w14:textId="77777777" w:rsidR="00F464DB" w:rsidRDefault="00FF75DC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4</w:t>
      </w:r>
    </w:p>
    <w:p w14:paraId="72B851DC" w14:textId="5A6F8085" w:rsidR="00F464DB" w:rsidRDefault="00FF75DC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ab/>
        <w:t>Legislatívno-technická zmena nadväzujúca na body 1 až 3.  Vypúšťa sa odsek,</w:t>
      </w:r>
      <w:r w:rsidR="0067219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ktorý stratil opodstatnenie.</w:t>
      </w:r>
    </w:p>
    <w:p w14:paraId="24296354" w14:textId="77777777" w:rsidR="00F464DB" w:rsidRDefault="00F464DB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"/>
          <w:szCs w:val="22"/>
          <w:lang w:bidi="ar-SA"/>
        </w:rPr>
      </w:pPr>
    </w:p>
    <w:p w14:paraId="62D45179" w14:textId="77777777" w:rsidR="00F464DB" w:rsidRDefault="00FF75DC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Čl. II</w:t>
      </w:r>
    </w:p>
    <w:p w14:paraId="0646857F" w14:textId="77777777" w:rsidR="00F464DB" w:rsidRDefault="00FF75DC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1</w:t>
      </w:r>
    </w:p>
    <w:p w14:paraId="5A7C1A40" w14:textId="3C05498D" w:rsidR="00F464DB" w:rsidRDefault="00FF75DC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ab/>
        <w:t>Pôvodná úprava poplatku za zápis do evidencie vozidiel v Slovenskej republike</w:t>
      </w:r>
      <w:r w:rsidR="0027695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aj s vykonaním úprav v dokladoch vrátane vydania týchto dokladov, zaoberajúca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sa výhradne elektromobilmi, sa rozširuje o ďalšie vozidlá využívajúce alternatívne palivá.</w:t>
      </w:r>
    </w:p>
    <w:p w14:paraId="6607DD2B" w14:textId="77777777" w:rsidR="00F464DB" w:rsidRDefault="00FF75DC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2</w:t>
      </w:r>
    </w:p>
    <w:p w14:paraId="56BCA53E" w14:textId="77777777" w:rsidR="00F464DB" w:rsidRDefault="00FF75DC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ab/>
        <w:t>Legislatívno-technická zmena nadväzujúca na bod 1.  Vypúšťa sa bod, ktorý stratil opodstatnenie.</w:t>
      </w:r>
    </w:p>
    <w:p w14:paraId="1E1C2793" w14:textId="77777777" w:rsidR="00F464DB" w:rsidRDefault="00F464DB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"/>
          <w:szCs w:val="22"/>
          <w:lang w:bidi="ar-SA"/>
        </w:rPr>
      </w:pPr>
    </w:p>
    <w:p w14:paraId="3926E308" w14:textId="77777777" w:rsidR="00F464DB" w:rsidRDefault="00FF75DC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Čl. III</w:t>
      </w:r>
    </w:p>
    <w:p w14:paraId="23E07F54" w14:textId="77777777" w:rsidR="00F464DB" w:rsidRDefault="00FF75DC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 bodu 1 až 2</w:t>
      </w:r>
    </w:p>
    <w:p w14:paraId="76816FB0" w14:textId="77777777" w:rsidR="00F464DB" w:rsidRDefault="00FF75DC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Dotácia na nákup vozidiel s alternatívnym pohonom sa rozširuje o dotáciu na prestavbu vozidiel na alternatívny pohon.</w:t>
      </w:r>
    </w:p>
    <w:p w14:paraId="5EA6994A" w14:textId="77777777" w:rsidR="00F464DB" w:rsidRDefault="00FF75DC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 xml:space="preserve">K bodu </w:t>
      </w:r>
      <w:r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3 až 6</w:t>
      </w:r>
    </w:p>
    <w:p w14:paraId="38538A85" w14:textId="77777777" w:rsidR="00F464DB" w:rsidRDefault="00FF75DC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Legislatívno-technická úprava.</w:t>
      </w:r>
    </w:p>
    <w:p w14:paraId="77F5D399" w14:textId="77777777" w:rsidR="00F464DB" w:rsidRDefault="00FF75DC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K bodu 7 až 9</w:t>
      </w:r>
    </w:p>
    <w:p w14:paraId="2CC39922" w14:textId="77777777" w:rsidR="00F464DB" w:rsidRDefault="00FF75DC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lastRenderedPageBreak/>
        <w:t>Dopĺňa sa nárok pre žiadateľa na dotáciu na kúpu vozidla s pohonom na alternatívne palivá vo výške 2000 eur, na prestavbu vozidla na pohon na alternatívne palivá vo výške 50% nákladov, maximálne však 1500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eur. V prípade však, že žiadateľ predá vozidlo do 4 rokov, vzniká mu povinnosť dotáciu vrátiť.</w:t>
      </w:r>
    </w:p>
    <w:p w14:paraId="66D66D43" w14:textId="77777777" w:rsidR="00F464DB" w:rsidRDefault="00FF75DC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Čl. IV</w:t>
      </w:r>
    </w:p>
    <w:p w14:paraId="4B2AA138" w14:textId="77777777" w:rsidR="00F464DB" w:rsidRDefault="00FF75DC">
      <w:pPr>
        <w:jc w:val="both"/>
        <w:textAlignment w:val="auto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ab/>
        <w:t xml:space="preserve">Navrhuje sa účinnosť zákona dňa </w:t>
      </w:r>
      <w:r>
        <w:rPr>
          <w:rFonts w:ascii="Book Antiqua" w:hAnsi="Book Antiqua" w:cs="Liberation Serif"/>
          <w:color w:val="000000"/>
          <w:sz w:val="22"/>
        </w:rPr>
        <w:t>1. mája 2021.</w:t>
      </w:r>
    </w:p>
    <w:sectPr w:rsidR="00F464DB">
      <w:pgSz w:w="11906" w:h="16838"/>
      <w:pgMar w:top="1276" w:right="1417" w:bottom="1134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, Symbol">
    <w:panose1 w:val="00000000000000000000"/>
    <w:charset w:val="00"/>
    <w:family w:val="roman"/>
    <w:notTrueType/>
    <w:pitch w:val="default"/>
  </w:font>
  <w:font w:name="Symbol, 'Times New Roman'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11E2F"/>
    <w:multiLevelType w:val="multilevel"/>
    <w:tmpl w:val="397A6E38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5BAC12F1"/>
    <w:multiLevelType w:val="multilevel"/>
    <w:tmpl w:val="CEC85C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64DB"/>
    <w:rsid w:val="00081374"/>
    <w:rsid w:val="00243A6B"/>
    <w:rsid w:val="00276955"/>
    <w:rsid w:val="00351491"/>
    <w:rsid w:val="00672196"/>
    <w:rsid w:val="00BE196C"/>
    <w:rsid w:val="00F464DB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91AC07"/>
  <w15:docId w15:val="{A2FC76CA-42B9-4D46-A9C5-06E3DB16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List 4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zovChar">
    <w:name w:val="Názov Char"/>
    <w:link w:val="Nzov"/>
    <w:uiPriority w:val="10"/>
    <w:qFormat/>
    <w:locked/>
    <w:rPr>
      <w:rFonts w:ascii="Cambria" w:eastAsia="Times New Roman" w:hAnsi="Cambria" w:cs="Mangal"/>
      <w:b/>
      <w:bCs/>
      <w:kern w:val="2"/>
      <w:sz w:val="29"/>
      <w:szCs w:val="29"/>
      <w:lang w:val="x-none" w:eastAsia="zh-CN" w:bidi="hi-IN"/>
    </w:rPr>
  </w:style>
  <w:style w:type="character" w:customStyle="1" w:styleId="RTFNum21">
    <w:name w:val="RTF_Num 2 1"/>
    <w:uiPriority w:val="99"/>
    <w:qFormat/>
    <w:rPr>
      <w:rFonts w:eastAsia="Times New Roman"/>
    </w:rPr>
  </w:style>
  <w:style w:type="character" w:customStyle="1" w:styleId="RTFNum22">
    <w:name w:val="RTF_Num 2 2"/>
    <w:uiPriority w:val="99"/>
    <w:qFormat/>
    <w:rPr>
      <w:rFonts w:eastAsia="Times New Roman"/>
    </w:rPr>
  </w:style>
  <w:style w:type="character" w:customStyle="1" w:styleId="RTFNum23">
    <w:name w:val="RTF_Num 2 3"/>
    <w:uiPriority w:val="99"/>
    <w:qFormat/>
    <w:rPr>
      <w:rFonts w:eastAsia="Times New Roman"/>
    </w:rPr>
  </w:style>
  <w:style w:type="character" w:customStyle="1" w:styleId="RTFNum24">
    <w:name w:val="RTF_Num 2 4"/>
    <w:uiPriority w:val="99"/>
    <w:qFormat/>
    <w:rPr>
      <w:rFonts w:eastAsia="Times New Roman"/>
    </w:rPr>
  </w:style>
  <w:style w:type="character" w:customStyle="1" w:styleId="RTFNum25">
    <w:name w:val="RTF_Num 2 5"/>
    <w:uiPriority w:val="99"/>
    <w:qFormat/>
    <w:rPr>
      <w:rFonts w:eastAsia="Times New Roman"/>
    </w:rPr>
  </w:style>
  <w:style w:type="character" w:customStyle="1" w:styleId="RTFNum26">
    <w:name w:val="RTF_Num 2 6"/>
    <w:uiPriority w:val="99"/>
    <w:qFormat/>
    <w:rPr>
      <w:rFonts w:eastAsia="Times New Roman"/>
    </w:rPr>
  </w:style>
  <w:style w:type="character" w:customStyle="1" w:styleId="RTFNum27">
    <w:name w:val="RTF_Num 2 7"/>
    <w:uiPriority w:val="99"/>
    <w:qFormat/>
    <w:rPr>
      <w:rFonts w:eastAsia="Times New Roman"/>
    </w:rPr>
  </w:style>
  <w:style w:type="character" w:customStyle="1" w:styleId="RTFNum28">
    <w:name w:val="RTF_Num 2 8"/>
    <w:uiPriority w:val="99"/>
    <w:qFormat/>
    <w:rPr>
      <w:rFonts w:eastAsia="Times New Roman"/>
    </w:rPr>
  </w:style>
  <w:style w:type="character" w:customStyle="1" w:styleId="RTFNum29">
    <w:name w:val="RTF_Num 2 9"/>
    <w:uiPriority w:val="99"/>
    <w:qFormat/>
    <w:rPr>
      <w:rFonts w:eastAsia="Times New Roman"/>
    </w:rPr>
  </w:style>
  <w:style w:type="character" w:customStyle="1" w:styleId="RTFNum31">
    <w:name w:val="RTF_Num 3 1"/>
    <w:uiPriority w:val="99"/>
    <w:qFormat/>
    <w:rPr>
      <w:rFonts w:eastAsia="Times New Roman"/>
    </w:rPr>
  </w:style>
  <w:style w:type="character" w:customStyle="1" w:styleId="RTFNum32">
    <w:name w:val="RTF_Num 3 2"/>
    <w:uiPriority w:val="99"/>
    <w:qFormat/>
    <w:rPr>
      <w:rFonts w:eastAsia="Times New Roman"/>
    </w:rPr>
  </w:style>
  <w:style w:type="character" w:customStyle="1" w:styleId="RTFNum33">
    <w:name w:val="RTF_Num 3 3"/>
    <w:uiPriority w:val="99"/>
    <w:qFormat/>
    <w:rPr>
      <w:rFonts w:eastAsia="Times New Roman"/>
    </w:rPr>
  </w:style>
  <w:style w:type="character" w:customStyle="1" w:styleId="RTFNum34">
    <w:name w:val="RTF_Num 3 4"/>
    <w:uiPriority w:val="99"/>
    <w:qFormat/>
    <w:rPr>
      <w:rFonts w:eastAsia="Times New Roman"/>
    </w:rPr>
  </w:style>
  <w:style w:type="character" w:customStyle="1" w:styleId="RTFNum35">
    <w:name w:val="RTF_Num 3 5"/>
    <w:uiPriority w:val="99"/>
    <w:qFormat/>
    <w:rPr>
      <w:rFonts w:eastAsia="Times New Roman"/>
    </w:rPr>
  </w:style>
  <w:style w:type="character" w:customStyle="1" w:styleId="RTFNum36">
    <w:name w:val="RTF_Num 3 6"/>
    <w:uiPriority w:val="99"/>
    <w:qFormat/>
    <w:rPr>
      <w:rFonts w:eastAsia="Times New Roman"/>
    </w:rPr>
  </w:style>
  <w:style w:type="character" w:customStyle="1" w:styleId="RTFNum37">
    <w:name w:val="RTF_Num 3 7"/>
    <w:uiPriority w:val="99"/>
    <w:qFormat/>
    <w:rPr>
      <w:rFonts w:eastAsia="Times New Roman"/>
    </w:rPr>
  </w:style>
  <w:style w:type="character" w:customStyle="1" w:styleId="RTFNum38">
    <w:name w:val="RTF_Num 3 8"/>
    <w:uiPriority w:val="99"/>
    <w:qFormat/>
    <w:rPr>
      <w:rFonts w:eastAsia="Times New Roman"/>
    </w:rPr>
  </w:style>
  <w:style w:type="character" w:customStyle="1" w:styleId="RTFNum39">
    <w:name w:val="RTF_Num 3 9"/>
    <w:uiPriority w:val="99"/>
    <w:qFormat/>
    <w:rPr>
      <w:rFonts w:eastAsia="Times New Roman"/>
    </w:rPr>
  </w:style>
  <w:style w:type="character" w:customStyle="1" w:styleId="RTFNum41">
    <w:name w:val="RTF_Num 4 1"/>
    <w:uiPriority w:val="99"/>
    <w:qFormat/>
    <w:rPr>
      <w:rFonts w:eastAsia="Times New Roman"/>
    </w:rPr>
  </w:style>
  <w:style w:type="character" w:customStyle="1" w:styleId="RTFNum42">
    <w:name w:val="RTF_Num 4 2"/>
    <w:uiPriority w:val="99"/>
    <w:qFormat/>
    <w:rPr>
      <w:rFonts w:eastAsia="Times New Roman"/>
    </w:rPr>
  </w:style>
  <w:style w:type="character" w:customStyle="1" w:styleId="RTFNum43">
    <w:name w:val="RTF_Num 4 3"/>
    <w:uiPriority w:val="99"/>
    <w:qFormat/>
    <w:rPr>
      <w:rFonts w:eastAsia="Times New Roman"/>
    </w:rPr>
  </w:style>
  <w:style w:type="character" w:customStyle="1" w:styleId="RTFNum44">
    <w:name w:val="RTF_Num 4 4"/>
    <w:uiPriority w:val="99"/>
    <w:qFormat/>
    <w:rPr>
      <w:rFonts w:eastAsia="Times New Roman"/>
    </w:rPr>
  </w:style>
  <w:style w:type="character" w:customStyle="1" w:styleId="RTFNum45">
    <w:name w:val="RTF_Num 4 5"/>
    <w:uiPriority w:val="99"/>
    <w:qFormat/>
    <w:rPr>
      <w:rFonts w:eastAsia="Times New Roman"/>
    </w:rPr>
  </w:style>
  <w:style w:type="character" w:customStyle="1" w:styleId="RTFNum46">
    <w:name w:val="RTF_Num 4 6"/>
    <w:uiPriority w:val="99"/>
    <w:qFormat/>
    <w:rPr>
      <w:rFonts w:eastAsia="Times New Roman"/>
    </w:rPr>
  </w:style>
  <w:style w:type="character" w:customStyle="1" w:styleId="RTFNum47">
    <w:name w:val="RTF_Num 4 7"/>
    <w:uiPriority w:val="99"/>
    <w:qFormat/>
    <w:rPr>
      <w:rFonts w:eastAsia="Times New Roman"/>
    </w:rPr>
  </w:style>
  <w:style w:type="character" w:customStyle="1" w:styleId="RTFNum48">
    <w:name w:val="RTF_Num 4 8"/>
    <w:uiPriority w:val="99"/>
    <w:qFormat/>
    <w:rPr>
      <w:rFonts w:eastAsia="Times New Roman"/>
    </w:rPr>
  </w:style>
  <w:style w:type="character" w:customStyle="1" w:styleId="RTFNum49">
    <w:name w:val="RTF_Num 4 9"/>
    <w:uiPriority w:val="99"/>
    <w:qFormat/>
    <w:rPr>
      <w:rFonts w:eastAsia="Times New Roman"/>
    </w:rPr>
  </w:style>
  <w:style w:type="character" w:customStyle="1" w:styleId="RTFNum51">
    <w:name w:val="RTF_Num 5 1"/>
    <w:uiPriority w:val="99"/>
    <w:qFormat/>
    <w:rPr>
      <w:rFonts w:ascii="Times New Roman" w:hAnsi="Times New Roman" w:cs="Times New Roman"/>
    </w:rPr>
  </w:style>
  <w:style w:type="character" w:customStyle="1" w:styleId="RTFNum52">
    <w:name w:val="RTF_Num 5 2"/>
    <w:uiPriority w:val="99"/>
    <w:qFormat/>
    <w:rPr>
      <w:rFonts w:ascii="Courier New" w:hAnsi="Courier New" w:cs="Courier New"/>
    </w:rPr>
  </w:style>
  <w:style w:type="character" w:customStyle="1" w:styleId="RTFNum53">
    <w:name w:val="RTF_Num 5 3"/>
    <w:uiPriority w:val="99"/>
    <w:qFormat/>
    <w:rPr>
      <w:rFonts w:ascii="Wingdings, Symbol" w:hAnsi="Wingdings, Symbol" w:cs="Wingdings, Symbol"/>
    </w:rPr>
  </w:style>
  <w:style w:type="character" w:customStyle="1" w:styleId="RTFNum54">
    <w:name w:val="RTF_Num 5 4"/>
    <w:uiPriority w:val="99"/>
    <w:qFormat/>
    <w:rPr>
      <w:rFonts w:ascii="Symbol, 'Times New Roman'" w:hAnsi="Symbol, 'Times New Roman'" w:cs="Symbol, 'Times New Roman'"/>
    </w:rPr>
  </w:style>
  <w:style w:type="character" w:customStyle="1" w:styleId="RTFNum55">
    <w:name w:val="RTF_Num 5 5"/>
    <w:uiPriority w:val="99"/>
    <w:qFormat/>
    <w:rPr>
      <w:rFonts w:ascii="Courier New" w:hAnsi="Courier New" w:cs="Courier New"/>
    </w:rPr>
  </w:style>
  <w:style w:type="character" w:customStyle="1" w:styleId="RTFNum56">
    <w:name w:val="RTF_Num 5 6"/>
    <w:uiPriority w:val="99"/>
    <w:qFormat/>
    <w:rPr>
      <w:rFonts w:ascii="Wingdings, Symbol" w:hAnsi="Wingdings, Symbol" w:cs="Wingdings, Symbol"/>
    </w:rPr>
  </w:style>
  <w:style w:type="character" w:customStyle="1" w:styleId="RTFNum57">
    <w:name w:val="RTF_Num 5 7"/>
    <w:uiPriority w:val="99"/>
    <w:qFormat/>
    <w:rPr>
      <w:rFonts w:ascii="Symbol, 'Times New Roman'" w:hAnsi="Symbol, 'Times New Roman'" w:cs="Symbol, 'Times New Roman'"/>
    </w:rPr>
  </w:style>
  <w:style w:type="character" w:customStyle="1" w:styleId="RTFNum58">
    <w:name w:val="RTF_Num 5 8"/>
    <w:uiPriority w:val="99"/>
    <w:qFormat/>
    <w:rPr>
      <w:rFonts w:ascii="Courier New" w:hAnsi="Courier New" w:cs="Courier New"/>
    </w:rPr>
  </w:style>
  <w:style w:type="character" w:customStyle="1" w:styleId="RTFNum59">
    <w:name w:val="RTF_Num 5 9"/>
    <w:uiPriority w:val="99"/>
    <w:qFormat/>
    <w:rPr>
      <w:rFonts w:ascii="Wingdings, Symbol" w:hAnsi="Wingdings, Symbol" w:cs="Wingdings, Symbol"/>
    </w:rPr>
  </w:style>
  <w:style w:type="character" w:customStyle="1" w:styleId="Internetovodkaz">
    <w:name w:val="Internetový odkaz"/>
    <w:uiPriority w:val="99"/>
    <w:locked/>
    <w:rsid w:val="001E6479"/>
    <w:rPr>
      <w:rFonts w:cs="Times New Roman"/>
      <w:color w:val="0000FF"/>
      <w:u w:val="single"/>
    </w:rPr>
  </w:style>
  <w:style w:type="character" w:customStyle="1" w:styleId="TextbublinyChar">
    <w:name w:val="Text bubliny Char"/>
    <w:link w:val="Textbubliny"/>
    <w:uiPriority w:val="99"/>
    <w:qFormat/>
    <w:locked/>
    <w:rsid w:val="00013ABE"/>
    <w:rPr>
      <w:rFonts w:ascii="Segoe UI" w:hAnsi="Segoe UI" w:cs="Mangal"/>
      <w:kern w:val="2"/>
      <w:sz w:val="16"/>
      <w:szCs w:val="16"/>
      <w:lang w:val="x-none" w:eastAsia="zh-CN" w:bidi="hi-I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Textbody"/>
    <w:uiPriority w:val="99"/>
  </w:style>
  <w:style w:type="paragraph" w:styleId="Popis">
    <w:name w:val="caption"/>
    <w:basedOn w:val="Standard"/>
    <w:uiPriority w:val="99"/>
    <w:qFormat/>
    <w:pPr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Standard"/>
    <w:uiPriority w:val="99"/>
    <w:qFormat/>
    <w:rPr>
      <w:lang w:eastAsia="zh-CN"/>
    </w:rPr>
  </w:style>
  <w:style w:type="paragraph" w:customStyle="1" w:styleId="Standard">
    <w:name w:val="Standard"/>
    <w:uiPriority w:val="99"/>
    <w:qFormat/>
    <w:pPr>
      <w:widowControl w:val="0"/>
      <w:suppressAutoHyphens/>
      <w:textAlignment w:val="baseline"/>
    </w:pPr>
    <w:rPr>
      <w:kern w:val="2"/>
      <w:sz w:val="24"/>
      <w:szCs w:val="24"/>
      <w:lang w:bidi="hi-IN"/>
    </w:rPr>
  </w:style>
  <w:style w:type="paragraph" w:styleId="Nzov">
    <w:name w:val="Title"/>
    <w:basedOn w:val="Standard"/>
    <w:next w:val="Textbody"/>
    <w:link w:val="NzovChar"/>
    <w:uiPriority w:val="99"/>
    <w:qFormat/>
    <w:pPr>
      <w:keepNext/>
      <w:spacing w:before="240" w:after="120"/>
    </w:pPr>
    <w:rPr>
      <w:rFonts w:ascii="Arial" w:hAnsi="Arial" w:cs="Microsoft YaHei"/>
      <w:sz w:val="28"/>
      <w:lang w:eastAsia="zh-CN"/>
    </w:rPr>
  </w:style>
  <w:style w:type="paragraph" w:customStyle="1" w:styleId="Textbody">
    <w:name w:val="Text body"/>
    <w:basedOn w:val="Standard"/>
    <w:uiPriority w:val="99"/>
    <w:qFormat/>
    <w:pPr>
      <w:spacing w:after="120"/>
    </w:pPr>
    <w:rPr>
      <w:lang w:eastAsia="zh-CN"/>
    </w:rPr>
  </w:style>
  <w:style w:type="paragraph" w:customStyle="1" w:styleId="Default">
    <w:name w:val="Default"/>
    <w:uiPriority w:val="99"/>
    <w:qFormat/>
    <w:rsid w:val="009F6924"/>
    <w:pPr>
      <w:widowControl w:val="0"/>
      <w:suppressAutoHyphens/>
    </w:pPr>
    <w:rPr>
      <w:rFonts w:ascii="Liberation Serif" w:hAnsi="Liberation Serif" w:cs="Liberation Serif"/>
      <w:color w:val="000000"/>
      <w:kern w:val="2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qFormat/>
    <w:locked/>
    <w:rsid w:val="00013AB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03/2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722</Words>
  <Characters>4122</Characters>
  <Application>Microsoft Office Word</Application>
  <DocSecurity>0</DocSecurity>
  <Lines>34</Lines>
  <Paragraphs>9</Paragraphs>
  <ScaleCrop>false</ScaleCrop>
  <Company>Kancelaria NRSR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cibula</dc:creator>
  <dc:description/>
  <cp:lastModifiedBy>Strix</cp:lastModifiedBy>
  <cp:revision>28</cp:revision>
  <cp:lastPrinted>2018-02-23T08:40:00Z</cp:lastPrinted>
  <dcterms:created xsi:type="dcterms:W3CDTF">2018-02-23T08:55:00Z</dcterms:created>
  <dcterms:modified xsi:type="dcterms:W3CDTF">2021-01-05T09:35:00Z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Kancelaria NRSR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