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478EB" w14:textId="77777777" w:rsidR="00F464DB" w:rsidRDefault="00FF75DC">
      <w:pPr>
        <w:widowControl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3ACF8552" w14:textId="77777777" w:rsidR="00F464DB" w:rsidRDefault="00FF75DC">
      <w:pPr>
        <w:widowControl/>
        <w:numPr>
          <w:ilvl w:val="0"/>
          <w:numId w:val="1"/>
        </w:numPr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463A6C3C" w14:textId="358A9148" w:rsidR="00F464DB" w:rsidRDefault="00351491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pict w14:anchorId="3EE6C118">
          <v:line id="Rovná spojovacia šípka 2" o:spid="_x0000_s1027" style="position:absolute;left:0;text-align:lef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"/>
        </w:pict>
      </w:r>
    </w:p>
    <w:p w14:paraId="4A5724A5" w14:textId="4769204F" w:rsidR="00F464DB" w:rsidRDefault="00FF75DC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Kotlebovci – Ľudová strana Naše Slovensko </w:t>
      </w:r>
      <w:r w:rsidR="0035149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Marian Kotleba,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Marek Kotleba,</w:t>
      </w:r>
      <w:r w:rsidR="0035149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Eduard Kočiš, Peter Krupa a Miroslav Suja predkladajú do Národnej rady Slovenskej republiky návrh zákona, ktorým sa mení a dopĺňa zákon č. 361/2014 Z. z.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o dani z motorových vozidiel a o zmene a doplnení niektorých zákonov, ktorým sa mení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dopĺňa zákon č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>
        <w:rPr>
          <w:rStyle w:val="Internetovodkaz"/>
          <w:rFonts w:ascii="Book Antiqua" w:hAnsi="Book Antiqua" w:cs="Arial"/>
          <w:color w:val="000000"/>
          <w:kern w:val="0"/>
          <w:sz w:val="22"/>
          <w:szCs w:val="22"/>
          <w:u w:val="none"/>
          <w:lang w:bidi="ar-SA"/>
        </w:rPr>
        <w:t>145</w:t>
      </w:r>
      <w:hyperlink r:id="rId5" w:tgtFrame="Odkaz na predpis alebo ustanovenie">
        <w:r>
          <w:rPr>
            <w:rStyle w:val="Internetovodkaz"/>
            <w:rFonts w:ascii="Book Antiqua" w:hAnsi="Book Antiqua" w:cs="Arial"/>
            <w:color w:val="000000"/>
            <w:kern w:val="0"/>
            <w:sz w:val="22"/>
            <w:szCs w:val="22"/>
            <w:u w:val="none"/>
            <w:lang w:bidi="ar-SA"/>
          </w:rPr>
          <w:t>/1995 Z. z.</w:t>
        </w:r>
      </w:hyperlink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 správnych poplatkoch a ktorým sa mení a dopĺňa zákon č. 71/2013 o poskytovaní dotácií v  pôsobnosti Ministerstva hospodárs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tva Slovenskej republiky.</w:t>
      </w:r>
    </w:p>
    <w:p w14:paraId="0C25A888" w14:textId="77777777" w:rsidR="00F464DB" w:rsidRDefault="00FF75DC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Cieľom uvedenej novely zákona je zatraktívniť nákup, registráciu a prestavbu vozidiel, ktoré využívajú alternatívne druhy paliva v snahe zníženia zaťaženia životného prostredia. Zvýšenie podielu vozidiel na alternatívny pohon na ú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zemí SR docielime radou opatrení, a to zvýhodnením v oblasti daní, poplatkov a dotácií.</w:t>
      </w:r>
    </w:p>
    <w:p w14:paraId="1BBF340A" w14:textId="2A8BF981" w:rsidR="00F464DB" w:rsidRDefault="00FF75DC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Právo na ochranu životného prostredia je zakotvené priamo v Ústave Slovenskej republiky, a to v druhej hlave, v článku 44, ktorý stanovuje nasledovné:  „Každý má právo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priaznivé životné prostredie.“ Článok 44 taktiež ukladá štátu povinnosť dbať o účinnú starostlivosť o životné prostredie. Jedným z opatrení, akým štát môže efektívne dbať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 životné prostredie je práve podpora alternatívnych palív v doprave. Alternatívne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palivá majú preukázateľne nižšie emisie. Prijatie opatrení na zníženie emisií v doprave, prostredníctvom motivačných opatrení pre občanov, je nevyhnutným krokom k zlepšeniu úrovne životného prostredia na Slovensku.</w:t>
      </w:r>
    </w:p>
    <w:p w14:paraId="113C13D1" w14:textId="7969BF89" w:rsidR="00F464DB" w:rsidRDefault="00FF75DC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Dôležitým míľnikom pre legitimizáciu záv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äzkov v boji proti klimatickým zmenám</w:t>
      </w:r>
      <w:r w:rsidR="00BE196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medzinárodnej úrovni bol Parížsky klimatický samit, ktorý deklaroval požiadavku zníženia emisií. V súčasnosti sú opatrenia na podporu alternatívnych palív v</w:t>
      </w:r>
      <w:r w:rsidR="00243A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doprave</w:t>
      </w:r>
      <w:r w:rsidR="00243A6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 podľa vyjadrenia Európskej komisie (ďalej len „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EK“) nedostatočné. Dňa 8. novembra 2017 EK zverejnila hodnotenie národných politických rámcov pre zavádzanie infraštruktúry alternatívnych palív. Opatrenia na podporu alternatívnych palív prijaté SR hodnotí nízkym skóre, s výnimkou podpory elektromobility.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Väčšinu opatrení hodnotí len ako administratívne opatrenia s obmedzeným vplyvom. </w:t>
      </w:r>
    </w:p>
    <w:p w14:paraId="48D0E489" w14:textId="4EF6B57E" w:rsidR="00F464DB" w:rsidRDefault="00FF75DC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domácej pôde dokument Návrh – Revízia a aktualizácia politického rámca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pre rozvoj trhu s alternatívnymi palivami navrhuje 7 hlavných opatrení, ktoré sú potrebné pre podpo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ru alternatívnych palív v doprave. Samotný strategický dokument z dielne Ministerstva hospodárstva SR žiada opatrenia, ktoré sú predmetom tohto zákona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ako vytvorenie finančného mechanizmu na umožnenie podpory nákupu vozidiel či podpora využívania alternatí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vneho paliva CNG a LNG v doprave. V niektorých bodoch však návrh zákona presahuje rámec tohto dokumentu a stanovuje si ambicióznejšie ciele pri daniach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poplatkoch za evidenciu či podpore na prestavbu vozidiel na alternatívny pohon.</w:t>
      </w:r>
    </w:p>
    <w:p w14:paraId="10DC2AAC" w14:textId="06CF8281" w:rsidR="00F464DB" w:rsidRDefault="00FF75DC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Sme presvedčení, že na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vrhovanými opatreniami a teda znížením správneho poplatku za zápis motorového vozidla do evidencie vozidiel v Slovenskej republike pre vozidlá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lastRenderedPageBreak/>
        <w:t>s alternatívnym pohonom na 33 eur, odpustením dani z motorových vozidiel pre vozidlá</w:t>
      </w:r>
      <w:r w:rsidR="000813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 pohonom na alternatívne pa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livá a zavedením priamej podpory na nákup a prestavbu vozidiel s alternatívnym pohonom docielime zvýšenie podielu vozidiel na alternatívny pohon, čo bude mať priaznivý vplyv na životné prostredie. Návrh zákona má negatívny vplyv na štátny rozpočet, nemá vp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lyv na manželstvo, rodičovstvo a rodinu. Predmetný návrh je v súlade s Ústavou SR.</w:t>
      </w:r>
    </w:p>
    <w:p w14:paraId="695DC639" w14:textId="77777777" w:rsidR="00F464DB" w:rsidRDefault="00F464DB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4D8A6C52" w14:textId="77777777" w:rsidR="00F464DB" w:rsidRDefault="00F464DB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526A6A0B" w14:textId="77777777" w:rsidR="00F464DB" w:rsidRDefault="00F464DB">
      <w:pPr>
        <w:widowControl/>
        <w:spacing w:after="200" w:line="276" w:lineRule="auto"/>
        <w:ind w:firstLine="709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5773032F" w14:textId="77777777" w:rsidR="00F464DB" w:rsidRDefault="00F464DB">
      <w:pPr>
        <w:widowControl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14:paraId="724DFE15" w14:textId="77777777" w:rsidR="00F464DB" w:rsidRDefault="00FF75DC">
      <w:pPr>
        <w:widowControl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br w:type="page"/>
      </w:r>
    </w:p>
    <w:p w14:paraId="35196DEE" w14:textId="77777777" w:rsidR="00F464DB" w:rsidRDefault="00F464DB">
      <w:pPr>
        <w:widowControl/>
        <w:spacing w:after="200" w:line="276" w:lineRule="auto"/>
        <w:ind w:left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</w:p>
    <w:p w14:paraId="2B9B1882" w14:textId="77777777" w:rsidR="00F464DB" w:rsidRDefault="00FF75DC">
      <w:pPr>
        <w:widowControl/>
        <w:numPr>
          <w:ilvl w:val="0"/>
          <w:numId w:val="1"/>
        </w:numPr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14:paraId="7807ECEB" w14:textId="131562CD" w:rsidR="00F464DB" w:rsidRDefault="00351491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pict w14:anchorId="7E72BEF9">
          <v:line id="Rovná spojovacia šípka 1" o:spid="_x0000_s1026" style="position:absolute;left:0;text-align:lef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"/>
        </w:pict>
      </w:r>
    </w:p>
    <w:p w14:paraId="6318EE54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14:paraId="4E7BE934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 až 2</w:t>
      </w:r>
    </w:p>
    <w:p w14:paraId="02AE3DD2" w14:textId="77777777" w:rsidR="00F464DB" w:rsidRDefault="00FF75DC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Rozširuje sa oslobodenie od dane z motorových vozidiel na vozidlá s alternatívnym pohonom.</w:t>
      </w:r>
    </w:p>
    <w:p w14:paraId="7186512A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3</w:t>
      </w:r>
    </w:p>
    <w:p w14:paraId="48E4BB16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zmena nadväzujúca na body 1 až 2 (zohľadňuje rozšírenie oslobodenia od dane z motorových vozidiel).</w:t>
      </w:r>
    </w:p>
    <w:p w14:paraId="09EA0B18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4</w:t>
      </w:r>
    </w:p>
    <w:p w14:paraId="72B851DC" w14:textId="5A6F8085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Legislatívno-technická zmena nadväzujúca na body 1 až 3.  Vypúšťa sa odsek,</w:t>
      </w:r>
      <w:r w:rsidR="0067219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ktorý stratil opodstatnenie.</w:t>
      </w:r>
    </w:p>
    <w:p w14:paraId="24296354" w14:textId="77777777" w:rsidR="00F464DB" w:rsidRDefault="00F464DB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14:paraId="62D45179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14:paraId="0646857F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14:paraId="5A7C1A40" w14:textId="3C05498D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Pôvodná úprava poplatku za zápis do evidencie vozidiel v Slovenskej republike</w:t>
      </w:r>
      <w:r w:rsidR="0027695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 s vykonaním úprav v dokladoch vrátane vydania týchto dokladov, zaoberajúca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sa výhradne elektromobilmi, sa rozširuje o ďalšie vozidlá využívajúce alternatívne palivá.</w:t>
      </w:r>
    </w:p>
    <w:p w14:paraId="6607DD2B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14:paraId="56BCA53E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Legislatívno-technická zmena nadväzujúca na bod 1.  Vypúšťa sa bod, ktorý stratil opodstatnenie.</w:t>
      </w:r>
    </w:p>
    <w:p w14:paraId="1E1C2793" w14:textId="77777777" w:rsidR="00F464DB" w:rsidRDefault="00F464DB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14:paraId="3926E308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III</w:t>
      </w:r>
    </w:p>
    <w:p w14:paraId="23E07F54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 až 2</w:t>
      </w:r>
    </w:p>
    <w:p w14:paraId="76816FB0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Dotácia na nákup vozidiel s alternatívnym pohonom sa rozširuje o dotáciu na prestavbu vozidiel na alternatívny pohon.</w:t>
      </w:r>
    </w:p>
    <w:p w14:paraId="5EA6994A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 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 až 6</w:t>
      </w:r>
    </w:p>
    <w:p w14:paraId="38538A85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úprava.</w:t>
      </w:r>
    </w:p>
    <w:p w14:paraId="77F5D399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 bodu 7 až 9</w:t>
      </w:r>
    </w:p>
    <w:p w14:paraId="2CC39922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lastRenderedPageBreak/>
        <w:t>Dopĺňa sa nárok pre žiadateľa na dotáciu na kúpu vozidla s pohonom na alternatívne palivá vo výške 2000 eur, na prestavbu vozidla na pohon na alternatívne palivá vo výške 50% nákladov, maximálne však 1500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eur. V prípade však, že žiadateľ predá vozidlo do 4 rokov, vzniká mu povinnosť dotáciu vrátiť.</w:t>
      </w:r>
    </w:p>
    <w:p w14:paraId="66D66D43" w14:textId="77777777" w:rsidR="00F464DB" w:rsidRDefault="00FF75DC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IV</w:t>
      </w:r>
    </w:p>
    <w:p w14:paraId="4B2AA138" w14:textId="77777777" w:rsidR="00F464DB" w:rsidRDefault="00FF75DC">
      <w:pPr>
        <w:jc w:val="both"/>
        <w:textAlignment w:val="auto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z w:val="22"/>
          <w:szCs w:val="22"/>
        </w:rPr>
        <w:tab/>
        <w:t xml:space="preserve">Navrhuje sa účinnosť zákona dňa </w:t>
      </w:r>
      <w:r>
        <w:rPr>
          <w:rFonts w:ascii="Book Antiqua" w:hAnsi="Book Antiqua" w:cs="Liberation Serif"/>
          <w:color w:val="000000"/>
          <w:sz w:val="22"/>
        </w:rPr>
        <w:t>1. mája 2021.</w:t>
      </w:r>
    </w:p>
    <w:sectPr w:rsidR="00F464DB">
      <w:pgSz w:w="11906" w:h="16838"/>
      <w:pgMar w:top="1276" w:right="1417" w:bottom="1134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</w:font>
  <w:font w:name="Symbol, 'Times New Roman'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11E2F"/>
    <w:multiLevelType w:val="multilevel"/>
    <w:tmpl w:val="397A6E38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5BAC12F1"/>
    <w:multiLevelType w:val="multilevel"/>
    <w:tmpl w:val="CEC85C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4DB"/>
    <w:rsid w:val="00081374"/>
    <w:rsid w:val="00243A6B"/>
    <w:rsid w:val="00276955"/>
    <w:rsid w:val="00351491"/>
    <w:rsid w:val="00672196"/>
    <w:rsid w:val="00BE196C"/>
    <w:rsid w:val="00F464DB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91AC07"/>
  <w15:docId w15:val="{A2FC76CA-42B9-4D46-A9C5-06E3DB16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link w:val="Nzov"/>
    <w:uiPriority w:val="10"/>
    <w:qFormat/>
    <w:locked/>
    <w:rPr>
      <w:rFonts w:ascii="Cambria" w:eastAsia="Times New Roman" w:hAnsi="Cambria" w:cs="Mangal"/>
      <w:b/>
      <w:bCs/>
      <w:kern w:val="2"/>
      <w:sz w:val="29"/>
      <w:szCs w:val="29"/>
      <w:lang w:val="x-none" w:eastAsia="zh-CN" w:bidi="hi-IN"/>
    </w:rPr>
  </w:style>
  <w:style w:type="character" w:customStyle="1" w:styleId="RTFNum21">
    <w:name w:val="RTF_Num 2 1"/>
    <w:uiPriority w:val="99"/>
    <w:qFormat/>
    <w:rPr>
      <w:rFonts w:eastAsia="Times New Roman"/>
    </w:rPr>
  </w:style>
  <w:style w:type="character" w:customStyle="1" w:styleId="RTFNum22">
    <w:name w:val="RTF_Num 2 2"/>
    <w:uiPriority w:val="99"/>
    <w:qFormat/>
    <w:rPr>
      <w:rFonts w:eastAsia="Times New Roman"/>
    </w:rPr>
  </w:style>
  <w:style w:type="character" w:customStyle="1" w:styleId="RTFNum23">
    <w:name w:val="RTF_Num 2 3"/>
    <w:uiPriority w:val="99"/>
    <w:qFormat/>
    <w:rPr>
      <w:rFonts w:eastAsia="Times New Roman"/>
    </w:rPr>
  </w:style>
  <w:style w:type="character" w:customStyle="1" w:styleId="RTFNum24">
    <w:name w:val="RTF_Num 2 4"/>
    <w:uiPriority w:val="99"/>
    <w:qFormat/>
    <w:rPr>
      <w:rFonts w:eastAsia="Times New Roman"/>
    </w:rPr>
  </w:style>
  <w:style w:type="character" w:customStyle="1" w:styleId="RTFNum25">
    <w:name w:val="RTF_Num 2 5"/>
    <w:uiPriority w:val="99"/>
    <w:qFormat/>
    <w:rPr>
      <w:rFonts w:eastAsia="Times New Roman"/>
    </w:rPr>
  </w:style>
  <w:style w:type="character" w:customStyle="1" w:styleId="RTFNum26">
    <w:name w:val="RTF_Num 2 6"/>
    <w:uiPriority w:val="99"/>
    <w:qFormat/>
    <w:rPr>
      <w:rFonts w:eastAsia="Times New Roman"/>
    </w:rPr>
  </w:style>
  <w:style w:type="character" w:customStyle="1" w:styleId="RTFNum27">
    <w:name w:val="RTF_Num 2 7"/>
    <w:uiPriority w:val="99"/>
    <w:qFormat/>
    <w:rPr>
      <w:rFonts w:eastAsia="Times New Roman"/>
    </w:rPr>
  </w:style>
  <w:style w:type="character" w:customStyle="1" w:styleId="RTFNum28">
    <w:name w:val="RTF_Num 2 8"/>
    <w:uiPriority w:val="99"/>
    <w:qFormat/>
    <w:rPr>
      <w:rFonts w:eastAsia="Times New Roman"/>
    </w:rPr>
  </w:style>
  <w:style w:type="character" w:customStyle="1" w:styleId="RTFNum29">
    <w:name w:val="RTF_Num 2 9"/>
    <w:uiPriority w:val="99"/>
    <w:qFormat/>
    <w:rPr>
      <w:rFonts w:eastAsia="Times New Roman"/>
    </w:rPr>
  </w:style>
  <w:style w:type="character" w:customStyle="1" w:styleId="RTFNum31">
    <w:name w:val="RTF_Num 3 1"/>
    <w:uiPriority w:val="99"/>
    <w:qFormat/>
    <w:rPr>
      <w:rFonts w:eastAsia="Times New Roman"/>
    </w:rPr>
  </w:style>
  <w:style w:type="character" w:customStyle="1" w:styleId="RTFNum32">
    <w:name w:val="RTF_Num 3 2"/>
    <w:uiPriority w:val="99"/>
    <w:qFormat/>
    <w:rPr>
      <w:rFonts w:eastAsia="Times New Roman"/>
    </w:rPr>
  </w:style>
  <w:style w:type="character" w:customStyle="1" w:styleId="RTFNum33">
    <w:name w:val="RTF_Num 3 3"/>
    <w:uiPriority w:val="99"/>
    <w:qFormat/>
    <w:rPr>
      <w:rFonts w:eastAsia="Times New Roman"/>
    </w:rPr>
  </w:style>
  <w:style w:type="character" w:customStyle="1" w:styleId="RTFNum34">
    <w:name w:val="RTF_Num 3 4"/>
    <w:uiPriority w:val="99"/>
    <w:qFormat/>
    <w:rPr>
      <w:rFonts w:eastAsia="Times New Roman"/>
    </w:rPr>
  </w:style>
  <w:style w:type="character" w:customStyle="1" w:styleId="RTFNum35">
    <w:name w:val="RTF_Num 3 5"/>
    <w:uiPriority w:val="99"/>
    <w:qFormat/>
    <w:rPr>
      <w:rFonts w:eastAsia="Times New Roman"/>
    </w:rPr>
  </w:style>
  <w:style w:type="character" w:customStyle="1" w:styleId="RTFNum36">
    <w:name w:val="RTF_Num 3 6"/>
    <w:uiPriority w:val="99"/>
    <w:qFormat/>
    <w:rPr>
      <w:rFonts w:eastAsia="Times New Roman"/>
    </w:rPr>
  </w:style>
  <w:style w:type="character" w:customStyle="1" w:styleId="RTFNum37">
    <w:name w:val="RTF_Num 3 7"/>
    <w:uiPriority w:val="99"/>
    <w:qFormat/>
    <w:rPr>
      <w:rFonts w:eastAsia="Times New Roman"/>
    </w:rPr>
  </w:style>
  <w:style w:type="character" w:customStyle="1" w:styleId="RTFNum38">
    <w:name w:val="RTF_Num 3 8"/>
    <w:uiPriority w:val="99"/>
    <w:qFormat/>
    <w:rPr>
      <w:rFonts w:eastAsia="Times New Roman"/>
    </w:rPr>
  </w:style>
  <w:style w:type="character" w:customStyle="1" w:styleId="RTFNum39">
    <w:name w:val="RTF_Num 3 9"/>
    <w:uiPriority w:val="99"/>
    <w:qFormat/>
    <w:rPr>
      <w:rFonts w:eastAsia="Times New Roman"/>
    </w:rPr>
  </w:style>
  <w:style w:type="character" w:customStyle="1" w:styleId="RTFNum41">
    <w:name w:val="RTF_Num 4 1"/>
    <w:uiPriority w:val="99"/>
    <w:qFormat/>
    <w:rPr>
      <w:rFonts w:eastAsia="Times New Roman"/>
    </w:rPr>
  </w:style>
  <w:style w:type="character" w:customStyle="1" w:styleId="RTFNum42">
    <w:name w:val="RTF_Num 4 2"/>
    <w:uiPriority w:val="99"/>
    <w:qFormat/>
    <w:rPr>
      <w:rFonts w:eastAsia="Times New Roman"/>
    </w:rPr>
  </w:style>
  <w:style w:type="character" w:customStyle="1" w:styleId="RTFNum43">
    <w:name w:val="RTF_Num 4 3"/>
    <w:uiPriority w:val="99"/>
    <w:qFormat/>
    <w:rPr>
      <w:rFonts w:eastAsia="Times New Roman"/>
    </w:rPr>
  </w:style>
  <w:style w:type="character" w:customStyle="1" w:styleId="RTFNum44">
    <w:name w:val="RTF_Num 4 4"/>
    <w:uiPriority w:val="99"/>
    <w:qFormat/>
    <w:rPr>
      <w:rFonts w:eastAsia="Times New Roman"/>
    </w:rPr>
  </w:style>
  <w:style w:type="character" w:customStyle="1" w:styleId="RTFNum45">
    <w:name w:val="RTF_Num 4 5"/>
    <w:uiPriority w:val="99"/>
    <w:qFormat/>
    <w:rPr>
      <w:rFonts w:eastAsia="Times New Roman"/>
    </w:rPr>
  </w:style>
  <w:style w:type="character" w:customStyle="1" w:styleId="RTFNum46">
    <w:name w:val="RTF_Num 4 6"/>
    <w:uiPriority w:val="99"/>
    <w:qFormat/>
    <w:rPr>
      <w:rFonts w:eastAsia="Times New Roman"/>
    </w:rPr>
  </w:style>
  <w:style w:type="character" w:customStyle="1" w:styleId="RTFNum47">
    <w:name w:val="RTF_Num 4 7"/>
    <w:uiPriority w:val="99"/>
    <w:qFormat/>
    <w:rPr>
      <w:rFonts w:eastAsia="Times New Roman"/>
    </w:rPr>
  </w:style>
  <w:style w:type="character" w:customStyle="1" w:styleId="RTFNum48">
    <w:name w:val="RTF_Num 4 8"/>
    <w:uiPriority w:val="99"/>
    <w:qFormat/>
    <w:rPr>
      <w:rFonts w:eastAsia="Times New Roman"/>
    </w:rPr>
  </w:style>
  <w:style w:type="character" w:customStyle="1" w:styleId="RTFNum49">
    <w:name w:val="RTF_Num 4 9"/>
    <w:uiPriority w:val="99"/>
    <w:qFormat/>
    <w:rPr>
      <w:rFonts w:eastAsia="Times New Roman"/>
    </w:rPr>
  </w:style>
  <w:style w:type="character" w:customStyle="1" w:styleId="RTFNum51">
    <w:name w:val="RTF_Num 5 1"/>
    <w:uiPriority w:val="99"/>
    <w:qFormat/>
    <w:rPr>
      <w:rFonts w:ascii="Times New Roman" w:hAnsi="Times New Roman" w:cs="Times New Roman"/>
    </w:rPr>
  </w:style>
  <w:style w:type="character" w:customStyle="1" w:styleId="RTFNum52">
    <w:name w:val="RTF_Num 5 2"/>
    <w:uiPriority w:val="99"/>
    <w:qFormat/>
    <w:rPr>
      <w:rFonts w:ascii="Courier New" w:hAnsi="Courier New" w:cs="Courier New"/>
    </w:rPr>
  </w:style>
  <w:style w:type="character" w:customStyle="1" w:styleId="RTFNum53">
    <w:name w:val="RTF_Num 5 3"/>
    <w:uiPriority w:val="99"/>
    <w:qFormat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qFormat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qFormat/>
    <w:rPr>
      <w:rFonts w:ascii="Courier New" w:hAnsi="Courier New" w:cs="Courier New"/>
    </w:rPr>
  </w:style>
  <w:style w:type="character" w:customStyle="1" w:styleId="RTFNum56">
    <w:name w:val="RTF_Num 5 6"/>
    <w:uiPriority w:val="99"/>
    <w:qFormat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qFormat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qFormat/>
    <w:rPr>
      <w:rFonts w:ascii="Courier New" w:hAnsi="Courier New" w:cs="Courier New"/>
    </w:rPr>
  </w:style>
  <w:style w:type="character" w:customStyle="1" w:styleId="RTFNum59">
    <w:name w:val="RTF_Num 5 9"/>
    <w:uiPriority w:val="99"/>
    <w:qFormat/>
    <w:rPr>
      <w:rFonts w:ascii="Wingdings, Symbol" w:hAnsi="Wingdings, Symbol" w:cs="Wingdings, Symbol"/>
    </w:rPr>
  </w:style>
  <w:style w:type="character" w:customStyle="1" w:styleId="Internetovodkaz">
    <w:name w:val="Internetový odkaz"/>
    <w:uiPriority w:val="99"/>
    <w:locked/>
    <w:rsid w:val="001E6479"/>
    <w:rPr>
      <w:rFonts w:cs="Times New Roman"/>
      <w:color w:val="0000FF"/>
      <w:u w:val="single"/>
    </w:rPr>
  </w:style>
  <w:style w:type="character" w:customStyle="1" w:styleId="TextbublinyChar">
    <w:name w:val="Text bubliny Char"/>
    <w:link w:val="Textbubliny"/>
    <w:uiPriority w:val="99"/>
    <w:qFormat/>
    <w:locked/>
    <w:rsid w:val="00013ABE"/>
    <w:rPr>
      <w:rFonts w:ascii="Segoe UI" w:hAnsi="Segoe UI" w:cs="Mangal"/>
      <w:kern w:val="2"/>
      <w:sz w:val="16"/>
      <w:szCs w:val="16"/>
      <w:lang w:val="x-none" w:eastAsia="zh-CN"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qFormat/>
    <w:rPr>
      <w:lang w:eastAsia="zh-CN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kern w:val="2"/>
      <w:sz w:val="24"/>
      <w:szCs w:val="24"/>
      <w:lang w:bidi="hi-IN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paragraph" w:customStyle="1" w:styleId="Textbody">
    <w:name w:val="Text body"/>
    <w:basedOn w:val="Standard"/>
    <w:uiPriority w:val="99"/>
    <w:qFormat/>
    <w:pPr>
      <w:spacing w:after="120"/>
    </w:pPr>
    <w:rPr>
      <w:lang w:eastAsia="zh-CN"/>
    </w:rPr>
  </w:style>
  <w:style w:type="paragraph" w:customStyle="1" w:styleId="Default">
    <w:name w:val="Default"/>
    <w:uiPriority w:val="99"/>
    <w:qFormat/>
    <w:rsid w:val="009F6924"/>
    <w:pPr>
      <w:widowControl w:val="0"/>
      <w:suppressAutoHyphens/>
    </w:pPr>
    <w:rPr>
      <w:rFonts w:ascii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qFormat/>
    <w:locked/>
    <w:rsid w:val="00013AB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3/2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722</Words>
  <Characters>4122</Characters>
  <Application>Microsoft Office Word</Application>
  <DocSecurity>0</DocSecurity>
  <Lines>34</Lines>
  <Paragraphs>9</Paragraphs>
  <ScaleCrop>false</ScaleCrop>
  <Company>Kancelaria NRSR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cibula</dc:creator>
  <dc:description/>
  <cp:lastModifiedBy>Strix</cp:lastModifiedBy>
  <cp:revision>28</cp:revision>
  <cp:lastPrinted>2018-02-23T08:40:00Z</cp:lastPrinted>
  <dcterms:created xsi:type="dcterms:W3CDTF">2018-02-23T08:55:00Z</dcterms:created>
  <dcterms:modified xsi:type="dcterms:W3CDTF">2021-01-05T09:35:00Z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