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5D" w:rsidRDefault="00790B4A">
      <w:pPr>
        <w:widowControl w:val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Doložka vybraných vplyvov</w:t>
      </w:r>
    </w:p>
    <w:p w:rsidR="00706A5D" w:rsidRDefault="00706A5D">
      <w:pPr>
        <w:pStyle w:val="Odsekzoznamu"/>
        <w:widowControl w:val="0"/>
        <w:ind w:left="426"/>
        <w:contextualSpacing w:val="0"/>
        <w:rPr>
          <w:b/>
          <w:sz w:val="20"/>
          <w:szCs w:val="20"/>
          <w:lang w:val="sk-S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705"/>
        <w:gridCol w:w="717"/>
        <w:gridCol w:w="569"/>
        <w:gridCol w:w="1417"/>
        <w:gridCol w:w="1736"/>
      </w:tblGrid>
      <w:tr w:rsidR="00706A5D" w:rsidTr="00965E1D">
        <w:trPr>
          <w:trHeight w:val="70"/>
        </w:trPr>
        <w:tc>
          <w:tcPr>
            <w:tcW w:w="9356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:rsidR="00706A5D" w:rsidRDefault="00790B4A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Základné údaje</w:t>
            </w:r>
          </w:p>
        </w:tc>
      </w:tr>
      <w:tr w:rsidR="00706A5D" w:rsidTr="00965E1D">
        <w:tc>
          <w:tcPr>
            <w:tcW w:w="9356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:rsidR="00706A5D" w:rsidRDefault="00790B4A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Názov materiálu</w:t>
            </w:r>
          </w:p>
        </w:tc>
      </w:tr>
      <w:tr w:rsidR="00706A5D" w:rsidTr="00965E1D">
        <w:tc>
          <w:tcPr>
            <w:tcW w:w="9356" w:type="dxa"/>
            <w:gridSpan w:val="6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:rsidR="007B4A5C" w:rsidRPr="000D5AA2" w:rsidRDefault="00484515" w:rsidP="00E364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Vládny n</w:t>
            </w:r>
            <w:r w:rsidR="00790B4A">
              <w:rPr>
                <w:sz w:val="20"/>
                <w:szCs w:val="20"/>
                <w:lang w:val="sk-SK"/>
              </w:rPr>
              <w:t xml:space="preserve">ávrh zákona, ktorým sa </w:t>
            </w:r>
            <w:r w:rsidR="00B05493">
              <w:rPr>
                <w:sz w:val="20"/>
                <w:szCs w:val="20"/>
                <w:lang w:val="sk-SK"/>
              </w:rPr>
              <w:t xml:space="preserve">mení a </w:t>
            </w:r>
            <w:r w:rsidR="00790B4A">
              <w:rPr>
                <w:sz w:val="20"/>
                <w:szCs w:val="20"/>
                <w:lang w:val="sk-SK"/>
              </w:rPr>
              <w:t>dopĺňa zákon č. 151/2002 Z. z. o používaní genetických technológií a geneticky modifikovaných organizmov v znení neskorších predpisov a</w:t>
            </w:r>
            <w:r w:rsidR="00E364A1">
              <w:rPr>
                <w:sz w:val="20"/>
                <w:szCs w:val="20"/>
                <w:lang w:val="sk-SK"/>
              </w:rPr>
              <w:t> ktorým sa mení a dopĺňa zákon</w:t>
            </w:r>
            <w:r w:rsidR="00D94176" w:rsidRPr="00D94176">
              <w:rPr>
                <w:sz w:val="20"/>
                <w:szCs w:val="20"/>
                <w:lang w:val="sk-SK"/>
              </w:rPr>
              <w:t xml:space="preserve"> č. 184/2006 Z. z.</w:t>
            </w:r>
            <w:r w:rsidR="00D94176">
              <w:rPr>
                <w:sz w:val="20"/>
                <w:szCs w:val="20"/>
                <w:lang w:val="sk-SK"/>
              </w:rPr>
              <w:t xml:space="preserve"> </w:t>
            </w:r>
            <w:r w:rsidR="00790B4A">
              <w:rPr>
                <w:sz w:val="20"/>
                <w:szCs w:val="20"/>
                <w:lang w:val="sk-SK"/>
              </w:rPr>
              <w:t>o pestovaní geneticky modifikovaných rastlín v poľnohospodárskej výrobe v znení zákona č. 78/2008 Z. z.</w:t>
            </w:r>
          </w:p>
        </w:tc>
      </w:tr>
      <w:tr w:rsidR="00706A5D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706A5D" w:rsidRDefault="00790B4A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Predkladateľ (a spolupredkladateľ)</w:t>
            </w:r>
          </w:p>
        </w:tc>
      </w:tr>
      <w:tr w:rsidR="00706A5D" w:rsidTr="00965E1D">
        <w:tc>
          <w:tcPr>
            <w:tcW w:w="935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A5D" w:rsidRDefault="00790B4A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>Ministerstvo životného prostredia SR</w:t>
            </w:r>
          </w:p>
          <w:p w:rsidR="007B4A5C" w:rsidRDefault="00790B4A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>Ministerstvo pôdohospodárstva a rozvoja vidieka SR</w:t>
            </w:r>
          </w:p>
        </w:tc>
      </w:tr>
      <w:tr w:rsidR="00706A5D" w:rsidTr="00965E1D"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706A5D" w:rsidRDefault="00790B4A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A5D" w:rsidRDefault="00790B4A">
            <w:pPr>
              <w:widowControl w:val="0"/>
              <w:jc w:val="center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sk-SK" w:eastAsia="en-US"/>
              </w:rPr>
              <w:t>☐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A5D" w:rsidRDefault="00790B4A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>Materiál nelegislatívnej povahy</w:t>
            </w:r>
          </w:p>
        </w:tc>
      </w:tr>
      <w:tr w:rsidR="00706A5D" w:rsidTr="00965E1D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706A5D" w:rsidRDefault="00706A5D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A5D" w:rsidRDefault="00790B4A">
            <w:pPr>
              <w:widowControl w:val="0"/>
              <w:jc w:val="center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sk-SK" w:eastAsia="en-US"/>
              </w:rPr>
              <w:t>☒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06A5D" w:rsidRDefault="00790B4A">
            <w:pPr>
              <w:widowControl w:val="0"/>
              <w:ind w:left="175" w:hanging="175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>Materiál legislatívnej povahy</w:t>
            </w:r>
          </w:p>
        </w:tc>
      </w:tr>
      <w:tr w:rsidR="00706A5D" w:rsidTr="00965E1D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706A5D" w:rsidRDefault="00706A5D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A5D" w:rsidRDefault="00790B4A">
            <w:pPr>
              <w:widowControl w:val="0"/>
              <w:jc w:val="center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sk-SK" w:eastAsia="en-US"/>
              </w:rPr>
              <w:t>☒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06A5D" w:rsidRDefault="00790B4A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>Transpozícia práva EÚ</w:t>
            </w:r>
          </w:p>
        </w:tc>
      </w:tr>
      <w:tr w:rsidR="00706A5D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706A5D" w:rsidRDefault="00790B4A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V prípade transpozície uveďte zoznam transponovaných predpisov:</w:t>
            </w:r>
          </w:p>
          <w:p w:rsidR="007B4A5C" w:rsidRDefault="00790B4A">
            <w:pPr>
              <w:widowControl w:val="0"/>
              <w:suppressAutoHyphens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Smernica Európskeho parlamentu a Rady (EÚ) 2015/412 z 11. marca 2015, ktorou sa mení a dopĺňa smernica 2001/18/ES, pokiaľ ide o možnosť členských štátov obmedziť alebo zakázať pestovanie geneticky modifikovaných organizmov (GMO) na ich území (Ú. v. EÚ L</w:t>
            </w:r>
            <w:r w:rsidR="00ED3CD7">
              <w:rPr>
                <w:sz w:val="20"/>
                <w:szCs w:val="20"/>
                <w:lang w:val="sk-SK"/>
              </w:rPr>
              <w:t xml:space="preserve"> </w:t>
            </w:r>
            <w:r>
              <w:rPr>
                <w:sz w:val="20"/>
                <w:szCs w:val="20"/>
                <w:lang w:val="sk-SK"/>
              </w:rPr>
              <w:t xml:space="preserve">68, 13. 3. 2015). </w:t>
            </w:r>
          </w:p>
          <w:p w:rsidR="00566A56" w:rsidRPr="007B4A5C" w:rsidRDefault="00566A56">
            <w:pPr>
              <w:widowControl w:val="0"/>
              <w:suppressAutoHyphens/>
              <w:jc w:val="both"/>
              <w:rPr>
                <w:sz w:val="20"/>
                <w:szCs w:val="20"/>
                <w:lang w:val="sk-SK"/>
              </w:rPr>
            </w:pPr>
          </w:p>
        </w:tc>
      </w:tr>
      <w:tr w:rsidR="00284783" w:rsidTr="00965E1D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Termín začiatku a ukončenia PPK</w:t>
            </w:r>
          </w:p>
        </w:tc>
        <w:tc>
          <w:tcPr>
            <w:tcW w:w="3722" w:type="dxa"/>
            <w:gridSpan w:val="3"/>
            <w:tcBorders>
              <w:top w:val="single" w:sz="4" w:space="0" w:color="000000" w:themeColor="text1"/>
            </w:tcBorders>
          </w:tcPr>
          <w:p w:rsidR="00284783" w:rsidRPr="00284783" w:rsidRDefault="00495032" w:rsidP="0028478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november 2019</w:t>
            </w:r>
          </w:p>
        </w:tc>
      </w:tr>
      <w:tr w:rsidR="00284783" w:rsidTr="00965E1D"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Predpokladaný termín predloženia na MPK*</w:t>
            </w:r>
          </w:p>
        </w:tc>
        <w:tc>
          <w:tcPr>
            <w:tcW w:w="3722" w:type="dxa"/>
            <w:gridSpan w:val="3"/>
          </w:tcPr>
          <w:p w:rsidR="00284783" w:rsidRPr="00284783" w:rsidRDefault="00495032" w:rsidP="0028478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dec</w:t>
            </w:r>
            <w:r w:rsidR="00FE6D66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>mbe</w:t>
            </w:r>
            <w:r w:rsidR="00FE6D66">
              <w:rPr>
                <w:i/>
                <w:sz w:val="20"/>
                <w:szCs w:val="20"/>
              </w:rPr>
              <w:t>r</w:t>
            </w:r>
            <w:r w:rsidR="00284783" w:rsidRPr="00284783">
              <w:rPr>
                <w:i/>
                <w:sz w:val="20"/>
                <w:szCs w:val="20"/>
              </w:rPr>
              <w:t xml:space="preserve"> 2019</w:t>
            </w:r>
          </w:p>
        </w:tc>
      </w:tr>
      <w:tr w:rsidR="00284783" w:rsidTr="00965E1D"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Predpokladaný termín predloženia na Rokovanie vlády SR*</w:t>
            </w:r>
          </w:p>
        </w:tc>
        <w:tc>
          <w:tcPr>
            <w:tcW w:w="3722" w:type="dxa"/>
            <w:gridSpan w:val="3"/>
          </w:tcPr>
          <w:p w:rsidR="00284783" w:rsidRPr="00284783" w:rsidRDefault="00471578" w:rsidP="004950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december</w:t>
            </w:r>
            <w:r w:rsidR="00307E55">
              <w:rPr>
                <w:i/>
                <w:sz w:val="20"/>
                <w:szCs w:val="20"/>
              </w:rPr>
              <w:t xml:space="preserve"> 2020</w:t>
            </w: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84783" w:rsidRDefault="00284783" w:rsidP="00284783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Definícia problému</w:t>
            </w:r>
          </w:p>
        </w:tc>
      </w:tr>
      <w:tr w:rsidR="00284783" w:rsidTr="00965E1D">
        <w:trPr>
          <w:trHeight w:val="718"/>
        </w:trPr>
        <w:tc>
          <w:tcPr>
            <w:tcW w:w="935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83" w:rsidRDefault="00284783" w:rsidP="00284783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Uveďte základné problémy, na ktoré navrhovaná regulácia reaguje.</w:t>
            </w:r>
          </w:p>
          <w:p w:rsidR="00566A56" w:rsidRDefault="00484515" w:rsidP="00284783">
            <w:pPr>
              <w:widowControl w:val="0"/>
              <w:rPr>
                <w:sz w:val="20"/>
                <w:szCs w:val="20"/>
                <w:lang w:val="sk-SK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>Vládnym n</w:t>
            </w:r>
            <w:bookmarkStart w:id="0" w:name="_GoBack"/>
            <w:bookmarkEnd w:id="0"/>
            <w:r w:rsidR="00284783">
              <w:rPr>
                <w:rFonts w:eastAsia="Calibri"/>
                <w:sz w:val="20"/>
                <w:szCs w:val="20"/>
                <w:lang w:val="sk-SK" w:eastAsia="en-US"/>
              </w:rPr>
              <w:t xml:space="preserve">ávrhom zákona sa transponuje do slovenského právneho poriadku </w:t>
            </w:r>
            <w:r w:rsidR="00284783">
              <w:rPr>
                <w:sz w:val="20"/>
                <w:szCs w:val="20"/>
                <w:lang w:val="sk-SK"/>
              </w:rPr>
              <w:t>smernica Európskeho parlamentu a Rady (EÚ) 2015/412 z 11. marca 2015, ktorou sa mení a dopĺňa smernica 2001/18/ES, pokiaľ ide o možnosť členských štátov obmedziť alebo zakázať pestovanie geneticky modifikovaných organizmov (GMO) na ich území (Ú. v. EÚ L68, 13. 3. 2015)</w:t>
            </w:r>
            <w:r w:rsidR="00B05493" w:rsidRPr="00B05493">
              <w:rPr>
                <w:sz w:val="20"/>
                <w:szCs w:val="20"/>
                <w:lang w:val="sk-SK"/>
              </w:rPr>
              <w:t>.</w:t>
            </w:r>
          </w:p>
          <w:p w:rsidR="00A062CC" w:rsidRPr="00A062CC" w:rsidRDefault="00A062CC" w:rsidP="00284783">
            <w:pPr>
              <w:widowControl w:val="0"/>
              <w:rPr>
                <w:sz w:val="20"/>
                <w:szCs w:val="20"/>
                <w:lang w:val="sk-SK"/>
              </w:rPr>
            </w:pP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Ciele a výsledný stav</w:t>
            </w:r>
          </w:p>
        </w:tc>
      </w:tr>
      <w:tr w:rsidR="00284783" w:rsidTr="00965E1D">
        <w:trPr>
          <w:trHeight w:val="741"/>
        </w:trPr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83" w:rsidRDefault="00284783" w:rsidP="00284783">
            <w:pPr>
              <w:widowControl w:val="0"/>
              <w:rPr>
                <w:rFonts w:eastAsia="Calibri"/>
                <w:sz w:val="20"/>
                <w:szCs w:val="20"/>
                <w:lang w:val="sk-SK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Uveďte hlavné ciele navrhovaného predpisu (aký výsledný stav chcete reguláciou dosiahnuť).</w:t>
            </w:r>
            <w:r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</w:p>
          <w:p w:rsidR="00284783" w:rsidRDefault="00284783" w:rsidP="00BA6083">
            <w:pPr>
              <w:widowControl w:val="0"/>
              <w:ind w:firstLine="567"/>
              <w:jc w:val="both"/>
              <w:rPr>
                <w:rFonts w:eastAsia="Calibri"/>
                <w:sz w:val="20"/>
                <w:szCs w:val="20"/>
                <w:lang w:val="sk-SK"/>
              </w:rPr>
            </w:pPr>
            <w:r w:rsidRPr="00284783">
              <w:rPr>
                <w:rFonts w:eastAsia="Calibri"/>
                <w:sz w:val="20"/>
                <w:szCs w:val="20"/>
                <w:lang w:val="sk-SK"/>
              </w:rPr>
              <w:t xml:space="preserve">Začlenenie postupov zo smernice </w:t>
            </w:r>
            <w:r w:rsidR="003248EF">
              <w:rPr>
                <w:rFonts w:eastAsia="Calibri"/>
                <w:sz w:val="20"/>
                <w:szCs w:val="20"/>
                <w:lang w:val="sk-SK"/>
              </w:rPr>
              <w:t xml:space="preserve">(EÚ) </w:t>
            </w:r>
            <w:r w:rsidRPr="00284783">
              <w:rPr>
                <w:rFonts w:eastAsia="Calibri"/>
                <w:sz w:val="20"/>
                <w:szCs w:val="20"/>
                <w:lang w:val="sk-SK"/>
              </w:rPr>
              <w:t>2015/412 do právneho poriadku S</w:t>
            </w:r>
            <w:r w:rsidR="00594F2D">
              <w:rPr>
                <w:rFonts w:eastAsia="Calibri"/>
                <w:sz w:val="20"/>
                <w:szCs w:val="20"/>
                <w:lang w:val="sk-SK"/>
              </w:rPr>
              <w:t>lovenskej republiky prostredníctvom novel</w:t>
            </w:r>
            <w:r w:rsidR="00E364A1">
              <w:rPr>
                <w:rFonts w:eastAsia="Calibri"/>
                <w:sz w:val="20"/>
                <w:szCs w:val="20"/>
                <w:lang w:val="sk-SK"/>
              </w:rPr>
              <w:t>izácie zákona č. 184/2006 Z. z.</w:t>
            </w:r>
            <w:r w:rsidR="00594F2D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Pr="00284783">
              <w:rPr>
                <w:rFonts w:eastAsia="Calibri"/>
                <w:sz w:val="20"/>
                <w:szCs w:val="20"/>
                <w:lang w:val="sk-SK"/>
              </w:rPr>
              <w:t xml:space="preserve">Cieľom je využiť tieto postupy a potenciálne zakázať pestovanie geneticky modifikovaných organizmov na území  Slovenskej republiky z dôvodov, ktoré nesúvisia s vplyvom pestovania na zdravie ľudí, zvierat, alebo rastlín.  </w:t>
            </w:r>
          </w:p>
          <w:p w:rsidR="00284783" w:rsidRDefault="00594F2D" w:rsidP="00BA6083">
            <w:pPr>
              <w:widowControl w:val="0"/>
              <w:ind w:firstLine="567"/>
              <w:jc w:val="both"/>
              <w:rPr>
                <w:rFonts w:eastAsia="Calibri"/>
                <w:sz w:val="20"/>
                <w:szCs w:val="20"/>
                <w:lang w:val="sk-SK" w:eastAsia="en-US"/>
              </w:rPr>
            </w:pPr>
            <w:r w:rsidRPr="00594F2D">
              <w:rPr>
                <w:rFonts w:eastAsia="Calibri"/>
                <w:sz w:val="20"/>
                <w:szCs w:val="20"/>
                <w:lang w:val="sk-SK" w:eastAsia="en-US"/>
              </w:rPr>
              <w:t xml:space="preserve">Predmetom novelizácie zákona č. 151/2002 Z. z. sú zmeny a doplnenia pre potreby </w:t>
            </w:r>
            <w:r w:rsidR="00BA6083">
              <w:rPr>
                <w:rFonts w:eastAsia="Calibri"/>
                <w:sz w:val="20"/>
                <w:szCs w:val="20"/>
                <w:lang w:val="sk-SK" w:eastAsia="en-US"/>
              </w:rPr>
              <w:t>vykonávania</w:t>
            </w:r>
            <w:r w:rsidR="00BA6083" w:rsidRPr="00284783">
              <w:rPr>
                <w:rFonts w:eastAsia="Calibri"/>
                <w:sz w:val="20"/>
                <w:szCs w:val="20"/>
                <w:lang w:val="sk-SK" w:eastAsia="en-US"/>
              </w:rPr>
              <w:t xml:space="preserve"> štátnej správy používania genetických technológií a geneticky modifikovaných organizmov. </w:t>
            </w:r>
            <w:r w:rsidR="00BA6083">
              <w:rPr>
                <w:rFonts w:eastAsia="Calibri"/>
                <w:sz w:val="20"/>
                <w:szCs w:val="20"/>
                <w:lang w:val="sk-SK" w:eastAsia="en-US"/>
              </w:rPr>
              <w:t>Do</w:t>
            </w:r>
            <w:r w:rsidRPr="00594F2D">
              <w:rPr>
                <w:rFonts w:eastAsia="Calibri"/>
                <w:sz w:val="20"/>
                <w:szCs w:val="20"/>
                <w:lang w:val="sk-SK" w:eastAsia="en-US"/>
              </w:rPr>
              <w:t>pĺňa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jú sa</w:t>
            </w:r>
            <w:r w:rsidRPr="00594F2D">
              <w:rPr>
                <w:rFonts w:eastAsia="Calibri"/>
                <w:sz w:val="20"/>
                <w:szCs w:val="20"/>
                <w:lang w:val="sk-SK" w:eastAsia="en-US"/>
              </w:rPr>
              <w:t xml:space="preserve"> podmienky priebehu konaní o vydanie rozhodnutia tam, kde sa subsidiárne uplatňovanie ustanovení zákona č. 71/1967 Zb. </w:t>
            </w:r>
            <w:r w:rsidR="00BA6083">
              <w:rPr>
                <w:rFonts w:eastAsia="Calibri"/>
                <w:sz w:val="20"/>
                <w:szCs w:val="20"/>
                <w:lang w:val="sk-SK" w:eastAsia="en-US"/>
              </w:rPr>
              <w:t xml:space="preserve">                        </w:t>
            </w:r>
            <w:r w:rsidRPr="00594F2D">
              <w:rPr>
                <w:rFonts w:eastAsia="Calibri"/>
                <w:sz w:val="20"/>
                <w:szCs w:val="20"/>
                <w:lang w:val="sk-SK" w:eastAsia="en-US"/>
              </w:rPr>
              <w:t>o správnom konaní (správny poriadok) ukázalo ako nedostatočné, pričom všetky nové kompetencie Ministerstva životného prostredia Slovenskej republiky vychádzajú z ustanovení príslušných európskych smerníc</w:t>
            </w:r>
            <w:r w:rsidR="00B8573C">
              <w:rPr>
                <w:rFonts w:eastAsia="Calibri"/>
                <w:sz w:val="20"/>
                <w:szCs w:val="20"/>
                <w:lang w:val="sk-SK" w:eastAsia="en-US"/>
              </w:rPr>
              <w:t xml:space="preserve">                               </w:t>
            </w:r>
            <w:r w:rsidRPr="00594F2D">
              <w:rPr>
                <w:rFonts w:eastAsia="Calibri"/>
                <w:sz w:val="20"/>
                <w:szCs w:val="20"/>
                <w:lang w:val="sk-SK" w:eastAsia="en-US"/>
              </w:rPr>
              <w:t xml:space="preserve">  2009/41/ES a 2001/18/ES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 xml:space="preserve">. </w:t>
            </w:r>
            <w:r w:rsidR="00BA6083">
              <w:rPr>
                <w:rFonts w:eastAsia="Calibri"/>
                <w:sz w:val="20"/>
                <w:szCs w:val="20"/>
                <w:lang w:val="sk-SK" w:eastAsia="en-US"/>
              </w:rPr>
              <w:t xml:space="preserve">Tiež sa reaguje na </w:t>
            </w:r>
            <w:r w:rsidR="00284783" w:rsidRPr="00284783">
              <w:rPr>
                <w:rFonts w:eastAsia="Calibri"/>
                <w:sz w:val="20"/>
                <w:szCs w:val="20"/>
                <w:lang w:val="sk-SK" w:eastAsia="en-US"/>
              </w:rPr>
              <w:t xml:space="preserve">zákon č. 177/2018 </w:t>
            </w:r>
            <w:r w:rsidR="00284783">
              <w:rPr>
                <w:rFonts w:eastAsia="Calibri"/>
                <w:sz w:val="20"/>
                <w:szCs w:val="20"/>
                <w:lang w:val="sk-SK" w:eastAsia="en-US"/>
              </w:rPr>
              <w:t xml:space="preserve">Z. z. o niektorých opatreniach </w:t>
            </w:r>
            <w:r w:rsidR="00284783" w:rsidRPr="00284783">
              <w:rPr>
                <w:rFonts w:eastAsia="Calibri"/>
                <w:sz w:val="20"/>
                <w:szCs w:val="20"/>
                <w:lang w:val="sk-SK" w:eastAsia="en-US"/>
              </w:rPr>
              <w:t>na znižovanie administratívnej záťaže využívaním informačných systémov verejnej správy a o zmene a doplnení niektorých z</w:t>
            </w:r>
            <w:r w:rsidR="00BA6083">
              <w:rPr>
                <w:rFonts w:eastAsia="Calibri"/>
                <w:sz w:val="20"/>
                <w:szCs w:val="20"/>
                <w:lang w:val="sk-SK" w:eastAsia="en-US"/>
              </w:rPr>
              <w:t>ákonov (zákon proti byrokracii)</w:t>
            </w:r>
            <w:r w:rsidR="00950139">
              <w:rPr>
                <w:rFonts w:eastAsia="Calibri"/>
                <w:sz w:val="20"/>
                <w:szCs w:val="20"/>
                <w:lang w:val="sk-SK" w:eastAsia="en-US"/>
              </w:rPr>
              <w:t xml:space="preserve"> v znení zákona č. 221/2019 </w:t>
            </w:r>
            <w:r w:rsidR="00B05493">
              <w:rPr>
                <w:rFonts w:eastAsia="Calibri"/>
                <w:sz w:val="20"/>
                <w:szCs w:val="20"/>
                <w:lang w:val="sk-SK" w:eastAsia="en-US"/>
              </w:rPr>
              <w:t>Z</w:t>
            </w:r>
            <w:r w:rsidR="00950139">
              <w:rPr>
                <w:rFonts w:eastAsia="Calibri"/>
                <w:sz w:val="20"/>
                <w:szCs w:val="20"/>
                <w:lang w:val="sk-SK" w:eastAsia="en-US"/>
              </w:rPr>
              <w:t>. z</w:t>
            </w:r>
            <w:r w:rsidR="00BA6083">
              <w:rPr>
                <w:rFonts w:eastAsia="Calibri"/>
                <w:sz w:val="20"/>
                <w:szCs w:val="20"/>
                <w:lang w:val="sk-SK" w:eastAsia="en-US"/>
              </w:rPr>
              <w:t xml:space="preserve">. </w:t>
            </w:r>
            <w:r w:rsidR="00284783" w:rsidRPr="00284783">
              <w:rPr>
                <w:rFonts w:eastAsia="Calibri"/>
                <w:sz w:val="20"/>
                <w:szCs w:val="20"/>
                <w:lang w:val="sk-SK" w:eastAsia="en-US"/>
              </w:rPr>
              <w:t xml:space="preserve"> </w:t>
            </w:r>
          </w:p>
          <w:p w:rsidR="00284783" w:rsidRDefault="00284783" w:rsidP="00284783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Dotknuté subjekty</w:t>
            </w:r>
          </w:p>
        </w:tc>
      </w:tr>
      <w:tr w:rsidR="00284783" w:rsidTr="00965E1D"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D5" w:rsidRDefault="00210AFE" w:rsidP="009E2884">
            <w:pPr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Zmeny a doplnenia </w:t>
            </w: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zákona 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č. 151/2002 Z. z.</w:t>
            </w: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 sa dotk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nú</w:t>
            </w: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 používateľov genetických technológií a geneticky modifikovaných organizmov (podnikateľských aj nepodnikateľských subjektov)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a</w:t>
            </w: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 štátnej správy 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úpravou podmienok priebehu konaní o vydaní rozhodnutia.</w:t>
            </w:r>
            <w:r w:rsidR="009E2884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  <w:p w:rsidR="00210AFE" w:rsidRDefault="009E2884" w:rsidP="009E2884">
            <w:pPr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66A56">
              <w:rPr>
                <w:rFonts w:ascii="Times" w:hAnsi="Times" w:cs="Times"/>
                <w:sz w:val="20"/>
                <w:szCs w:val="20"/>
                <w:lang w:val="sk-SK"/>
              </w:rPr>
              <w:t>Používateľom genetických technológií geneticky modifikovaných org</w:t>
            </w:r>
            <w:r w:rsidR="00AC63D5" w:rsidRPr="00566A56">
              <w:rPr>
                <w:rFonts w:ascii="Times" w:hAnsi="Times" w:cs="Times"/>
                <w:sz w:val="20"/>
                <w:szCs w:val="20"/>
                <w:lang w:val="sk-SK"/>
              </w:rPr>
              <w:t xml:space="preserve">anizmov vzniknú nové povinnosti, čas na splnenie povinnosti dodania vyžiadaných podkladov </w:t>
            </w:r>
            <w:r w:rsidRPr="00566A56">
              <w:rPr>
                <w:rFonts w:ascii="Times" w:hAnsi="Times" w:cs="Times"/>
                <w:sz w:val="20"/>
                <w:szCs w:val="20"/>
                <w:lang w:val="sk-SK"/>
              </w:rPr>
              <w:t>v</w:t>
            </w:r>
            <w:r w:rsidR="00AC63D5" w:rsidRPr="00566A56">
              <w:rPr>
                <w:rFonts w:ascii="Times" w:hAnsi="Times" w:cs="Times"/>
                <w:sz w:val="20"/>
                <w:szCs w:val="20"/>
                <w:lang w:val="sk-SK"/>
              </w:rPr>
              <w:t> konaní sa nezapočítava do lehoty na vydanie rozhodnutia, čím sa predĺži c</w:t>
            </w:r>
            <w:r w:rsidRPr="00566A56">
              <w:rPr>
                <w:rFonts w:ascii="Times" w:hAnsi="Times" w:cs="Times"/>
                <w:sz w:val="20"/>
                <w:szCs w:val="20"/>
                <w:lang w:val="sk-SK"/>
              </w:rPr>
              <w:t>elkov</w:t>
            </w:r>
            <w:r w:rsidR="00AC63D5" w:rsidRPr="00566A56">
              <w:rPr>
                <w:rFonts w:ascii="Times" w:hAnsi="Times" w:cs="Times"/>
                <w:sz w:val="20"/>
                <w:szCs w:val="20"/>
                <w:lang w:val="sk-SK"/>
              </w:rPr>
              <w:t>ý</w:t>
            </w:r>
            <w:r w:rsidRPr="00566A56">
              <w:rPr>
                <w:rFonts w:ascii="Times" w:hAnsi="Times" w:cs="Times"/>
                <w:sz w:val="20"/>
                <w:szCs w:val="20"/>
                <w:lang w:val="sk-SK"/>
              </w:rPr>
              <w:t xml:space="preserve"> čas</w:t>
            </w:r>
            <w:r w:rsidR="00AC63D5" w:rsidRPr="00566A56">
              <w:rPr>
                <w:rFonts w:ascii="Times" w:hAnsi="Times" w:cs="Times"/>
                <w:sz w:val="20"/>
                <w:szCs w:val="20"/>
                <w:lang w:val="sk-SK"/>
              </w:rPr>
              <w:t xml:space="preserve"> trvania konania. </w:t>
            </w:r>
            <w:r w:rsidRPr="00566A56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  <w:p w:rsidR="00210AFE" w:rsidRPr="00284783" w:rsidRDefault="00396E77" w:rsidP="00210AFE">
            <w:pPr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>F</w:t>
            </w:r>
            <w:r w:rsidR="00210AFE" w:rsidRPr="00210AFE">
              <w:rPr>
                <w:rFonts w:ascii="Times" w:hAnsi="Times" w:cs="Times"/>
                <w:sz w:val="20"/>
                <w:szCs w:val="20"/>
                <w:lang w:val="sk-SK"/>
              </w:rPr>
              <w:t xml:space="preserve">yzických osôb 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sa zmeny dotknú </w:t>
            </w:r>
            <w:r w:rsidR="00F512E6">
              <w:rPr>
                <w:rFonts w:ascii="Times" w:hAnsi="Times" w:cs="Times"/>
                <w:sz w:val="20"/>
                <w:szCs w:val="20"/>
                <w:lang w:val="sk-SK"/>
              </w:rPr>
              <w:t xml:space="preserve">úpravou podmienok </w:t>
            </w:r>
            <w:r w:rsidR="0022470F">
              <w:rPr>
                <w:rFonts w:ascii="Times" w:hAnsi="Times" w:cs="Times"/>
                <w:sz w:val="20"/>
                <w:szCs w:val="20"/>
                <w:lang w:val="sk-SK"/>
              </w:rPr>
              <w:t xml:space="preserve">preukazovania </w:t>
            </w:r>
            <w:r w:rsidR="00F512E6">
              <w:rPr>
                <w:rFonts w:ascii="Times" w:hAnsi="Times" w:cs="Times"/>
                <w:sz w:val="20"/>
                <w:szCs w:val="20"/>
                <w:lang w:val="sk-SK"/>
              </w:rPr>
              <w:t xml:space="preserve">spôsobilosti fyzickej osoby na výkon funkcie vedúceho projektu. </w:t>
            </w:r>
            <w:r w:rsidR="0022470F">
              <w:rPr>
                <w:rFonts w:ascii="Times" w:hAnsi="Times" w:cs="Times"/>
                <w:sz w:val="20"/>
                <w:szCs w:val="20"/>
                <w:lang w:val="sk-SK"/>
              </w:rPr>
              <w:t xml:space="preserve">Odstraňuje sa </w:t>
            </w:r>
            <w:r w:rsidR="00F512E6">
              <w:rPr>
                <w:rFonts w:ascii="Times" w:hAnsi="Times" w:cs="Times"/>
                <w:sz w:val="20"/>
                <w:szCs w:val="20"/>
                <w:lang w:val="sk-SK"/>
              </w:rPr>
              <w:t>administratívn</w:t>
            </w:r>
            <w:r w:rsidR="0022470F">
              <w:rPr>
                <w:rFonts w:ascii="Times" w:hAnsi="Times" w:cs="Times"/>
                <w:sz w:val="20"/>
                <w:szCs w:val="20"/>
                <w:lang w:val="sk-SK"/>
              </w:rPr>
              <w:t>a</w:t>
            </w:r>
            <w:r w:rsidR="00F512E6">
              <w:rPr>
                <w:rFonts w:ascii="Times" w:hAnsi="Times" w:cs="Times"/>
                <w:sz w:val="20"/>
                <w:szCs w:val="20"/>
                <w:lang w:val="sk-SK"/>
              </w:rPr>
              <w:t xml:space="preserve"> záťaž </w:t>
            </w:r>
            <w:r w:rsidR="00210AFE" w:rsidRPr="00210AFE">
              <w:rPr>
                <w:rFonts w:ascii="Times" w:hAnsi="Times" w:cs="Times"/>
                <w:sz w:val="20"/>
                <w:szCs w:val="20"/>
                <w:lang w:val="sk-SK"/>
              </w:rPr>
              <w:t>predkladania výpisu z registra trestov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a</w:t>
            </w:r>
            <w:r w:rsidR="0022470F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512E6">
              <w:rPr>
                <w:rFonts w:ascii="Times" w:hAnsi="Times" w:cs="Times"/>
                <w:sz w:val="20"/>
                <w:szCs w:val="20"/>
                <w:lang w:val="sk-SK"/>
              </w:rPr>
              <w:t>odstr</w:t>
            </w:r>
            <w:r w:rsidR="0022470F">
              <w:rPr>
                <w:rFonts w:ascii="Times" w:hAnsi="Times" w:cs="Times"/>
                <w:sz w:val="20"/>
                <w:szCs w:val="20"/>
                <w:lang w:val="sk-SK"/>
              </w:rPr>
              <w:t xml:space="preserve">aňuje sa povinnosť zúčastňovať sa na odbornom vzdelávaní vedúcich projektov.  </w:t>
            </w:r>
            <w:r w:rsidR="00F512E6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  <w:p w:rsidR="00B05493" w:rsidRPr="00284783" w:rsidRDefault="00B05493" w:rsidP="00B05493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Zmeny a doplnenia zákonov z dôvodu transpozície smernice 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(EÚ) </w:t>
            </w: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2015/412 sa priamo dotknú týchto subjektov:  </w:t>
            </w:r>
          </w:p>
          <w:p w:rsidR="00B05493" w:rsidRPr="00284783" w:rsidRDefault="00B05493" w:rsidP="00B05493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Ministerstvo životného prostredia SR </w:t>
            </w:r>
          </w:p>
          <w:p w:rsidR="00B05493" w:rsidRPr="00284783" w:rsidRDefault="00B05493" w:rsidP="00B05493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 xml:space="preserve">Ministerstvo pôdohospodárstva a rozvoja vidieka SR </w:t>
            </w:r>
          </w:p>
          <w:p w:rsidR="00B05493" w:rsidRDefault="00B05493" w:rsidP="00B05493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84783">
              <w:rPr>
                <w:rFonts w:ascii="Times" w:hAnsi="Times" w:cs="Times"/>
                <w:sz w:val="20"/>
                <w:szCs w:val="20"/>
                <w:lang w:val="sk-SK"/>
              </w:rPr>
              <w:t>Ústredný kontrolný a skúšobný ústav poľnohospodársky</w:t>
            </w:r>
          </w:p>
          <w:p w:rsidR="00A062CC" w:rsidRDefault="00A062CC" w:rsidP="00B05493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  <w:p w:rsidR="00566A56" w:rsidRPr="00284783" w:rsidRDefault="00566A56" w:rsidP="00284783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lastRenderedPageBreak/>
              <w:t>Alternatívne riešenia</w:t>
            </w:r>
          </w:p>
        </w:tc>
      </w:tr>
      <w:tr w:rsidR="00284783" w:rsidTr="00965E1D">
        <w:trPr>
          <w:trHeight w:val="709"/>
        </w:trPr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83" w:rsidRPr="00594F2D" w:rsidRDefault="00284783" w:rsidP="00284783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 xml:space="preserve">Nulová alternatíva: 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 xml:space="preserve">V prípade neprijatia návrhu zákona nebude mať Slovenská republiky právny základ na zákaz </w:t>
            </w:r>
            <w:r w:rsidR="00FE6D66">
              <w:rPr>
                <w:rFonts w:eastAsia="Calibri"/>
                <w:sz w:val="20"/>
                <w:szCs w:val="20"/>
                <w:lang w:val="sk-SK" w:eastAsia="en-US"/>
              </w:rPr>
              <w:t xml:space="preserve">alebo obmedzenie 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pestovania geneticky modifikovaných organizmov autorizovaných na úrovni E</w:t>
            </w:r>
            <w:r w:rsidR="00FE6D66">
              <w:rPr>
                <w:rFonts w:eastAsia="Calibri"/>
                <w:sz w:val="20"/>
                <w:szCs w:val="20"/>
                <w:lang w:val="sk-SK" w:eastAsia="en-US"/>
              </w:rPr>
              <w:t xml:space="preserve">urópskej únie 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na účel pestovania z dôvodov iných, než je v</w:t>
            </w:r>
            <w:r w:rsidRPr="00284783">
              <w:rPr>
                <w:rFonts w:eastAsia="Calibri"/>
                <w:sz w:val="20"/>
                <w:szCs w:val="20"/>
                <w:lang w:val="sk-SK" w:eastAsia="en-US"/>
              </w:rPr>
              <w:t xml:space="preserve">plyv pestovania na zdravie ľudí, zvierat, alebo rastlín.  </w:t>
            </w: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Vykonávacie predpisy</w:t>
            </w:r>
          </w:p>
        </w:tc>
      </w:tr>
      <w:tr w:rsidR="00284783" w:rsidTr="00965E1D"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783" w:rsidRDefault="00284783" w:rsidP="00284783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Predpokladá sa prijatie/zmena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284783" w:rsidRDefault="00284783" w:rsidP="00284783">
            <w:pPr>
              <w:widowControl w:val="0"/>
              <w:jc w:val="center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 xml:space="preserve"> </w:t>
            </w:r>
            <w:r>
              <w:rPr>
                <w:rFonts w:ascii="Cambria Math" w:eastAsia="MS Gothic" w:hAnsi="Cambria Math" w:cs="Cambria Math"/>
                <w:sz w:val="20"/>
                <w:szCs w:val="20"/>
                <w:lang w:val="sk-SK" w:eastAsia="en-US"/>
              </w:rPr>
              <w:t>⊠</w:t>
            </w:r>
            <w:r>
              <w:rPr>
                <w:rFonts w:eastAsia="MS Gothic"/>
                <w:sz w:val="20"/>
                <w:szCs w:val="20"/>
                <w:lang w:val="sk-SK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Áno</w:t>
            </w:r>
          </w:p>
        </w:tc>
        <w:tc>
          <w:tcPr>
            <w:tcW w:w="1736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84783" w:rsidRDefault="00284783" w:rsidP="00284783">
            <w:pPr>
              <w:widowControl w:val="0"/>
              <w:jc w:val="center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sk-SK" w:eastAsia="en-US"/>
              </w:rPr>
              <w:t>☐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Nie</w:t>
            </w:r>
          </w:p>
        </w:tc>
      </w:tr>
      <w:tr w:rsidR="00284783" w:rsidTr="00965E1D"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83" w:rsidRDefault="00284783" w:rsidP="00284783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Transpozícia práva EÚ </w:t>
            </w:r>
          </w:p>
        </w:tc>
      </w:tr>
      <w:tr w:rsidR="00284783" w:rsidTr="00965E1D">
        <w:trPr>
          <w:trHeight w:val="157"/>
        </w:trPr>
        <w:tc>
          <w:tcPr>
            <w:tcW w:w="93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84783" w:rsidRDefault="00284783" w:rsidP="00284783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Uveďte, v ktorých ustanoveniach ide národná právna úprava nad rámec minimálnych požiadaviek EÚ spolu s odôvodnením.</w:t>
            </w:r>
          </w:p>
        </w:tc>
      </w:tr>
      <w:tr w:rsidR="00284783" w:rsidTr="00965E1D">
        <w:trPr>
          <w:trHeight w:val="248"/>
        </w:trPr>
        <w:tc>
          <w:tcPr>
            <w:tcW w:w="935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783" w:rsidRDefault="00D50D57" w:rsidP="00284783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sz w:val="20"/>
                <w:szCs w:val="20"/>
                <w:lang w:val="sk-SK" w:eastAsia="en-US"/>
              </w:rPr>
              <w:t xml:space="preserve">Predkladaný </w:t>
            </w:r>
            <w:r w:rsidR="00284783">
              <w:rPr>
                <w:rFonts w:eastAsia="Calibri"/>
                <w:sz w:val="20"/>
                <w:szCs w:val="20"/>
                <w:lang w:val="sk-SK" w:eastAsia="en-US"/>
              </w:rPr>
              <w:t>návrh ne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prekračuje</w:t>
            </w:r>
            <w:r w:rsidR="00284783">
              <w:rPr>
                <w:rFonts w:eastAsia="Calibri"/>
                <w:sz w:val="20"/>
                <w:szCs w:val="20"/>
                <w:lang w:val="sk-SK" w:eastAsia="en-US"/>
              </w:rPr>
              <w:t xml:space="preserve"> rámec 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ust</w:t>
            </w:r>
            <w:r w:rsidRPr="00D50D57">
              <w:rPr>
                <w:rFonts w:eastAsia="Calibri"/>
                <w:sz w:val="20"/>
                <w:szCs w:val="20"/>
                <w:lang w:val="sk-SK" w:eastAsia="en-US"/>
              </w:rPr>
              <w:t>anovený smernicou (EÚ) 201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>5</w:t>
            </w:r>
            <w:r w:rsidRPr="00D50D57">
              <w:rPr>
                <w:rFonts w:eastAsia="Calibri"/>
                <w:sz w:val="20"/>
                <w:szCs w:val="20"/>
                <w:lang w:val="sk-SK" w:eastAsia="en-US"/>
              </w:rPr>
              <w:t>/</w:t>
            </w:r>
            <w:r>
              <w:rPr>
                <w:rFonts w:eastAsia="Calibri"/>
                <w:sz w:val="20"/>
                <w:szCs w:val="20"/>
                <w:lang w:val="sk-SK" w:eastAsia="en-US"/>
              </w:rPr>
              <w:t xml:space="preserve">412. </w:t>
            </w:r>
            <w:r w:rsidRPr="00D50D57">
              <w:rPr>
                <w:rFonts w:eastAsia="Calibri"/>
                <w:sz w:val="20"/>
                <w:szCs w:val="20"/>
                <w:lang w:val="sk-SK" w:eastAsia="en-US"/>
              </w:rPr>
              <w:t xml:space="preserve">   </w:t>
            </w:r>
          </w:p>
          <w:p w:rsidR="009C5DB8" w:rsidRDefault="009C5DB8" w:rsidP="00284783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84783" w:rsidRDefault="00284783" w:rsidP="00284783">
            <w:pPr>
              <w:pStyle w:val="Odsekzoznamu"/>
              <w:widowControl w:val="0"/>
              <w:numPr>
                <w:ilvl w:val="0"/>
                <w:numId w:val="1"/>
              </w:numPr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Preskúmanie účelnosti**</w:t>
            </w:r>
          </w:p>
        </w:tc>
      </w:tr>
      <w:tr w:rsidR="00284783" w:rsidTr="00965E1D">
        <w:tc>
          <w:tcPr>
            <w:tcW w:w="9356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783" w:rsidRDefault="00284783" w:rsidP="00284783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Uveďte termín, kedy by malo dôjsť k preskúmaniu účinnosti a účelnosti navrhovaného predpisu.</w:t>
            </w:r>
          </w:p>
          <w:p w:rsidR="00284783" w:rsidRDefault="00284783" w:rsidP="00284783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Uveďte kritériá, na základe ktorých bude preskúmanie vykonané.</w:t>
            </w:r>
          </w:p>
          <w:p w:rsidR="009C5DB8" w:rsidRDefault="009C5DB8" w:rsidP="00284783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</w:p>
        </w:tc>
      </w:tr>
      <w:tr w:rsidR="00284783" w:rsidTr="00965E1D">
        <w:trPr>
          <w:trHeight w:val="715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84783" w:rsidRDefault="00284783" w:rsidP="00284783">
            <w:pPr>
              <w:widowControl w:val="0"/>
              <w:ind w:left="142" w:hanging="142"/>
              <w:rPr>
                <w:rFonts w:eastAsia="Calibri"/>
                <w:sz w:val="20"/>
                <w:szCs w:val="20"/>
                <w:lang w:val="sk-SK" w:eastAsia="en-US"/>
              </w:rPr>
            </w:pPr>
          </w:p>
          <w:p w:rsidR="00284783" w:rsidRPr="000D5AA2" w:rsidRDefault="00284783" w:rsidP="00284783">
            <w:pPr>
              <w:widowControl w:val="0"/>
              <w:ind w:left="142" w:hanging="142"/>
              <w:rPr>
                <w:rFonts w:eastAsia="Calibri"/>
                <w:sz w:val="18"/>
                <w:szCs w:val="18"/>
                <w:lang w:val="sk-SK" w:eastAsia="en-US"/>
              </w:rPr>
            </w:pPr>
            <w:r w:rsidRPr="000D5AA2">
              <w:rPr>
                <w:rFonts w:eastAsia="Calibri"/>
                <w:sz w:val="18"/>
                <w:szCs w:val="18"/>
                <w:lang w:val="sk-SK" w:eastAsia="en-US"/>
              </w:rPr>
              <w:t xml:space="preserve">* vyplniť iba v prípade, ak materiál nie je zahrnutý do Plánu práce vlády Slovenskej republiky alebo Plánu legislatívnych úloh vlády Slovenskej republiky. </w:t>
            </w:r>
          </w:p>
          <w:p w:rsidR="00284783" w:rsidRDefault="00284783" w:rsidP="00284783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r w:rsidRPr="000D5AA2">
              <w:rPr>
                <w:rFonts w:eastAsia="Calibri"/>
                <w:sz w:val="18"/>
                <w:szCs w:val="18"/>
                <w:lang w:val="sk-SK" w:eastAsia="en-US"/>
              </w:rPr>
              <w:t>** nepovinné</w:t>
            </w:r>
          </w:p>
        </w:tc>
      </w:tr>
      <w:tr w:rsidR="00284783" w:rsidTr="00965E1D"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65E1D" w:rsidRDefault="00965E1D" w:rsidP="00284783">
            <w:pPr>
              <w:widowControl w:val="0"/>
              <w:rPr>
                <w:rFonts w:eastAsia="Calibri"/>
                <w:b/>
                <w:sz w:val="20"/>
                <w:szCs w:val="20"/>
                <w:lang w:val="sk-SK" w:eastAsia="en-US"/>
              </w:rPr>
            </w:pPr>
          </w:p>
          <w:tbl>
            <w:tblPr>
              <w:tblStyle w:val="Mriekatabuky"/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3812"/>
              <w:gridCol w:w="541"/>
              <w:gridCol w:w="1281"/>
              <w:gridCol w:w="569"/>
              <w:gridCol w:w="1133"/>
              <w:gridCol w:w="547"/>
              <w:gridCol w:w="1297"/>
            </w:tblGrid>
            <w:tr w:rsidR="00965E1D" w:rsidTr="000D5AA2">
              <w:trPr>
                <w:trHeight w:val="338"/>
              </w:trPr>
              <w:tc>
                <w:tcPr>
                  <w:tcW w:w="91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0D5AA2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9. Vplyvy navrhovaného materiálu</w:t>
                  </w:r>
                </w:p>
              </w:tc>
            </w:tr>
            <w:tr w:rsidR="00965E1D" w:rsidTr="00965E1D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Vplyvy na rozpočet verejnej správy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1121575439"/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-916405887"/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Žiadne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-853649096"/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ind w:left="-107" w:right="-108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5E1D" w:rsidRDefault="00965E1D" w:rsidP="00965E1D">
                  <w:pPr>
                    <w:widowControl w:val="0"/>
                    <w:ind w:left="34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Negatívne</w:t>
                  </w:r>
                </w:p>
              </w:tc>
            </w:tr>
            <w:tr w:rsidR="00965E1D" w:rsidTr="00965E1D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 xml:space="preserve"> z toho rozpočtovo zabezpečené vplyvy</w:t>
                  </w:r>
                </w:p>
              </w:tc>
              <w:sdt>
                <w:sdtPr>
                  <w:rPr>
                    <w:sz w:val="20"/>
                    <w:szCs w:val="20"/>
                    <w:lang w:val="sk-SK"/>
                  </w:rPr>
                  <w:id w:val="-2073729125"/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Áno</w:t>
                  </w:r>
                </w:p>
              </w:tc>
              <w:sdt>
                <w:sdtPr>
                  <w:rPr>
                    <w:sz w:val="20"/>
                    <w:szCs w:val="20"/>
                    <w:lang w:val="sk-SK"/>
                  </w:rPr>
                  <w:id w:val="-54388876"/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Nie</w:t>
                  </w:r>
                </w:p>
              </w:tc>
              <w:sdt>
                <w:sdtPr>
                  <w:rPr>
                    <w:sz w:val="20"/>
                    <w:szCs w:val="20"/>
                    <w:lang w:val="sk-SK"/>
                  </w:rPr>
                  <w:id w:val="361940775"/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ind w:left="-107" w:right="-108"/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5E1D" w:rsidRDefault="00965E1D" w:rsidP="00965E1D">
                  <w:pPr>
                    <w:widowControl w:val="0"/>
                    <w:ind w:left="34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Čiastočne</w:t>
                  </w:r>
                </w:p>
              </w:tc>
            </w:tr>
            <w:tr w:rsidR="00965E1D" w:rsidTr="00965E1D">
              <w:tc>
                <w:tcPr>
                  <w:tcW w:w="3812" w:type="dxa"/>
                  <w:tcBorders>
                    <w:top w:val="single" w:sz="4" w:space="0" w:color="000000" w:themeColor="text1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Vplyvy na podnikateľské prostredie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1328319843"/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1564608664"/>
                </w:sdtPr>
                <w:sdtEndPr/>
                <w:sdtContent>
                  <w:sdt>
                    <w:sdtPr>
                      <w:rPr>
                        <w:b/>
                        <w:sz w:val="20"/>
                        <w:szCs w:val="20"/>
                        <w:lang w:val="sk-SK"/>
                      </w:rPr>
                      <w:id w:val="1456518285"/>
                    </w:sdtPr>
                    <w:sdtEndPr>
                      <w:rPr>
                        <w:b w:val="0"/>
                      </w:rPr>
                    </w:sdtEndPr>
                    <w:sdtContent>
                      <w:tc>
                        <w:tcPr>
                          <w:tcW w:w="569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965E1D" w:rsidRDefault="008B37A1" w:rsidP="008B37A1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  <w:lang w:val="sk-SK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Žiadne</w:t>
                  </w:r>
                  <w:r w:rsidR="008B37A1">
                    <w:rPr>
                      <w:b/>
                      <w:sz w:val="20"/>
                      <w:szCs w:val="20"/>
                      <w:lang w:val="sk-SK"/>
                    </w:rPr>
                    <w:t xml:space="preserve">   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8B37A1" w:rsidP="008B37A1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 xml:space="preserve"> </w:t>
                  </w:r>
                  <w:sdt>
                    <w:sdtPr>
                      <w:rPr>
                        <w:b/>
                        <w:sz w:val="20"/>
                        <w:szCs w:val="20"/>
                        <w:lang w:val="sk-SK"/>
                      </w:rPr>
                      <w:id w:val="-1010527745"/>
                    </w:sdtPr>
                    <w:sdtEndPr/>
                    <w:sdtContent>
                      <w:r>
                        <w:rPr>
                          <w:b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Negatívne</w:t>
                  </w:r>
                </w:p>
              </w:tc>
            </w:tr>
            <w:tr w:rsidR="00965E1D" w:rsidTr="00965E1D">
              <w:tc>
                <w:tcPr>
                  <w:tcW w:w="3812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 xml:space="preserve"> z toho vplyvy na MSP</w:t>
                  </w:r>
                </w:p>
              </w:tc>
              <w:sdt>
                <w:sdtPr>
                  <w:rPr>
                    <w:sz w:val="20"/>
                    <w:szCs w:val="20"/>
                    <w:lang w:val="sk-SK"/>
                  </w:rPr>
                  <w:id w:val="1931938095"/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000000" w:themeColor="text1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Pozitívne</w:t>
                  </w:r>
                </w:p>
              </w:tc>
              <w:sdt>
                <w:sdtPr>
                  <w:rPr>
                    <w:sz w:val="20"/>
                    <w:szCs w:val="20"/>
                    <w:lang w:val="sk-SK"/>
                  </w:rPr>
                  <w:id w:val="-1696063787"/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Žiadne</w:t>
                  </w:r>
                </w:p>
              </w:tc>
              <w:sdt>
                <w:sdtPr>
                  <w:rPr>
                    <w:sz w:val="20"/>
                    <w:szCs w:val="20"/>
                    <w:lang w:val="sk-SK"/>
                  </w:rPr>
                  <w:id w:val="671765022"/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8B37A1" w:rsidP="00965E1D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sz w:val="20"/>
                      <w:szCs w:val="20"/>
                      <w:lang w:val="sk-SK"/>
                    </w:rPr>
                  </w:pPr>
                  <w:r>
                    <w:rPr>
                      <w:sz w:val="20"/>
                      <w:szCs w:val="20"/>
                      <w:lang w:val="sk-SK"/>
                    </w:rPr>
                    <w:t>Negatívne</w:t>
                  </w:r>
                </w:p>
              </w:tc>
            </w:tr>
            <w:tr w:rsidR="00965E1D" w:rsidTr="00965E1D">
              <w:tc>
                <w:tcPr>
                  <w:tcW w:w="381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Sociálne vplyvy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/>
                    </w:rPr>
                    <w:t xml:space="preserve">☐ 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-1719425362"/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4C4839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  <w:lang w:val="sk-SK"/>
                          </w:rPr>
                          <w:id w:val="-1966799607"/>
                        </w:sdtPr>
                        <w:sdtEndPr/>
                        <w:sdtContent>
                          <w:r w:rsidR="00965E1D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  <w:lang w:val="sk-SK"/>
                            </w:rPr>
                            <w:t>☒</w:t>
                          </w:r>
                        </w:sdtContent>
                      </w:sdt>
                      <w:r w:rsidR="00965E1D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Žiadne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-870833546"/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Negatívne</w:t>
                  </w:r>
                </w:p>
              </w:tc>
            </w:tr>
            <w:tr w:rsidR="00965E1D" w:rsidTr="00965E1D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Vplyvy na životné prostredie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304755157"/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235136192"/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Žiadne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-131020046"/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Negatívne</w:t>
                  </w:r>
                </w:p>
              </w:tc>
            </w:tr>
            <w:tr w:rsidR="00965E1D" w:rsidTr="00965E1D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Vplyvy na informatizáciu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-940751000"/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-1126152168"/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Žiadne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378831873"/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b/>
                          <w:sz w:val="20"/>
                          <w:szCs w:val="20"/>
                          <w:lang w:val="sk-SK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b/>
                      <w:sz w:val="20"/>
                      <w:szCs w:val="20"/>
                      <w:lang w:val="sk-SK"/>
                    </w:rPr>
                    <w:t>Negatívne</w:t>
                  </w:r>
                </w:p>
              </w:tc>
            </w:tr>
          </w:tbl>
          <w:tbl>
            <w:tblPr>
              <w:tblW w:w="1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2"/>
              <w:gridCol w:w="541"/>
              <w:gridCol w:w="1281"/>
              <w:gridCol w:w="569"/>
              <w:gridCol w:w="1133"/>
              <w:gridCol w:w="547"/>
              <w:gridCol w:w="1297"/>
              <w:gridCol w:w="1297"/>
              <w:gridCol w:w="1297"/>
              <w:gridCol w:w="1297"/>
              <w:gridCol w:w="1297"/>
              <w:gridCol w:w="1297"/>
            </w:tblGrid>
            <w:tr w:rsidR="00965E1D" w:rsidTr="00FF1B72">
              <w:trPr>
                <w:gridAfter w:val="5"/>
                <w:wAfter w:w="6485" w:type="dxa"/>
              </w:trPr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Vplyvy na služby verejnej správy pre občana, z toho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b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rPr>
                      <w:b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b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965E1D" w:rsidTr="00FF1B72">
              <w:trPr>
                <w:gridAfter w:val="5"/>
                <w:wAfter w:w="6485" w:type="dxa"/>
              </w:trPr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ind w:left="196" w:hanging="196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 xml:space="preserve"> vplyvy služieb verejnej správy na občana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923539723"/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rFonts w:eastAsia="MS Mincho"/>
                          <w:b/>
                          <w:sz w:val="20"/>
                          <w:szCs w:val="20"/>
                          <w:lang w:val="sk-SK" w:eastAsia="en-US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Negatívne</w:t>
                  </w:r>
                </w:p>
              </w:tc>
            </w:tr>
            <w:tr w:rsidR="00965E1D" w:rsidTr="00FF1B72">
              <w:trPr>
                <w:gridAfter w:val="5"/>
                <w:wAfter w:w="6485" w:type="dxa"/>
              </w:trPr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ind w:left="168" w:hanging="168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 xml:space="preserve"> vplyvy na procesy služieb vo verejnej správe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  <w:t>☐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ind w:right="-108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36631537"/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:rsidR="00965E1D" w:rsidRDefault="00965E1D" w:rsidP="00965E1D">
                      <w:pPr>
                        <w:widowControl w:val="0"/>
                        <w:jc w:val="center"/>
                        <w:rPr>
                          <w:rFonts w:eastAsia="MS Mincho"/>
                          <w:b/>
                          <w:sz w:val="20"/>
                          <w:szCs w:val="20"/>
                          <w:lang w:val="sk-SK" w:eastAsia="en-US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Žiadne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jc w:val="center"/>
                    <w:rPr>
                      <w:rFonts w:eastAsia="MS Mincho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  <w:t>☐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E1D" w:rsidRDefault="00965E1D" w:rsidP="00965E1D">
                  <w:pPr>
                    <w:widowControl w:val="0"/>
                    <w:ind w:left="54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Negatívne</w:t>
                  </w:r>
                </w:p>
              </w:tc>
            </w:tr>
            <w:tr w:rsidR="00965E1D" w:rsidTr="00FF1B72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965E1D" w:rsidRDefault="00965E1D" w:rsidP="00965E1D">
                  <w:pPr>
                    <w:widowControl w:val="0"/>
                    <w:ind w:left="168" w:hanging="168"/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Vplyvy na manželstvo, rodičovstvo a rodinu</w:t>
                  </w:r>
                </w:p>
              </w:tc>
              <w:tc>
                <w:tcPr>
                  <w:tcW w:w="536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E1D" w:rsidRPr="00A95167" w:rsidRDefault="00965E1D" w:rsidP="00965E1D">
                  <w:pPr>
                    <w:widowControl w:val="0"/>
                    <w:ind w:right="-108"/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</w:pP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  <w:t xml:space="preserve"> ☐</w:t>
                  </w:r>
                  <w:r>
                    <w:rPr>
                      <w:rFonts w:eastAsia="MS Gothic"/>
                      <w:b/>
                      <w:sz w:val="20"/>
                      <w:szCs w:val="20"/>
                      <w:lang w:val="sk-SK" w:eastAsia="en-US"/>
                    </w:rPr>
                    <w:t xml:space="preserve">      </w:t>
                  </w: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 xml:space="preserve">Pozitívne </w:t>
                  </w:r>
                  <w:sdt>
                    <w:sdtPr>
                      <w:rPr>
                        <w:b/>
                        <w:sz w:val="20"/>
                        <w:szCs w:val="20"/>
                        <w:lang w:val="sk-SK"/>
                      </w:rPr>
                      <w:id w:val="13325713"/>
                    </w:sdtPr>
                    <w:sdtEndPr/>
                    <w:sdtContent>
                      <w:r>
                        <w:rPr>
                          <w:b/>
                          <w:sz w:val="20"/>
                          <w:szCs w:val="20"/>
                          <w:lang w:val="sk-SK"/>
                        </w:rPr>
                        <w:t xml:space="preserve">           </w:t>
                      </w: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sdtContent>
                  </w:sdt>
                  <w:r>
                    <w:rPr>
                      <w:rFonts w:eastAsia="MS Gothic"/>
                      <w:b/>
                      <w:sz w:val="20"/>
                      <w:szCs w:val="20"/>
                      <w:lang w:val="sk-SK" w:eastAsia="en-US"/>
                    </w:rPr>
                    <w:t xml:space="preserve">     </w:t>
                  </w: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Žiadne</w:t>
                  </w:r>
                  <w:r>
                    <w:rPr>
                      <w:rFonts w:eastAsia="MS Gothic"/>
                      <w:b/>
                      <w:sz w:val="20"/>
                      <w:szCs w:val="20"/>
                      <w:lang w:val="sk-SK" w:eastAsia="en-US"/>
                    </w:rPr>
                    <w:t xml:space="preserve">             </w:t>
                  </w: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  <w:t>☐</w:t>
                  </w:r>
                  <w:r>
                    <w:rPr>
                      <w:rFonts w:eastAsia="MS Gothic"/>
                      <w:b/>
                      <w:sz w:val="20"/>
                      <w:szCs w:val="20"/>
                      <w:lang w:val="sk-SK" w:eastAsia="en-US"/>
                    </w:rPr>
                    <w:t xml:space="preserve">       </w:t>
                  </w: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Negatívne</w:t>
                  </w:r>
                </w:p>
              </w:tc>
              <w:tc>
                <w:tcPr>
                  <w:tcW w:w="1297" w:type="dxa"/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Pozitívne</w:t>
                  </w:r>
                </w:p>
              </w:tc>
              <w:sdt>
                <w:sdtPr>
                  <w:rPr>
                    <w:b/>
                    <w:sz w:val="20"/>
                    <w:szCs w:val="20"/>
                    <w:lang w:val="sk-SK"/>
                  </w:rPr>
                  <w:id w:val="13325710"/>
                </w:sdtPr>
                <w:sdtEndPr/>
                <w:sdtContent>
                  <w:tc>
                    <w:tcPr>
                      <w:tcW w:w="1297" w:type="dxa"/>
                    </w:tcPr>
                    <w:p w:rsidR="00965E1D" w:rsidRDefault="00965E1D" w:rsidP="00965E1D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val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7" w:type="dxa"/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Žiadne</w:t>
                  </w:r>
                </w:p>
              </w:tc>
              <w:tc>
                <w:tcPr>
                  <w:tcW w:w="1297" w:type="dxa"/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ascii="Segoe UI Symbol" w:eastAsia="MS Gothic" w:hAnsi="Segoe UI Symbol" w:cs="Segoe UI Symbol"/>
                      <w:b/>
                      <w:sz w:val="20"/>
                      <w:szCs w:val="20"/>
                      <w:lang w:val="sk-SK" w:eastAsia="en-US"/>
                    </w:rPr>
                    <w:t>☐</w:t>
                  </w:r>
                </w:p>
              </w:tc>
              <w:tc>
                <w:tcPr>
                  <w:tcW w:w="1297" w:type="dxa"/>
                </w:tcPr>
                <w:p w:rsidR="00965E1D" w:rsidRDefault="00965E1D" w:rsidP="00965E1D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val="sk-SK" w:eastAsia="en-US"/>
                    </w:rPr>
                    <w:t>Negatívne</w:t>
                  </w:r>
                </w:p>
              </w:tc>
            </w:tr>
          </w:tbl>
          <w:p w:rsidR="00965E1D" w:rsidRDefault="00965E1D" w:rsidP="00284783">
            <w:pPr>
              <w:widowControl w:val="0"/>
              <w:rPr>
                <w:rFonts w:eastAsia="Calibri"/>
                <w:b/>
                <w:sz w:val="20"/>
                <w:szCs w:val="20"/>
                <w:lang w:val="sk-SK" w:eastAsia="en-US"/>
              </w:rPr>
            </w:pPr>
          </w:p>
        </w:tc>
      </w:tr>
    </w:tbl>
    <w:p w:rsidR="00B8573C" w:rsidRDefault="00B8573C">
      <w:pPr>
        <w:widowControl w:val="0"/>
        <w:ind w:right="141"/>
        <w:rPr>
          <w:b/>
          <w:sz w:val="20"/>
          <w:szCs w:val="20"/>
          <w:lang w:val="sk-SK"/>
        </w:rPr>
      </w:pPr>
    </w:p>
    <w:p w:rsidR="000D5AA2" w:rsidRDefault="000D5AA2">
      <w:pPr>
        <w:widowControl w:val="0"/>
        <w:ind w:right="141"/>
        <w:rPr>
          <w:b/>
          <w:sz w:val="20"/>
          <w:szCs w:val="20"/>
          <w:lang w:val="sk-SK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706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06A5D" w:rsidRDefault="00790B4A">
            <w:pPr>
              <w:widowControl w:val="0"/>
              <w:ind w:left="502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10. Poznámky</w:t>
            </w:r>
          </w:p>
        </w:tc>
      </w:tr>
      <w:tr w:rsidR="00706A5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706A5D" w:rsidRDefault="00790B4A" w:rsidP="000D5AA2">
            <w:pPr>
              <w:widowControl w:val="0"/>
              <w:ind w:firstLine="567"/>
              <w:jc w:val="both"/>
              <w:rPr>
                <w:sz w:val="20"/>
                <w:szCs w:val="20"/>
                <w:lang w:val="sk-SK"/>
              </w:rPr>
            </w:pPr>
            <w:r w:rsidRPr="00790B4A">
              <w:rPr>
                <w:sz w:val="20"/>
                <w:szCs w:val="20"/>
                <w:lang w:val="sk-SK"/>
              </w:rPr>
              <w:t>V Slovenskej republike sa poľnohospodári na pestovanie autorizovaných geneticky modifikovaných plodín neorientujú z dôvodu obmedzeného odbytu a negatívneho postoja verejnosti voči GMO</w:t>
            </w:r>
            <w:r w:rsidR="00FE6D66">
              <w:rPr>
                <w:sz w:val="20"/>
                <w:szCs w:val="20"/>
                <w:lang w:val="sk-SK"/>
              </w:rPr>
              <w:t xml:space="preserve">. V rokoch 2017 až 2019 nebola na Slovensku pestovaná žiadna geneticky modifikovaná plodina, preto </w:t>
            </w:r>
            <w:r w:rsidRPr="00790B4A">
              <w:rPr>
                <w:sz w:val="20"/>
                <w:szCs w:val="20"/>
                <w:lang w:val="sk-SK"/>
              </w:rPr>
              <w:t>predpokladáme</w:t>
            </w:r>
            <w:r w:rsidR="00FE6D66">
              <w:rPr>
                <w:sz w:val="20"/>
                <w:szCs w:val="20"/>
                <w:lang w:val="sk-SK"/>
              </w:rPr>
              <w:t xml:space="preserve">, že </w:t>
            </w:r>
            <w:r w:rsidRPr="00790B4A">
              <w:rPr>
                <w:sz w:val="20"/>
                <w:szCs w:val="20"/>
                <w:lang w:val="sk-SK"/>
              </w:rPr>
              <w:t xml:space="preserve"> návrh zákona n</w:t>
            </w:r>
            <w:r w:rsidR="00FE6D66">
              <w:rPr>
                <w:sz w:val="20"/>
                <w:szCs w:val="20"/>
                <w:lang w:val="sk-SK"/>
              </w:rPr>
              <w:t>ebude mať vplyv na</w:t>
            </w:r>
            <w:r w:rsidRPr="00790B4A">
              <w:rPr>
                <w:sz w:val="20"/>
                <w:szCs w:val="20"/>
                <w:lang w:val="sk-SK"/>
              </w:rPr>
              <w:t xml:space="preserve"> podnikateľské prostredie.</w:t>
            </w:r>
          </w:p>
          <w:p w:rsidR="0022470F" w:rsidRPr="000D5AA2" w:rsidRDefault="0022470F" w:rsidP="000D5AA2">
            <w:pPr>
              <w:widowControl w:val="0"/>
              <w:ind w:firstLine="567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Preukazovanie </w:t>
            </w:r>
            <w:r w:rsidR="00F512E6" w:rsidRPr="00F512E6">
              <w:rPr>
                <w:sz w:val="20"/>
                <w:szCs w:val="20"/>
                <w:lang w:val="sk-SK"/>
              </w:rPr>
              <w:t>spôsobilosti fyzickej osoby na výkon funkcie vedúceho projektu</w:t>
            </w:r>
            <w:r>
              <w:rPr>
                <w:sz w:val="20"/>
                <w:szCs w:val="20"/>
                <w:lang w:val="sk-SK"/>
              </w:rPr>
              <w:t xml:space="preserve"> nie je súčasťou služby štátnej správy pre občana, ktorá by sa týkala jeho životnej situácie, preto </w:t>
            </w:r>
            <w:r w:rsidRPr="0022470F">
              <w:rPr>
                <w:sz w:val="20"/>
                <w:szCs w:val="20"/>
                <w:lang w:val="sk-SK"/>
              </w:rPr>
              <w:t xml:space="preserve">predpokladáme, že návrh zákona nebude mať vplyv na </w:t>
            </w:r>
            <w:r>
              <w:rPr>
                <w:sz w:val="20"/>
                <w:szCs w:val="20"/>
                <w:lang w:val="sk-SK"/>
              </w:rPr>
              <w:t xml:space="preserve">služby verejnej správy pre občana.  </w:t>
            </w:r>
          </w:p>
        </w:tc>
      </w:tr>
      <w:tr w:rsidR="00706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706A5D" w:rsidRDefault="00790B4A">
            <w:pPr>
              <w:pStyle w:val="Odsekzoznamu"/>
              <w:widowControl w:val="0"/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11. Kontakt na spracovateľa</w:t>
            </w:r>
          </w:p>
        </w:tc>
      </w:tr>
      <w:tr w:rsidR="00706A5D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AFE" w:rsidRPr="00210AFE" w:rsidRDefault="004C4839">
            <w:pPr>
              <w:widowControl w:val="0"/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sk-SK" w:eastAsia="en-US"/>
              </w:rPr>
            </w:pPr>
            <w:hyperlink r:id="rId9" w:history="1">
              <w:r w:rsidR="00210AFE" w:rsidRPr="002F3E9D">
                <w:rPr>
                  <w:rStyle w:val="Hypertextovprepojenie"/>
                  <w:rFonts w:eastAsia="Calibri"/>
                  <w:sz w:val="20"/>
                  <w:szCs w:val="20"/>
                  <w:lang w:val="sk-SK" w:eastAsia="en-US"/>
                </w:rPr>
                <w:t>natalia.mogelska</w:t>
              </w:r>
              <w:r w:rsidR="00210AFE" w:rsidRPr="002F3E9D">
                <w:rPr>
                  <w:rStyle w:val="Hypertextovprepojenie"/>
                  <w:rFonts w:eastAsia="Calibri"/>
                  <w:sz w:val="20"/>
                  <w:szCs w:val="20"/>
                  <w:lang w:val="en-GB" w:eastAsia="en-US"/>
                </w:rPr>
                <w:t>@enviro.gov.sk</w:t>
              </w:r>
            </w:hyperlink>
            <w:r w:rsidR="00210AFE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en-GB" w:eastAsia="en-US"/>
              </w:rPr>
              <w:t xml:space="preserve"> </w:t>
            </w:r>
            <w:r w:rsidR="00210AFE" w:rsidRPr="00210AFE">
              <w:rPr>
                <w:rStyle w:val="Hypertextovprepojenie"/>
                <w:rFonts w:eastAsia="Calibri"/>
                <w:b/>
                <w:color w:val="auto"/>
                <w:sz w:val="20"/>
                <w:szCs w:val="20"/>
                <w:u w:val="none"/>
                <w:lang w:val="en-GB" w:eastAsia="en-US"/>
              </w:rPr>
              <w:t xml:space="preserve">- </w:t>
            </w:r>
            <w:r w:rsidR="00210AFE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en-GB" w:eastAsia="en-US"/>
              </w:rPr>
              <w:t>k </w:t>
            </w:r>
            <w:r w:rsidR="00210AFE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sk-SK" w:eastAsia="en-US"/>
              </w:rPr>
              <w:t xml:space="preserve">zmenám zákona č. 151/2002 Z. z.  </w:t>
            </w:r>
          </w:p>
          <w:p w:rsidR="00965E1D" w:rsidRPr="00471578" w:rsidRDefault="004C4839">
            <w:pPr>
              <w:widowControl w:val="0"/>
              <w:rPr>
                <w:rFonts w:eastAsia="Calibri"/>
                <w:sz w:val="20"/>
                <w:szCs w:val="20"/>
                <w:lang w:val="sk-SK" w:eastAsia="en-US"/>
              </w:rPr>
            </w:pPr>
            <w:hyperlink r:id="rId10" w:history="1">
              <w:r w:rsidR="00B05493" w:rsidRPr="00210AFE">
                <w:rPr>
                  <w:rStyle w:val="Hypertextovprepojenie"/>
                  <w:rFonts w:eastAsia="Calibri"/>
                  <w:sz w:val="20"/>
                  <w:szCs w:val="20"/>
                  <w:lang w:val="sk-SK" w:eastAsia="en-US"/>
                </w:rPr>
                <w:t>martin.bencko@land.gov.sk</w:t>
              </w:r>
            </w:hyperlink>
            <w:r w:rsidR="00B05493" w:rsidRPr="00210AFE">
              <w:rPr>
                <w:rStyle w:val="Hypertextovprepojenie"/>
                <w:rFonts w:eastAsia="Calibri"/>
                <w:sz w:val="20"/>
                <w:szCs w:val="20"/>
                <w:u w:val="none"/>
                <w:lang w:val="sk-SK" w:eastAsia="en-US"/>
              </w:rPr>
              <w:t xml:space="preserve"> </w:t>
            </w:r>
            <w:r w:rsidR="00B05493" w:rsidRPr="00210AFE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sk-SK" w:eastAsia="en-US"/>
              </w:rPr>
              <w:t>– k zmenám z</w:t>
            </w:r>
            <w:r w:rsidR="00B05493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sk-SK" w:eastAsia="en-US"/>
              </w:rPr>
              <w:t>ákona č. 184/2006 Z. z. z</w:t>
            </w:r>
            <w:r w:rsidR="00B05493" w:rsidRPr="00210AFE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sk-SK" w:eastAsia="en-US"/>
              </w:rPr>
              <w:t> dôvodu transpozície smernice</w:t>
            </w:r>
            <w:r w:rsidR="00B05493">
              <w:rPr>
                <w:rStyle w:val="Hypertextovprepojenie"/>
                <w:rFonts w:eastAsia="Calibri"/>
                <w:b/>
                <w:color w:val="auto"/>
                <w:sz w:val="20"/>
                <w:szCs w:val="20"/>
                <w:u w:val="none"/>
                <w:lang w:val="sk-SK" w:eastAsia="en-US"/>
              </w:rPr>
              <w:t xml:space="preserve"> </w:t>
            </w:r>
            <w:r w:rsidR="00B05493" w:rsidRPr="00616E28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sk-SK" w:eastAsia="en-US"/>
              </w:rPr>
              <w:t xml:space="preserve">(EÚ) </w:t>
            </w:r>
            <w:r w:rsidR="00B05493" w:rsidRPr="00210AFE">
              <w:rPr>
                <w:rStyle w:val="Hypertextovprepojenie"/>
                <w:rFonts w:eastAsia="Calibri"/>
                <w:color w:val="auto"/>
                <w:sz w:val="20"/>
                <w:szCs w:val="20"/>
                <w:u w:val="none"/>
                <w:lang w:val="sk-SK" w:eastAsia="en-US"/>
              </w:rPr>
              <w:t>2015/412</w:t>
            </w:r>
          </w:p>
        </w:tc>
      </w:tr>
      <w:tr w:rsidR="00706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706A5D" w:rsidRDefault="00790B4A">
            <w:pPr>
              <w:widowControl w:val="0"/>
              <w:ind w:left="502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12. Zdroje</w:t>
            </w:r>
          </w:p>
        </w:tc>
      </w:tr>
      <w:tr w:rsidR="00706A5D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A5D" w:rsidRDefault="00790B4A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Uveďte zdroje (štatistiky, prieskumy, spoluprácu s odborníkmi a iné), z ktorých ste pri vypracovávaní doložky, príp. analýz vplyvov vychádzali.</w:t>
            </w:r>
          </w:p>
          <w:p w:rsidR="00706A5D" w:rsidRDefault="00790B4A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 xml:space="preserve">Napr. </w:t>
            </w:r>
            <w:hyperlink r:id="rId11" w:history="1">
              <w:r>
                <w:rPr>
                  <w:rStyle w:val="Hypertextovprepojenie"/>
                  <w:rFonts w:eastAsia="Calibri"/>
                  <w:i/>
                  <w:sz w:val="20"/>
                  <w:szCs w:val="20"/>
                  <w:lang w:val="sk-SK" w:eastAsia="en-US"/>
                </w:rPr>
                <w:t>http://ec.europa.eu/commfrontoffice/publicopinion/archives/ebs/ebs_341_fact_sk_en.pdf</w:t>
              </w:r>
            </w:hyperlink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 xml:space="preserve"> </w:t>
            </w:r>
          </w:p>
          <w:p w:rsidR="00706A5D" w:rsidRDefault="004C4839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hyperlink r:id="rId12" w:anchor="38;navID2=764&amp;" w:history="1">
              <w:r w:rsidR="00790B4A">
                <w:rPr>
                  <w:rStyle w:val="Hypertextovprepojenie"/>
                  <w:rFonts w:eastAsia="Calibri"/>
                  <w:i/>
                  <w:sz w:val="20"/>
                  <w:szCs w:val="20"/>
                  <w:lang w:val="sk-SK" w:eastAsia="en-US"/>
                </w:rPr>
                <w:t>http://www.mpsr.sk/index.php?navID=764&amp;navID2=764&amp;sID=40&amp;id=13269</w:t>
              </w:r>
            </w:hyperlink>
          </w:p>
          <w:p w:rsidR="00706A5D" w:rsidRDefault="004C4839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hyperlink r:id="rId13" w:anchor="38;navID2=764&amp;" w:history="1">
              <w:r w:rsidR="00790B4A">
                <w:rPr>
                  <w:rStyle w:val="Hypertextovprepojenie"/>
                  <w:rFonts w:eastAsia="Calibri"/>
                  <w:i/>
                  <w:sz w:val="20"/>
                  <w:szCs w:val="20"/>
                  <w:lang w:val="sk-SK" w:eastAsia="en-US"/>
                </w:rPr>
                <w:t>http://www.mpsr.sk/index.php?navID=764&amp;navID2=764&amp;sID=40&amp;id=12275</w:t>
              </w:r>
            </w:hyperlink>
          </w:p>
          <w:p w:rsidR="008B37A1" w:rsidRDefault="00790B4A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sk-SK" w:eastAsia="en-US"/>
              </w:rPr>
              <w:t>http://www.mpsr.sk/index.php?navID=764&amp;navID2=764&amp;sID=40&amp;id=11635</w:t>
            </w:r>
          </w:p>
          <w:p w:rsidR="008B37A1" w:rsidRDefault="008B37A1">
            <w:pPr>
              <w:widowControl w:val="0"/>
              <w:rPr>
                <w:rFonts w:eastAsia="Calibri"/>
                <w:i/>
                <w:sz w:val="20"/>
                <w:szCs w:val="20"/>
                <w:lang w:val="sk-SK" w:eastAsia="en-US"/>
              </w:rPr>
            </w:pPr>
          </w:p>
        </w:tc>
      </w:tr>
      <w:tr w:rsidR="00706A5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706A5D" w:rsidRDefault="00790B4A">
            <w:pPr>
              <w:pStyle w:val="Odsekzoznamu"/>
              <w:widowControl w:val="0"/>
              <w:ind w:left="426"/>
              <w:contextualSpacing w:val="0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lastRenderedPageBreak/>
              <w:t>13. Stanovisko Komisie pre posudzovanie vybraných vplyvov z PPK</w:t>
            </w:r>
          </w:p>
        </w:tc>
      </w:tr>
      <w:tr w:rsidR="00706A5D"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A5D" w:rsidRPr="008B37A1" w:rsidRDefault="00706A5D">
            <w:pPr>
              <w:widowControl w:val="0"/>
              <w:rPr>
                <w:sz w:val="20"/>
                <w:szCs w:val="20"/>
                <w:lang w:val="sk-SK"/>
              </w:rPr>
            </w:pPr>
          </w:p>
          <w:p w:rsidR="008B37A1" w:rsidRDefault="008B37A1" w:rsidP="008B37A1">
            <w:pPr>
              <w:widowControl w:val="0"/>
              <w:jc w:val="both"/>
              <w:rPr>
                <w:sz w:val="20"/>
                <w:szCs w:val="20"/>
                <w:lang w:val="sk-SK"/>
              </w:rPr>
            </w:pPr>
            <w:r w:rsidRPr="008B37A1">
              <w:rPr>
                <w:sz w:val="20"/>
                <w:szCs w:val="20"/>
                <w:lang w:val="sk-SK"/>
              </w:rPr>
              <w:t>Stála pracovná komisia na posudzovanie vybraných vplyvov vyjadr</w:t>
            </w:r>
            <w:r>
              <w:rPr>
                <w:sz w:val="20"/>
                <w:szCs w:val="20"/>
                <w:lang w:val="sk-SK"/>
              </w:rPr>
              <w:t>ila</w:t>
            </w:r>
            <w:r w:rsidRPr="008B37A1">
              <w:rPr>
                <w:sz w:val="20"/>
                <w:szCs w:val="20"/>
                <w:lang w:val="sk-SK"/>
              </w:rPr>
              <w:t xml:space="preserve"> </w:t>
            </w:r>
            <w:r w:rsidRPr="008B37A1">
              <w:rPr>
                <w:b/>
                <w:sz w:val="20"/>
                <w:szCs w:val="20"/>
                <w:lang w:val="sk-SK"/>
              </w:rPr>
              <w:t>nesúhlasné stanovisko</w:t>
            </w:r>
            <w:r w:rsidRPr="008B37A1">
              <w:rPr>
                <w:sz w:val="20"/>
                <w:szCs w:val="20"/>
                <w:lang w:val="sk-SK"/>
              </w:rPr>
              <w:t xml:space="preserve"> s materiálom predloženým na predbežné pripomienkové konanie s odporúčaním na jeho dopracovanie podľa </w:t>
            </w:r>
            <w:r>
              <w:rPr>
                <w:sz w:val="20"/>
                <w:szCs w:val="20"/>
                <w:lang w:val="sk-SK"/>
              </w:rPr>
              <w:t xml:space="preserve">týchto </w:t>
            </w:r>
            <w:r w:rsidRPr="008B37A1">
              <w:rPr>
                <w:sz w:val="20"/>
                <w:szCs w:val="20"/>
                <w:lang w:val="sk-SK"/>
              </w:rPr>
              <w:t>pripomienok</w:t>
            </w:r>
            <w:r>
              <w:rPr>
                <w:sz w:val="20"/>
                <w:szCs w:val="20"/>
                <w:lang w:val="sk-SK"/>
              </w:rPr>
              <w:t xml:space="preserve"> </w:t>
            </w:r>
            <w:r w:rsidRPr="008B37A1">
              <w:rPr>
                <w:sz w:val="20"/>
                <w:szCs w:val="20"/>
                <w:lang w:val="sk-SK"/>
              </w:rPr>
              <w:t>a návrh</w:t>
            </w:r>
            <w:r>
              <w:rPr>
                <w:sz w:val="20"/>
                <w:szCs w:val="20"/>
                <w:lang w:val="sk-SK"/>
              </w:rPr>
              <w:t>ov</w:t>
            </w:r>
            <w:r w:rsidRPr="008B37A1">
              <w:rPr>
                <w:sz w:val="20"/>
                <w:szCs w:val="20"/>
                <w:lang w:val="sk-SK"/>
              </w:rPr>
              <w:t xml:space="preserve"> zmien: </w:t>
            </w:r>
          </w:p>
          <w:p w:rsidR="008B37A1" w:rsidRDefault="008B37A1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- </w:t>
            </w:r>
            <w:r w:rsidRPr="008B37A1">
              <w:rPr>
                <w:sz w:val="20"/>
                <w:szCs w:val="20"/>
                <w:lang w:val="sk-SK"/>
              </w:rPr>
              <w:t>vyznačenie negatívneho vplyvu na podnikateľské prostredie v Doložke vybraných vplyvov</w:t>
            </w:r>
            <w:r w:rsidR="008F72A4">
              <w:rPr>
                <w:sz w:val="20"/>
                <w:szCs w:val="20"/>
                <w:lang w:val="sk-SK"/>
              </w:rPr>
              <w:t>,</w:t>
            </w:r>
            <w:r w:rsidRPr="008B37A1">
              <w:rPr>
                <w:sz w:val="20"/>
                <w:szCs w:val="20"/>
                <w:lang w:val="sk-SK"/>
              </w:rPr>
              <w:t xml:space="preserve"> </w:t>
            </w:r>
          </w:p>
          <w:p w:rsidR="008B37A1" w:rsidRPr="008B37A1" w:rsidRDefault="008B37A1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- </w:t>
            </w:r>
            <w:r w:rsidRPr="008B37A1">
              <w:rPr>
                <w:sz w:val="20"/>
                <w:szCs w:val="20"/>
                <w:lang w:val="sk-SK"/>
              </w:rPr>
              <w:t>vypracovanie príslušnej Analýzy vplyvov na podnikateľské prostredie.</w:t>
            </w:r>
          </w:p>
          <w:p w:rsidR="008B37A1" w:rsidRDefault="008B37A1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</w:p>
          <w:p w:rsidR="00BB3BA4" w:rsidRDefault="00BB3BA4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Vyhodnotenie: </w:t>
            </w:r>
          </w:p>
          <w:p w:rsidR="00BB3BA4" w:rsidRDefault="00BB3BA4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Predkladateľ dopracoval materiál podľa stanoviska, vyznačil negatívny vplyv na podnikateľské prostredie v Doložke vybraných vplyvov a vypracoval Analýzu vplyvov na podnikateľské prostredie. </w:t>
            </w:r>
          </w:p>
          <w:p w:rsidR="00BB3BA4" w:rsidRDefault="00BB3BA4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</w:p>
          <w:p w:rsidR="008F72A4" w:rsidRPr="008B37A1" w:rsidRDefault="008F72A4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Pripomienka:</w:t>
            </w:r>
          </w:p>
          <w:p w:rsidR="008B37A1" w:rsidRPr="008B37A1" w:rsidRDefault="009E2884" w:rsidP="008B37A1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Z</w:t>
            </w:r>
            <w:r w:rsidR="008B37A1" w:rsidRPr="008B37A1">
              <w:rPr>
                <w:sz w:val="20"/>
                <w:szCs w:val="20"/>
                <w:lang w:val="sk-SK"/>
              </w:rPr>
              <w:t xml:space="preserve">o znenia vlastného materiálu vyplýva, že používateľovi genetických technológii geneticky modifikovaných (mikro)organizmov vzniknú nové povinnosti </w:t>
            </w:r>
            <w:r w:rsidR="00E364A1">
              <w:rPr>
                <w:sz w:val="20"/>
                <w:szCs w:val="20"/>
                <w:lang w:val="sk-SK"/>
              </w:rPr>
              <w:t>[</w:t>
            </w:r>
            <w:r w:rsidR="008B37A1" w:rsidRPr="008B37A1">
              <w:rPr>
                <w:sz w:val="20"/>
                <w:szCs w:val="20"/>
                <w:lang w:val="sk-SK"/>
              </w:rPr>
              <w:t>napr. doplnenie § 22 zákona č. 151/2002 Z. z. o písmeno f)</w:t>
            </w:r>
            <w:r w:rsidR="00E364A1">
              <w:rPr>
                <w:sz w:val="20"/>
                <w:szCs w:val="20"/>
                <w:lang w:val="sk-SK"/>
              </w:rPr>
              <w:t>]</w:t>
            </w:r>
            <w:r w:rsidR="008B37A1" w:rsidRPr="008B37A1">
              <w:rPr>
                <w:sz w:val="20"/>
                <w:szCs w:val="20"/>
                <w:lang w:val="sk-SK"/>
              </w:rPr>
              <w:t xml:space="preserve">. </w:t>
            </w:r>
          </w:p>
          <w:p w:rsidR="00D27CCB" w:rsidRDefault="00D27CCB" w:rsidP="00D27CCB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V</w:t>
            </w:r>
            <w:r w:rsidRPr="008B37A1">
              <w:rPr>
                <w:sz w:val="20"/>
                <w:szCs w:val="20"/>
                <w:lang w:val="sk-SK"/>
              </w:rPr>
              <w:t xml:space="preserve">zhľadom k novelizačnému bodu 16 (ktorým sa dopĺňa nové ustanovenie oprávňujúce správny orgán požadovať od žiadateľa aj ďalšie informácie, než povinne ustanovené, ak svoju požiadavku odôvodní) materiál ovplyvní podnikateľské prostredie z pohľadu povinnosti dodania vyžiadaných podkladov ako aj z pohľadu celkovej časovej náročnosti  potrebnej na získanie rozhodnutia (lehota, ktorú ministerstvo určí vo výzve žiadateľovi na splnenie požiadavky, sa nezapočítava do lehoty na vydanie rozhodnutia).  </w:t>
            </w:r>
          </w:p>
          <w:p w:rsidR="00D27CCB" w:rsidRDefault="00D27CCB" w:rsidP="00D27CCB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</w:p>
          <w:p w:rsidR="00BB3BA4" w:rsidRDefault="008F72A4" w:rsidP="00BB3BA4">
            <w:pPr>
              <w:tabs>
                <w:tab w:val="center" w:pos="6379"/>
              </w:tabs>
              <w:suppressAutoHyphens/>
              <w:ind w:left="1276" w:right="-2" w:hanging="1276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Vyhodnotenie:</w:t>
            </w:r>
            <w:r w:rsidR="00BB3BA4">
              <w:rPr>
                <w:sz w:val="20"/>
                <w:szCs w:val="20"/>
                <w:lang w:val="sk-SK"/>
              </w:rPr>
              <w:t xml:space="preserve"> </w:t>
            </w:r>
          </w:p>
          <w:p w:rsidR="00276D53" w:rsidRDefault="00276D53" w:rsidP="00BB3BA4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 w:rsidRPr="00276D53">
              <w:rPr>
                <w:sz w:val="20"/>
                <w:szCs w:val="20"/>
                <w:lang w:val="sk-SK"/>
              </w:rPr>
              <w:t xml:space="preserve">Novelizácia zákona č. 151/2002 Z. z. dopĺňa  podmienky priebehu konaní o vydanie rozhodnutia tam, kde sa subsidiárne uplatňovanie ustanovení zákona č. 71/1967 Zb. o správnom konaní (správny poriadok) ukázalo ako nedostatočné, pričom </w:t>
            </w:r>
            <w:r>
              <w:rPr>
                <w:sz w:val="20"/>
                <w:szCs w:val="20"/>
                <w:lang w:val="sk-SK"/>
              </w:rPr>
              <w:t xml:space="preserve">všetky navrhované nové povinnosti </w:t>
            </w:r>
            <w:r w:rsidR="00566A56">
              <w:rPr>
                <w:sz w:val="20"/>
                <w:szCs w:val="20"/>
                <w:lang w:val="sk-SK"/>
              </w:rPr>
              <w:t>majú oporu</w:t>
            </w:r>
            <w:r w:rsidRPr="00276D53">
              <w:rPr>
                <w:sz w:val="20"/>
                <w:szCs w:val="20"/>
                <w:lang w:val="sk-SK"/>
              </w:rPr>
              <w:t xml:space="preserve"> </w:t>
            </w:r>
            <w:r w:rsidR="00566A56">
              <w:rPr>
                <w:sz w:val="20"/>
                <w:szCs w:val="20"/>
                <w:lang w:val="sk-SK"/>
              </w:rPr>
              <w:t>v</w:t>
            </w:r>
            <w:r w:rsidRPr="00276D53">
              <w:rPr>
                <w:sz w:val="20"/>
                <w:szCs w:val="20"/>
                <w:lang w:val="sk-SK"/>
              </w:rPr>
              <w:t xml:space="preserve"> ustanoven</w:t>
            </w:r>
            <w:r w:rsidR="00566A56">
              <w:rPr>
                <w:sz w:val="20"/>
                <w:szCs w:val="20"/>
                <w:lang w:val="sk-SK"/>
              </w:rPr>
              <w:t>iach</w:t>
            </w:r>
            <w:r w:rsidRPr="00276D53">
              <w:rPr>
                <w:sz w:val="20"/>
                <w:szCs w:val="20"/>
                <w:lang w:val="sk-SK"/>
              </w:rPr>
              <w:t xml:space="preserve"> príslušných európskych smerní</w:t>
            </w:r>
            <w:r>
              <w:rPr>
                <w:sz w:val="20"/>
                <w:szCs w:val="20"/>
                <w:lang w:val="sk-SK"/>
              </w:rPr>
              <w:t xml:space="preserve">c 2009/41/ES a 2001/18/ES. </w:t>
            </w:r>
          </w:p>
          <w:p w:rsidR="00BB3BA4" w:rsidRDefault="00BB3BA4" w:rsidP="00BB3BA4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Doplnenie ustanovenia § 22</w:t>
            </w:r>
            <w:r w:rsidR="00566A56">
              <w:rPr>
                <w:sz w:val="20"/>
                <w:szCs w:val="20"/>
                <w:lang w:val="sk-SK"/>
              </w:rPr>
              <w:t xml:space="preserve"> ods. 2 </w:t>
            </w:r>
            <w:r>
              <w:rPr>
                <w:sz w:val="20"/>
                <w:szCs w:val="20"/>
                <w:lang w:val="sk-SK"/>
              </w:rPr>
              <w:t xml:space="preserve">o písm. f) je </w:t>
            </w:r>
            <w:r w:rsidRPr="00BB3BA4">
              <w:rPr>
                <w:sz w:val="20"/>
                <w:szCs w:val="20"/>
                <w:lang w:val="sk-SK"/>
              </w:rPr>
              <w:t>transpozíci</w:t>
            </w:r>
            <w:r>
              <w:rPr>
                <w:sz w:val="20"/>
                <w:szCs w:val="20"/>
                <w:lang w:val="sk-SK"/>
              </w:rPr>
              <w:t>o</w:t>
            </w:r>
            <w:r w:rsidRPr="00BB3BA4">
              <w:rPr>
                <w:sz w:val="20"/>
                <w:szCs w:val="20"/>
                <w:lang w:val="sk-SK"/>
              </w:rPr>
              <w:t>u čl. 20 ods. 2 smernice 2001/18/ES, ktorý ustanovuje povinnosti používateľa pri zámernom uvoľňovaní, ak sa zistia  nové informáci</w:t>
            </w:r>
            <w:r>
              <w:rPr>
                <w:sz w:val="20"/>
                <w:szCs w:val="20"/>
                <w:lang w:val="sk-SK"/>
              </w:rPr>
              <w:t>e</w:t>
            </w:r>
            <w:r w:rsidRPr="00BB3BA4">
              <w:rPr>
                <w:sz w:val="20"/>
                <w:szCs w:val="20"/>
                <w:lang w:val="sk-SK"/>
              </w:rPr>
              <w:t>, ktoré sa týkajú rizika geneticky modifikovaného organizmu pre ľudské zdravie a životné prostredie.</w:t>
            </w:r>
          </w:p>
          <w:p w:rsidR="001301B7" w:rsidRPr="001301B7" w:rsidRDefault="00D27CCB" w:rsidP="001301B7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Novelizačný bod</w:t>
            </w:r>
            <w:r w:rsidR="001301B7">
              <w:rPr>
                <w:sz w:val="20"/>
                <w:szCs w:val="20"/>
                <w:lang w:val="sk-SK"/>
              </w:rPr>
              <w:t xml:space="preserve"> 16</w:t>
            </w:r>
            <w:r w:rsidR="00146F66">
              <w:rPr>
                <w:sz w:val="20"/>
                <w:szCs w:val="20"/>
                <w:lang w:val="sk-SK"/>
              </w:rPr>
              <w:t xml:space="preserve">, ktorý dopĺňa </w:t>
            </w:r>
            <w:r w:rsidR="001301B7">
              <w:rPr>
                <w:sz w:val="20"/>
                <w:szCs w:val="20"/>
                <w:lang w:val="sk-SK"/>
              </w:rPr>
              <w:t>v § 34 nový odsek 6</w:t>
            </w:r>
            <w:r w:rsidR="001301B7">
              <w:t xml:space="preserve"> </w:t>
            </w:r>
            <w:r w:rsidR="001301B7" w:rsidRPr="001301B7">
              <w:rPr>
                <w:sz w:val="20"/>
                <w:szCs w:val="20"/>
              </w:rPr>
              <w:t>(</w:t>
            </w:r>
            <w:r w:rsidR="001301B7" w:rsidRPr="001301B7">
              <w:rPr>
                <w:sz w:val="20"/>
                <w:szCs w:val="20"/>
                <w:lang w:val="sk-SK"/>
              </w:rPr>
              <w:t>oprávnenie ministerstva požadovať od žiadateľa</w:t>
            </w:r>
            <w:r w:rsidR="001301B7">
              <w:rPr>
                <w:sz w:val="20"/>
                <w:szCs w:val="20"/>
                <w:lang w:val="sk-SK"/>
              </w:rPr>
              <w:t xml:space="preserve">                     </w:t>
            </w:r>
            <w:r w:rsidR="001301B7" w:rsidRPr="001301B7">
              <w:rPr>
                <w:sz w:val="20"/>
                <w:szCs w:val="20"/>
                <w:lang w:val="sk-SK"/>
              </w:rPr>
              <w:t xml:space="preserve"> aj ďalšie informácie</w:t>
            </w:r>
            <w:r w:rsidR="001301B7">
              <w:rPr>
                <w:sz w:val="20"/>
                <w:szCs w:val="20"/>
                <w:lang w:val="sk-SK"/>
              </w:rPr>
              <w:t xml:space="preserve">) je transpozíciou čl. </w:t>
            </w:r>
            <w:r w:rsidR="001301B7" w:rsidRPr="001301B7">
              <w:rPr>
                <w:sz w:val="20"/>
                <w:szCs w:val="20"/>
                <w:lang w:val="sk-SK"/>
              </w:rPr>
              <w:t>6</w:t>
            </w:r>
            <w:r w:rsidR="001301B7">
              <w:rPr>
                <w:sz w:val="20"/>
                <w:szCs w:val="20"/>
                <w:lang w:val="sk-SK"/>
              </w:rPr>
              <w:t xml:space="preserve"> odseku 6 a 7 smernice </w:t>
            </w:r>
            <w:r w:rsidR="001301B7" w:rsidRPr="001301B7">
              <w:rPr>
                <w:sz w:val="20"/>
                <w:szCs w:val="20"/>
                <w:lang w:val="sk-SK"/>
              </w:rPr>
              <w:t>Európskeho parlamentu a Rady 2001/18/ES</w:t>
            </w:r>
          </w:p>
          <w:p w:rsidR="001301B7" w:rsidRPr="001301B7" w:rsidRDefault="001301B7" w:rsidP="001301B7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 w:rsidRPr="001301B7">
              <w:rPr>
                <w:sz w:val="20"/>
                <w:szCs w:val="20"/>
                <w:lang w:val="sk-SK"/>
              </w:rPr>
              <w:t xml:space="preserve">z 12. marca 2001 o zámernom uvoľnení geneticky modifikovaných organizmov do životného prostredia </w:t>
            </w:r>
          </w:p>
          <w:p w:rsidR="001301B7" w:rsidRPr="001301B7" w:rsidRDefault="001301B7" w:rsidP="001301B7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 w:rsidRPr="001301B7">
              <w:rPr>
                <w:sz w:val="20"/>
                <w:szCs w:val="20"/>
                <w:lang w:val="sk-SK"/>
              </w:rPr>
              <w:t>a o zrušení smernice Rady 90/220/EHS v platnom znení</w:t>
            </w:r>
            <w:r>
              <w:rPr>
                <w:sz w:val="20"/>
                <w:szCs w:val="20"/>
                <w:lang w:val="sk-SK"/>
              </w:rPr>
              <w:t xml:space="preserve">. </w:t>
            </w:r>
          </w:p>
          <w:p w:rsidR="008B37A1" w:rsidRPr="008B37A1" w:rsidRDefault="001301B7" w:rsidP="008F72A4">
            <w:pPr>
              <w:tabs>
                <w:tab w:val="center" w:pos="6379"/>
              </w:tabs>
              <w:suppressAutoHyphens/>
              <w:ind w:right="-2"/>
              <w:jc w:val="both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Obdobne, doplnenie </w:t>
            </w:r>
            <w:r w:rsidR="00146F66">
              <w:rPr>
                <w:sz w:val="20"/>
                <w:szCs w:val="20"/>
                <w:lang w:val="sk-SK"/>
              </w:rPr>
              <w:t>§ 33</w:t>
            </w:r>
            <w:r w:rsidR="00D07342">
              <w:rPr>
                <w:sz w:val="20"/>
                <w:szCs w:val="20"/>
                <w:lang w:val="sk-SK"/>
              </w:rPr>
              <w:t xml:space="preserve"> ods. 3</w:t>
            </w:r>
            <w:r w:rsidR="00146F66">
              <w:rPr>
                <w:sz w:val="20"/>
                <w:szCs w:val="20"/>
                <w:lang w:val="sk-SK"/>
              </w:rPr>
              <w:t xml:space="preserve"> zákona o oprávnenie ministerstva</w:t>
            </w:r>
            <w:r w:rsidR="00146F66">
              <w:t xml:space="preserve"> </w:t>
            </w:r>
            <w:r w:rsidR="00146F66" w:rsidRPr="00146F66">
              <w:rPr>
                <w:sz w:val="20"/>
                <w:szCs w:val="20"/>
                <w:lang w:val="sk-SK"/>
              </w:rPr>
              <w:t>požadovať od žiadateľa aj ďalšie informácie</w:t>
            </w:r>
            <w:r w:rsidR="00146F66">
              <w:rPr>
                <w:sz w:val="20"/>
                <w:szCs w:val="20"/>
                <w:lang w:val="sk-SK"/>
              </w:rPr>
              <w:t xml:space="preserve">, </w:t>
            </w:r>
            <w:r w:rsidR="00D27CCB">
              <w:rPr>
                <w:sz w:val="20"/>
                <w:szCs w:val="20"/>
                <w:lang w:val="sk-SK"/>
              </w:rPr>
              <w:t xml:space="preserve"> je</w:t>
            </w:r>
            <w:r w:rsidR="008F72A4">
              <w:rPr>
                <w:sz w:val="20"/>
                <w:szCs w:val="20"/>
                <w:lang w:val="sk-SK"/>
              </w:rPr>
              <w:t xml:space="preserve"> transpozíci</w:t>
            </w:r>
            <w:r w:rsidR="00D27CCB">
              <w:rPr>
                <w:sz w:val="20"/>
                <w:szCs w:val="20"/>
                <w:lang w:val="sk-SK"/>
              </w:rPr>
              <w:t>o</w:t>
            </w:r>
            <w:r w:rsidR="008F72A4">
              <w:rPr>
                <w:sz w:val="20"/>
                <w:szCs w:val="20"/>
                <w:lang w:val="sk-SK"/>
              </w:rPr>
              <w:t>u</w:t>
            </w:r>
            <w:r w:rsidR="008B37A1" w:rsidRPr="008B37A1">
              <w:rPr>
                <w:sz w:val="20"/>
                <w:szCs w:val="20"/>
                <w:lang w:val="sk-SK"/>
              </w:rPr>
              <w:t xml:space="preserve"> </w:t>
            </w:r>
            <w:r w:rsidR="008F72A4">
              <w:rPr>
                <w:sz w:val="20"/>
                <w:szCs w:val="20"/>
                <w:lang w:val="sk-SK"/>
              </w:rPr>
              <w:t xml:space="preserve">čl. </w:t>
            </w:r>
            <w:r w:rsidR="008F72A4" w:rsidRPr="008F72A4">
              <w:rPr>
                <w:sz w:val="20"/>
                <w:szCs w:val="20"/>
                <w:lang w:val="sk-SK"/>
              </w:rPr>
              <w:t>10</w:t>
            </w:r>
            <w:r w:rsidR="008F72A4">
              <w:rPr>
                <w:sz w:val="20"/>
                <w:szCs w:val="20"/>
                <w:lang w:val="sk-SK"/>
              </w:rPr>
              <w:t xml:space="preserve"> ods. 4 smernice </w:t>
            </w:r>
            <w:r w:rsidR="008F72A4" w:rsidRPr="008F72A4">
              <w:rPr>
                <w:sz w:val="20"/>
                <w:szCs w:val="20"/>
                <w:lang w:val="sk-SK"/>
              </w:rPr>
              <w:t xml:space="preserve">Európskeho parlamentu a Rady </w:t>
            </w:r>
            <w:r w:rsidR="00BB3BA4">
              <w:rPr>
                <w:sz w:val="20"/>
                <w:szCs w:val="20"/>
                <w:lang w:val="sk-SK"/>
              </w:rPr>
              <w:t>2009/41/ES z</w:t>
            </w:r>
            <w:r w:rsidR="00D27CCB">
              <w:rPr>
                <w:sz w:val="20"/>
                <w:szCs w:val="20"/>
                <w:lang w:val="sk-SK"/>
              </w:rPr>
              <w:t xml:space="preserve">o dňa 6. mája 2009 </w:t>
            </w:r>
            <w:r w:rsidR="008F72A4" w:rsidRPr="008F72A4">
              <w:rPr>
                <w:sz w:val="20"/>
                <w:szCs w:val="20"/>
                <w:lang w:val="sk-SK"/>
              </w:rPr>
              <w:t>o používaní geneticky modifikovaných mikroorganizmov v uzavretých priestoroch (prepracované znenie)</w:t>
            </w:r>
            <w:r w:rsidR="00BB3BA4">
              <w:rPr>
                <w:sz w:val="20"/>
                <w:szCs w:val="20"/>
                <w:lang w:val="sk-SK"/>
              </w:rPr>
              <w:t>.</w:t>
            </w:r>
            <w:r w:rsidR="008F72A4">
              <w:rPr>
                <w:sz w:val="20"/>
                <w:szCs w:val="20"/>
                <w:lang w:val="sk-SK"/>
              </w:rPr>
              <w:t xml:space="preserve"> </w:t>
            </w:r>
          </w:p>
          <w:p w:rsidR="008B37A1" w:rsidRDefault="008B37A1" w:rsidP="008B37A1">
            <w:pPr>
              <w:widowControl w:val="0"/>
              <w:jc w:val="both"/>
              <w:rPr>
                <w:rFonts w:eastAsia="Calibri"/>
                <w:b/>
                <w:sz w:val="20"/>
                <w:szCs w:val="20"/>
                <w:lang w:val="sk-SK" w:eastAsia="en-US"/>
              </w:rPr>
            </w:pPr>
          </w:p>
        </w:tc>
      </w:tr>
    </w:tbl>
    <w:p w:rsidR="002D2A02" w:rsidRPr="00790B4A" w:rsidRDefault="002D2A02">
      <w:pPr>
        <w:widowControl w:val="0"/>
        <w:rPr>
          <w:sz w:val="20"/>
          <w:szCs w:val="20"/>
        </w:rPr>
      </w:pPr>
    </w:p>
    <w:sectPr w:rsidR="002D2A02" w:rsidRPr="00790B4A" w:rsidSect="00826D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39" w:rsidRDefault="004C4839">
      <w:r>
        <w:separator/>
      </w:r>
    </w:p>
  </w:endnote>
  <w:endnote w:type="continuationSeparator" w:id="0">
    <w:p w:rsidR="004C4839" w:rsidRDefault="004C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30" w:rsidRDefault="003871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693409"/>
      <w:docPartObj>
        <w:docPartGallery w:val="Page Numbers (Bottom of Page)"/>
        <w:docPartUnique/>
      </w:docPartObj>
    </w:sdtPr>
    <w:sdtEndPr/>
    <w:sdtContent>
      <w:p w:rsidR="00387130" w:rsidRDefault="003871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515" w:rsidRPr="00484515">
          <w:rPr>
            <w:noProof/>
            <w:lang w:val="sk-SK"/>
          </w:rPr>
          <w:t>1</w:t>
        </w:r>
        <w:r>
          <w:fldChar w:fldCharType="end"/>
        </w:r>
      </w:p>
    </w:sdtContent>
  </w:sdt>
  <w:p w:rsidR="00706A5D" w:rsidRPr="00387130" w:rsidRDefault="00706A5D" w:rsidP="00387130">
    <w:pPr>
      <w:pStyle w:val="Pta"/>
      <w:jc w:val="center"/>
      <w:rPr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115481"/>
      <w:docPartObj>
        <w:docPartGallery w:val="Page Numbers (Bottom of Page)"/>
        <w:docPartUnique/>
      </w:docPartObj>
    </w:sdtPr>
    <w:sdtEndPr/>
    <w:sdtContent>
      <w:p w:rsidR="00387130" w:rsidRDefault="003871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7130">
          <w:rPr>
            <w:noProof/>
            <w:lang w:val="sk-SK"/>
          </w:rPr>
          <w:t>3</w:t>
        </w:r>
        <w:r>
          <w:fldChar w:fldCharType="end"/>
        </w:r>
      </w:p>
    </w:sdtContent>
  </w:sdt>
  <w:p w:rsidR="00387130" w:rsidRPr="00387130" w:rsidRDefault="00387130" w:rsidP="00387130">
    <w:pPr>
      <w:pStyle w:val="Pta"/>
      <w:jc w:val="center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39" w:rsidRDefault="004C4839">
      <w:r>
        <w:separator/>
      </w:r>
    </w:p>
  </w:footnote>
  <w:footnote w:type="continuationSeparator" w:id="0">
    <w:p w:rsidR="004C4839" w:rsidRDefault="004C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30" w:rsidRDefault="003871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30" w:rsidRDefault="003871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30" w:rsidRDefault="003871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70B1C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5D"/>
    <w:rsid w:val="00095A5A"/>
    <w:rsid w:val="000D5AA2"/>
    <w:rsid w:val="001301B7"/>
    <w:rsid w:val="00146F66"/>
    <w:rsid w:val="0016019B"/>
    <w:rsid w:val="00210AFE"/>
    <w:rsid w:val="0022470F"/>
    <w:rsid w:val="00276D53"/>
    <w:rsid w:val="00284783"/>
    <w:rsid w:val="002975ED"/>
    <w:rsid w:val="002D2A02"/>
    <w:rsid w:val="00307E55"/>
    <w:rsid w:val="003248EF"/>
    <w:rsid w:val="00347F11"/>
    <w:rsid w:val="00387130"/>
    <w:rsid w:val="00396E77"/>
    <w:rsid w:val="003A777D"/>
    <w:rsid w:val="00420B30"/>
    <w:rsid w:val="004459B0"/>
    <w:rsid w:val="00460E49"/>
    <w:rsid w:val="00471578"/>
    <w:rsid w:val="00484515"/>
    <w:rsid w:val="00495032"/>
    <w:rsid w:val="004C4839"/>
    <w:rsid w:val="004E081C"/>
    <w:rsid w:val="00514C66"/>
    <w:rsid w:val="00566A56"/>
    <w:rsid w:val="00594F2D"/>
    <w:rsid w:val="005D35F3"/>
    <w:rsid w:val="005E5AB7"/>
    <w:rsid w:val="0062298E"/>
    <w:rsid w:val="00683829"/>
    <w:rsid w:val="006B1932"/>
    <w:rsid w:val="006D6813"/>
    <w:rsid w:val="00706A5D"/>
    <w:rsid w:val="00752BD0"/>
    <w:rsid w:val="007556C9"/>
    <w:rsid w:val="007669A0"/>
    <w:rsid w:val="00790B4A"/>
    <w:rsid w:val="007A621C"/>
    <w:rsid w:val="007B4A5C"/>
    <w:rsid w:val="00826D0D"/>
    <w:rsid w:val="00863239"/>
    <w:rsid w:val="008B37A1"/>
    <w:rsid w:val="008F72A4"/>
    <w:rsid w:val="009064AC"/>
    <w:rsid w:val="00922E13"/>
    <w:rsid w:val="00950139"/>
    <w:rsid w:val="00965E1D"/>
    <w:rsid w:val="009C5DB8"/>
    <w:rsid w:val="009E2884"/>
    <w:rsid w:val="00A062CC"/>
    <w:rsid w:val="00A65D4D"/>
    <w:rsid w:val="00A95167"/>
    <w:rsid w:val="00AC63D5"/>
    <w:rsid w:val="00AD0315"/>
    <w:rsid w:val="00B05493"/>
    <w:rsid w:val="00B40814"/>
    <w:rsid w:val="00B8573C"/>
    <w:rsid w:val="00BA6083"/>
    <w:rsid w:val="00BB3BA4"/>
    <w:rsid w:val="00BD1BF6"/>
    <w:rsid w:val="00BE31F1"/>
    <w:rsid w:val="00C45A9E"/>
    <w:rsid w:val="00CE6E93"/>
    <w:rsid w:val="00D07342"/>
    <w:rsid w:val="00D27CCB"/>
    <w:rsid w:val="00D50D57"/>
    <w:rsid w:val="00D62A06"/>
    <w:rsid w:val="00D94176"/>
    <w:rsid w:val="00E364A1"/>
    <w:rsid w:val="00E616A4"/>
    <w:rsid w:val="00ED3CD7"/>
    <w:rsid w:val="00F45101"/>
    <w:rsid w:val="00F512E6"/>
    <w:rsid w:val="00F93EDE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18EF"/>
  <w15:docId w15:val="{D0B73D31-E83C-4504-B265-54BFE143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spacing w:line="276" w:lineRule="auto"/>
      <w:outlineLvl w:val="9"/>
    </w:pPr>
  </w:style>
  <w:style w:type="character" w:styleId="Hypertextovprepojenie">
    <w:name w:val="Hyperlink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 w:eastAsia="sk-SK"/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val="en-US" w:eastAsia="sk-SK"/>
    </w:rPr>
  </w:style>
  <w:style w:type="character" w:customStyle="1" w:styleId="Zstupntext1">
    <w:name w:val="Zástupný text1"/>
    <w:semiHidden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E6D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psr.sk/index.php?navID=764&amp;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psr.sk/index.php?navID=764&amp;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commfrontoffice/publicopinion/archives/ebs/ebs_341_fact_sk_en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artin.bencko@land.gov.s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natalia.mogelska@enviro.gov.s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5_dolozka_vybranych_vplyvov"/>
    <f:field ref="objsubject" par="" edit="true" text=""/>
    <f:field ref="objcreatedby" par="" text="Smažáková, Janette"/>
    <f:field ref="objcreatedat" par="" text="17.12.2019 10:27:00"/>
    <f:field ref="objchangedby" par="" text="Administrator, System"/>
    <f:field ref="objmodifiedat" par="" text="17.12.2019 10:27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860DD10-1B66-4E2C-82CC-CDED78D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Vörösová Mária</dc:creator>
  <cp:lastModifiedBy>Smažáková Janette</cp:lastModifiedBy>
  <cp:revision>25</cp:revision>
  <cp:lastPrinted>2019-12-11T12:49:00Z</cp:lastPrinted>
  <dcterms:created xsi:type="dcterms:W3CDTF">2019-10-31T10:34:00Z</dcterms:created>
  <dcterms:modified xsi:type="dcterms:W3CDTF">2020-12-16T13:53:00Z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151/2002 Z. z. o používaní genetických technológií a geneticky modifikovaných organizmov v znení neskorších predpisov a ktorým sa mení a dopĺňa zákon č. 184/2006 Z. z. o pestovaní geneticky modifikovaných rastlín v poľn</vt:lpwstr>
  </property>
  <property fmtid="{D5CDD505-2E9C-101B-9397-08002B2CF9AE}" pid="15" name="FSC#SKEDITIONSLOVLEX@103.510:nazovpredpis1">
    <vt:lpwstr>ohospodárskej výrobe v znení zákona č. 78/2008 Z. z.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151/2002 Z. z. o používaní genetických technológií a geneticky modifikovaných organizmov v znení neskorších predpisov a ktorým sa mení a dopĺňa zákon č. 184/2006 Z. z. o pestovaní geneticky modifikovaných rastlín v</vt:lpwstr>
  </property>
  <property fmtid="{D5CDD505-2E9C-101B-9397-08002B2CF9AE}" pid="24" name="FSC#SKEDITIONSLOVLEX@103.510:plnynazovpredpis1">
    <vt:lpwstr> poľnohospodárskej výrobe v znení zákona č. 78/2008 Z. z.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12942/2019-9.1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LP/2019/898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Články 144, 192  a 193 Zmluvy o fungovaní Európskej únie.</vt:lpwstr>
  </property>
  <property fmtid="{D5CDD505-2E9C-101B-9397-08002B2CF9AE}" pid="47" name="FSC#SKEDITIONSLOVLEX@103.510:AttrStrListDocPropSekundarneLegPravoPO">
    <vt:lpwstr>Smernica Európskeho parlamentu a Rady zo dňa 6. mája 2009 o používaní geneticky modifikovaných mikroorganizmov v uzavretých priestoroch (prepracované znenie) (2009/41/ES) (Ú. v. EÚ, L 125, 21.5.2009)   Gestor: Ministerstvo životného prostredia Slovenskej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C-528/16 Rozsudok z 25. júla 2018, (Ú. v. EÚ C 328, 17.9.2018, s. 4-5): 	 „Článok 2 ods. 2 smernice 2001/18/ES Európskeho parlamentu a Rady z 12. marca 2001 o zámernom uvoľnení geneticky modifikovaných organizmov do životného prostredia a o zrušení smerni</vt:lpwstr>
  </property>
  <property fmtid="{D5CDD505-2E9C-101B-9397-08002B2CF9AE}" pid="52" name="FSC#SKEDITIONSLOVLEX@103.510:AttrStrListDocPropLehotaPrebratieSmernice">
    <vt:lpwstr>Lehota na prebratie smernice č. 2015/412 nebola ustanovená.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nebolo začaté žiadne z vyššie uvedených konaní. </vt:lpwstr>
  </property>
  <property fmtid="{D5CDD505-2E9C-101B-9397-08002B2CF9AE}" pid="55" name="FSC#SKEDITIONSLOVLEX@103.510:AttrStrListDocPropInfoUzPreberanePP">
    <vt:lpwstr>•	Zákon č. 184/2006 Z. z. o pestovaní geneticky modifikovaných rastlín                               v poľnohospodárskej výrobe v znení zákona č. 78/2008 Z. z. a vyhláška Ministerstva pôdohospodárstva Slovenskej republiky č. 69/2007 Z. z., ktorou sa vykon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životného prostredia Slovenskej republiky predkladá do legislatívneho procesu návrh zákona, ktorým sa mení a dopĺňa zákon č. 151/2002 Z. z. o používaní genetických technológií a geneticky modifikovaných organiz</vt:lpwstr>
  </property>
  <property fmtid="{D5CDD505-2E9C-101B-9397-08002B2CF9AE}" pid="150" name="FSC#SKEDITIONSLOVLEX@103.510:vytvorenedna">
    <vt:lpwstr>17. 12. 2019</vt:lpwstr>
  </property>
  <property fmtid="{D5CDD505-2E9C-101B-9397-08002B2CF9AE}" pid="151" name="FSC#COOSYSTEM@1.1:Container">
    <vt:lpwstr>COO.2145.1000.3.3755941</vt:lpwstr>
  </property>
  <property fmtid="{D5CDD505-2E9C-101B-9397-08002B2CF9AE}" pid="152" name="FSC#FSCFOLIO@1.1001:docpropproject">
    <vt:lpwstr/>
  </property>
</Properties>
</file>