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14" w:rsidRPr="005E00D2" w:rsidRDefault="001A3914" w:rsidP="00CC7B3E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5E00D2">
        <w:rPr>
          <w:rFonts w:ascii="Times New Roman" w:hAnsi="Times New Roman"/>
          <w:b/>
          <w:caps/>
          <w:spacing w:val="30"/>
          <w:sz w:val="24"/>
          <w:szCs w:val="24"/>
        </w:rPr>
        <w:t>Dôvodová správa</w:t>
      </w:r>
    </w:p>
    <w:p w:rsidR="001A3914" w:rsidRPr="005E00D2" w:rsidRDefault="001A3914" w:rsidP="001A3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914" w:rsidRPr="005E00D2" w:rsidRDefault="001A3914" w:rsidP="001A391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0D2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1A3914" w:rsidRPr="005E00D2" w:rsidRDefault="001A3914" w:rsidP="001A3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914" w:rsidRPr="005212C9" w:rsidRDefault="00CC7B3E" w:rsidP="001A391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C7B3E">
        <w:rPr>
          <w:rFonts w:ascii="Times New Roman" w:hAnsi="Times New Roman"/>
          <w:sz w:val="24"/>
          <w:szCs w:val="24"/>
          <w:lang w:eastAsia="sk-SK"/>
        </w:rPr>
        <w:t>Vláda Slovenskej republiky predkladá na rokovanie Národnej rady Slovenskej republiky vládny návrh zákona, ktorým</w:t>
      </w:r>
      <w:r w:rsidR="001A3914" w:rsidRPr="005212C9">
        <w:rPr>
          <w:rFonts w:ascii="Times New Roman" w:hAnsi="Times New Roman"/>
          <w:sz w:val="24"/>
          <w:szCs w:val="24"/>
          <w:lang w:eastAsia="sk-SK"/>
        </w:rPr>
        <w:t xml:space="preserve"> sa mení a dopĺňa zákon č. 302/2016 Z. z</w:t>
      </w:r>
      <w:r w:rsidR="000C0B30">
        <w:rPr>
          <w:rFonts w:ascii="Times New Roman" w:hAnsi="Times New Roman"/>
          <w:sz w:val="24"/>
          <w:szCs w:val="24"/>
          <w:lang w:eastAsia="sk-SK"/>
        </w:rPr>
        <w:t>.</w:t>
      </w:r>
      <w:r w:rsidR="001A3914" w:rsidRPr="005212C9">
        <w:rPr>
          <w:rFonts w:ascii="Times New Roman" w:hAnsi="Times New Roman"/>
          <w:sz w:val="24"/>
          <w:szCs w:val="24"/>
          <w:lang w:eastAsia="sk-SK"/>
        </w:rPr>
        <w:t xml:space="preserve">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 v znení zákona č. 274/2017 Z. z. (ďalej len „návrh zákona“). </w:t>
      </w:r>
    </w:p>
    <w:p w:rsidR="001A3914" w:rsidRPr="003A2ABF" w:rsidRDefault="001A3914" w:rsidP="001A391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1A3914" w:rsidRPr="0004320C" w:rsidRDefault="001A3914" w:rsidP="001A391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04320C">
        <w:rPr>
          <w:rFonts w:ascii="Times New Roman" w:hAnsi="Times New Roman"/>
          <w:sz w:val="24"/>
          <w:szCs w:val="24"/>
          <w:lang w:eastAsia="sk-SK"/>
        </w:rPr>
        <w:t>Účelom predloženého návrhu zákona je odstránenie nedostatkov, ktoré vzišli z aplikačnej praxe týkajúcej sa procesu poskytovania dotácií v pôsobnosti Ministerstva spravodlivosti Slovenskej republiky.</w:t>
      </w:r>
    </w:p>
    <w:p w:rsidR="001A3914" w:rsidRPr="0004320C" w:rsidRDefault="001A3914" w:rsidP="001A3914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A3914" w:rsidRPr="0004320C" w:rsidRDefault="001A3914" w:rsidP="001A391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04320C">
        <w:rPr>
          <w:rFonts w:ascii="Times New Roman" w:hAnsi="Times New Roman"/>
          <w:sz w:val="24"/>
          <w:szCs w:val="24"/>
          <w:lang w:eastAsia="sk-SK"/>
        </w:rPr>
        <w:t>Návrh zákona je v súlade s Ústavou Slovenskej republiky, ústavnými zákonmi, nálezmi Ústavného súdu Slovenskej republiky, medzinárodnými zmluvami, ktorými je Slovenská republika viazaná a zákonmi a súčasne je v súlade s právom Európskej únie.</w:t>
      </w:r>
    </w:p>
    <w:p w:rsidR="001A3914" w:rsidRDefault="001A3914" w:rsidP="001A3914">
      <w:pPr>
        <w:widowControl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  <w:r w:rsidRPr="003A2ABF">
        <w:rPr>
          <w:rFonts w:ascii="Times New Roman" w:hAnsi="Times New Roman"/>
          <w:sz w:val="24"/>
          <w:szCs w:val="24"/>
          <w:highlight w:val="yellow"/>
          <w:lang w:eastAsia="sk-SK"/>
        </w:rPr>
        <w:t xml:space="preserve"> </w:t>
      </w:r>
    </w:p>
    <w:p w:rsidR="001A3914" w:rsidRPr="00485D50" w:rsidRDefault="001A3914" w:rsidP="001A3914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485D50">
        <w:rPr>
          <w:rFonts w:ascii="Times New Roman" w:hAnsi="Times New Roman"/>
          <w:sz w:val="24"/>
          <w:szCs w:val="24"/>
          <w:lang w:eastAsia="sk-SK"/>
        </w:rPr>
        <w:t xml:space="preserve">Návrh zákona nebude mať </w:t>
      </w:r>
      <w:r>
        <w:rPr>
          <w:rFonts w:ascii="Times New Roman" w:hAnsi="Times New Roman"/>
          <w:sz w:val="24"/>
          <w:szCs w:val="24"/>
          <w:lang w:eastAsia="sk-SK"/>
        </w:rPr>
        <w:t xml:space="preserve">vplyv na rozpočet verejnej správy, </w:t>
      </w:r>
      <w:r w:rsidRPr="00485D50">
        <w:rPr>
          <w:rFonts w:ascii="Times New Roman" w:hAnsi="Times New Roman"/>
          <w:sz w:val="24"/>
          <w:szCs w:val="24"/>
          <w:lang w:eastAsia="sk-SK"/>
        </w:rPr>
        <w:t xml:space="preserve">sociálny vplyv, ani vplyv </w:t>
      </w:r>
      <w:r w:rsidR="008D4BF3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Pr="00485D50">
        <w:rPr>
          <w:rFonts w:ascii="Times New Roman" w:hAnsi="Times New Roman"/>
          <w:sz w:val="24"/>
          <w:szCs w:val="24"/>
          <w:lang w:eastAsia="sk-SK"/>
        </w:rPr>
        <w:t xml:space="preserve">informatizáciu spoločnosti, na podnikateľské prostredie, na životné prostredie, na služby verejnej správy pre občana, ani na manželstvo, rodičovstvo a rodinu. </w:t>
      </w:r>
    </w:p>
    <w:p w:rsidR="001A3914" w:rsidRDefault="001A3914" w:rsidP="001A3914">
      <w:pPr>
        <w:pStyle w:val="Normlnywebov"/>
        <w:ind w:firstLine="708"/>
        <w:jc w:val="both"/>
      </w:pPr>
      <w:r>
        <w:t xml:space="preserve">Informácia o plánovanej zmene zákona </w:t>
      </w:r>
      <w:r w:rsidRPr="005212C9">
        <w:t>č. 302/2016 Z. z</w:t>
      </w:r>
      <w:r w:rsidR="000C0B30">
        <w:t>.</w:t>
      </w:r>
      <w:r w:rsidRPr="005212C9">
        <w:t xml:space="preserve">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 v znení zákona č. 274/2017 Z. z.</w:t>
      </w:r>
      <w:r>
        <w:t xml:space="preserve"> bola zverejnená vo forme predbežnej informácie na portáli Slov-Lex (pod číslom PI/2020/139 v čase od 15. júla 2020 do 14. augusta 2020). V zmysle uverejnenej predbežnej informácie sa verejnosť mohla zapojiť do prípravy prostredníctvom zaslania svojich pripomienok alebo námetov v elektronickej podobe. V uvedenom termíne, ani po ňom</w:t>
      </w:r>
      <w:r w:rsidR="008D4BF3">
        <w:t>,</w:t>
      </w:r>
      <w:r>
        <w:t xml:space="preserve"> neboli predkladateľovi zaslané žiadne návrhy alebo pripomienky.</w:t>
      </w:r>
    </w:p>
    <w:p w:rsidR="00CC7B3E" w:rsidRPr="00CC7B3E" w:rsidRDefault="001A3914" w:rsidP="00CC7B3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5D50">
        <w:rPr>
          <w:rFonts w:ascii="Times New Roman" w:hAnsi="Times New Roman"/>
          <w:sz w:val="24"/>
          <w:szCs w:val="24"/>
        </w:rPr>
        <w:t xml:space="preserve">Návrh zákona bol predmetom </w:t>
      </w:r>
      <w:r>
        <w:rPr>
          <w:rFonts w:ascii="Times New Roman" w:hAnsi="Times New Roman"/>
          <w:sz w:val="24"/>
          <w:szCs w:val="24"/>
        </w:rPr>
        <w:t xml:space="preserve">riadneho </w:t>
      </w:r>
      <w:r w:rsidRPr="00275D50">
        <w:rPr>
          <w:rFonts w:ascii="Times New Roman" w:hAnsi="Times New Roman"/>
          <w:sz w:val="24"/>
          <w:szCs w:val="24"/>
        </w:rPr>
        <w:t>medzirezortného pripomienkového konania, ktorého vyhodnotenie je súčasťou predkladaného materiálu</w:t>
      </w:r>
      <w:r w:rsidR="00CC7B3E">
        <w:rPr>
          <w:rFonts w:ascii="Times New Roman" w:hAnsi="Times New Roman"/>
          <w:sz w:val="24"/>
          <w:szCs w:val="24"/>
        </w:rPr>
        <w:t>.</w:t>
      </w:r>
      <w:r w:rsidR="00EF639E" w:rsidRPr="00EF639E">
        <w:rPr>
          <w:rFonts w:ascii="Times New Roman" w:hAnsi="Times New Roman"/>
          <w:sz w:val="24"/>
          <w:szCs w:val="24"/>
        </w:rPr>
        <w:t xml:space="preserve"> </w:t>
      </w:r>
      <w:r w:rsidR="00CC7B3E">
        <w:rPr>
          <w:rFonts w:ascii="Times New Roman" w:hAnsi="Times New Roman"/>
          <w:sz w:val="24"/>
          <w:szCs w:val="24"/>
          <w:lang w:eastAsia="sk-SK"/>
        </w:rPr>
        <w:t xml:space="preserve">Dňa </w:t>
      </w:r>
      <w:r w:rsidR="00CC7B3E">
        <w:rPr>
          <w:rFonts w:ascii="Times New Roman" w:hAnsi="Times New Roman"/>
          <w:sz w:val="24"/>
          <w:szCs w:val="24"/>
          <w:lang w:eastAsia="sk-SK"/>
        </w:rPr>
        <w:t>24. novembra 2020</w:t>
      </w:r>
      <w:r w:rsidR="00CC7B3E">
        <w:rPr>
          <w:rFonts w:ascii="Times New Roman" w:hAnsi="Times New Roman"/>
          <w:sz w:val="24"/>
          <w:szCs w:val="24"/>
          <w:lang w:eastAsia="sk-SK"/>
        </w:rPr>
        <w:t xml:space="preserve"> b</w:t>
      </w:r>
      <w:r w:rsidR="00CC7B3E" w:rsidRPr="00E575F6">
        <w:rPr>
          <w:rFonts w:ascii="Times New Roman" w:hAnsi="Times New Roman"/>
          <w:sz w:val="24"/>
          <w:szCs w:val="24"/>
          <w:lang w:eastAsia="sk-SK"/>
        </w:rPr>
        <w:t xml:space="preserve">ol </w:t>
      </w:r>
      <w:r w:rsidR="00CC7B3E">
        <w:rPr>
          <w:rFonts w:ascii="Times New Roman" w:hAnsi="Times New Roman"/>
          <w:sz w:val="24"/>
          <w:szCs w:val="24"/>
          <w:lang w:eastAsia="sk-SK"/>
        </w:rPr>
        <w:t xml:space="preserve">návrh zákona </w:t>
      </w:r>
      <w:r w:rsidR="00CC7B3E" w:rsidRPr="00E575F6">
        <w:rPr>
          <w:rFonts w:ascii="Times New Roman" w:hAnsi="Times New Roman"/>
          <w:sz w:val="24"/>
          <w:szCs w:val="24"/>
          <w:lang w:eastAsia="sk-SK"/>
        </w:rPr>
        <w:t xml:space="preserve">prerokovaný Legislatívnou radou vlády Slovenskej republiky. Vláda Slovenskej republiky návrh zákona prerokovala a schválila </w:t>
      </w:r>
      <w:r w:rsidR="00CC7B3E" w:rsidRPr="00CC7B3E">
        <w:rPr>
          <w:rFonts w:ascii="Times New Roman" w:hAnsi="Times New Roman"/>
          <w:sz w:val="24"/>
          <w:szCs w:val="24"/>
        </w:rPr>
        <w:t>16. decembra 2020</w:t>
      </w:r>
      <w:r w:rsidR="00CC7B3E" w:rsidRPr="00E575F6">
        <w:rPr>
          <w:rFonts w:ascii="Times New Roman" w:hAnsi="Times New Roman"/>
          <w:sz w:val="24"/>
          <w:szCs w:val="24"/>
          <w:lang w:eastAsia="sk-SK"/>
        </w:rPr>
        <w:t>.</w:t>
      </w:r>
    </w:p>
    <w:p w:rsidR="00CC7B3E" w:rsidRPr="00275D50" w:rsidRDefault="00CC7B3E" w:rsidP="001A39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914" w:rsidRDefault="001A3914" w:rsidP="001A3914">
      <w:pPr>
        <w:pStyle w:val="Normlnywebov"/>
        <w:ind w:firstLine="708"/>
        <w:jc w:val="both"/>
      </w:pPr>
      <w:r>
        <w:tab/>
      </w:r>
    </w:p>
    <w:p w:rsidR="00A95F06" w:rsidRPr="00A95F06" w:rsidRDefault="001A3914" w:rsidP="00A95F06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C267B">
        <w:br w:type="page"/>
      </w:r>
      <w:r w:rsidR="00A95F06" w:rsidRPr="00A95F06">
        <w:rPr>
          <w:b/>
          <w:bCs/>
          <w:sz w:val="28"/>
          <w:szCs w:val="28"/>
        </w:rPr>
        <w:lastRenderedPageBreak/>
        <w:t>Doložka vybraných vplyvov</w:t>
      </w:r>
    </w:p>
    <w:p w:rsidR="00A95F06" w:rsidRPr="00A95F06" w:rsidRDefault="00A95F06" w:rsidP="00A95F06">
      <w:pPr>
        <w:spacing w:after="0" w:line="240" w:lineRule="auto"/>
        <w:rPr>
          <w:rFonts w:ascii="Times New Roman" w:hAnsi="Times New Roman"/>
          <w:bCs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9"/>
        <w:gridCol w:w="3633"/>
      </w:tblGrid>
      <w:tr w:rsidR="00A95F06" w:rsidRPr="00A95F06" w:rsidTr="005A62D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1.  Základné údaje</w:t>
            </w:r>
          </w:p>
        </w:tc>
      </w:tr>
      <w:tr w:rsidR="00A95F06" w:rsidRPr="00A95F06" w:rsidTr="005A62D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Názov materiálu</w:t>
            </w:r>
          </w:p>
        </w:tc>
      </w:tr>
      <w:tr w:rsidR="00A95F06" w:rsidRPr="00A95F06" w:rsidTr="005A62D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Zákon, ktorým sa mení a dopĺňa zákon č. 302/2016 Z. z.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 v znení zákona č. 274/2017 Z. z.</w:t>
            </w:r>
          </w:p>
        </w:tc>
      </w:tr>
      <w:tr w:rsidR="00A95F06" w:rsidRPr="00A95F06" w:rsidTr="005A62D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Predkladateľ (a spolupredkladateľ)</w:t>
            </w:r>
          </w:p>
        </w:tc>
      </w:tr>
      <w:tr w:rsidR="00A95F06" w:rsidRPr="00A95F06" w:rsidTr="005A62D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Ministerstvo spravodlivosti Slovenskej republiky</w:t>
            </w:r>
          </w:p>
        </w:tc>
      </w:tr>
      <w:tr w:rsidR="00A95F06" w:rsidRPr="00A95F06" w:rsidTr="005A62D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jc w:val="center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 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  Materiál nelegislatívnej povahy</w:t>
            </w:r>
          </w:p>
        </w:tc>
      </w:tr>
      <w:tr w:rsidR="00A95F06" w:rsidRPr="00A95F06" w:rsidTr="005A62D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 </w:t>
            </w:r>
            <w:r w:rsidRPr="00A95F06">
              <w:rPr>
                <w:rFonts w:ascii="Wingdings 2" w:hAnsi="Wingdings 2" w:cs="Times"/>
                <w:sz w:val="20"/>
                <w:szCs w:val="20"/>
                <w:lang w:eastAsia="sk-SK"/>
              </w:rPr>
              <w:t>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Materiál legislatívnej povahy </w:t>
            </w:r>
          </w:p>
        </w:tc>
      </w:tr>
      <w:tr w:rsidR="00A95F06" w:rsidRPr="00A95F06" w:rsidTr="005A62D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 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Transpozícia práva EÚ </w:t>
            </w:r>
          </w:p>
        </w:tc>
      </w:tr>
      <w:tr w:rsidR="00A95F06" w:rsidRPr="00A95F06" w:rsidTr="005A62D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</w:p>
        </w:tc>
      </w:tr>
      <w:tr w:rsidR="00A95F06" w:rsidRPr="00A95F06" w:rsidTr="005A62D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Začiatok:    ..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Ukončenie: ..</w:t>
            </w:r>
          </w:p>
        </w:tc>
      </w:tr>
      <w:tr w:rsidR="00A95F06" w:rsidRPr="00A95F06" w:rsidTr="005A62D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október 2020</w:t>
            </w:r>
          </w:p>
        </w:tc>
      </w:tr>
      <w:tr w:rsidR="00A95F06" w:rsidRPr="00A95F06" w:rsidTr="005A62D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Predpokladaný termín predloženia na Rokovanie vlády</w:t>
            </w:r>
            <w:r w:rsidRPr="00A95F06">
              <w:rPr>
                <w:rFonts w:ascii="Times" w:hAnsi="Times" w:cs="Times"/>
                <w:b/>
                <w:bCs/>
                <w:lang w:eastAsia="sk-SK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november 2020</w:t>
            </w:r>
          </w:p>
        </w:tc>
      </w:tr>
    </w:tbl>
    <w:p w:rsidR="00A95F06" w:rsidRPr="00A95F06" w:rsidRDefault="00A95F06" w:rsidP="00A95F06">
      <w:pPr>
        <w:spacing w:after="0" w:line="240" w:lineRule="auto"/>
        <w:rPr>
          <w:rFonts w:ascii="Times New Roman" w:hAnsi="Times New Roman"/>
          <w:bCs/>
          <w:lang w:eastAsia="sk-SK"/>
        </w:rPr>
      </w:pPr>
    </w:p>
    <w:p w:rsidR="00A95F06" w:rsidRPr="00A95F06" w:rsidRDefault="00A95F06" w:rsidP="00A95F06">
      <w:pPr>
        <w:spacing w:after="0" w:line="240" w:lineRule="auto"/>
        <w:rPr>
          <w:rFonts w:ascii="Times New Roman" w:hAnsi="Times New Roman"/>
          <w:bCs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2"/>
      </w:tblGrid>
      <w:tr w:rsidR="00A95F06" w:rsidRPr="00A95F06" w:rsidTr="005A62DC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2.  Definícia problému</w:t>
            </w:r>
          </w:p>
        </w:tc>
      </w:tr>
      <w:tr w:rsidR="00A95F06" w:rsidRPr="00A95F06" w:rsidTr="005A62D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Nedostatky, ktoré vzišli z aplikačnej praxe týkajúcej sa procesu poskytovania dotácií v pôsobnosti Ministerstva spravodlivosti Slovenskej republiky (ďalej aj len „ministerstvo“).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Ide napríklad o: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- doplnenie údajov, ktoré poskytujú žiadatelia - fyzické osoby na overenie spĺňania podmienok na poskytnutie dotácie;</w:t>
            </w:r>
          </w:p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- doplnenie dôvodu zaujatosti v prípade, keď je člen alebo členka komisie vo vzťahu k žiadateľovi blízkou osobou;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- spresnenie informácií, ktoré sa zverejňujú na webovom sídle ministerstva v súvislosti s poskytovaním dotácií;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- možnosť ocenenia práce členov a členiek komisie, ktorí/ktoré nie sú štátnymi zamestnancami/zamestnankyňami.</w:t>
            </w:r>
          </w:p>
        </w:tc>
      </w:tr>
      <w:tr w:rsidR="00A95F06" w:rsidRPr="00A95F06" w:rsidTr="005A62DC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3.  Ciele a výsledný stav</w:t>
            </w:r>
          </w:p>
        </w:tc>
      </w:tr>
      <w:tr w:rsidR="00A95F06" w:rsidRPr="00A95F06" w:rsidTr="005A62D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Odstránenie nejasností v texte právnej úpravy a zosúladenie textu zákona so skutočným stavom.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Možnosť poskytnutia odmeny za vykonanú prácu pre tých členov a členky komisie, ktorí/ktoré nie sú štátnymi zamestnancami/zamestnankyňami a aktívne sa podieľajú na procese hodnotenia predložených žiadostí o poskytnutie dotácie.</w:t>
            </w:r>
          </w:p>
        </w:tc>
      </w:tr>
      <w:tr w:rsidR="00A95F06" w:rsidRPr="00A95F06" w:rsidTr="005A62DC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4.  Dotknuté subjekty</w:t>
            </w:r>
          </w:p>
        </w:tc>
      </w:tr>
      <w:tr w:rsidR="00A95F06" w:rsidRPr="00A95F06" w:rsidTr="005A62D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Žiadatelia o poskytnutie dotácie;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Členovia a členky komisie pre vyhodnocovanie žiadostí o dotáciu;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Ministerstvo spravodlivosti Slovenskej republiky.</w:t>
            </w:r>
          </w:p>
        </w:tc>
      </w:tr>
      <w:tr w:rsidR="00A95F06" w:rsidRPr="00A95F06" w:rsidTr="005A62DC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5.  Alternatívne riešenia</w:t>
            </w:r>
          </w:p>
        </w:tc>
      </w:tr>
      <w:tr w:rsidR="00A95F06" w:rsidRPr="00A95F06" w:rsidTr="005A62D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Nulový variant </w:t>
            </w:r>
          </w:p>
          <w:p w:rsidR="00A95F06" w:rsidRPr="00A95F06" w:rsidRDefault="00A95F06" w:rsidP="00A95F06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Poskytovanie dotácií v pôsobnosti ministerstva sa spravuje podľa zákona č. 302/2016 Z. z. v znení neskorších predpisov. Ministerstvo v niektorých prípadoch nevie overovať informácie vo vládnom systéme www.oversi.gov.sk, keďže na to potrebuje rodné číslo žiadateľa, ktorý je fyzickou osobou. Podľa zákona je zriadená komisia pre vyhodnocovanie žiadostí o dotáciu, členstvo, v ktorej je čestnou funkciou. Členmi a členkami komisie sú odborníci a odborníčky, pričom niektorí/niektoré sú zamestnancami/zamestnankyňami v štátnej správe, avšak polovica z nich je z občianskej spoločnosti. Vyhodnocovanie žiadostí si zo strany členov a 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lastRenderedPageBreak/>
              <w:t>členiek komisie vyžaduje veľkú dávku času, preto v záujme zabezpečenia odbornosti členov a členiek sa vytvára možnosť poskytnúť im za vykonanú prácu určitú odmenu, pokiaľ to umožní aktuálny stav rozpočtu ministerstva v príslušnom roku. Nepresnosti v zozname informácií, ktoré ministerstvo zverejňuje na svojom webovom sídle spôsobujú zbytočné nejednoznačnosti v obsahu zverejňovaných informácií.</w:t>
            </w:r>
          </w:p>
        </w:tc>
      </w:tr>
      <w:tr w:rsidR="00A95F06" w:rsidRPr="00A95F06" w:rsidTr="005A62DC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lastRenderedPageBreak/>
              <w:t>  6.  Vykonávacie predpisy</w:t>
            </w:r>
          </w:p>
        </w:tc>
      </w:tr>
      <w:tr w:rsidR="00A95F06" w:rsidRPr="00A95F06" w:rsidTr="005A62D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Predpokladá sa prijatie/zmena vykonávacích predpisov?                          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Áno            </w:t>
            </w:r>
            <w:r w:rsidRPr="00A95F06">
              <w:rPr>
                <w:rFonts w:ascii="Wingdings 2" w:hAnsi="Wingdings 2" w:cs="Times"/>
                <w:sz w:val="20"/>
                <w:szCs w:val="20"/>
                <w:lang w:eastAsia="sk-SK"/>
              </w:rPr>
              <w:t>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  Nie</w:t>
            </w:r>
          </w:p>
        </w:tc>
      </w:tr>
      <w:tr w:rsidR="00A95F06" w:rsidRPr="00A95F06" w:rsidTr="005A62DC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 xml:space="preserve">  7.  Transpozícia práva EÚ </w:t>
            </w:r>
          </w:p>
        </w:tc>
      </w:tr>
      <w:tr w:rsidR="00A95F06" w:rsidRPr="00A95F06" w:rsidTr="005A62D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-</w:t>
            </w:r>
          </w:p>
        </w:tc>
      </w:tr>
      <w:tr w:rsidR="00A95F06" w:rsidRPr="00A95F06" w:rsidTr="005A62DC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8.  Preskúmanie účelnosti**</w:t>
            </w:r>
          </w:p>
        </w:tc>
      </w:tr>
      <w:tr w:rsidR="00A95F06" w:rsidRPr="00A95F06" w:rsidTr="005A62D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-</w:t>
            </w:r>
          </w:p>
        </w:tc>
      </w:tr>
    </w:tbl>
    <w:p w:rsidR="00A95F06" w:rsidRPr="00A95F06" w:rsidRDefault="00A95F06" w:rsidP="00A95F06">
      <w:pPr>
        <w:spacing w:after="0" w:line="240" w:lineRule="auto"/>
        <w:rPr>
          <w:rFonts w:ascii="Times New Roman" w:hAnsi="Times New Roman"/>
          <w:bCs/>
          <w:lang w:eastAsia="sk-SK"/>
        </w:rPr>
      </w:pPr>
    </w:p>
    <w:p w:rsidR="00A95F06" w:rsidRPr="00A95F06" w:rsidRDefault="00A95F06" w:rsidP="00A95F06">
      <w:pPr>
        <w:spacing w:after="0" w:line="240" w:lineRule="auto"/>
        <w:ind w:left="142" w:hanging="142"/>
        <w:rPr>
          <w:rFonts w:ascii="Times New Roman" w:hAnsi="Times New Roman"/>
          <w:sz w:val="20"/>
          <w:szCs w:val="20"/>
          <w:lang w:eastAsia="sk-SK"/>
        </w:rPr>
      </w:pPr>
      <w:r w:rsidRPr="00A95F06">
        <w:rPr>
          <w:rFonts w:ascii="Times New Roman" w:hAnsi="Times New Roman"/>
          <w:sz w:val="20"/>
          <w:szCs w:val="20"/>
          <w:lang w:eastAsia="sk-SK"/>
        </w:rPr>
        <w:t xml:space="preserve">* vyplniť iba v prípade, ak materiál nie je zahrnutý do Plánu práce vlády Slovenskej republiky alebo Plánu        legislatívnych úloh vlády Slovenskej republiky. </w:t>
      </w:r>
    </w:p>
    <w:p w:rsidR="00A95F06" w:rsidRPr="00A95F06" w:rsidRDefault="00A95F06" w:rsidP="00A95F06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A95F06">
        <w:rPr>
          <w:rFonts w:ascii="Times New Roman" w:hAnsi="Times New Roman"/>
          <w:sz w:val="20"/>
          <w:szCs w:val="20"/>
          <w:lang w:eastAsia="sk-SK"/>
        </w:rPr>
        <w:t>** nepovinné</w:t>
      </w:r>
    </w:p>
    <w:p w:rsidR="00A95F06" w:rsidRPr="00A95F06" w:rsidRDefault="00A95F06" w:rsidP="00A95F06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A95F06" w:rsidRPr="00A95F06" w:rsidRDefault="00A95F06" w:rsidP="00A95F06">
      <w:pPr>
        <w:spacing w:after="0" w:line="240" w:lineRule="auto"/>
        <w:rPr>
          <w:rFonts w:ascii="Times New Roman" w:hAnsi="Times New Roman"/>
          <w:bCs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6"/>
        <w:gridCol w:w="1816"/>
        <w:gridCol w:w="1816"/>
      </w:tblGrid>
      <w:tr w:rsidR="00A95F06" w:rsidRPr="00A95F06" w:rsidTr="005A62D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sz w:val="20"/>
                <w:szCs w:val="20"/>
                <w:lang w:eastAsia="sk-SK"/>
              </w:rPr>
              <w:t>  9.   Vplyvy navrhovaného materiálu</w:t>
            </w:r>
          </w:p>
        </w:tc>
      </w:tr>
      <w:tr w:rsidR="00A95F06" w:rsidRPr="00A95F06" w:rsidTr="005A62D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sz w:val="20"/>
                <w:szCs w:val="20"/>
                <w:lang w:eastAsia="sk-SK"/>
              </w:rPr>
              <w:t>  Vplyvy na rozpočet verejnej správy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0"/>
                <w:szCs w:val="20"/>
                <w:lang w:eastAsia="sk-SK"/>
              </w:rPr>
              <w:t>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A95F06" w:rsidRPr="00A95F06" w:rsidTr="005A62D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Čiastočne</w:t>
            </w:r>
          </w:p>
        </w:tc>
      </w:tr>
      <w:tr w:rsidR="00A95F06" w:rsidRPr="00A95F06" w:rsidTr="005A62D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sz w:val="20"/>
                <w:szCs w:val="20"/>
                <w:lang w:eastAsia="sk-SK"/>
              </w:rPr>
              <w:t>  Vplyvy na podnikateľské prostredie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0"/>
                <w:szCs w:val="20"/>
                <w:lang w:eastAsia="sk-SK"/>
              </w:rPr>
              <w:t>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A95F06" w:rsidRPr="00A95F06" w:rsidTr="005A62D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A95F06" w:rsidRPr="00A95F06" w:rsidTr="005A62D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sz w:val="20"/>
                <w:szCs w:val="20"/>
                <w:lang w:eastAsia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0"/>
                <w:szCs w:val="20"/>
                <w:lang w:eastAsia="sk-SK"/>
              </w:rPr>
              <w:t>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A95F06" w:rsidRPr="00A95F06" w:rsidTr="005A62D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sz w:val="20"/>
                <w:szCs w:val="20"/>
                <w:lang w:eastAsia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0"/>
                <w:szCs w:val="20"/>
                <w:lang w:eastAsia="sk-SK"/>
              </w:rPr>
              <w:t>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A95F06" w:rsidRPr="00A95F06" w:rsidTr="005A62D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sz w:val="20"/>
                <w:szCs w:val="20"/>
                <w:lang w:eastAsia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0"/>
                <w:szCs w:val="20"/>
                <w:lang w:eastAsia="sk-SK"/>
              </w:rPr>
              <w:t>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A95F06" w:rsidRPr="00A95F06" w:rsidTr="005A62D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sz w:val="20"/>
                <w:szCs w:val="20"/>
                <w:lang w:eastAsia="sk-SK"/>
              </w:rPr>
              <w:t>  Vplyvy na služby pre občana z toho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    vplyvy služieb verejnej správy na občana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    vplyvy na procesy služieb vo verejnej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 xml:space="preserve">  </w:t>
            </w:r>
            <w:r w:rsidRPr="00A95F06">
              <w:rPr>
                <w:rFonts w:ascii="Wingdings 2" w:hAnsi="Wingdings 2" w:cs="Times"/>
                <w:sz w:val="20"/>
                <w:szCs w:val="20"/>
                <w:lang w:eastAsia="sk-SK"/>
              </w:rPr>
              <w:t>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br/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A95F06" w:rsidRPr="00A95F06" w:rsidTr="005A62D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0"/>
                <w:szCs w:val="20"/>
                <w:lang w:eastAsia="sk-SK"/>
              </w:rPr>
              <w:t>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A95F06" w:rsidRPr="00A95F06" w:rsidTr="005A62D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sz w:val="20"/>
                <w:szCs w:val="20"/>
                <w:lang w:eastAsia="sk-SK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0"/>
                <w:szCs w:val="20"/>
                <w:lang w:eastAsia="sk-SK"/>
              </w:rPr>
              <w:t>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  </w:t>
            </w:r>
            <w:r w:rsidRPr="00A95F06">
              <w:rPr>
                <w:rFonts w:ascii="Wingdings 2" w:hAnsi="Wingdings 2" w:cs="Times"/>
                <w:sz w:val="28"/>
                <w:szCs w:val="28"/>
                <w:lang w:eastAsia="sk-SK"/>
              </w:rPr>
              <w:t></w:t>
            </w: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</w:tbl>
    <w:p w:rsidR="00A95F06" w:rsidRPr="00A95F06" w:rsidRDefault="00A95F06" w:rsidP="00A95F06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A95F06" w:rsidRPr="00A95F06" w:rsidRDefault="00A95F06" w:rsidP="00A95F06">
      <w:pPr>
        <w:spacing w:after="0" w:line="240" w:lineRule="auto"/>
        <w:rPr>
          <w:rFonts w:ascii="Times New Roman" w:hAnsi="Times New Roman"/>
          <w:bCs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2"/>
      </w:tblGrid>
      <w:tr w:rsidR="00A95F06" w:rsidRPr="00A95F06" w:rsidTr="005A62DC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10.  Poznámky</w:t>
            </w:r>
          </w:p>
        </w:tc>
      </w:tr>
      <w:tr w:rsidR="00A95F06" w:rsidRPr="00A95F06" w:rsidTr="005A62D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Prípadné výdavky súvisiace s realizáciou finančného ohodnotenia za výkon funkcie člena alebo členky komisie, ktorí/ktoré nie sú zamestnancami alebo zamestnankyňami štátnej správy formou odmeny budú zabezpečené v rámci limitov rozpočtu kapitoly Ministerstva spravodlivosti SR na príslušný rozpočtový rok.</w:t>
            </w:r>
          </w:p>
        </w:tc>
      </w:tr>
      <w:tr w:rsidR="00A95F06" w:rsidRPr="00A95F06" w:rsidTr="005A62DC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11.  Kontakt na spracovateľa</w:t>
            </w:r>
          </w:p>
        </w:tc>
      </w:tr>
      <w:tr w:rsidR="00A95F06" w:rsidRPr="00A95F06" w:rsidTr="005A62D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JUDr. Jana Urbanová, odbor ľudských práv, kancelária štátneho tajomníka, Ministerstvo spravodlivosti SR, tel. č. 02/888 91 539, e-mail: jana.urbanova1@justice.sk</w:t>
            </w:r>
          </w:p>
        </w:tc>
      </w:tr>
      <w:tr w:rsidR="00A95F06" w:rsidRPr="00A95F06" w:rsidTr="005A62DC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12.  Zdroje</w:t>
            </w:r>
          </w:p>
        </w:tc>
      </w:tr>
      <w:tr w:rsidR="00A95F06" w:rsidRPr="00A95F06" w:rsidTr="005A62D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-</w:t>
            </w:r>
          </w:p>
        </w:tc>
      </w:tr>
      <w:tr w:rsidR="00A95F06" w:rsidRPr="00A95F06" w:rsidTr="005A62DC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b/>
                <w:bCs/>
                <w:lang w:eastAsia="sk-SK"/>
              </w:rPr>
            </w:pPr>
            <w:r w:rsidRPr="00A95F06">
              <w:rPr>
                <w:rFonts w:ascii="Times" w:hAnsi="Times" w:cs="Times"/>
                <w:b/>
                <w:bCs/>
                <w:lang w:eastAsia="sk-SK"/>
              </w:rPr>
              <w:t>  13.  Stanovisko Komisie pre posudzovanie vybraných vplyvov z PPK</w:t>
            </w:r>
          </w:p>
        </w:tc>
      </w:tr>
      <w:tr w:rsidR="00A95F06" w:rsidRPr="00A95F06" w:rsidTr="005A62DC">
        <w:trPr>
          <w:trHeight w:val="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F06" w:rsidRPr="00A95F06" w:rsidRDefault="00A95F06" w:rsidP="00A95F06">
            <w:pPr>
              <w:spacing w:after="0" w:line="240" w:lineRule="auto"/>
              <w:rPr>
                <w:rFonts w:ascii="Times" w:hAnsi="Times" w:cs="Times"/>
                <w:sz w:val="20"/>
                <w:szCs w:val="20"/>
                <w:lang w:eastAsia="sk-SK"/>
              </w:rPr>
            </w:pPr>
            <w:r w:rsidRPr="00A95F06">
              <w:rPr>
                <w:rFonts w:ascii="Times" w:hAnsi="Times" w:cs="Times"/>
                <w:sz w:val="20"/>
                <w:szCs w:val="20"/>
                <w:lang w:eastAsia="sk-SK"/>
              </w:rPr>
              <w:t>-</w:t>
            </w:r>
          </w:p>
        </w:tc>
      </w:tr>
    </w:tbl>
    <w:p w:rsidR="00A95F06" w:rsidRPr="00A95F06" w:rsidRDefault="00A95F06" w:rsidP="00A95F0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sk-SK"/>
        </w:rPr>
      </w:pPr>
    </w:p>
    <w:p w:rsidR="00A95F06" w:rsidRPr="00A95F06" w:rsidRDefault="00A95F06" w:rsidP="00A95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  <w:lang w:eastAsia="sk-SK"/>
        </w:rPr>
      </w:pPr>
      <w:r w:rsidRPr="00A95F06">
        <w:rPr>
          <w:rFonts w:ascii="Times New Roman" w:hAnsi="Times New Roman"/>
          <w:b/>
          <w:caps/>
          <w:spacing w:val="30"/>
          <w:sz w:val="24"/>
          <w:szCs w:val="24"/>
          <w:lang w:eastAsia="sk-SK"/>
        </w:rPr>
        <w:lastRenderedPageBreak/>
        <w:t>Doložka zlučiteľnosti</w:t>
      </w:r>
    </w:p>
    <w:p w:rsidR="00A95F06" w:rsidRPr="00A95F06" w:rsidRDefault="00A95F06" w:rsidP="00A95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A95F06">
        <w:rPr>
          <w:rFonts w:ascii="Times New Roman" w:hAnsi="Times New Roman"/>
          <w:b/>
          <w:sz w:val="24"/>
          <w:szCs w:val="24"/>
          <w:lang w:eastAsia="sk-SK"/>
        </w:rPr>
        <w:t>návrhu právneho predpisu s právom Európskej únie</w:t>
      </w:r>
    </w:p>
    <w:p w:rsidR="00A95F06" w:rsidRPr="00A95F06" w:rsidRDefault="00A95F06" w:rsidP="00A95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A95F06" w:rsidRPr="00A95F06" w:rsidRDefault="00A95F06" w:rsidP="00A95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A95F06" w:rsidRPr="00A95F06" w:rsidTr="005A62DC">
        <w:tc>
          <w:tcPr>
            <w:tcW w:w="404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A95F0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27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95F06">
              <w:rPr>
                <w:b/>
                <w:sz w:val="24"/>
                <w:szCs w:val="24"/>
              </w:rPr>
              <w:t>Predkladateľ návrhu právneho predpisu:</w:t>
            </w:r>
            <w:r w:rsidRPr="00A95F06">
              <w:rPr>
                <w:sz w:val="24"/>
                <w:szCs w:val="24"/>
              </w:rPr>
              <w:t xml:space="preserve"> </w:t>
            </w:r>
            <w:r w:rsidRPr="00A95F06">
              <w:rPr>
                <w:sz w:val="24"/>
                <w:szCs w:val="24"/>
              </w:rPr>
              <w:fldChar w:fldCharType="begin"/>
            </w:r>
            <w:r w:rsidRPr="00A95F06">
              <w:rPr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A95F06">
              <w:rPr>
                <w:sz w:val="24"/>
                <w:szCs w:val="24"/>
              </w:rPr>
              <w:fldChar w:fldCharType="separate"/>
            </w:r>
            <w:r w:rsidRPr="00A95F06">
              <w:rPr>
                <w:sz w:val="24"/>
                <w:szCs w:val="24"/>
              </w:rPr>
              <w:t>Ministerstvo spravodlivosti Slovenskej republiky</w:t>
            </w:r>
            <w:r w:rsidRPr="00A95F06">
              <w:rPr>
                <w:sz w:val="24"/>
                <w:szCs w:val="24"/>
              </w:rPr>
              <w:fldChar w:fldCharType="end"/>
            </w:r>
          </w:p>
        </w:tc>
      </w:tr>
      <w:tr w:rsidR="00A95F06" w:rsidRPr="00A95F06" w:rsidTr="005A62DC">
        <w:tc>
          <w:tcPr>
            <w:tcW w:w="404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5F06" w:rsidRPr="00A95F06" w:rsidTr="005A62DC">
        <w:tc>
          <w:tcPr>
            <w:tcW w:w="404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A95F0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27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95F06">
              <w:rPr>
                <w:b/>
                <w:sz w:val="24"/>
                <w:szCs w:val="24"/>
              </w:rPr>
              <w:t>Názov návrhu právneho predpisu:</w:t>
            </w:r>
            <w:r w:rsidRPr="00A95F06">
              <w:rPr>
                <w:sz w:val="24"/>
                <w:szCs w:val="24"/>
              </w:rPr>
              <w:t xml:space="preserve"> </w:t>
            </w:r>
            <w:r w:rsidRPr="00A95F06">
              <w:rPr>
                <w:sz w:val="24"/>
                <w:szCs w:val="24"/>
              </w:rPr>
              <w:fldChar w:fldCharType="begin"/>
            </w:r>
            <w:r w:rsidRPr="00A95F06">
              <w:rPr>
                <w:sz w:val="24"/>
                <w:szCs w:val="24"/>
              </w:rPr>
              <w:instrText xml:space="preserve"> DOCPROPERTY  FSC#SKEDITIONSLOVLEX@103.510:plnynazovpredpis  \* MERGEFORMAT </w:instrText>
            </w:r>
            <w:r w:rsidRPr="00A95F06">
              <w:rPr>
                <w:sz w:val="24"/>
                <w:szCs w:val="24"/>
              </w:rPr>
              <w:fldChar w:fldCharType="separate"/>
            </w:r>
            <w:r w:rsidRPr="00A95F06">
              <w:rPr>
                <w:sz w:val="24"/>
                <w:szCs w:val="24"/>
              </w:rPr>
              <w:t xml:space="preserve"> Zákon, ktorým sa mení a dopĺňa zákon č. 302/2016 Z. z. o poskytovaní dotácií v pôsobnosti Ministerstva spravodlivosti Slovenskej republiky a o zmene a doplnení zákona č. 545/2010 Z. z. o poskytovaní dotácií v pôsobnosti Ministerstva zahraničných vecí Slov</w:t>
            </w:r>
            <w:r w:rsidRPr="00A95F06">
              <w:rPr>
                <w:sz w:val="24"/>
                <w:szCs w:val="24"/>
              </w:rPr>
              <w:fldChar w:fldCharType="end"/>
            </w:r>
            <w:r w:rsidRPr="00A95F06">
              <w:rPr>
                <w:sz w:val="24"/>
                <w:szCs w:val="24"/>
              </w:rPr>
              <w:fldChar w:fldCharType="begin"/>
            </w:r>
            <w:r w:rsidRPr="00A95F06">
              <w:rPr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A95F06">
              <w:rPr>
                <w:sz w:val="24"/>
                <w:szCs w:val="24"/>
              </w:rPr>
              <w:fldChar w:fldCharType="separate"/>
            </w:r>
            <w:r w:rsidRPr="00A95F06">
              <w:rPr>
                <w:sz w:val="24"/>
                <w:szCs w:val="24"/>
              </w:rPr>
              <w:t>enskej republiky a o zmene a doplnení zákona č. 617/2007 Z. z. o oficiálnej rozvojovej pomoci a o doplnení zákona č. 575/2001 Z. z. o organizácii činnosti vlády a organizácii ústrednej štátnej správy v znení neskorších predpisov v znení zákona č. 287/201</w:t>
            </w:r>
            <w:r w:rsidRPr="00A95F06">
              <w:rPr>
                <w:sz w:val="24"/>
                <w:szCs w:val="24"/>
              </w:rPr>
              <w:fldChar w:fldCharType="end"/>
            </w:r>
            <w:r w:rsidRPr="00A95F06">
              <w:rPr>
                <w:sz w:val="24"/>
                <w:szCs w:val="24"/>
              </w:rPr>
              <w:fldChar w:fldCharType="begin"/>
            </w:r>
            <w:r w:rsidRPr="00A95F06">
              <w:rPr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A95F06">
              <w:rPr>
                <w:sz w:val="24"/>
                <w:szCs w:val="24"/>
              </w:rPr>
              <w:fldChar w:fldCharType="separate"/>
            </w:r>
            <w:r w:rsidRPr="00A95F06">
              <w:rPr>
                <w:sz w:val="24"/>
                <w:szCs w:val="24"/>
              </w:rPr>
              <w:t>2 Z. z. v znení zákona č. 274/2017 Z. z.</w:t>
            </w:r>
            <w:r w:rsidRPr="00A95F06">
              <w:rPr>
                <w:sz w:val="24"/>
                <w:szCs w:val="24"/>
              </w:rPr>
              <w:fldChar w:fldCharType="end"/>
            </w:r>
            <w:r w:rsidRPr="00A95F06">
              <w:rPr>
                <w:sz w:val="24"/>
                <w:szCs w:val="24"/>
              </w:rPr>
              <w:fldChar w:fldCharType="begin"/>
            </w:r>
            <w:r w:rsidRPr="00A95F06">
              <w:rPr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A95F06">
              <w:rPr>
                <w:sz w:val="24"/>
                <w:szCs w:val="24"/>
              </w:rPr>
              <w:fldChar w:fldCharType="end"/>
            </w:r>
          </w:p>
        </w:tc>
      </w:tr>
      <w:tr w:rsidR="00A95F06" w:rsidRPr="00A95F06" w:rsidTr="005A62DC">
        <w:tc>
          <w:tcPr>
            <w:tcW w:w="404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5F06" w:rsidRPr="00A95F06" w:rsidTr="005A62DC">
        <w:tc>
          <w:tcPr>
            <w:tcW w:w="404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A95F0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27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A95F06">
              <w:rPr>
                <w:b/>
                <w:sz w:val="24"/>
                <w:szCs w:val="24"/>
              </w:rPr>
              <w:t>Problematika návrhu právneho predpisu:</w:t>
            </w:r>
          </w:p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5F06" w:rsidRPr="00A95F06" w:rsidTr="005A62DC">
        <w:tc>
          <w:tcPr>
            <w:tcW w:w="404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A95F06" w:rsidRPr="00A95F06" w:rsidRDefault="00A95F06" w:rsidP="00A95F06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95F06">
              <w:rPr>
                <w:sz w:val="24"/>
                <w:szCs w:val="24"/>
              </w:rPr>
              <w:t>nie je upravený v práve Európskej únie</w:t>
            </w:r>
          </w:p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A95F06" w:rsidRPr="00A95F06" w:rsidTr="005A62DC">
        <w:tc>
          <w:tcPr>
            <w:tcW w:w="404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A95F06" w:rsidRPr="00A95F06" w:rsidRDefault="00A95F06" w:rsidP="00A95F06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A95F06" w:rsidRPr="00A95F06" w:rsidTr="005A62DC">
        <w:tc>
          <w:tcPr>
            <w:tcW w:w="404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27" w:type="dxa"/>
          </w:tcPr>
          <w:p w:rsidR="00A95F06" w:rsidRPr="00A95F06" w:rsidRDefault="00A95F06" w:rsidP="00A95F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95F06" w:rsidRPr="00A95F06" w:rsidRDefault="00A95F06" w:rsidP="00A95F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95F06" w:rsidRPr="00A95F06" w:rsidRDefault="00A95F06" w:rsidP="00A95F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95F06">
        <w:rPr>
          <w:rFonts w:ascii="Times New Roman" w:hAnsi="Times New Roman"/>
          <w:b/>
          <w:bCs/>
          <w:sz w:val="24"/>
          <w:szCs w:val="24"/>
          <w:lang w:eastAsia="sk-SK"/>
        </w:rPr>
        <w:t>Vzhľadom na vnútroštátny charakter navrhovaného právneho predpisu je bezpredmetné vyjadrovať sa k bodom 4. a 5. doložky zlučiteľnosti.</w:t>
      </w:r>
    </w:p>
    <w:p w:rsidR="00A95F06" w:rsidRPr="00A95F06" w:rsidRDefault="00A95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5F06">
        <w:rPr>
          <w:rFonts w:ascii="Times New Roman" w:hAnsi="Times New Roman"/>
          <w:b/>
          <w:sz w:val="24"/>
          <w:szCs w:val="24"/>
        </w:rPr>
        <w:br w:type="page"/>
      </w:r>
    </w:p>
    <w:p w:rsidR="001A3914" w:rsidRPr="00BC267B" w:rsidRDefault="001A3914" w:rsidP="001A3914">
      <w:pPr>
        <w:pStyle w:val="Odsekzoznamu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sk-SK"/>
        </w:rPr>
      </w:pPr>
      <w:r w:rsidRPr="00BC267B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1A3914" w:rsidRPr="005E00D2" w:rsidRDefault="001A3914" w:rsidP="001A39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0D2">
        <w:rPr>
          <w:rFonts w:ascii="Times New Roman" w:hAnsi="Times New Roman"/>
          <w:b/>
          <w:sz w:val="24"/>
          <w:szCs w:val="24"/>
        </w:rPr>
        <w:t xml:space="preserve"> </w:t>
      </w:r>
    </w:p>
    <w:p w:rsidR="001A3914" w:rsidRPr="005E00D2" w:rsidRDefault="001A3914" w:rsidP="001A39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00D2">
        <w:rPr>
          <w:rFonts w:ascii="Times New Roman" w:hAnsi="Times New Roman"/>
          <w:b/>
          <w:sz w:val="24"/>
          <w:szCs w:val="24"/>
        </w:rPr>
        <w:t>K čl. I</w:t>
      </w:r>
    </w:p>
    <w:p w:rsidR="001A3914" w:rsidRPr="005E00D2" w:rsidRDefault="001A3914" w:rsidP="001A39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3914" w:rsidRDefault="001A3914" w:rsidP="001A391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1</w:t>
      </w:r>
    </w:p>
    <w:p w:rsidR="001A3914" w:rsidRDefault="001A3914" w:rsidP="001A3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914" w:rsidRDefault="001A3914" w:rsidP="001A3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rezorte Ministerstva kultúry Slovenskej republiky existuje dotačný program na podporu kultúry</w:t>
      </w:r>
      <w:r w:rsidR="008D4BF3">
        <w:rPr>
          <w:rFonts w:ascii="Times New Roman" w:hAnsi="Times New Roman"/>
          <w:sz w:val="24"/>
          <w:szCs w:val="24"/>
        </w:rPr>
        <w:t xml:space="preserve"> znevýhodnených skupín, do ktorého</w:t>
      </w:r>
      <w:r>
        <w:rPr>
          <w:rFonts w:ascii="Times New Roman" w:hAnsi="Times New Roman"/>
          <w:sz w:val="24"/>
          <w:szCs w:val="24"/>
        </w:rPr>
        <w:t xml:space="preserve"> spadajú práve tieto aktivity. Zároveň sú lokálne spoločenské aktivity niekedy menej efektívne v porovnaní s inými, na ktoré môžu byť obmedzené dotačné prostriedky použité. Z uvedených dôvodov sa podpora </w:t>
      </w:r>
      <w:r w:rsidRPr="00955D1E">
        <w:rPr>
          <w:rFonts w:ascii="Times New Roman" w:hAnsi="Times New Roman"/>
          <w:sz w:val="24"/>
          <w:szCs w:val="24"/>
        </w:rPr>
        <w:t>kultúrnych aktivít v oblasti ľudských práv a slobôd a predchádzania všetkým formám diskriminácie, rasizmu, xenofóbie, antisemitizmu a ostatným prejavom intolerancie,</w:t>
      </w:r>
      <w:r>
        <w:rPr>
          <w:rFonts w:ascii="Times New Roman" w:hAnsi="Times New Roman"/>
          <w:sz w:val="24"/>
          <w:szCs w:val="24"/>
        </w:rPr>
        <w:t xml:space="preserve"> vypúšťa z účelu dotácie, na ktorý môže Ministerstvo spravodlivosti Slovenskej republiky (ďalej len „ministerstvo“) dotáciu poskytnúť.</w:t>
      </w:r>
    </w:p>
    <w:p w:rsidR="001A3914" w:rsidRDefault="001A3914" w:rsidP="001A3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914" w:rsidRPr="005E00D2" w:rsidRDefault="001A3914" w:rsidP="001A391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2</w:t>
      </w:r>
    </w:p>
    <w:p w:rsidR="001A3914" w:rsidRPr="005E00D2" w:rsidRDefault="001A3914" w:rsidP="001A39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3914" w:rsidRPr="00FA7812" w:rsidRDefault="001A3914" w:rsidP="001A39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Aj v tomto prípade vyplynulo z aplikačnej praxe, že zadefinovanie použité v zákone je nadbytočné. V prípade, že subjekt, ktorému ministerstvo poskytuje dotáciu (t. j. žiadateľ), používa na dofinancovanie realizácie projektu tzv. „prostriedky z iných zdrojov“ (napr. od obchodných spoločností, ktoré takéto granty na projekty poskytujú), stávajú sa tieto prostriedky z pohľadu ministerstva po ich poskytnutí danému subjektu jeho vlastnými zdrojmi. Týmito prostriedkami môže potom subjekt dofinancovať uskutočnenie projektu, na podporu ktorého žiada financie (dotáciu) od ministerstva. Z uvedeného dôvodu sa zo zákona </w:t>
      </w:r>
      <w:r w:rsidRPr="00FA7812">
        <w:rPr>
          <w:rFonts w:ascii="Times New Roman" w:hAnsi="Times New Roman"/>
          <w:sz w:val="24"/>
          <w:szCs w:val="24"/>
        </w:rPr>
        <w:t>vypúšťajú slová „alebo iných zdrojov“ ako nadbytočné.</w:t>
      </w:r>
    </w:p>
    <w:p w:rsidR="001A3914" w:rsidRDefault="001A3914" w:rsidP="001A391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A7812">
        <w:rPr>
          <w:rFonts w:ascii="Times New Roman" w:hAnsi="Times New Roman"/>
          <w:sz w:val="24"/>
          <w:szCs w:val="24"/>
        </w:rPr>
        <w:t>K bodu 3</w:t>
      </w:r>
    </w:p>
    <w:p w:rsidR="001A3914" w:rsidRDefault="001A3914" w:rsidP="001A39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nadväznosti na odbremenenie byrokratickej záťaže žiadateľov (vyplývajúce zo zákona o e-</w:t>
      </w:r>
      <w:proofErr w:type="spellStart"/>
      <w:r>
        <w:rPr>
          <w:rFonts w:ascii="Times New Roman" w:hAnsi="Times New Roman"/>
          <w:sz w:val="24"/>
          <w:szCs w:val="24"/>
        </w:rPr>
        <w:t>Governmente</w:t>
      </w:r>
      <w:proofErr w:type="spellEnd"/>
      <w:r>
        <w:rPr>
          <w:rFonts w:ascii="Times New Roman" w:hAnsi="Times New Roman"/>
          <w:sz w:val="24"/>
          <w:szCs w:val="24"/>
        </w:rPr>
        <w:t xml:space="preserve">) sú ústredné orgány štátnej správy povinné si sami overovať informácie týkajúce sa žiadateľa. Na tento účel slúži </w:t>
      </w:r>
      <w:r w:rsidRPr="000E1116">
        <w:rPr>
          <w:rFonts w:ascii="Times New Roman" w:hAnsi="Times New Roman"/>
          <w:sz w:val="24"/>
          <w:szCs w:val="24"/>
        </w:rPr>
        <w:t xml:space="preserve">webový portál </w:t>
      </w:r>
      <w:hyperlink r:id="rId7" w:history="1">
        <w:r w:rsidRPr="000E1116">
          <w:rPr>
            <w:rStyle w:val="Hypertextovprepojenie"/>
            <w:rFonts w:ascii="Times New Roman" w:hAnsi="Times New Roman"/>
            <w:sz w:val="24"/>
            <w:szCs w:val="24"/>
          </w:rPr>
          <w:t>www.oversi.gov.sk</w:t>
        </w:r>
      </w:hyperlink>
      <w:r>
        <w:rPr>
          <w:rFonts w:ascii="Times New Roman" w:hAnsi="Times New Roman"/>
          <w:sz w:val="24"/>
          <w:szCs w:val="24"/>
        </w:rPr>
        <w:t>, ktorý je prístupný aj pre ministerstvo. Údaje k žiadateľovi, ktorý je fyzickou osobou sú však prístupné len po zadaní jeho rodného čísla do systému. Uvedenie rodného čísla v žiadosti je preto nevyhnutné a dopĺňa sa do zákona.</w:t>
      </w:r>
    </w:p>
    <w:p w:rsidR="001A3914" w:rsidRDefault="001A3914" w:rsidP="001A3914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4</w:t>
      </w:r>
    </w:p>
    <w:p w:rsidR="001A3914" w:rsidRDefault="001A3914" w:rsidP="001A39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Pozri odôvodnenie k bodu 2.</w:t>
      </w:r>
    </w:p>
    <w:p w:rsidR="001A3914" w:rsidRDefault="001A3914" w:rsidP="001A3914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5</w:t>
      </w:r>
    </w:p>
    <w:p w:rsidR="001A3914" w:rsidRDefault="001A3914" w:rsidP="001A39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Funkcia člena komisie na vyhodnocovanie žiadostí o poskytnutie dotácie (ďalej len „komisia“) bola doteraz čestnou funkciou. Navrhuje sa, aby ministerstvo malo možnosť poskytnúť odmenu za vykonanie práce odborníkom a odborníčkam v hodnotiacej komisii, osobitne tým, ktorí</w:t>
      </w:r>
      <w:r w:rsidR="008D4BF3">
        <w:rPr>
          <w:rFonts w:ascii="Times New Roman" w:hAnsi="Times New Roman"/>
          <w:sz w:val="24"/>
          <w:szCs w:val="24"/>
        </w:rPr>
        <w:t>/ktoré</w:t>
      </w:r>
      <w:r>
        <w:rPr>
          <w:rFonts w:ascii="Times New Roman" w:hAnsi="Times New Roman"/>
          <w:sz w:val="24"/>
          <w:szCs w:val="24"/>
        </w:rPr>
        <w:t xml:space="preserve"> nie sú zamestnancami </w:t>
      </w:r>
      <w:r w:rsidR="008D4BF3">
        <w:rPr>
          <w:rFonts w:ascii="Times New Roman" w:hAnsi="Times New Roman"/>
          <w:sz w:val="24"/>
          <w:szCs w:val="24"/>
        </w:rPr>
        <w:t xml:space="preserve">alebo zamestnankyňami </w:t>
      </w:r>
      <w:r>
        <w:rPr>
          <w:rFonts w:ascii="Times New Roman" w:hAnsi="Times New Roman"/>
          <w:sz w:val="24"/>
          <w:szCs w:val="24"/>
        </w:rPr>
        <w:t>štátnej správy. Ministerstvo pristúpilo k tejto zmene z dôvodu, že vyhodnocovanie žiadostí si vyžaduje zo strany člena</w:t>
      </w:r>
      <w:r w:rsidR="008D4BF3">
        <w:rPr>
          <w:rFonts w:ascii="Times New Roman" w:hAnsi="Times New Roman"/>
          <w:sz w:val="24"/>
          <w:szCs w:val="24"/>
        </w:rPr>
        <w:t>/členky</w:t>
      </w:r>
      <w:r>
        <w:rPr>
          <w:rFonts w:ascii="Times New Roman" w:hAnsi="Times New Roman"/>
          <w:sz w:val="24"/>
          <w:szCs w:val="24"/>
        </w:rPr>
        <w:t xml:space="preserve"> komisie investovanie času pri hodnotení jemu/jej pridelených žiadostí (viď § 5 ods. 3 vyhlášky č. 322/2016 Z. z. v znení neskorších predpisov), pričom pri </w:t>
      </w:r>
      <w:r>
        <w:rPr>
          <w:rFonts w:ascii="Times New Roman" w:hAnsi="Times New Roman"/>
          <w:sz w:val="24"/>
          <w:szCs w:val="24"/>
        </w:rPr>
        <w:lastRenderedPageBreak/>
        <w:t xml:space="preserve">externých expertoch to nemožno považovať za súčasť výkonu ich práce, ako aj preto, že komisia od roku 2019 po zavedení verejných vypočutí, rokuje niekoľko dní, počas ktorých vypočúvajú žiadateľov v rámci ústnej prezentácie ich projektov, ktorá je </w:t>
      </w:r>
      <w:r w:rsidRPr="00BC267B">
        <w:rPr>
          <w:rFonts w:ascii="Times New Roman" w:hAnsi="Times New Roman"/>
          <w:sz w:val="24"/>
          <w:szCs w:val="24"/>
        </w:rPr>
        <w:t>poslednou</w:t>
      </w:r>
      <w:r>
        <w:rPr>
          <w:rFonts w:ascii="Times New Roman" w:hAnsi="Times New Roman"/>
          <w:sz w:val="24"/>
          <w:szCs w:val="24"/>
        </w:rPr>
        <w:t xml:space="preserve"> fázou hodnotenia žiadostí. Členovia komisie počas týchto dní venujú svoj čas naplno len hodnoteniu žiadostí. Čestnosť funkcie je neudržateľná vzhľadom k tomu, že práca člena komisie si vyžaduje veľa voľného času členov a zasahuje aj do ich pracovného času. Na zabezpečenie odbornosti a prítomnosti členov sa preto navrhuje </w:t>
      </w:r>
      <w:r w:rsidR="008D4BF3">
        <w:rPr>
          <w:rFonts w:ascii="Times New Roman" w:hAnsi="Times New Roman"/>
          <w:sz w:val="24"/>
          <w:szCs w:val="24"/>
        </w:rPr>
        <w:t xml:space="preserve">možnosť poskytnúť </w:t>
      </w:r>
      <w:r>
        <w:rPr>
          <w:rFonts w:ascii="Times New Roman" w:hAnsi="Times New Roman"/>
          <w:sz w:val="24"/>
          <w:szCs w:val="24"/>
        </w:rPr>
        <w:t xml:space="preserve">finančné ohodnotenie za túto funkciu </w:t>
      </w:r>
      <w:r w:rsidRPr="00C72912">
        <w:rPr>
          <w:rFonts w:ascii="Times New Roman" w:hAnsi="Times New Roman"/>
          <w:sz w:val="24"/>
          <w:szCs w:val="24"/>
        </w:rPr>
        <w:t>formou priznania odmeny v</w:t>
      </w:r>
      <w:r>
        <w:rPr>
          <w:rFonts w:ascii="Times New Roman" w:hAnsi="Times New Roman"/>
          <w:sz w:val="24"/>
          <w:szCs w:val="24"/>
        </w:rPr>
        <w:t> </w:t>
      </w:r>
      <w:r w:rsidRPr="00C72912">
        <w:rPr>
          <w:rFonts w:ascii="Times New Roman" w:hAnsi="Times New Roman"/>
          <w:sz w:val="24"/>
          <w:szCs w:val="24"/>
        </w:rPr>
        <w:t>prípade</w:t>
      </w:r>
      <w:r>
        <w:rPr>
          <w:rFonts w:ascii="Times New Roman" w:hAnsi="Times New Roman"/>
          <w:sz w:val="24"/>
          <w:szCs w:val="24"/>
        </w:rPr>
        <w:t>,</w:t>
      </w:r>
      <w:r w:rsidRPr="00C72912">
        <w:rPr>
          <w:rFonts w:ascii="Times New Roman" w:hAnsi="Times New Roman"/>
          <w:sz w:val="24"/>
          <w:szCs w:val="24"/>
        </w:rPr>
        <w:t xml:space="preserve"> ak to umožní aktuálny stav rozpočtu</w:t>
      </w:r>
      <w:r w:rsidR="008D4BF3">
        <w:rPr>
          <w:rFonts w:ascii="Times New Roman" w:hAnsi="Times New Roman"/>
          <w:sz w:val="24"/>
          <w:szCs w:val="24"/>
        </w:rPr>
        <w:t xml:space="preserve"> ministerstva v príslušnom roku a ak ministerstvo o tom rozhodne.</w:t>
      </w:r>
    </w:p>
    <w:p w:rsidR="001A3914" w:rsidRDefault="001A3914" w:rsidP="001A39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6</w:t>
      </w:r>
    </w:p>
    <w:p w:rsidR="001A3914" w:rsidRDefault="001A3914" w:rsidP="001A39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Medzi dôvody zaujatosti sa dopĺňa prípad, keď je </w:t>
      </w:r>
      <w:r w:rsidRPr="008C2160">
        <w:rPr>
          <w:rFonts w:ascii="Times New Roman" w:hAnsi="Times New Roman"/>
          <w:sz w:val="24"/>
          <w:szCs w:val="24"/>
        </w:rPr>
        <w:t>člen komisie vo vzťahu k žiadateľovi blízkou osobou</w:t>
      </w:r>
      <w:r>
        <w:rPr>
          <w:rFonts w:ascii="Times New Roman" w:hAnsi="Times New Roman"/>
          <w:sz w:val="24"/>
          <w:szCs w:val="24"/>
        </w:rPr>
        <w:t xml:space="preserve">. Tento dôvod sa vzhľadom na rozsah žiadateľov ustanovený v </w:t>
      </w:r>
      <w:r w:rsidRPr="008C2160">
        <w:rPr>
          <w:rFonts w:ascii="Times New Roman" w:hAnsi="Times New Roman"/>
          <w:sz w:val="24"/>
          <w:szCs w:val="24"/>
        </w:rPr>
        <w:t xml:space="preserve">§ 4 ods. 1 </w:t>
      </w:r>
      <w:r>
        <w:rPr>
          <w:rFonts w:ascii="Times New Roman" w:hAnsi="Times New Roman"/>
          <w:sz w:val="24"/>
          <w:szCs w:val="24"/>
        </w:rPr>
        <w:t>zákona bude vzťahovať na žiadateľov podľa písmena</w:t>
      </w:r>
      <w:r w:rsidRPr="008C2160">
        <w:rPr>
          <w:rFonts w:ascii="Times New Roman" w:hAnsi="Times New Roman"/>
          <w:sz w:val="24"/>
          <w:szCs w:val="24"/>
        </w:rPr>
        <w:t xml:space="preserve"> m) a</w:t>
      </w:r>
      <w:r>
        <w:rPr>
          <w:rFonts w:ascii="Times New Roman" w:hAnsi="Times New Roman"/>
          <w:sz w:val="24"/>
          <w:szCs w:val="24"/>
        </w:rPr>
        <w:t>lebo n), t. j. ak je žiadateľom fyzická osoba alebo podnikateľ. Táto možnosť doteraz v texte zákona absentovala.</w:t>
      </w:r>
      <w:r w:rsidR="00EF639E">
        <w:rPr>
          <w:rFonts w:ascii="Times New Roman" w:hAnsi="Times New Roman"/>
          <w:sz w:val="24"/>
          <w:szCs w:val="24"/>
        </w:rPr>
        <w:t xml:space="preserve"> Zároveň sa pri právnických osobách upravuje popri spoločníkovi vzťah k členovi alebo zakladateľovi po vzore dotačného zákona rezortu hospodárstva.</w:t>
      </w:r>
    </w:p>
    <w:p w:rsidR="001A3914" w:rsidRDefault="001A3914" w:rsidP="001A3914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7</w:t>
      </w:r>
    </w:p>
    <w:p w:rsidR="001A3914" w:rsidRDefault="001A3914" w:rsidP="001A39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zverejňuje výzvu na podanie žiadostí o poskytnutie dotácie zväčša v októbri roku predchádzajúceho kalendárnemu roku, v ktorom bude poskytovať dotáciu. V tomto čase však ešte ministerstvo nemá k dispozícií informácie k výške rozpočtu, ktorý mu bude poskytnutý na ďalší rozpočtový rok, v ktorom bude dotáciu poskytovať. Parlament schvaľuje návrh zákona o rozpočte na ďalší rozpočtový rok spravidla koncom novembra alebo začiatkom decembra predchádzajúceho roka. Ministerstvo taktiež nevedelo v praxi realisticky uvádzať výšku rozpočtu na nasledujúce dva roky. Pre žiadateľa je podstatné vedieť aspoň predpokladaný rozpočet na najbližší rozpočtový rok, ktorý sa bude prerozdeľovať medzi žiadateľov o poskytnutie dotácií z rozpočtu ministerstva. Preto sa namiesto „schváleného rozpočtu na dotácie“ bude na webovom sídle ministerstva zverejňovať „predpokladaný rozpočet na dotácie podľa ich účelu pre príslušný rozpočtový rok“ bez uvádzania ďalších podrobností.</w:t>
      </w:r>
    </w:p>
    <w:p w:rsidR="001A3914" w:rsidRDefault="001A3914" w:rsidP="001A3914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8</w:t>
      </w:r>
    </w:p>
    <w:p w:rsidR="001A3914" w:rsidRDefault="001A3914" w:rsidP="001A39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Ide výlučne o jazykové spresnenie informácie, ktorá sa zverejňuje na webovej stránke ministerstva.</w:t>
      </w:r>
    </w:p>
    <w:p w:rsidR="001A3914" w:rsidRDefault="001A3914" w:rsidP="001A3914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9</w:t>
      </w:r>
    </w:p>
    <w:p w:rsidR="001A3914" w:rsidRDefault="001A3914" w:rsidP="001A39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Ministerstvo dotačný program eviduje pod číslom a názvom programu. Zverejňovanie čísla dotačného programu je z pohľadu potreby informovanosti verejnosti zbytočným údajom, ktorý sa zverejňuje. Uvedené ustanovenie bolo prevzaté pri prechode dotačnej schémy z ministerstva zahraničných vecí a európskych záležitostí, zverejňovanie čísla programu je však nadbytočné. Slová „čísla a“ sa preto vypúšťajú; názov programu sa bude naďalej zverejňovať na webovom sídle ministerstva.</w:t>
      </w:r>
    </w:p>
    <w:p w:rsidR="001A3914" w:rsidRPr="003A2ABF" w:rsidRDefault="001A3914" w:rsidP="001A3914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2ABF">
        <w:rPr>
          <w:rFonts w:ascii="Times New Roman" w:hAnsi="Times New Roman"/>
          <w:b/>
          <w:sz w:val="24"/>
          <w:szCs w:val="24"/>
        </w:rPr>
        <w:lastRenderedPageBreak/>
        <w:t>K čl. II</w:t>
      </w:r>
    </w:p>
    <w:p w:rsidR="001A3914" w:rsidRDefault="001A3914" w:rsidP="001A39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Účinnosť zákona sa vzhľadom na lehoty určené pre jednotlivé štádiá legislatívneho procesu navrhuje od 1. </w:t>
      </w:r>
      <w:r w:rsidR="00EF639E">
        <w:rPr>
          <w:rFonts w:ascii="Times New Roman" w:hAnsi="Times New Roman"/>
          <w:sz w:val="24"/>
          <w:szCs w:val="24"/>
        </w:rPr>
        <w:t>mája</w:t>
      </w:r>
      <w:r>
        <w:rPr>
          <w:rFonts w:ascii="Times New Roman" w:hAnsi="Times New Roman"/>
          <w:sz w:val="24"/>
          <w:szCs w:val="24"/>
        </w:rPr>
        <w:t xml:space="preserve"> 2021.</w:t>
      </w:r>
    </w:p>
    <w:p w:rsidR="00A95F06" w:rsidRDefault="00A95F06" w:rsidP="001A39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5F06" w:rsidRPr="00A95F06" w:rsidRDefault="00A95F06" w:rsidP="00A95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95F06">
        <w:rPr>
          <w:rFonts w:ascii="Times New Roman" w:hAnsi="Times New Roman"/>
          <w:sz w:val="24"/>
          <w:szCs w:val="24"/>
          <w:lang w:eastAsia="sk-SK"/>
        </w:rPr>
        <w:t>V Bratislave, 16. decembra 2020</w:t>
      </w:r>
    </w:p>
    <w:p w:rsidR="00A95F06" w:rsidRPr="00A95F06" w:rsidRDefault="00A95F06" w:rsidP="00A95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95F06" w:rsidRPr="00A95F06" w:rsidRDefault="00A95F06" w:rsidP="00A95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95F06" w:rsidRPr="00A95F06" w:rsidRDefault="00A95F06" w:rsidP="00A95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95F06" w:rsidRPr="00A95F06" w:rsidRDefault="00A95F06" w:rsidP="00A95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95F06" w:rsidRPr="00A95F06" w:rsidRDefault="00A95F06" w:rsidP="00A95F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95F06" w:rsidRPr="00A95F06" w:rsidRDefault="00A95F06" w:rsidP="00A95F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95F06" w:rsidRPr="00A95F06" w:rsidRDefault="00A95F06" w:rsidP="00A95F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95F06" w:rsidRPr="00A95F06" w:rsidRDefault="00A95F06" w:rsidP="00A95F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A95F06">
        <w:rPr>
          <w:rFonts w:ascii="Times New Roman" w:hAnsi="Times New Roman"/>
          <w:b/>
          <w:sz w:val="24"/>
          <w:szCs w:val="24"/>
          <w:lang w:eastAsia="sk-SK"/>
        </w:rPr>
        <w:t>Igor Matovič, v. r.</w:t>
      </w:r>
    </w:p>
    <w:p w:rsidR="00A95F06" w:rsidRPr="00A95F06" w:rsidRDefault="00A95F06" w:rsidP="00A95F0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95F06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:rsidR="00A95F06" w:rsidRPr="00A95F06" w:rsidRDefault="00A95F06" w:rsidP="00A95F0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95F06" w:rsidRPr="00A95F06" w:rsidRDefault="00A95F06" w:rsidP="00A95F0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95F06" w:rsidRPr="00A95F06" w:rsidRDefault="00A95F06" w:rsidP="00A95F0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95F06" w:rsidRPr="00A95F06" w:rsidRDefault="00A95F06" w:rsidP="00A95F0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95F06" w:rsidRPr="00A95F06" w:rsidRDefault="00A95F06" w:rsidP="00A95F0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95F06" w:rsidRPr="00A95F06" w:rsidRDefault="00A95F06" w:rsidP="00A95F0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95F06" w:rsidRPr="00A95F06" w:rsidRDefault="00A95F06" w:rsidP="00A95F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A95F06">
        <w:rPr>
          <w:rFonts w:ascii="Times New Roman" w:hAnsi="Times New Roman"/>
          <w:b/>
          <w:sz w:val="24"/>
          <w:szCs w:val="24"/>
          <w:lang w:eastAsia="sk-SK"/>
        </w:rPr>
        <w:t>Mária Kolíková, v. r.</w:t>
      </w:r>
    </w:p>
    <w:p w:rsidR="00A95F06" w:rsidRPr="00A95F06" w:rsidRDefault="00A95F06" w:rsidP="00A95F0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95F06">
        <w:rPr>
          <w:rFonts w:ascii="Times New Roman" w:hAnsi="Times New Roman"/>
          <w:sz w:val="24"/>
          <w:szCs w:val="24"/>
          <w:lang w:eastAsia="sk-SK"/>
        </w:rPr>
        <w:t>ministerka spravodlivosti Slovenskej republiky</w:t>
      </w:r>
    </w:p>
    <w:p w:rsidR="00A95F06" w:rsidRPr="00A95F06" w:rsidRDefault="00A95F06" w:rsidP="00A95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95F06" w:rsidRPr="003A2ABF" w:rsidRDefault="00A95F06" w:rsidP="00A95F0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09A0" w:rsidRDefault="00AD35A7"/>
    <w:sectPr w:rsidR="00FF09A0" w:rsidSect="00682B20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A7" w:rsidRDefault="00AD35A7">
      <w:pPr>
        <w:spacing w:after="0" w:line="240" w:lineRule="auto"/>
      </w:pPr>
      <w:r>
        <w:separator/>
      </w:r>
    </w:p>
  </w:endnote>
  <w:endnote w:type="continuationSeparator" w:id="0">
    <w:p w:rsidR="00AD35A7" w:rsidRDefault="00AD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80532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85D50" w:rsidRPr="00485D50" w:rsidRDefault="001A3914">
        <w:pPr>
          <w:pStyle w:val="Pta"/>
          <w:jc w:val="right"/>
          <w:rPr>
            <w:rFonts w:ascii="Times New Roman" w:hAnsi="Times New Roman"/>
          </w:rPr>
        </w:pPr>
        <w:r w:rsidRPr="00485D50">
          <w:rPr>
            <w:rFonts w:ascii="Times New Roman" w:hAnsi="Times New Roman"/>
          </w:rPr>
          <w:fldChar w:fldCharType="begin"/>
        </w:r>
        <w:r w:rsidRPr="00485D50">
          <w:rPr>
            <w:rFonts w:ascii="Times New Roman" w:hAnsi="Times New Roman"/>
          </w:rPr>
          <w:instrText>PAGE   \* MERGEFORMAT</w:instrText>
        </w:r>
        <w:r w:rsidRPr="00485D50">
          <w:rPr>
            <w:rFonts w:ascii="Times New Roman" w:hAnsi="Times New Roman"/>
          </w:rPr>
          <w:fldChar w:fldCharType="separate"/>
        </w:r>
        <w:r w:rsidR="00A95F06">
          <w:rPr>
            <w:rFonts w:ascii="Times New Roman" w:hAnsi="Times New Roman"/>
            <w:noProof/>
          </w:rPr>
          <w:t>6</w:t>
        </w:r>
        <w:r w:rsidRPr="00485D50">
          <w:rPr>
            <w:rFonts w:ascii="Times New Roman" w:hAnsi="Times New Roman"/>
          </w:rPr>
          <w:fldChar w:fldCharType="end"/>
        </w:r>
      </w:p>
    </w:sdtContent>
  </w:sdt>
  <w:p w:rsidR="00485D50" w:rsidRDefault="00AD35A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A7" w:rsidRDefault="00AD35A7">
      <w:pPr>
        <w:spacing w:after="0" w:line="240" w:lineRule="auto"/>
      </w:pPr>
      <w:r>
        <w:separator/>
      </w:r>
    </w:p>
  </w:footnote>
  <w:footnote w:type="continuationSeparator" w:id="0">
    <w:p w:rsidR="00AD35A7" w:rsidRDefault="00AD3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5E6C"/>
    <w:multiLevelType w:val="hybridMultilevel"/>
    <w:tmpl w:val="6CE4BEFA"/>
    <w:lvl w:ilvl="0" w:tplc="F9CA80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14"/>
    <w:rsid w:val="000C0B30"/>
    <w:rsid w:val="001A3914"/>
    <w:rsid w:val="00386ACF"/>
    <w:rsid w:val="005403E3"/>
    <w:rsid w:val="00682B20"/>
    <w:rsid w:val="008D4BF3"/>
    <w:rsid w:val="00A95F06"/>
    <w:rsid w:val="00AD0E80"/>
    <w:rsid w:val="00AD35A7"/>
    <w:rsid w:val="00CC7B3E"/>
    <w:rsid w:val="00EF639E"/>
    <w:rsid w:val="00F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A22BA-F304-47AE-B7BD-42E91BB7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3914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391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A391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1A3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A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3914"/>
    <w:rPr>
      <w:rFonts w:eastAsia="Times New Roman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4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BF3"/>
    <w:rPr>
      <w:rFonts w:ascii="Segoe UI" w:eastAsia="Times New Roman" w:hAnsi="Segoe UI" w:cs="Segoe UI"/>
      <w:sz w:val="18"/>
      <w:szCs w:val="18"/>
    </w:rPr>
  </w:style>
  <w:style w:type="table" w:styleId="Mriekatabuky">
    <w:name w:val="Table Grid"/>
    <w:basedOn w:val="Normlnatabuka"/>
    <w:uiPriority w:val="99"/>
    <w:unhideWhenUsed/>
    <w:rsid w:val="00A95F06"/>
    <w:rPr>
      <w:rFonts w:ascii="Times New Roman" w:eastAsia="Times New Roman" w:hAnsi="Times New Roman" w:cs="Times New Roman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versi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2232</Words>
  <Characters>12724</Characters>
  <Application>Microsoft Office Word</Application>
  <DocSecurity>0</DocSecurity>
  <Lines>106</Lines>
  <Paragraphs>29</Paragraphs>
  <ScaleCrop>false</ScaleCrop>
  <Company/>
  <LinksUpToDate>false</LinksUpToDate>
  <CharactersWithSpaces>14927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URBANOVÁ Jana</cp:lastModifiedBy>
  <cp:revision>6</cp:revision>
  <cp:lastPrinted>2020-11-05T11:54:00Z</cp:lastPrinted>
  <dcterms:created xsi:type="dcterms:W3CDTF">2020-11-04T10:50:00Z</dcterms:created>
  <dcterms:modified xsi:type="dcterms:W3CDTF">2020-12-16T11:26:00Z</dcterms:modified>
</cp:coreProperties>
</file>