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1A1" w:rsidRPr="006F7AE8" w:rsidRDefault="003501A1" w:rsidP="003501A1">
      <w:pPr>
        <w:jc w:val="center"/>
        <w:rPr>
          <w:b/>
          <w:bCs/>
          <w:sz w:val="28"/>
          <w:szCs w:val="28"/>
        </w:rPr>
      </w:pPr>
      <w:bookmarkStart w:id="0" w:name="_GoBack"/>
      <w:bookmarkEnd w:id="0"/>
      <w:r w:rsidRPr="006F7AE8">
        <w:rPr>
          <w:b/>
          <w:bCs/>
          <w:sz w:val="28"/>
          <w:szCs w:val="28"/>
        </w:rPr>
        <w:t>Doložka vybraných vplyvov</w:t>
      </w:r>
    </w:p>
    <w:p w:rsidR="003501A1" w:rsidRPr="006F7AE8" w:rsidRDefault="003501A1" w:rsidP="003501A1">
      <w:pPr>
        <w:pStyle w:val="Odsekzoznamu"/>
        <w:ind w:left="426"/>
        <w:rPr>
          <w:rFonts w:ascii="Times New Roman" w:hAnsi="Times New Roman"/>
          <w:b/>
        </w:rPr>
      </w:pPr>
    </w:p>
    <w:tbl>
      <w:tblPr>
        <w:tblStyle w:val="Mriekatabuky"/>
        <w:tblW w:w="918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3501A1" w:rsidRPr="006F7AE8" w:rsidTr="003501A1">
        <w:tc>
          <w:tcPr>
            <w:tcW w:w="9180" w:type="dxa"/>
            <w:gridSpan w:val="10"/>
            <w:tcBorders>
              <w:bottom w:val="single" w:sz="4" w:space="0" w:color="FFFFFF" w:themeColor="background1"/>
            </w:tcBorders>
            <w:shd w:val="clear" w:color="auto" w:fill="E2E2E2"/>
          </w:tcPr>
          <w:p w:rsidR="003501A1" w:rsidRPr="006F7AE8" w:rsidRDefault="003501A1" w:rsidP="003501A1">
            <w:pPr>
              <w:pStyle w:val="Odsekzoznamu"/>
              <w:numPr>
                <w:ilvl w:val="0"/>
                <w:numId w:val="1"/>
              </w:numPr>
              <w:spacing w:after="0" w:line="240" w:lineRule="auto"/>
              <w:ind w:left="426"/>
              <w:rPr>
                <w:rFonts w:ascii="Times New Roman" w:hAnsi="Times New Roman"/>
                <w:b/>
              </w:rPr>
            </w:pPr>
            <w:r w:rsidRPr="006F7AE8">
              <w:rPr>
                <w:rFonts w:ascii="Times New Roman" w:hAnsi="Times New Roman"/>
                <w:b/>
              </w:rPr>
              <w:t>Základné údaje</w:t>
            </w:r>
          </w:p>
        </w:tc>
      </w:tr>
      <w:tr w:rsidR="003501A1" w:rsidRPr="006F7AE8" w:rsidTr="003501A1">
        <w:tc>
          <w:tcPr>
            <w:tcW w:w="9180" w:type="dxa"/>
            <w:gridSpan w:val="10"/>
            <w:tcBorders>
              <w:bottom w:val="single" w:sz="4" w:space="0" w:color="FFFFFF" w:themeColor="background1"/>
            </w:tcBorders>
            <w:shd w:val="clear" w:color="auto" w:fill="E2E2E2"/>
          </w:tcPr>
          <w:p w:rsidR="00430BA8" w:rsidRPr="00634B28" w:rsidRDefault="003501A1" w:rsidP="00926C80">
            <w:pPr>
              <w:pStyle w:val="Odsekzoznamu"/>
              <w:ind w:left="142"/>
              <w:rPr>
                <w:rFonts w:ascii="Times New Roman" w:hAnsi="Times New Roman"/>
                <w:bCs/>
                <w:sz w:val="24"/>
                <w:szCs w:val="24"/>
              </w:rPr>
            </w:pPr>
            <w:r w:rsidRPr="006F7AE8">
              <w:rPr>
                <w:rFonts w:ascii="Times New Roman" w:hAnsi="Times New Roman"/>
                <w:b/>
              </w:rPr>
              <w:t>Názov materiálu</w:t>
            </w:r>
            <w:r w:rsidR="00926C80">
              <w:rPr>
                <w:rFonts w:ascii="Times New Roman" w:hAnsi="Times New Roman"/>
                <w:b/>
              </w:rPr>
              <w:t xml:space="preserve">: </w:t>
            </w:r>
            <w:r w:rsidR="00061466" w:rsidRPr="00634B28">
              <w:rPr>
                <w:rFonts w:ascii="Times New Roman" w:hAnsi="Times New Roman"/>
                <w:sz w:val="24"/>
                <w:szCs w:val="24"/>
              </w:rPr>
              <w:t>Návrh</w:t>
            </w:r>
            <w:r w:rsidR="00926C80" w:rsidRPr="00634B28">
              <w:rPr>
                <w:rFonts w:ascii="Times New Roman" w:hAnsi="Times New Roman"/>
                <w:sz w:val="24"/>
                <w:szCs w:val="24"/>
              </w:rPr>
              <w:t xml:space="preserve"> z</w:t>
            </w:r>
            <w:r w:rsidR="00061466" w:rsidRPr="00634B28">
              <w:rPr>
                <w:rFonts w:ascii="Times New Roman" w:hAnsi="Times New Roman"/>
                <w:sz w:val="24"/>
                <w:szCs w:val="24"/>
              </w:rPr>
              <w:t>ákon</w:t>
            </w:r>
            <w:r w:rsidR="00926C80" w:rsidRPr="00634B28">
              <w:rPr>
                <w:rFonts w:ascii="Times New Roman" w:hAnsi="Times New Roman"/>
                <w:sz w:val="24"/>
                <w:szCs w:val="24"/>
              </w:rPr>
              <w:t>a</w:t>
            </w:r>
            <w:r w:rsidR="00820717" w:rsidRPr="00634B28">
              <w:rPr>
                <w:rFonts w:ascii="Times New Roman" w:hAnsi="Times New Roman"/>
                <w:sz w:val="24"/>
                <w:szCs w:val="24"/>
              </w:rPr>
              <w:t>,</w:t>
            </w:r>
            <w:r w:rsidR="00926C80" w:rsidRPr="00634B28">
              <w:rPr>
                <w:rFonts w:ascii="Times New Roman" w:hAnsi="Times New Roman"/>
                <w:sz w:val="24"/>
                <w:szCs w:val="24"/>
              </w:rPr>
              <w:t xml:space="preserve"> </w:t>
            </w:r>
            <w:r w:rsidR="00430BA8" w:rsidRPr="00634B28">
              <w:rPr>
                <w:rFonts w:ascii="Times New Roman" w:hAnsi="Times New Roman"/>
                <w:sz w:val="24"/>
                <w:szCs w:val="24"/>
              </w:rPr>
              <w:t xml:space="preserve">ktorým sa mení a dopĺňa zákon č. 139/1998 Z. z. o omamných látkach, psychotropných látkach a prípravkoch v znení neskorších predpisov </w:t>
            </w:r>
            <w:r w:rsidR="006C1BB4" w:rsidRPr="00634B28">
              <w:rPr>
                <w:rFonts w:ascii="Times New Roman" w:hAnsi="Times New Roman"/>
                <w:sz w:val="24"/>
                <w:szCs w:val="24"/>
              </w:rPr>
              <w:t>a ktorým sa mení a dopĺňa zákon č. 374/2018 Z. z., ktorým  sa mení a dopĺňa  zákon č. 153/2013 Z. z.  o národnom zdravotníckom informačnom systéme  a o zmene a doplnení niektorých zákonov v znení  neskorších predpisov  a ktorým sa menia a dopĺňajú niektoré zákony</w:t>
            </w:r>
            <w:r w:rsidR="006C1BB4" w:rsidRPr="00634B28">
              <w:t xml:space="preserve">  </w:t>
            </w:r>
          </w:p>
          <w:p w:rsidR="00061466" w:rsidRPr="006F7AE8" w:rsidRDefault="00061466" w:rsidP="007B71A4">
            <w:pPr>
              <w:pStyle w:val="Odsekzoznamu"/>
              <w:ind w:left="142"/>
              <w:rPr>
                <w:rFonts w:ascii="Times New Roman" w:hAnsi="Times New Roman"/>
                <w:b/>
              </w:rPr>
            </w:pPr>
          </w:p>
        </w:tc>
      </w:tr>
      <w:tr w:rsidR="003501A1" w:rsidRPr="006F7AE8" w:rsidTr="003501A1">
        <w:tc>
          <w:tcPr>
            <w:tcW w:w="9180" w:type="dxa"/>
            <w:gridSpan w:val="10"/>
            <w:tcBorders>
              <w:top w:val="single" w:sz="4" w:space="0" w:color="FFFFFF" w:themeColor="background1"/>
            </w:tcBorders>
          </w:tcPr>
          <w:p w:rsidR="003501A1" w:rsidRPr="006F7AE8" w:rsidRDefault="003501A1" w:rsidP="007B71A4"/>
          <w:p w:rsidR="003501A1" w:rsidRPr="006F7AE8" w:rsidRDefault="003501A1" w:rsidP="007B71A4"/>
        </w:tc>
      </w:tr>
      <w:tr w:rsidR="003501A1" w:rsidRPr="006F7AE8" w:rsidTr="003501A1">
        <w:tc>
          <w:tcPr>
            <w:tcW w:w="9180" w:type="dxa"/>
            <w:gridSpan w:val="10"/>
            <w:tcBorders>
              <w:bottom w:val="single" w:sz="4" w:space="0" w:color="FFFFFF" w:themeColor="background1"/>
            </w:tcBorders>
            <w:shd w:val="clear" w:color="auto" w:fill="E2E2E2"/>
          </w:tcPr>
          <w:p w:rsidR="003501A1" w:rsidRPr="006F7AE8" w:rsidRDefault="003501A1" w:rsidP="007B71A4">
            <w:pPr>
              <w:pStyle w:val="Odsekzoznamu"/>
              <w:ind w:left="142"/>
              <w:rPr>
                <w:rFonts w:ascii="Times New Roman" w:hAnsi="Times New Roman"/>
                <w:b/>
              </w:rPr>
            </w:pPr>
            <w:r w:rsidRPr="006F7AE8">
              <w:rPr>
                <w:rFonts w:ascii="Times New Roman" w:hAnsi="Times New Roman"/>
                <w:b/>
              </w:rPr>
              <w:t>Predkladateľ (a spolupredkladateľ)</w:t>
            </w:r>
          </w:p>
        </w:tc>
      </w:tr>
      <w:tr w:rsidR="003501A1" w:rsidRPr="006F7AE8" w:rsidTr="003501A1">
        <w:tc>
          <w:tcPr>
            <w:tcW w:w="9180" w:type="dxa"/>
            <w:gridSpan w:val="10"/>
            <w:tcBorders>
              <w:top w:val="single" w:sz="4" w:space="0" w:color="FFFFFF" w:themeColor="background1"/>
            </w:tcBorders>
            <w:shd w:val="clear" w:color="auto" w:fill="FFFFFF" w:themeFill="background1"/>
          </w:tcPr>
          <w:p w:rsidR="003501A1" w:rsidRPr="006F7AE8" w:rsidRDefault="00061466" w:rsidP="007B71A4">
            <w:pPr>
              <w:rPr>
                <w:sz w:val="24"/>
                <w:szCs w:val="24"/>
              </w:rPr>
            </w:pPr>
            <w:r w:rsidRPr="006F7AE8">
              <w:rPr>
                <w:sz w:val="24"/>
                <w:szCs w:val="24"/>
              </w:rPr>
              <w:t>Ministerstvo zdravotníctva Slovenskej republiky</w:t>
            </w:r>
          </w:p>
        </w:tc>
      </w:tr>
      <w:tr w:rsidR="003501A1" w:rsidRPr="006F7AE8" w:rsidTr="004F6F1F">
        <w:tc>
          <w:tcPr>
            <w:tcW w:w="4212" w:type="dxa"/>
            <w:gridSpan w:val="2"/>
            <w:vMerge w:val="restart"/>
            <w:tcBorders>
              <w:bottom w:val="single" w:sz="4" w:space="0" w:color="FFFFFF" w:themeColor="background1"/>
            </w:tcBorders>
            <w:shd w:val="clear" w:color="auto" w:fill="E2E2E2"/>
            <w:vAlign w:val="center"/>
          </w:tcPr>
          <w:p w:rsidR="003501A1" w:rsidRPr="006F7AE8" w:rsidRDefault="003501A1" w:rsidP="007B71A4">
            <w:pPr>
              <w:pStyle w:val="Odsekzoznamu"/>
              <w:ind w:left="142"/>
              <w:rPr>
                <w:rFonts w:ascii="Times New Roman" w:hAnsi="Times New Roman"/>
                <w:b/>
              </w:rPr>
            </w:pPr>
            <w:r w:rsidRPr="006F7AE8">
              <w:rPr>
                <w:rFonts w:ascii="Times New Roman" w:hAnsi="Times New Roman"/>
                <w:b/>
              </w:rPr>
              <w:t>Charakter predkladaného materiálu</w:t>
            </w:r>
          </w:p>
        </w:tc>
        <w:tc>
          <w:tcPr>
            <w:tcW w:w="705" w:type="dxa"/>
            <w:gridSpan w:val="2"/>
            <w:tcBorders>
              <w:right w:val="nil"/>
            </w:tcBorders>
            <w:shd w:val="clear" w:color="auto" w:fill="FFFFFF" w:themeFill="background1"/>
          </w:tcPr>
          <w:p w:rsidR="003501A1" w:rsidRPr="006F7AE8" w:rsidRDefault="003501A1" w:rsidP="007B71A4">
            <w:pPr>
              <w:jc w:val="center"/>
            </w:pPr>
            <w:r w:rsidRPr="006F7AE8">
              <w:rPr>
                <w:rFonts w:ascii="Segoe UI Symbol" w:eastAsia="MS Mincho" w:hAnsi="Segoe UI Symbol" w:cs="Segoe UI Symbol"/>
              </w:rPr>
              <w:t>☐</w:t>
            </w:r>
          </w:p>
        </w:tc>
        <w:tc>
          <w:tcPr>
            <w:tcW w:w="4263" w:type="dxa"/>
            <w:gridSpan w:val="6"/>
            <w:tcBorders>
              <w:left w:val="nil"/>
            </w:tcBorders>
            <w:shd w:val="clear" w:color="auto" w:fill="FFFFFF" w:themeFill="background1"/>
          </w:tcPr>
          <w:p w:rsidR="003501A1" w:rsidRPr="006F7AE8" w:rsidRDefault="003501A1" w:rsidP="007B71A4">
            <w:r w:rsidRPr="006F7AE8">
              <w:t>Materiál nelegislatívnej povahy</w:t>
            </w:r>
          </w:p>
        </w:tc>
      </w:tr>
      <w:tr w:rsidR="003501A1" w:rsidRPr="006F7AE8" w:rsidTr="004F6F1F">
        <w:tc>
          <w:tcPr>
            <w:tcW w:w="4212" w:type="dxa"/>
            <w:gridSpan w:val="2"/>
            <w:vMerge/>
            <w:tcBorders>
              <w:top w:val="nil"/>
              <w:bottom w:val="single" w:sz="4" w:space="0" w:color="FFFFFF" w:themeColor="background1"/>
            </w:tcBorders>
            <w:shd w:val="clear" w:color="auto" w:fill="E2E2E2"/>
          </w:tcPr>
          <w:p w:rsidR="003501A1" w:rsidRPr="006F7AE8" w:rsidRDefault="003501A1" w:rsidP="007B71A4"/>
        </w:tc>
        <w:tc>
          <w:tcPr>
            <w:tcW w:w="705" w:type="dxa"/>
            <w:gridSpan w:val="2"/>
            <w:tcBorders>
              <w:right w:val="nil"/>
            </w:tcBorders>
            <w:shd w:val="clear" w:color="auto" w:fill="FFFFFF" w:themeFill="background1"/>
          </w:tcPr>
          <w:p w:rsidR="003501A1" w:rsidRPr="006F7AE8" w:rsidRDefault="00061466" w:rsidP="007B71A4">
            <w:pPr>
              <w:jc w:val="center"/>
            </w:pPr>
            <w:r w:rsidRPr="006F7AE8">
              <w:rPr>
                <w:rFonts w:ascii="Segoe UI Symbol" w:eastAsia="MS Gothic" w:hAnsi="Segoe UI Symbol" w:cs="Segoe UI Symbol"/>
              </w:rPr>
              <w:t>☒</w:t>
            </w:r>
          </w:p>
        </w:tc>
        <w:tc>
          <w:tcPr>
            <w:tcW w:w="4263" w:type="dxa"/>
            <w:gridSpan w:val="6"/>
            <w:tcBorders>
              <w:left w:val="nil"/>
            </w:tcBorders>
            <w:shd w:val="clear" w:color="auto" w:fill="FFFFFF" w:themeFill="background1"/>
          </w:tcPr>
          <w:p w:rsidR="003501A1" w:rsidRPr="006F7AE8" w:rsidRDefault="003501A1" w:rsidP="007B71A4">
            <w:pPr>
              <w:ind w:left="175" w:hanging="175"/>
            </w:pPr>
            <w:r w:rsidRPr="006F7AE8">
              <w:t>Materiál legislatívnej povahy</w:t>
            </w:r>
          </w:p>
        </w:tc>
      </w:tr>
      <w:tr w:rsidR="003501A1" w:rsidRPr="006F7AE8" w:rsidTr="004F6F1F">
        <w:tc>
          <w:tcPr>
            <w:tcW w:w="4212" w:type="dxa"/>
            <w:gridSpan w:val="2"/>
            <w:vMerge/>
            <w:tcBorders>
              <w:top w:val="nil"/>
            </w:tcBorders>
            <w:shd w:val="clear" w:color="auto" w:fill="E2E2E2"/>
          </w:tcPr>
          <w:p w:rsidR="003501A1" w:rsidRPr="006F7AE8" w:rsidRDefault="003501A1" w:rsidP="007B71A4"/>
        </w:tc>
        <w:tc>
          <w:tcPr>
            <w:tcW w:w="705" w:type="dxa"/>
            <w:gridSpan w:val="2"/>
            <w:tcBorders>
              <w:right w:val="nil"/>
            </w:tcBorders>
            <w:shd w:val="clear" w:color="auto" w:fill="FFFFFF" w:themeFill="background1"/>
          </w:tcPr>
          <w:p w:rsidR="003501A1" w:rsidRPr="006F7AE8" w:rsidRDefault="00426A90" w:rsidP="007B71A4">
            <w:pPr>
              <w:jc w:val="center"/>
            </w:pPr>
            <w:r w:rsidRPr="006F7AE8">
              <w:rPr>
                <w:rFonts w:ascii="Segoe UI Symbol" w:eastAsia="MS Gothic" w:hAnsi="Segoe UI Symbol" w:cs="Segoe UI Symbol"/>
              </w:rPr>
              <w:t>☐</w:t>
            </w:r>
          </w:p>
        </w:tc>
        <w:tc>
          <w:tcPr>
            <w:tcW w:w="4263" w:type="dxa"/>
            <w:gridSpan w:val="6"/>
            <w:tcBorders>
              <w:left w:val="nil"/>
            </w:tcBorders>
            <w:shd w:val="clear" w:color="auto" w:fill="FFFFFF" w:themeFill="background1"/>
          </w:tcPr>
          <w:p w:rsidR="003501A1" w:rsidRPr="006F7AE8" w:rsidRDefault="003501A1" w:rsidP="007B71A4">
            <w:r w:rsidRPr="006F7AE8">
              <w:t>Transpozícia práva EÚ</w:t>
            </w:r>
          </w:p>
        </w:tc>
      </w:tr>
      <w:tr w:rsidR="003501A1" w:rsidRPr="006F7AE8" w:rsidTr="004F6F1F">
        <w:tc>
          <w:tcPr>
            <w:tcW w:w="5634" w:type="dxa"/>
            <w:gridSpan w:val="5"/>
            <w:tcBorders>
              <w:top w:val="single" w:sz="4" w:space="0" w:color="000000" w:themeColor="text1"/>
              <w:bottom w:val="single" w:sz="4" w:space="0" w:color="FFFFFF" w:themeColor="background1"/>
            </w:tcBorders>
            <w:shd w:val="clear" w:color="auto" w:fill="E2E2E2"/>
          </w:tcPr>
          <w:p w:rsidR="003501A1" w:rsidRPr="006F7AE8" w:rsidRDefault="003501A1" w:rsidP="007B71A4">
            <w:pPr>
              <w:pStyle w:val="Odsekzoznamu"/>
              <w:ind w:left="142"/>
              <w:rPr>
                <w:rFonts w:ascii="Times New Roman" w:hAnsi="Times New Roman"/>
                <w:b/>
              </w:rPr>
            </w:pPr>
            <w:r w:rsidRPr="006F7AE8">
              <w:rPr>
                <w:rFonts w:ascii="Times New Roman" w:hAnsi="Times New Roman"/>
                <w:b/>
              </w:rPr>
              <w:t>Termín začiatku a ukončenia PPK</w:t>
            </w:r>
          </w:p>
        </w:tc>
        <w:tc>
          <w:tcPr>
            <w:tcW w:w="3546" w:type="dxa"/>
            <w:gridSpan w:val="5"/>
            <w:tcBorders>
              <w:top w:val="single" w:sz="4" w:space="0" w:color="000000" w:themeColor="text1"/>
            </w:tcBorders>
          </w:tcPr>
          <w:p w:rsidR="003501A1" w:rsidRPr="006F7AE8" w:rsidRDefault="00094BE6" w:rsidP="00D53AF9">
            <w:pPr>
              <w:rPr>
                <w:sz w:val="24"/>
                <w:szCs w:val="24"/>
              </w:rPr>
            </w:pPr>
            <w:r>
              <w:rPr>
                <w:sz w:val="24"/>
                <w:szCs w:val="24"/>
              </w:rPr>
              <w:t xml:space="preserve"> </w:t>
            </w:r>
            <w:r w:rsidR="00D53AF9">
              <w:rPr>
                <w:sz w:val="24"/>
                <w:szCs w:val="24"/>
              </w:rPr>
              <w:t>september</w:t>
            </w:r>
            <w:r w:rsidR="00124DB0">
              <w:rPr>
                <w:sz w:val="24"/>
                <w:szCs w:val="24"/>
              </w:rPr>
              <w:t xml:space="preserve"> 2020</w:t>
            </w:r>
          </w:p>
        </w:tc>
      </w:tr>
      <w:tr w:rsidR="003501A1" w:rsidRPr="006F7AE8" w:rsidTr="004F6F1F">
        <w:tc>
          <w:tcPr>
            <w:tcW w:w="5634" w:type="dxa"/>
            <w:gridSpan w:val="5"/>
            <w:tcBorders>
              <w:bottom w:val="single" w:sz="4" w:space="0" w:color="FFFFFF" w:themeColor="background1"/>
            </w:tcBorders>
            <w:shd w:val="clear" w:color="auto" w:fill="E2E2E2"/>
          </w:tcPr>
          <w:p w:rsidR="003501A1" w:rsidRPr="006F7AE8" w:rsidRDefault="003501A1" w:rsidP="007B71A4">
            <w:pPr>
              <w:pStyle w:val="Odsekzoznamu"/>
              <w:ind w:left="142"/>
              <w:rPr>
                <w:rFonts w:ascii="Times New Roman" w:hAnsi="Times New Roman"/>
                <w:b/>
              </w:rPr>
            </w:pPr>
            <w:r w:rsidRPr="006F7AE8">
              <w:rPr>
                <w:rFonts w:ascii="Times New Roman" w:hAnsi="Times New Roman"/>
                <w:b/>
              </w:rPr>
              <w:t>Predpokladaný termín predloženia na MPK</w:t>
            </w:r>
            <w:r w:rsidR="00F62771" w:rsidRPr="006F7AE8">
              <w:rPr>
                <w:rFonts w:ascii="Times New Roman" w:hAnsi="Times New Roman"/>
                <w:b/>
              </w:rPr>
              <w:t>*</w:t>
            </w:r>
          </w:p>
        </w:tc>
        <w:tc>
          <w:tcPr>
            <w:tcW w:w="3546" w:type="dxa"/>
            <w:gridSpan w:val="5"/>
          </w:tcPr>
          <w:p w:rsidR="003501A1" w:rsidRPr="006F7AE8" w:rsidRDefault="009863A6" w:rsidP="00D53AF9">
            <w:pPr>
              <w:rPr>
                <w:sz w:val="24"/>
                <w:szCs w:val="24"/>
              </w:rPr>
            </w:pPr>
            <w:r w:rsidRPr="006F7AE8">
              <w:rPr>
                <w:sz w:val="24"/>
                <w:szCs w:val="24"/>
              </w:rPr>
              <w:t xml:space="preserve"> </w:t>
            </w:r>
            <w:r w:rsidR="00D53AF9">
              <w:rPr>
                <w:sz w:val="24"/>
                <w:szCs w:val="24"/>
              </w:rPr>
              <w:t>september</w:t>
            </w:r>
            <w:r w:rsidR="00B05663" w:rsidRPr="006F7AE8">
              <w:rPr>
                <w:sz w:val="24"/>
                <w:szCs w:val="24"/>
              </w:rPr>
              <w:t xml:space="preserve"> </w:t>
            </w:r>
            <w:r w:rsidR="00061466" w:rsidRPr="006F7AE8">
              <w:rPr>
                <w:sz w:val="24"/>
                <w:szCs w:val="24"/>
              </w:rPr>
              <w:t>20</w:t>
            </w:r>
            <w:r w:rsidR="00D264D6">
              <w:rPr>
                <w:sz w:val="24"/>
                <w:szCs w:val="24"/>
              </w:rPr>
              <w:t>20</w:t>
            </w:r>
          </w:p>
        </w:tc>
      </w:tr>
      <w:tr w:rsidR="003501A1" w:rsidRPr="006F7AE8" w:rsidTr="004F6F1F">
        <w:tc>
          <w:tcPr>
            <w:tcW w:w="5634" w:type="dxa"/>
            <w:gridSpan w:val="5"/>
            <w:tcBorders>
              <w:bottom w:val="single" w:sz="4" w:space="0" w:color="FFFFFF" w:themeColor="background1"/>
            </w:tcBorders>
            <w:shd w:val="clear" w:color="auto" w:fill="E2E2E2"/>
          </w:tcPr>
          <w:p w:rsidR="003501A1" w:rsidRPr="006F7AE8" w:rsidRDefault="003501A1" w:rsidP="007B71A4">
            <w:pPr>
              <w:pStyle w:val="Odsekzoznamu"/>
              <w:ind w:left="142"/>
              <w:rPr>
                <w:rFonts w:ascii="Times New Roman" w:hAnsi="Times New Roman"/>
                <w:b/>
              </w:rPr>
            </w:pPr>
            <w:r w:rsidRPr="006F7AE8">
              <w:rPr>
                <w:rFonts w:ascii="Times New Roman" w:hAnsi="Times New Roman"/>
                <w:b/>
              </w:rPr>
              <w:t>Predpokladaný termín predloženia na Rokovanie vlády SR</w:t>
            </w:r>
            <w:r w:rsidR="00F62771" w:rsidRPr="006F7AE8">
              <w:rPr>
                <w:rFonts w:ascii="Times New Roman" w:hAnsi="Times New Roman"/>
                <w:b/>
              </w:rPr>
              <w:t>*</w:t>
            </w:r>
          </w:p>
        </w:tc>
        <w:tc>
          <w:tcPr>
            <w:tcW w:w="3546" w:type="dxa"/>
            <w:gridSpan w:val="5"/>
          </w:tcPr>
          <w:p w:rsidR="003501A1" w:rsidRPr="006F7AE8" w:rsidRDefault="00094BE6" w:rsidP="007A3846">
            <w:pPr>
              <w:rPr>
                <w:sz w:val="24"/>
                <w:szCs w:val="24"/>
              </w:rPr>
            </w:pPr>
            <w:r>
              <w:rPr>
                <w:sz w:val="24"/>
                <w:szCs w:val="24"/>
              </w:rPr>
              <w:t xml:space="preserve"> </w:t>
            </w:r>
            <w:r w:rsidR="007A3846">
              <w:rPr>
                <w:sz w:val="24"/>
                <w:szCs w:val="24"/>
              </w:rPr>
              <w:t>novem</w:t>
            </w:r>
            <w:r w:rsidR="00D264D6">
              <w:rPr>
                <w:sz w:val="24"/>
                <w:szCs w:val="24"/>
              </w:rPr>
              <w:t>ber</w:t>
            </w:r>
            <w:r w:rsidR="007539AC">
              <w:rPr>
                <w:sz w:val="24"/>
                <w:szCs w:val="24"/>
              </w:rPr>
              <w:t xml:space="preserve"> </w:t>
            </w:r>
            <w:r w:rsidR="009863A6" w:rsidRPr="006F7AE8">
              <w:rPr>
                <w:sz w:val="24"/>
                <w:szCs w:val="24"/>
              </w:rPr>
              <w:t>20</w:t>
            </w:r>
            <w:r w:rsidR="00D264D6">
              <w:rPr>
                <w:sz w:val="24"/>
                <w:szCs w:val="24"/>
              </w:rPr>
              <w:t>20</w:t>
            </w:r>
          </w:p>
        </w:tc>
      </w:tr>
      <w:tr w:rsidR="003501A1" w:rsidRPr="006F7AE8" w:rsidTr="003501A1">
        <w:tc>
          <w:tcPr>
            <w:tcW w:w="9180" w:type="dxa"/>
            <w:gridSpan w:val="10"/>
            <w:tcBorders>
              <w:left w:val="nil"/>
              <w:right w:val="nil"/>
            </w:tcBorders>
            <w:shd w:val="clear" w:color="auto" w:fill="FFFFFF" w:themeFill="background1"/>
          </w:tcPr>
          <w:p w:rsidR="003501A1" w:rsidRPr="006F7AE8" w:rsidRDefault="003501A1" w:rsidP="007B71A4"/>
        </w:tc>
      </w:tr>
      <w:tr w:rsidR="003501A1" w:rsidRPr="006F7AE8" w:rsidTr="003501A1">
        <w:tc>
          <w:tcPr>
            <w:tcW w:w="9180" w:type="dxa"/>
            <w:gridSpan w:val="10"/>
            <w:tcBorders>
              <w:bottom w:val="single" w:sz="4" w:space="0" w:color="FFFFFF" w:themeColor="background1"/>
            </w:tcBorders>
            <w:shd w:val="clear" w:color="auto" w:fill="E2E2E2"/>
          </w:tcPr>
          <w:p w:rsidR="003501A1" w:rsidRPr="006F7AE8" w:rsidRDefault="003501A1" w:rsidP="003501A1">
            <w:pPr>
              <w:pStyle w:val="Odsekzoznamu"/>
              <w:numPr>
                <w:ilvl w:val="0"/>
                <w:numId w:val="1"/>
              </w:numPr>
              <w:spacing w:after="0" w:line="240" w:lineRule="auto"/>
              <w:ind w:left="426"/>
              <w:rPr>
                <w:rFonts w:ascii="Times New Roman" w:hAnsi="Times New Roman"/>
                <w:b/>
              </w:rPr>
            </w:pPr>
            <w:r w:rsidRPr="006F7AE8">
              <w:rPr>
                <w:rFonts w:ascii="Times New Roman" w:hAnsi="Times New Roman"/>
                <w:b/>
              </w:rPr>
              <w:t>Defin</w:t>
            </w:r>
            <w:r w:rsidR="00AC2477" w:rsidRPr="006F7AE8">
              <w:rPr>
                <w:rFonts w:ascii="Times New Roman" w:hAnsi="Times New Roman"/>
                <w:b/>
              </w:rPr>
              <w:t>ovanie</w:t>
            </w:r>
            <w:r w:rsidRPr="006F7AE8">
              <w:rPr>
                <w:rFonts w:ascii="Times New Roman" w:hAnsi="Times New Roman"/>
                <w:b/>
              </w:rPr>
              <w:t xml:space="preserve"> problému</w:t>
            </w:r>
          </w:p>
        </w:tc>
      </w:tr>
      <w:tr w:rsidR="003501A1" w:rsidRPr="006F7AE8" w:rsidTr="00D13B6F">
        <w:trPr>
          <w:trHeight w:val="718"/>
        </w:trPr>
        <w:tc>
          <w:tcPr>
            <w:tcW w:w="9180" w:type="dxa"/>
            <w:gridSpan w:val="10"/>
            <w:tcBorders>
              <w:top w:val="single" w:sz="4" w:space="0" w:color="FFFFFF" w:themeColor="background1"/>
            </w:tcBorders>
            <w:shd w:val="clear" w:color="auto" w:fill="FFFFFF" w:themeFill="background1"/>
          </w:tcPr>
          <w:p w:rsidR="003501A1" w:rsidRPr="007F56A7" w:rsidRDefault="003501A1" w:rsidP="002735AB">
            <w:pPr>
              <w:rPr>
                <w:sz w:val="24"/>
                <w:szCs w:val="24"/>
              </w:rPr>
            </w:pPr>
            <w:r w:rsidRPr="006F7AE8">
              <w:rPr>
                <w:i/>
                <w:sz w:val="24"/>
                <w:szCs w:val="24"/>
              </w:rPr>
              <w:t>Uveďte základné problémy, na ktoré navrhovaná regulácia reaguje.</w:t>
            </w:r>
          </w:p>
          <w:p w:rsidR="00D264D6" w:rsidRDefault="00C5148B" w:rsidP="00C5148B">
            <w:pPr>
              <w:tabs>
                <w:tab w:val="left" w:pos="720"/>
                <w:tab w:val="left" w:pos="8520"/>
              </w:tabs>
              <w:suppressAutoHyphens/>
              <w:jc w:val="both"/>
              <w:rPr>
                <w:sz w:val="24"/>
                <w:szCs w:val="24"/>
              </w:rPr>
            </w:pPr>
            <w:r>
              <w:rPr>
                <w:bCs/>
                <w:color w:val="000000"/>
                <w:sz w:val="24"/>
                <w:szCs w:val="24"/>
              </w:rPr>
              <w:t xml:space="preserve">       </w:t>
            </w:r>
            <w:r w:rsidR="00A7564B" w:rsidRPr="00A7564B">
              <w:rPr>
                <w:bCs/>
                <w:color w:val="000000"/>
                <w:sz w:val="24"/>
                <w:szCs w:val="24"/>
              </w:rPr>
              <w:t xml:space="preserve">Doplnenie prílohy č. 1 zákona </w:t>
            </w:r>
            <w:r w:rsidR="00602B2E" w:rsidRPr="00A7564B">
              <w:rPr>
                <w:sz w:val="24"/>
                <w:szCs w:val="24"/>
              </w:rPr>
              <w:t xml:space="preserve"> </w:t>
            </w:r>
            <w:r w:rsidR="00A7564B" w:rsidRPr="007F56A7">
              <w:rPr>
                <w:sz w:val="24"/>
                <w:szCs w:val="24"/>
              </w:rPr>
              <w:t xml:space="preserve">č. 139/1998 Z. z. o omamných látkach, psychotropných látkach a prípravkoch v znení neskorších </w:t>
            </w:r>
            <w:r w:rsidR="00A7564B" w:rsidRPr="00D264D6">
              <w:rPr>
                <w:sz w:val="24"/>
                <w:szCs w:val="24"/>
              </w:rPr>
              <w:t xml:space="preserve">predpisov </w:t>
            </w:r>
            <w:r w:rsidR="00D264D6" w:rsidRPr="00D264D6">
              <w:rPr>
                <w:sz w:val="24"/>
                <w:szCs w:val="24"/>
              </w:rPr>
              <w:t>o dve omamné látky I. skupiny, o sedem psychotropných látok I. skupiny a o dve psychotropné látky III. skupiny</w:t>
            </w:r>
            <w:r w:rsidR="00D264D6">
              <w:t xml:space="preserve"> </w:t>
            </w:r>
          </w:p>
          <w:p w:rsidR="008227E3" w:rsidRDefault="00C5148B" w:rsidP="008227E3">
            <w:pPr>
              <w:tabs>
                <w:tab w:val="left" w:pos="720"/>
                <w:tab w:val="left" w:pos="8520"/>
              </w:tabs>
              <w:suppressAutoHyphens/>
              <w:ind w:firstLine="164"/>
              <w:jc w:val="both"/>
              <w:rPr>
                <w:sz w:val="24"/>
                <w:szCs w:val="24"/>
              </w:rPr>
            </w:pPr>
            <w:r>
              <w:rPr>
                <w:sz w:val="24"/>
                <w:szCs w:val="24"/>
              </w:rPr>
              <w:t xml:space="preserve">    </w:t>
            </w:r>
            <w:r w:rsidR="008227E3">
              <w:rPr>
                <w:sz w:val="24"/>
                <w:szCs w:val="24"/>
              </w:rPr>
              <w:t>Vypustenie psychotropnej látky skupiny II Cannabidiol, CBD zo zoznamu psychotropných látok.</w:t>
            </w:r>
          </w:p>
          <w:p w:rsidR="00B9491F" w:rsidRPr="006F7AE8" w:rsidRDefault="00B9491F" w:rsidP="008227E3">
            <w:pPr>
              <w:tabs>
                <w:tab w:val="left" w:pos="720"/>
                <w:tab w:val="left" w:pos="8520"/>
              </w:tabs>
              <w:suppressAutoHyphens/>
              <w:ind w:firstLine="164"/>
              <w:jc w:val="both"/>
              <w:rPr>
                <w:b/>
                <w:sz w:val="24"/>
                <w:szCs w:val="24"/>
              </w:rPr>
            </w:pPr>
          </w:p>
        </w:tc>
      </w:tr>
      <w:tr w:rsidR="003501A1" w:rsidRPr="006F7AE8" w:rsidTr="003501A1">
        <w:tc>
          <w:tcPr>
            <w:tcW w:w="9180" w:type="dxa"/>
            <w:gridSpan w:val="10"/>
            <w:tcBorders>
              <w:bottom w:val="nil"/>
            </w:tcBorders>
            <w:shd w:val="clear" w:color="auto" w:fill="E2E2E2"/>
          </w:tcPr>
          <w:p w:rsidR="003501A1" w:rsidRPr="006F7AE8" w:rsidRDefault="003501A1" w:rsidP="003501A1">
            <w:pPr>
              <w:pStyle w:val="Odsekzoznamu"/>
              <w:numPr>
                <w:ilvl w:val="0"/>
                <w:numId w:val="1"/>
              </w:numPr>
              <w:spacing w:after="0" w:line="240" w:lineRule="auto"/>
              <w:ind w:left="426"/>
              <w:rPr>
                <w:rFonts w:ascii="Times New Roman" w:hAnsi="Times New Roman"/>
                <w:b/>
              </w:rPr>
            </w:pPr>
            <w:r w:rsidRPr="006F7AE8">
              <w:rPr>
                <w:rFonts w:ascii="Times New Roman" w:hAnsi="Times New Roman"/>
                <w:b/>
              </w:rPr>
              <w:t>Ciele a výsledný stav</w:t>
            </w:r>
          </w:p>
        </w:tc>
      </w:tr>
      <w:tr w:rsidR="003501A1" w:rsidRPr="006F7AE8" w:rsidTr="00D13B6F">
        <w:trPr>
          <w:trHeight w:val="741"/>
        </w:trPr>
        <w:tc>
          <w:tcPr>
            <w:tcW w:w="9180" w:type="dxa"/>
            <w:gridSpan w:val="10"/>
            <w:tcBorders>
              <w:top w:val="nil"/>
            </w:tcBorders>
            <w:shd w:val="clear" w:color="auto" w:fill="FFFFFF" w:themeFill="background1"/>
          </w:tcPr>
          <w:p w:rsidR="003501A1" w:rsidRPr="00D151C7" w:rsidRDefault="00061466" w:rsidP="007F56A7">
            <w:pPr>
              <w:ind w:firstLine="599"/>
              <w:jc w:val="both"/>
              <w:rPr>
                <w:rStyle w:val="Textzstupnhosymbolu1"/>
                <w:color w:val="000000"/>
                <w:sz w:val="24"/>
                <w:szCs w:val="24"/>
                <w:lang w:eastAsia="en-US"/>
              </w:rPr>
            </w:pPr>
            <w:r w:rsidRPr="00D151C7">
              <w:rPr>
                <w:rStyle w:val="Textzstupnhosymbolu1"/>
                <w:color w:val="000000"/>
                <w:sz w:val="24"/>
                <w:szCs w:val="24"/>
              </w:rPr>
              <w:t xml:space="preserve">Cieľom </w:t>
            </w:r>
            <w:r w:rsidR="00CA7F82">
              <w:rPr>
                <w:rStyle w:val="Textzstupnhosymbolu1"/>
                <w:color w:val="000000"/>
                <w:sz w:val="24"/>
                <w:szCs w:val="24"/>
              </w:rPr>
              <w:t xml:space="preserve">návrhu je umožniť </w:t>
            </w:r>
            <w:r w:rsidR="00D151C7" w:rsidRPr="00D151C7">
              <w:rPr>
                <w:sz w:val="24"/>
                <w:szCs w:val="24"/>
              </w:rPr>
              <w:t>pružnejšie trestno-právne postihovať nezákonnú činnosť subjektov zameraných na nezákonnú výrobu a predaj  omamných látok a psychotropných látok</w:t>
            </w:r>
            <w:r w:rsidR="00D151C7" w:rsidRPr="00D151C7">
              <w:rPr>
                <w:rStyle w:val="Textzstupnhosymbolu1"/>
                <w:color w:val="000000"/>
                <w:sz w:val="24"/>
                <w:szCs w:val="24"/>
              </w:rPr>
              <w:t xml:space="preserve"> </w:t>
            </w:r>
            <w:r w:rsidR="009863A6" w:rsidRPr="00D151C7">
              <w:rPr>
                <w:rStyle w:val="Textzstupnhosymbolu1"/>
                <w:color w:val="000000"/>
                <w:sz w:val="24"/>
                <w:szCs w:val="24"/>
              </w:rPr>
              <w:t>a zosúladiť zákon s právom Európskej únie</w:t>
            </w:r>
            <w:r w:rsidR="00A7564B">
              <w:rPr>
                <w:rStyle w:val="Textzstupnhosymbolu1"/>
                <w:color w:val="000000"/>
                <w:sz w:val="24"/>
                <w:szCs w:val="24"/>
              </w:rPr>
              <w:t xml:space="preserve"> a so záväzkami Slovenskej republiky vyplývajúcimi s ratifikáciou medzinárodných dohovorov OSN vzťahujúcich sa na omamné látky a psychotropné látky.</w:t>
            </w:r>
          </w:p>
          <w:p w:rsidR="0058756F" w:rsidRDefault="00A7564B" w:rsidP="007F56A7">
            <w:pPr>
              <w:autoSpaceDE w:val="0"/>
              <w:autoSpaceDN w:val="0"/>
              <w:adjustRightInd w:val="0"/>
              <w:ind w:firstLine="567"/>
              <w:jc w:val="both"/>
              <w:rPr>
                <w:sz w:val="24"/>
                <w:szCs w:val="24"/>
              </w:rPr>
            </w:pPr>
            <w:r w:rsidRPr="007F56A7">
              <w:rPr>
                <w:sz w:val="24"/>
                <w:szCs w:val="24"/>
              </w:rPr>
              <w:t xml:space="preserve">Cieľom návrhu zákona je doplniť prílohu č. 1 zákona č. 139/1998 Z. z. o omamných látkach, psychotropných látkach a prípravkoch v znení neskorších predpisov </w:t>
            </w:r>
          </w:p>
          <w:p w:rsidR="009E386D" w:rsidRPr="0091011D" w:rsidRDefault="00D264D6" w:rsidP="00D264D6">
            <w:pPr>
              <w:tabs>
                <w:tab w:val="left" w:pos="720"/>
                <w:tab w:val="left" w:pos="8520"/>
              </w:tabs>
              <w:suppressAutoHyphens/>
              <w:ind w:firstLine="164"/>
              <w:jc w:val="both"/>
              <w:rPr>
                <w:sz w:val="24"/>
                <w:szCs w:val="24"/>
              </w:rPr>
            </w:pPr>
            <w:r w:rsidRPr="00D264D6">
              <w:rPr>
                <w:sz w:val="24"/>
                <w:szCs w:val="24"/>
              </w:rPr>
              <w:t>o dve omamné látky I. skupiny, o sedem psychotropných látok I. skupiny a o dve psychotropné látky III. skupiny</w:t>
            </w:r>
            <w:r>
              <w:t xml:space="preserve"> </w:t>
            </w:r>
            <w:r w:rsidR="00A7564B" w:rsidRPr="0091011D">
              <w:rPr>
                <w:sz w:val="24"/>
                <w:szCs w:val="24"/>
              </w:rPr>
              <w:t>na základe rozhodnutia prijatého na 6</w:t>
            </w:r>
            <w:r>
              <w:rPr>
                <w:sz w:val="24"/>
                <w:szCs w:val="24"/>
              </w:rPr>
              <w:t>3</w:t>
            </w:r>
            <w:r w:rsidR="00A7564B" w:rsidRPr="0091011D">
              <w:rPr>
                <w:sz w:val="24"/>
                <w:szCs w:val="24"/>
              </w:rPr>
              <w:t xml:space="preserve">. zasadnutí Komisie pre omamné látky Úradu OSN pre omamné látky a kriminalitu dňa </w:t>
            </w:r>
            <w:r w:rsidR="00F40C45">
              <w:rPr>
                <w:sz w:val="24"/>
                <w:szCs w:val="24"/>
              </w:rPr>
              <w:t>4</w:t>
            </w:r>
            <w:r w:rsidR="00A7564B" w:rsidRPr="0091011D">
              <w:rPr>
                <w:sz w:val="24"/>
                <w:szCs w:val="24"/>
              </w:rPr>
              <w:t>. 3.</w:t>
            </w:r>
            <w:r w:rsidR="00F40C45">
              <w:rPr>
                <w:sz w:val="24"/>
                <w:szCs w:val="24"/>
              </w:rPr>
              <w:t xml:space="preserve"> </w:t>
            </w:r>
            <w:r w:rsidR="00A7564B" w:rsidRPr="0091011D">
              <w:rPr>
                <w:sz w:val="24"/>
                <w:szCs w:val="24"/>
              </w:rPr>
              <w:t>20</w:t>
            </w:r>
            <w:r>
              <w:rPr>
                <w:sz w:val="24"/>
                <w:szCs w:val="24"/>
              </w:rPr>
              <w:t>20</w:t>
            </w:r>
            <w:r w:rsidR="00A7564B" w:rsidRPr="0091011D">
              <w:rPr>
                <w:sz w:val="24"/>
                <w:szCs w:val="24"/>
              </w:rPr>
              <w:t xml:space="preserve"> (UNODC - United Nations Office on Drugs and Crime)</w:t>
            </w:r>
            <w:r w:rsidR="009E386D" w:rsidRPr="0091011D">
              <w:rPr>
                <w:sz w:val="24"/>
                <w:szCs w:val="24"/>
              </w:rPr>
              <w:t xml:space="preserve">  a </w:t>
            </w:r>
            <w:r>
              <w:rPr>
                <w:sz w:val="24"/>
                <w:szCs w:val="24"/>
              </w:rPr>
              <w:t xml:space="preserve"> </w:t>
            </w:r>
            <w:r w:rsidR="008227E3">
              <w:rPr>
                <w:sz w:val="24"/>
                <w:szCs w:val="24"/>
              </w:rPr>
              <w:t>vy</w:t>
            </w:r>
            <w:r w:rsidR="00C35104">
              <w:rPr>
                <w:sz w:val="24"/>
                <w:szCs w:val="24"/>
              </w:rPr>
              <w:t>radiť</w:t>
            </w:r>
            <w:r w:rsidR="008227E3">
              <w:rPr>
                <w:sz w:val="24"/>
                <w:szCs w:val="24"/>
              </w:rPr>
              <w:t xml:space="preserve"> zo zoznamu psychotropných látok </w:t>
            </w:r>
            <w:r w:rsidR="00A346CB">
              <w:rPr>
                <w:sz w:val="24"/>
                <w:szCs w:val="24"/>
              </w:rPr>
              <w:t xml:space="preserve">II. skupiny </w:t>
            </w:r>
            <w:r w:rsidR="008227E3">
              <w:rPr>
                <w:sz w:val="24"/>
                <w:szCs w:val="24"/>
              </w:rPr>
              <w:t>látku Ca</w:t>
            </w:r>
            <w:r w:rsidR="002B0563">
              <w:rPr>
                <w:sz w:val="24"/>
                <w:szCs w:val="24"/>
              </w:rPr>
              <w:t>nn</w:t>
            </w:r>
            <w:r w:rsidR="008227E3">
              <w:rPr>
                <w:sz w:val="24"/>
                <w:szCs w:val="24"/>
              </w:rPr>
              <w:t>abidiol, CBD</w:t>
            </w:r>
            <w:r w:rsidR="002B0563">
              <w:rPr>
                <w:sz w:val="24"/>
                <w:szCs w:val="24"/>
              </w:rPr>
              <w:t>, pretože odborný výbor Svetovej zdravotníckej organizácie ju považuje za neškodnú a nespôsobuj</w:t>
            </w:r>
            <w:r w:rsidR="00A346CB">
              <w:rPr>
                <w:sz w:val="24"/>
                <w:szCs w:val="24"/>
              </w:rPr>
              <w:t>úcu</w:t>
            </w:r>
            <w:r w:rsidR="002B0563">
              <w:rPr>
                <w:sz w:val="24"/>
                <w:szCs w:val="24"/>
              </w:rPr>
              <w:t xml:space="preserve"> vznik závislosti</w:t>
            </w:r>
            <w:r w:rsidR="00B9491F">
              <w:rPr>
                <w:sz w:val="24"/>
                <w:szCs w:val="24"/>
              </w:rPr>
              <w:t xml:space="preserve"> a</w:t>
            </w:r>
            <w:r w:rsidR="00A346CB">
              <w:rPr>
                <w:sz w:val="24"/>
                <w:szCs w:val="24"/>
              </w:rPr>
              <w:t xml:space="preserve"> navyše, </w:t>
            </w:r>
            <w:r w:rsidR="00B9491F">
              <w:rPr>
                <w:sz w:val="24"/>
                <w:szCs w:val="24"/>
              </w:rPr>
              <w:t>táto látka nie je zaradená do zoznamu ani podľa dohovorov OSN.</w:t>
            </w:r>
          </w:p>
          <w:p w:rsidR="00602B2E" w:rsidRDefault="00C420D2" w:rsidP="007F56A7">
            <w:pPr>
              <w:ind w:firstLine="589"/>
              <w:jc w:val="both"/>
              <w:rPr>
                <w:sz w:val="24"/>
                <w:szCs w:val="24"/>
              </w:rPr>
            </w:pPr>
            <w:r>
              <w:rPr>
                <w:sz w:val="24"/>
                <w:szCs w:val="24"/>
              </w:rPr>
              <w:lastRenderedPageBreak/>
              <w:t>Rozhodnutia OSN</w:t>
            </w:r>
            <w:r w:rsidR="00A7564B" w:rsidRPr="007F56A7">
              <w:rPr>
                <w:sz w:val="24"/>
                <w:szCs w:val="24"/>
              </w:rPr>
              <w:t xml:space="preserve"> bol</w:t>
            </w:r>
            <w:r>
              <w:rPr>
                <w:sz w:val="24"/>
                <w:szCs w:val="24"/>
              </w:rPr>
              <w:t>i</w:t>
            </w:r>
            <w:r w:rsidR="00A7564B" w:rsidRPr="007F56A7">
              <w:rPr>
                <w:sz w:val="24"/>
                <w:szCs w:val="24"/>
              </w:rPr>
              <w:t xml:space="preserve"> prijaté na základe </w:t>
            </w:r>
            <w:r w:rsidR="00A7564B" w:rsidRPr="007F56A7">
              <w:rPr>
                <w:noProof/>
                <w:sz w:val="24"/>
                <w:szCs w:val="24"/>
              </w:rPr>
              <w:t>hodnotenia odborného výboru pre drogovú závislosť Svetovej zdravotníckej organizácie</w:t>
            </w:r>
            <w:r w:rsidR="00A7564B" w:rsidRPr="007F56A7">
              <w:rPr>
                <w:sz w:val="24"/>
                <w:szCs w:val="24"/>
              </w:rPr>
              <w:t>.</w:t>
            </w:r>
            <w:r w:rsidR="001C467E">
              <w:rPr>
                <w:sz w:val="24"/>
                <w:szCs w:val="24"/>
              </w:rPr>
              <w:t xml:space="preserve"> </w:t>
            </w:r>
          </w:p>
          <w:p w:rsidR="0058756F" w:rsidRPr="00D151C7" w:rsidRDefault="0058756F">
            <w:pPr>
              <w:ind w:firstLine="589"/>
              <w:jc w:val="both"/>
            </w:pPr>
          </w:p>
        </w:tc>
      </w:tr>
      <w:tr w:rsidR="003501A1" w:rsidRPr="006F7AE8" w:rsidTr="003501A1">
        <w:tc>
          <w:tcPr>
            <w:tcW w:w="9180" w:type="dxa"/>
            <w:gridSpan w:val="10"/>
            <w:tcBorders>
              <w:bottom w:val="nil"/>
            </w:tcBorders>
            <w:shd w:val="clear" w:color="auto" w:fill="E2E2E2"/>
          </w:tcPr>
          <w:p w:rsidR="003501A1" w:rsidRPr="006F7AE8" w:rsidRDefault="003501A1" w:rsidP="003501A1">
            <w:pPr>
              <w:pStyle w:val="Odsekzoznamu"/>
              <w:numPr>
                <w:ilvl w:val="0"/>
                <w:numId w:val="1"/>
              </w:numPr>
              <w:spacing w:after="0" w:line="240" w:lineRule="auto"/>
              <w:ind w:left="426"/>
              <w:rPr>
                <w:rFonts w:ascii="Times New Roman" w:hAnsi="Times New Roman"/>
                <w:b/>
              </w:rPr>
            </w:pPr>
            <w:r w:rsidRPr="006F7AE8">
              <w:rPr>
                <w:rFonts w:ascii="Times New Roman" w:hAnsi="Times New Roman"/>
                <w:b/>
              </w:rPr>
              <w:lastRenderedPageBreak/>
              <w:t>Dotknuté subjekty</w:t>
            </w:r>
          </w:p>
        </w:tc>
      </w:tr>
      <w:tr w:rsidR="003501A1" w:rsidRPr="006F7AE8" w:rsidTr="003501A1">
        <w:tc>
          <w:tcPr>
            <w:tcW w:w="9180" w:type="dxa"/>
            <w:gridSpan w:val="10"/>
            <w:tcBorders>
              <w:top w:val="nil"/>
            </w:tcBorders>
            <w:shd w:val="clear" w:color="auto" w:fill="FFFFFF" w:themeFill="background1"/>
          </w:tcPr>
          <w:p w:rsidR="0058756F" w:rsidRPr="006F7AE8" w:rsidRDefault="001B432D" w:rsidP="0091011D">
            <w:pPr>
              <w:ind w:left="32" w:firstLine="567"/>
              <w:jc w:val="both"/>
              <w:rPr>
                <w:i/>
              </w:rPr>
            </w:pPr>
            <w:r w:rsidRPr="006F7AE8">
              <w:rPr>
                <w:sz w:val="24"/>
                <w:szCs w:val="24"/>
              </w:rPr>
              <w:t>Vzhľadom na to, že nov</w:t>
            </w:r>
            <w:r w:rsidR="00F81FAD">
              <w:rPr>
                <w:sz w:val="24"/>
                <w:szCs w:val="24"/>
              </w:rPr>
              <w:t>é</w:t>
            </w:r>
            <w:r w:rsidRPr="006F7AE8">
              <w:rPr>
                <w:sz w:val="24"/>
                <w:szCs w:val="24"/>
              </w:rPr>
              <w:t xml:space="preserve"> psychoaktívn</w:t>
            </w:r>
            <w:r w:rsidR="00F81FAD">
              <w:rPr>
                <w:sz w:val="24"/>
                <w:szCs w:val="24"/>
              </w:rPr>
              <w:t>e</w:t>
            </w:r>
            <w:r w:rsidRPr="006F7AE8">
              <w:rPr>
                <w:sz w:val="24"/>
                <w:szCs w:val="24"/>
              </w:rPr>
              <w:t xml:space="preserve"> látk</w:t>
            </w:r>
            <w:r w:rsidR="00F81FAD">
              <w:rPr>
                <w:sz w:val="24"/>
                <w:szCs w:val="24"/>
              </w:rPr>
              <w:t>y</w:t>
            </w:r>
            <w:r w:rsidRPr="006F7AE8">
              <w:rPr>
                <w:sz w:val="24"/>
                <w:szCs w:val="24"/>
              </w:rPr>
              <w:t>, ktor</w:t>
            </w:r>
            <w:r w:rsidR="00F81FAD">
              <w:rPr>
                <w:sz w:val="24"/>
                <w:szCs w:val="24"/>
              </w:rPr>
              <w:t>é</w:t>
            </w:r>
            <w:r w:rsidRPr="006F7AE8">
              <w:rPr>
                <w:sz w:val="24"/>
                <w:szCs w:val="24"/>
              </w:rPr>
              <w:t xml:space="preserve"> sa dopĺňa</w:t>
            </w:r>
            <w:r w:rsidR="00F81FAD">
              <w:rPr>
                <w:sz w:val="24"/>
                <w:szCs w:val="24"/>
              </w:rPr>
              <w:t>jú</w:t>
            </w:r>
            <w:r w:rsidRPr="006F7AE8">
              <w:rPr>
                <w:sz w:val="24"/>
                <w:szCs w:val="24"/>
              </w:rPr>
              <w:t xml:space="preserve"> do prílohy </w:t>
            </w:r>
            <w:r w:rsidR="00A7564B">
              <w:rPr>
                <w:sz w:val="24"/>
                <w:szCs w:val="24"/>
              </w:rPr>
              <w:t xml:space="preserve">č. </w:t>
            </w:r>
            <w:r w:rsidRPr="006F7AE8">
              <w:rPr>
                <w:sz w:val="24"/>
                <w:szCs w:val="24"/>
              </w:rPr>
              <w:t>1 zákona</w:t>
            </w:r>
            <w:r w:rsidR="00A7564B">
              <w:rPr>
                <w:sz w:val="24"/>
                <w:szCs w:val="24"/>
              </w:rPr>
              <w:t xml:space="preserve"> č. 139/1998 Z. z.</w:t>
            </w:r>
            <w:r w:rsidRPr="006F7AE8">
              <w:rPr>
                <w:sz w:val="24"/>
                <w:szCs w:val="24"/>
              </w:rPr>
              <w:t xml:space="preserve"> </w:t>
            </w:r>
            <w:r w:rsidR="002735AB" w:rsidRPr="006F7AE8">
              <w:rPr>
                <w:sz w:val="24"/>
                <w:szCs w:val="24"/>
              </w:rPr>
              <w:t>nem</w:t>
            </w:r>
            <w:r w:rsidR="00F81FAD">
              <w:rPr>
                <w:sz w:val="24"/>
                <w:szCs w:val="24"/>
              </w:rPr>
              <w:t>ajú</w:t>
            </w:r>
            <w:r w:rsidR="002735AB" w:rsidRPr="006F7AE8">
              <w:rPr>
                <w:sz w:val="24"/>
                <w:szCs w:val="24"/>
              </w:rPr>
              <w:t xml:space="preserve"> vlastnosti liečiv</w:t>
            </w:r>
            <w:r w:rsidR="00D151C7">
              <w:rPr>
                <w:sz w:val="24"/>
                <w:szCs w:val="24"/>
              </w:rPr>
              <w:t>a</w:t>
            </w:r>
            <w:r w:rsidR="00A7564B">
              <w:rPr>
                <w:sz w:val="24"/>
                <w:szCs w:val="24"/>
              </w:rPr>
              <w:t xml:space="preserve"> a nie sú obsiahnuté v žiadnom lieku</w:t>
            </w:r>
            <w:r w:rsidR="002735AB" w:rsidRPr="006F7AE8">
              <w:rPr>
                <w:sz w:val="24"/>
                <w:szCs w:val="24"/>
              </w:rPr>
              <w:t xml:space="preserve">, dotknutými subjektmi budú len </w:t>
            </w:r>
            <w:r w:rsidR="00CA7F82">
              <w:rPr>
                <w:sz w:val="24"/>
                <w:szCs w:val="24"/>
              </w:rPr>
              <w:t xml:space="preserve">priekupníci a </w:t>
            </w:r>
            <w:r w:rsidR="002735AB" w:rsidRPr="006F7AE8">
              <w:rPr>
                <w:sz w:val="24"/>
                <w:szCs w:val="24"/>
              </w:rPr>
              <w:t>díleri drog</w:t>
            </w:r>
            <w:r w:rsidR="00380E60" w:rsidRPr="006F7AE8">
              <w:rPr>
                <w:sz w:val="24"/>
                <w:szCs w:val="24"/>
              </w:rPr>
              <w:t>, ktorých činnosť je nezákonn</w:t>
            </w:r>
            <w:r w:rsidR="00A7564B">
              <w:rPr>
                <w:sz w:val="24"/>
                <w:szCs w:val="24"/>
              </w:rPr>
              <w:t>á a podlieha trestnoprávnej zodpovednosti.</w:t>
            </w:r>
            <w:r w:rsidR="001C467E">
              <w:rPr>
                <w:sz w:val="24"/>
                <w:szCs w:val="24"/>
              </w:rPr>
              <w:t xml:space="preserve"> </w:t>
            </w:r>
          </w:p>
        </w:tc>
      </w:tr>
      <w:tr w:rsidR="003501A1" w:rsidRPr="006F7AE8" w:rsidTr="003501A1">
        <w:tc>
          <w:tcPr>
            <w:tcW w:w="9180" w:type="dxa"/>
            <w:gridSpan w:val="10"/>
            <w:tcBorders>
              <w:bottom w:val="nil"/>
            </w:tcBorders>
            <w:shd w:val="clear" w:color="auto" w:fill="E2E2E2"/>
          </w:tcPr>
          <w:p w:rsidR="003501A1" w:rsidRPr="006F7AE8" w:rsidRDefault="003501A1" w:rsidP="003501A1">
            <w:pPr>
              <w:pStyle w:val="Odsekzoznamu"/>
              <w:numPr>
                <w:ilvl w:val="0"/>
                <w:numId w:val="1"/>
              </w:numPr>
              <w:spacing w:after="0" w:line="240" w:lineRule="auto"/>
              <w:ind w:left="426"/>
              <w:rPr>
                <w:rFonts w:ascii="Times New Roman" w:hAnsi="Times New Roman"/>
                <w:b/>
              </w:rPr>
            </w:pPr>
            <w:r w:rsidRPr="006F7AE8">
              <w:rPr>
                <w:rFonts w:ascii="Times New Roman" w:hAnsi="Times New Roman"/>
                <w:b/>
              </w:rPr>
              <w:t>Alternatívne riešenia</w:t>
            </w:r>
          </w:p>
        </w:tc>
      </w:tr>
      <w:tr w:rsidR="003501A1" w:rsidRPr="006F7AE8" w:rsidTr="00D13B6F">
        <w:trPr>
          <w:trHeight w:val="709"/>
        </w:trPr>
        <w:tc>
          <w:tcPr>
            <w:tcW w:w="9180" w:type="dxa"/>
            <w:gridSpan w:val="10"/>
            <w:tcBorders>
              <w:top w:val="nil"/>
            </w:tcBorders>
            <w:shd w:val="clear" w:color="auto" w:fill="FFFFFF" w:themeFill="background1"/>
          </w:tcPr>
          <w:p w:rsidR="001C467E" w:rsidRDefault="00CF0357" w:rsidP="007F56A7">
            <w:pPr>
              <w:jc w:val="both"/>
              <w:rPr>
                <w:sz w:val="24"/>
                <w:szCs w:val="24"/>
              </w:rPr>
            </w:pPr>
            <w:r w:rsidRPr="006F7AE8">
              <w:rPr>
                <w:sz w:val="24"/>
                <w:szCs w:val="24"/>
              </w:rPr>
              <w:t xml:space="preserve">Alternatíva 0: </w:t>
            </w:r>
          </w:p>
          <w:p w:rsidR="00CF0357" w:rsidRPr="006F7AE8" w:rsidRDefault="00CF0357" w:rsidP="007F56A7">
            <w:pPr>
              <w:jc w:val="both"/>
              <w:rPr>
                <w:sz w:val="24"/>
                <w:szCs w:val="24"/>
              </w:rPr>
            </w:pPr>
            <w:r w:rsidRPr="006F7AE8">
              <w:rPr>
                <w:sz w:val="24"/>
                <w:szCs w:val="24"/>
              </w:rPr>
              <w:t>zachovanie súčasného stavu – nezaraden</w:t>
            </w:r>
            <w:r w:rsidR="00145BFB">
              <w:rPr>
                <w:sz w:val="24"/>
                <w:szCs w:val="24"/>
              </w:rPr>
              <w:t>ím</w:t>
            </w:r>
            <w:r w:rsidRPr="006F7AE8">
              <w:rPr>
                <w:sz w:val="24"/>
                <w:szCs w:val="24"/>
              </w:rPr>
              <w:t xml:space="preserve"> nov</w:t>
            </w:r>
            <w:r w:rsidR="00F81FAD">
              <w:rPr>
                <w:sz w:val="24"/>
                <w:szCs w:val="24"/>
              </w:rPr>
              <w:t>ých</w:t>
            </w:r>
            <w:r w:rsidRPr="006F7AE8">
              <w:rPr>
                <w:sz w:val="24"/>
                <w:szCs w:val="24"/>
              </w:rPr>
              <w:t xml:space="preserve"> psychoaktívn</w:t>
            </w:r>
            <w:r w:rsidR="00F81FAD">
              <w:rPr>
                <w:sz w:val="24"/>
                <w:szCs w:val="24"/>
              </w:rPr>
              <w:t>ych</w:t>
            </w:r>
            <w:r w:rsidRPr="006F7AE8">
              <w:rPr>
                <w:sz w:val="24"/>
                <w:szCs w:val="24"/>
              </w:rPr>
              <w:t xml:space="preserve"> lát</w:t>
            </w:r>
            <w:r w:rsidR="00F81FAD">
              <w:rPr>
                <w:sz w:val="24"/>
                <w:szCs w:val="24"/>
              </w:rPr>
              <w:t>o</w:t>
            </w:r>
            <w:r w:rsidRPr="006F7AE8">
              <w:rPr>
                <w:sz w:val="24"/>
                <w:szCs w:val="24"/>
              </w:rPr>
              <w:t>k  medzi psychotropné látky</w:t>
            </w:r>
            <w:r w:rsidR="00145BFB">
              <w:rPr>
                <w:sz w:val="24"/>
                <w:szCs w:val="24"/>
              </w:rPr>
              <w:t xml:space="preserve"> a omamné látky</w:t>
            </w:r>
            <w:r w:rsidRPr="006F7AE8">
              <w:rPr>
                <w:sz w:val="24"/>
                <w:szCs w:val="24"/>
              </w:rPr>
              <w:t xml:space="preserve"> by nebolo možné vyvodiť trestno-právnu zodpovednosť za </w:t>
            </w:r>
            <w:r w:rsidR="00145BFB">
              <w:rPr>
                <w:sz w:val="24"/>
                <w:szCs w:val="24"/>
              </w:rPr>
              <w:t>ich</w:t>
            </w:r>
            <w:r w:rsidR="00715326">
              <w:rPr>
                <w:sz w:val="24"/>
                <w:szCs w:val="24"/>
              </w:rPr>
              <w:t xml:space="preserve"> nezákonnú výrobu</w:t>
            </w:r>
            <w:r w:rsidRPr="006F7AE8">
              <w:rPr>
                <w:sz w:val="24"/>
                <w:szCs w:val="24"/>
              </w:rPr>
              <w:t xml:space="preserve">, distribúciu a predaj. </w:t>
            </w:r>
          </w:p>
          <w:p w:rsidR="001C467E" w:rsidRDefault="00CF0357" w:rsidP="007F56A7">
            <w:pPr>
              <w:jc w:val="both"/>
              <w:rPr>
                <w:sz w:val="24"/>
                <w:szCs w:val="24"/>
              </w:rPr>
            </w:pPr>
            <w:r w:rsidRPr="006F7AE8">
              <w:rPr>
                <w:sz w:val="24"/>
                <w:szCs w:val="24"/>
              </w:rPr>
              <w:t xml:space="preserve">Alternatíva 1: </w:t>
            </w:r>
          </w:p>
          <w:p w:rsidR="00CF0357" w:rsidRPr="006F7AE8" w:rsidRDefault="00CF0357" w:rsidP="007F56A7">
            <w:pPr>
              <w:jc w:val="both"/>
              <w:rPr>
                <w:sz w:val="24"/>
                <w:szCs w:val="24"/>
              </w:rPr>
            </w:pPr>
            <w:r w:rsidRPr="006F7AE8">
              <w:rPr>
                <w:sz w:val="24"/>
                <w:szCs w:val="24"/>
              </w:rPr>
              <w:t>zvolená alternatíva – zaradením nov</w:t>
            </w:r>
            <w:r w:rsidR="00145BFB">
              <w:rPr>
                <w:sz w:val="24"/>
                <w:szCs w:val="24"/>
              </w:rPr>
              <w:t>ých</w:t>
            </w:r>
            <w:r w:rsidRPr="006F7AE8">
              <w:rPr>
                <w:sz w:val="24"/>
                <w:szCs w:val="24"/>
              </w:rPr>
              <w:t xml:space="preserve"> psychoaktívn</w:t>
            </w:r>
            <w:r w:rsidR="00145BFB">
              <w:rPr>
                <w:sz w:val="24"/>
                <w:szCs w:val="24"/>
              </w:rPr>
              <w:t>ych</w:t>
            </w:r>
            <w:r w:rsidRPr="006F7AE8">
              <w:rPr>
                <w:sz w:val="24"/>
                <w:szCs w:val="24"/>
              </w:rPr>
              <w:t xml:space="preserve"> lát</w:t>
            </w:r>
            <w:r w:rsidR="00145BFB">
              <w:rPr>
                <w:sz w:val="24"/>
                <w:szCs w:val="24"/>
              </w:rPr>
              <w:t>o</w:t>
            </w:r>
            <w:r w:rsidRPr="006F7AE8">
              <w:rPr>
                <w:sz w:val="24"/>
                <w:szCs w:val="24"/>
              </w:rPr>
              <w:t xml:space="preserve">k  medzi psychotropné látky </w:t>
            </w:r>
            <w:r w:rsidR="00145BFB">
              <w:rPr>
                <w:sz w:val="24"/>
                <w:szCs w:val="24"/>
              </w:rPr>
              <w:t xml:space="preserve">a omamné látky </w:t>
            </w:r>
            <w:r w:rsidRPr="006F7AE8">
              <w:rPr>
                <w:sz w:val="24"/>
                <w:szCs w:val="24"/>
              </w:rPr>
              <w:t xml:space="preserve">bude možné vyvodiť trestno-právnu zodpovednosť za </w:t>
            </w:r>
            <w:r w:rsidR="00A7564B">
              <w:rPr>
                <w:sz w:val="24"/>
                <w:szCs w:val="24"/>
              </w:rPr>
              <w:t>ich</w:t>
            </w:r>
            <w:r w:rsidR="00715326">
              <w:rPr>
                <w:sz w:val="24"/>
                <w:szCs w:val="24"/>
              </w:rPr>
              <w:t xml:space="preserve"> nezákonnú výrobu</w:t>
            </w:r>
            <w:r w:rsidRPr="006F7AE8">
              <w:rPr>
                <w:sz w:val="24"/>
                <w:szCs w:val="24"/>
              </w:rPr>
              <w:t>, distribúciu a predaj</w:t>
            </w:r>
            <w:r w:rsidR="005D1991" w:rsidRPr="006F7AE8">
              <w:rPr>
                <w:sz w:val="24"/>
                <w:szCs w:val="24"/>
              </w:rPr>
              <w:t xml:space="preserve">. </w:t>
            </w:r>
          </w:p>
        </w:tc>
      </w:tr>
      <w:tr w:rsidR="003501A1" w:rsidRPr="006F7AE8" w:rsidTr="003501A1">
        <w:tc>
          <w:tcPr>
            <w:tcW w:w="9180" w:type="dxa"/>
            <w:gridSpan w:val="10"/>
            <w:tcBorders>
              <w:bottom w:val="single" w:sz="4" w:space="0" w:color="FFFFFF" w:themeColor="background1"/>
            </w:tcBorders>
            <w:shd w:val="clear" w:color="auto" w:fill="E2E2E2"/>
          </w:tcPr>
          <w:p w:rsidR="003501A1" w:rsidRPr="006F7AE8" w:rsidRDefault="003501A1" w:rsidP="003501A1">
            <w:pPr>
              <w:pStyle w:val="Odsekzoznamu"/>
              <w:numPr>
                <w:ilvl w:val="0"/>
                <w:numId w:val="1"/>
              </w:numPr>
              <w:spacing w:after="0" w:line="240" w:lineRule="auto"/>
              <w:ind w:left="426"/>
              <w:rPr>
                <w:rFonts w:ascii="Times New Roman" w:hAnsi="Times New Roman"/>
                <w:b/>
              </w:rPr>
            </w:pPr>
            <w:r w:rsidRPr="006F7AE8">
              <w:rPr>
                <w:rFonts w:ascii="Times New Roman" w:hAnsi="Times New Roman"/>
                <w:b/>
              </w:rPr>
              <w:t>Vykonávacie predpisy</w:t>
            </w:r>
          </w:p>
        </w:tc>
      </w:tr>
      <w:tr w:rsidR="003501A1" w:rsidRPr="006F7AE8" w:rsidTr="004F6F1F">
        <w:tc>
          <w:tcPr>
            <w:tcW w:w="6203" w:type="dxa"/>
            <w:gridSpan w:val="6"/>
            <w:tcBorders>
              <w:top w:val="single" w:sz="4" w:space="0" w:color="FFFFFF" w:themeColor="background1"/>
              <w:bottom w:val="nil"/>
              <w:right w:val="nil"/>
            </w:tcBorders>
            <w:shd w:val="clear" w:color="auto" w:fill="FFFFFF" w:themeFill="background1"/>
          </w:tcPr>
          <w:p w:rsidR="003501A1" w:rsidRDefault="003501A1" w:rsidP="007B71A4">
            <w:pPr>
              <w:rPr>
                <w:i/>
              </w:rPr>
            </w:pPr>
            <w:r w:rsidRPr="006F7AE8">
              <w:rPr>
                <w:i/>
              </w:rPr>
              <w:t>Predpokladá sa prijatie/zmena  vykonávacích predpisov?</w:t>
            </w:r>
          </w:p>
          <w:p w:rsidR="00A7564B" w:rsidRPr="007F56A7" w:rsidRDefault="00A7564B" w:rsidP="007B71A4">
            <w:pPr>
              <w:rPr>
                <w:sz w:val="24"/>
                <w:szCs w:val="24"/>
              </w:rPr>
            </w:pPr>
            <w:r w:rsidRPr="007F56A7">
              <w:rPr>
                <w:sz w:val="24"/>
                <w:szCs w:val="24"/>
              </w:rPr>
              <w:t>Nepredpokladá</w:t>
            </w:r>
            <w:r>
              <w:rPr>
                <w:sz w:val="24"/>
                <w:szCs w:val="24"/>
              </w:rPr>
              <w:t xml:space="preserve"> sa prijatie vykonávacích predpisov</w:t>
            </w:r>
            <w:r w:rsidRPr="007F56A7">
              <w:rPr>
                <w:sz w:val="24"/>
                <w:szCs w:val="24"/>
              </w:rPr>
              <w:t>.</w:t>
            </w:r>
          </w:p>
        </w:tc>
        <w:tc>
          <w:tcPr>
            <w:tcW w:w="1417" w:type="dxa"/>
            <w:gridSpan w:val="2"/>
            <w:tcBorders>
              <w:top w:val="single" w:sz="4" w:space="0" w:color="FFFFFF" w:themeColor="background1"/>
              <w:left w:val="nil"/>
              <w:bottom w:val="nil"/>
              <w:right w:val="nil"/>
            </w:tcBorders>
            <w:shd w:val="clear" w:color="auto" w:fill="FFFFFF" w:themeFill="background1"/>
          </w:tcPr>
          <w:p w:rsidR="003501A1" w:rsidRPr="006F7AE8" w:rsidRDefault="003501A1" w:rsidP="007B71A4">
            <w:pPr>
              <w:jc w:val="center"/>
            </w:pPr>
          </w:p>
        </w:tc>
        <w:tc>
          <w:tcPr>
            <w:tcW w:w="1560" w:type="dxa"/>
            <w:gridSpan w:val="2"/>
            <w:tcBorders>
              <w:top w:val="single" w:sz="4" w:space="0" w:color="FFFFFF" w:themeColor="background1"/>
              <w:left w:val="nil"/>
              <w:bottom w:val="nil"/>
            </w:tcBorders>
            <w:shd w:val="clear" w:color="auto" w:fill="FFFFFF" w:themeFill="background1"/>
          </w:tcPr>
          <w:p w:rsidR="00A7564B" w:rsidRDefault="00A7564B" w:rsidP="007B71A4">
            <w:pPr>
              <w:jc w:val="center"/>
            </w:pPr>
          </w:p>
          <w:p w:rsidR="003501A1" w:rsidRPr="006F7AE8" w:rsidRDefault="003501A1">
            <w:pPr>
              <w:jc w:val="center"/>
            </w:pPr>
          </w:p>
        </w:tc>
      </w:tr>
      <w:tr w:rsidR="003501A1" w:rsidRPr="006F7AE8" w:rsidTr="003501A1">
        <w:tc>
          <w:tcPr>
            <w:tcW w:w="9180" w:type="dxa"/>
            <w:gridSpan w:val="10"/>
            <w:tcBorders>
              <w:top w:val="nil"/>
            </w:tcBorders>
            <w:shd w:val="clear" w:color="auto" w:fill="FFFFFF" w:themeFill="background1"/>
          </w:tcPr>
          <w:p w:rsidR="002735AB" w:rsidRPr="006F7AE8" w:rsidRDefault="002735AB" w:rsidP="00145BFB">
            <w:pPr>
              <w:rPr>
                <w:sz w:val="24"/>
                <w:szCs w:val="24"/>
              </w:rPr>
            </w:pPr>
          </w:p>
        </w:tc>
      </w:tr>
      <w:tr w:rsidR="003501A1" w:rsidRPr="006F7AE8" w:rsidTr="003501A1">
        <w:tc>
          <w:tcPr>
            <w:tcW w:w="9180" w:type="dxa"/>
            <w:gridSpan w:val="10"/>
            <w:tcBorders>
              <w:bottom w:val="single" w:sz="4" w:space="0" w:color="FFFFFF" w:themeColor="background1"/>
            </w:tcBorders>
            <w:shd w:val="clear" w:color="auto" w:fill="E2E2E2"/>
          </w:tcPr>
          <w:p w:rsidR="003501A1" w:rsidRPr="006F7AE8" w:rsidRDefault="003501A1" w:rsidP="003501A1">
            <w:pPr>
              <w:pStyle w:val="Odsekzoznamu"/>
              <w:numPr>
                <w:ilvl w:val="0"/>
                <w:numId w:val="1"/>
              </w:numPr>
              <w:spacing w:after="0" w:line="240" w:lineRule="auto"/>
              <w:ind w:left="426"/>
              <w:rPr>
                <w:rFonts w:ascii="Times New Roman" w:hAnsi="Times New Roman"/>
                <w:b/>
              </w:rPr>
            </w:pPr>
            <w:r w:rsidRPr="006F7AE8">
              <w:rPr>
                <w:rFonts w:ascii="Times New Roman" w:hAnsi="Times New Roman"/>
                <w:b/>
              </w:rPr>
              <w:t xml:space="preserve">Transpozícia práva EÚ </w:t>
            </w:r>
          </w:p>
        </w:tc>
      </w:tr>
      <w:tr w:rsidR="003501A1" w:rsidRPr="006F7AE8" w:rsidTr="003501A1">
        <w:trPr>
          <w:trHeight w:val="157"/>
        </w:trPr>
        <w:tc>
          <w:tcPr>
            <w:tcW w:w="9180" w:type="dxa"/>
            <w:gridSpan w:val="10"/>
            <w:tcBorders>
              <w:top w:val="nil"/>
              <w:left w:val="single" w:sz="4" w:space="0" w:color="000000" w:themeColor="text1"/>
              <w:bottom w:val="nil"/>
            </w:tcBorders>
            <w:shd w:val="clear" w:color="auto" w:fill="FFFFFF" w:themeFill="background1"/>
          </w:tcPr>
          <w:p w:rsidR="002735AB" w:rsidRPr="006F7AE8" w:rsidRDefault="003501A1" w:rsidP="002735AB">
            <w:pPr>
              <w:rPr>
                <w:i/>
              </w:rPr>
            </w:pPr>
            <w:r w:rsidRPr="006F7AE8">
              <w:rPr>
                <w:i/>
              </w:rPr>
              <w:t>Uveďte, v ktorých ustanoveniach ide národná právna úprava nad rámec minimálnych požiadaviek EÚ spolu s odôvodnením.</w:t>
            </w:r>
          </w:p>
          <w:p w:rsidR="009863A6" w:rsidRPr="006F7AE8" w:rsidRDefault="009863A6" w:rsidP="007F56A7">
            <w:pPr>
              <w:ind w:firstLine="599"/>
              <w:jc w:val="both"/>
              <w:rPr>
                <w:sz w:val="24"/>
                <w:szCs w:val="24"/>
              </w:rPr>
            </w:pPr>
            <w:r w:rsidRPr="006F7AE8">
              <w:rPr>
                <w:sz w:val="24"/>
                <w:szCs w:val="24"/>
              </w:rPr>
              <w:t>Návrh zákona je v súlade s právom Európskej únie</w:t>
            </w:r>
            <w:r w:rsidR="00A7564B">
              <w:rPr>
                <w:sz w:val="24"/>
                <w:szCs w:val="24"/>
              </w:rPr>
              <w:t xml:space="preserve"> </w:t>
            </w:r>
            <w:r w:rsidR="00A7564B">
              <w:rPr>
                <w:rStyle w:val="Textzstupnhosymbolu1"/>
                <w:color w:val="000000"/>
                <w:sz w:val="24"/>
                <w:szCs w:val="24"/>
              </w:rPr>
              <w:t>a so záväzkami Slovenskej republiky vyplývajúcimi s ratifikáciou medzinárodných dohovorov OSN vzťahujúcich sa na omamné látky a psychotropné látky.</w:t>
            </w:r>
          </w:p>
        </w:tc>
      </w:tr>
      <w:tr w:rsidR="003501A1" w:rsidRPr="006F7AE8" w:rsidTr="00D13B6F">
        <w:trPr>
          <w:trHeight w:val="248"/>
        </w:trPr>
        <w:tc>
          <w:tcPr>
            <w:tcW w:w="9180" w:type="dxa"/>
            <w:gridSpan w:val="10"/>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3501A1" w:rsidRPr="006F7AE8" w:rsidRDefault="003501A1" w:rsidP="007B71A4">
            <w:pPr>
              <w:jc w:val="center"/>
            </w:pPr>
          </w:p>
        </w:tc>
      </w:tr>
      <w:tr w:rsidR="003501A1" w:rsidRPr="006F7AE8" w:rsidTr="003501A1">
        <w:tc>
          <w:tcPr>
            <w:tcW w:w="9180" w:type="dxa"/>
            <w:gridSpan w:val="10"/>
            <w:tcBorders>
              <w:bottom w:val="single" w:sz="4" w:space="0" w:color="FFFFFF" w:themeColor="background1"/>
            </w:tcBorders>
            <w:shd w:val="clear" w:color="auto" w:fill="E2E2E2"/>
          </w:tcPr>
          <w:p w:rsidR="003501A1" w:rsidRPr="006F7AE8" w:rsidRDefault="003501A1" w:rsidP="00395098">
            <w:pPr>
              <w:pStyle w:val="Odsekzoznamu"/>
              <w:numPr>
                <w:ilvl w:val="0"/>
                <w:numId w:val="1"/>
              </w:numPr>
              <w:spacing w:after="0" w:line="240" w:lineRule="auto"/>
              <w:ind w:left="426"/>
              <w:rPr>
                <w:rFonts w:ascii="Times New Roman" w:hAnsi="Times New Roman"/>
                <w:b/>
              </w:rPr>
            </w:pPr>
            <w:r w:rsidRPr="006F7AE8">
              <w:rPr>
                <w:rFonts w:ascii="Times New Roman" w:hAnsi="Times New Roman"/>
                <w:b/>
              </w:rPr>
              <w:t>Preskúmanie účelnosti</w:t>
            </w:r>
            <w:r w:rsidR="00F62771" w:rsidRPr="006F7AE8">
              <w:rPr>
                <w:rFonts w:ascii="Times New Roman" w:hAnsi="Times New Roman"/>
                <w:b/>
              </w:rPr>
              <w:t>**</w:t>
            </w:r>
          </w:p>
        </w:tc>
      </w:tr>
      <w:tr w:rsidR="003501A1" w:rsidRPr="006F7AE8" w:rsidTr="003501A1">
        <w:tc>
          <w:tcPr>
            <w:tcW w:w="9180" w:type="dxa"/>
            <w:gridSpan w:val="10"/>
            <w:tcBorders>
              <w:top w:val="single" w:sz="4" w:space="0" w:color="FFFFFF" w:themeColor="background1"/>
            </w:tcBorders>
            <w:shd w:val="clear" w:color="auto" w:fill="FFFFFF" w:themeFill="background1"/>
          </w:tcPr>
          <w:p w:rsidR="003501A1" w:rsidRPr="006F7AE8" w:rsidRDefault="003501A1" w:rsidP="007B71A4">
            <w:pPr>
              <w:rPr>
                <w:i/>
              </w:rPr>
            </w:pPr>
            <w:r w:rsidRPr="006F7AE8">
              <w:rPr>
                <w:i/>
              </w:rPr>
              <w:t>Uveďte termín, kedy by malo dôjsť k preskúmaniu účinnosti a účelnosti navrhovaného predpisu.</w:t>
            </w:r>
          </w:p>
          <w:p w:rsidR="003501A1" w:rsidRDefault="003501A1" w:rsidP="007B71A4">
            <w:pPr>
              <w:rPr>
                <w:i/>
              </w:rPr>
            </w:pPr>
            <w:r w:rsidRPr="006F7AE8">
              <w:rPr>
                <w:i/>
              </w:rPr>
              <w:t>Uveďte kritériá, na základe ktorých bude preskúmanie vykonané.</w:t>
            </w:r>
          </w:p>
          <w:p w:rsidR="00A7564B" w:rsidRDefault="00A7564B" w:rsidP="007B71A4">
            <w:pPr>
              <w:rPr>
                <w:sz w:val="24"/>
                <w:szCs w:val="24"/>
              </w:rPr>
            </w:pPr>
          </w:p>
          <w:p w:rsidR="00A7564B" w:rsidRPr="007F56A7" w:rsidRDefault="00A7564B" w:rsidP="007B71A4">
            <w:pPr>
              <w:rPr>
                <w:sz w:val="24"/>
                <w:szCs w:val="24"/>
              </w:rPr>
            </w:pPr>
            <w:r>
              <w:rPr>
                <w:sz w:val="24"/>
                <w:szCs w:val="24"/>
              </w:rPr>
              <w:t>B</w:t>
            </w:r>
            <w:r w:rsidRPr="007F56A7">
              <w:rPr>
                <w:sz w:val="24"/>
                <w:szCs w:val="24"/>
              </w:rPr>
              <w:t>ezpredmetné</w:t>
            </w:r>
          </w:p>
          <w:p w:rsidR="003501A1" w:rsidRPr="006F7AE8" w:rsidRDefault="003501A1" w:rsidP="007B71A4">
            <w:pPr>
              <w:rPr>
                <w:i/>
              </w:rPr>
            </w:pPr>
          </w:p>
        </w:tc>
      </w:tr>
      <w:tr w:rsidR="003501A1" w:rsidRPr="006F7AE8" w:rsidTr="004C60B8">
        <w:trPr>
          <w:trHeight w:val="715"/>
        </w:trPr>
        <w:tc>
          <w:tcPr>
            <w:tcW w:w="9180" w:type="dxa"/>
            <w:gridSpan w:val="10"/>
            <w:tcBorders>
              <w:left w:val="nil"/>
              <w:bottom w:val="nil"/>
              <w:right w:val="nil"/>
            </w:tcBorders>
            <w:shd w:val="clear" w:color="auto" w:fill="FFFFFF" w:themeFill="background1"/>
          </w:tcPr>
          <w:p w:rsidR="004F6F1F" w:rsidRPr="006F7AE8" w:rsidRDefault="004F6F1F" w:rsidP="004C60B8">
            <w:pPr>
              <w:ind w:left="142" w:hanging="142"/>
            </w:pPr>
          </w:p>
          <w:p w:rsidR="00F62771" w:rsidRPr="006F7AE8" w:rsidRDefault="00F62771" w:rsidP="004C60B8">
            <w:pPr>
              <w:ind w:left="142" w:hanging="142"/>
            </w:pPr>
            <w:r w:rsidRPr="006F7AE8">
              <w:t xml:space="preserve">* </w:t>
            </w:r>
            <w:r w:rsidR="004C60B8" w:rsidRPr="006F7AE8">
              <w:t>vyplniť iba v prípade, ak</w:t>
            </w:r>
            <w:r w:rsidRPr="006F7AE8">
              <w:t xml:space="preserve"> </w:t>
            </w:r>
            <w:r w:rsidR="004C60B8" w:rsidRPr="006F7AE8">
              <w:t xml:space="preserve">materiál </w:t>
            </w:r>
            <w:r w:rsidRPr="006F7AE8">
              <w:t xml:space="preserve">nie je </w:t>
            </w:r>
            <w:r w:rsidR="004C60B8" w:rsidRPr="006F7AE8">
              <w:t>zahrnutý do Plánu práce vlády Slovenskej republiky alebo Plánu        legislatívnych úloh vlády Slovenskej republiky.</w:t>
            </w:r>
            <w:r w:rsidRPr="006F7AE8">
              <w:t xml:space="preserve"> </w:t>
            </w:r>
          </w:p>
          <w:p w:rsidR="003501A1" w:rsidRPr="006F7AE8" w:rsidRDefault="00F62771" w:rsidP="00F22831">
            <w:r w:rsidRPr="006F7AE8">
              <w:t>*</w:t>
            </w:r>
            <w:r w:rsidR="00F22831" w:rsidRPr="006F7AE8">
              <w:t>* nepovinné</w:t>
            </w:r>
          </w:p>
        </w:tc>
      </w:tr>
      <w:tr w:rsidR="003501A1" w:rsidRPr="006F7AE8" w:rsidTr="004F6F1F">
        <w:tc>
          <w:tcPr>
            <w:tcW w:w="9180" w:type="dxa"/>
            <w:gridSpan w:val="10"/>
            <w:tcBorders>
              <w:top w:val="nil"/>
              <w:left w:val="nil"/>
              <w:right w:val="nil"/>
            </w:tcBorders>
            <w:shd w:val="clear" w:color="auto" w:fill="FFFFFF" w:themeFill="background1"/>
          </w:tcPr>
          <w:p w:rsidR="003501A1" w:rsidRPr="006F7AE8" w:rsidRDefault="003501A1" w:rsidP="003501A1">
            <w:pPr>
              <w:rPr>
                <w:b/>
              </w:rPr>
            </w:pPr>
          </w:p>
        </w:tc>
      </w:tr>
      <w:tr w:rsidR="003501A1" w:rsidRPr="006F7AE8" w:rsidTr="004F6F1F">
        <w:trPr>
          <w:trHeight w:val="577"/>
        </w:trPr>
        <w:tc>
          <w:tcPr>
            <w:tcW w:w="9180" w:type="dxa"/>
            <w:gridSpan w:val="10"/>
            <w:tcBorders>
              <w:bottom w:val="single" w:sz="4" w:space="0" w:color="FFFFFF" w:themeColor="background1"/>
            </w:tcBorders>
            <w:shd w:val="clear" w:color="auto" w:fill="E2E2E2"/>
            <w:vAlign w:val="center"/>
          </w:tcPr>
          <w:p w:rsidR="003501A1" w:rsidRPr="006F7AE8" w:rsidRDefault="003501A1" w:rsidP="003501A1">
            <w:pPr>
              <w:pStyle w:val="Odsekzoznamu"/>
              <w:numPr>
                <w:ilvl w:val="0"/>
                <w:numId w:val="1"/>
              </w:numPr>
              <w:spacing w:after="0" w:line="240" w:lineRule="auto"/>
              <w:ind w:left="426"/>
              <w:rPr>
                <w:rFonts w:ascii="Times New Roman" w:hAnsi="Times New Roman"/>
                <w:b/>
              </w:rPr>
            </w:pPr>
            <w:r w:rsidRPr="006F7AE8">
              <w:rPr>
                <w:rFonts w:ascii="Times New Roman" w:hAnsi="Times New Roman"/>
                <w:b/>
              </w:rPr>
              <w:t>Vplyvy navrhovaného materiálu</w:t>
            </w:r>
          </w:p>
        </w:tc>
      </w:tr>
      <w:tr w:rsidR="003501A1" w:rsidRPr="006F7AE8" w:rsidTr="004F6F1F">
        <w:tc>
          <w:tcPr>
            <w:tcW w:w="3812" w:type="dxa"/>
            <w:tcBorders>
              <w:bottom w:val="nil"/>
            </w:tcBorders>
            <w:shd w:val="clear" w:color="auto" w:fill="E2E2E2"/>
          </w:tcPr>
          <w:p w:rsidR="003501A1" w:rsidRPr="006F7AE8" w:rsidRDefault="003501A1" w:rsidP="007B71A4">
            <w:pPr>
              <w:rPr>
                <w:b/>
              </w:rPr>
            </w:pPr>
            <w:r w:rsidRPr="006F7AE8">
              <w:rPr>
                <w:b/>
              </w:rPr>
              <w:t>Vplyvy na rozpočet verejnej správy</w:t>
            </w:r>
          </w:p>
        </w:tc>
        <w:tc>
          <w:tcPr>
            <w:tcW w:w="541" w:type="dxa"/>
            <w:gridSpan w:val="2"/>
            <w:tcBorders>
              <w:right w:val="nil"/>
            </w:tcBorders>
          </w:tcPr>
          <w:p w:rsidR="003501A1" w:rsidRPr="006F7AE8" w:rsidRDefault="002735AB" w:rsidP="007B71A4">
            <w:pPr>
              <w:jc w:val="center"/>
              <w:rPr>
                <w:b/>
              </w:rPr>
            </w:pPr>
            <w:r w:rsidRPr="006F7AE8">
              <w:rPr>
                <w:rFonts w:ascii="Segoe UI Symbol" w:eastAsia="MS Gothic" w:hAnsi="Segoe UI Symbol" w:cs="Segoe UI Symbol"/>
                <w:b/>
              </w:rPr>
              <w:t>☐</w:t>
            </w:r>
          </w:p>
        </w:tc>
        <w:tc>
          <w:tcPr>
            <w:tcW w:w="1281" w:type="dxa"/>
            <w:gridSpan w:val="2"/>
            <w:tcBorders>
              <w:left w:val="nil"/>
              <w:right w:val="nil"/>
            </w:tcBorders>
          </w:tcPr>
          <w:p w:rsidR="003501A1" w:rsidRPr="006F7AE8" w:rsidRDefault="003501A1" w:rsidP="007B71A4">
            <w:pPr>
              <w:rPr>
                <w:b/>
              </w:rPr>
            </w:pPr>
            <w:r w:rsidRPr="006F7AE8">
              <w:rPr>
                <w:b/>
              </w:rPr>
              <w:t>Pozitívne</w:t>
            </w:r>
          </w:p>
        </w:tc>
        <w:tc>
          <w:tcPr>
            <w:tcW w:w="569" w:type="dxa"/>
            <w:tcBorders>
              <w:left w:val="nil"/>
              <w:right w:val="nil"/>
            </w:tcBorders>
          </w:tcPr>
          <w:p w:rsidR="003501A1" w:rsidRPr="006F7AE8" w:rsidRDefault="008D5720" w:rsidP="007B71A4">
            <w:pPr>
              <w:jc w:val="center"/>
              <w:rPr>
                <w:b/>
              </w:rPr>
            </w:pPr>
            <w:r w:rsidRPr="006F7AE8">
              <w:rPr>
                <w:rFonts w:ascii="Segoe UI Symbol" w:eastAsia="MS Gothic" w:hAnsi="Segoe UI Symbol" w:cs="Segoe UI Symbol"/>
                <w:b/>
              </w:rPr>
              <w:t>☐</w:t>
            </w:r>
          </w:p>
        </w:tc>
        <w:tc>
          <w:tcPr>
            <w:tcW w:w="1133" w:type="dxa"/>
            <w:tcBorders>
              <w:left w:val="nil"/>
              <w:right w:val="nil"/>
            </w:tcBorders>
          </w:tcPr>
          <w:p w:rsidR="003501A1" w:rsidRPr="006F7AE8" w:rsidRDefault="003501A1" w:rsidP="007B71A4">
            <w:pPr>
              <w:rPr>
                <w:b/>
              </w:rPr>
            </w:pPr>
            <w:r w:rsidRPr="006F7AE8">
              <w:rPr>
                <w:b/>
              </w:rPr>
              <w:t>Žiadne</w:t>
            </w:r>
          </w:p>
        </w:tc>
        <w:tc>
          <w:tcPr>
            <w:tcW w:w="547" w:type="dxa"/>
            <w:gridSpan w:val="2"/>
            <w:tcBorders>
              <w:left w:val="nil"/>
              <w:right w:val="nil"/>
            </w:tcBorders>
          </w:tcPr>
          <w:p w:rsidR="003501A1" w:rsidRPr="006F7AE8" w:rsidRDefault="008D5720" w:rsidP="007B71A4">
            <w:pPr>
              <w:ind w:left="-107" w:right="-108"/>
              <w:jc w:val="center"/>
              <w:rPr>
                <w:b/>
              </w:rPr>
            </w:pPr>
            <w:r w:rsidRPr="006F7AE8">
              <w:rPr>
                <w:rFonts w:ascii="Segoe UI Symbol" w:eastAsia="MS Gothic" w:hAnsi="Segoe UI Symbol" w:cs="Segoe UI Symbol"/>
                <w:b/>
              </w:rPr>
              <w:t>☒</w:t>
            </w:r>
          </w:p>
        </w:tc>
        <w:tc>
          <w:tcPr>
            <w:tcW w:w="1297" w:type="dxa"/>
            <w:tcBorders>
              <w:left w:val="nil"/>
            </w:tcBorders>
          </w:tcPr>
          <w:p w:rsidR="003501A1" w:rsidRPr="006F7AE8" w:rsidRDefault="003501A1" w:rsidP="007B71A4">
            <w:pPr>
              <w:ind w:left="34"/>
              <w:rPr>
                <w:b/>
              </w:rPr>
            </w:pPr>
            <w:r w:rsidRPr="006F7AE8">
              <w:rPr>
                <w:b/>
              </w:rPr>
              <w:t>Negatívne</w:t>
            </w:r>
          </w:p>
        </w:tc>
      </w:tr>
      <w:tr w:rsidR="003501A1" w:rsidRPr="006F7AE8" w:rsidTr="004F6F1F">
        <w:tc>
          <w:tcPr>
            <w:tcW w:w="3812" w:type="dxa"/>
            <w:tcBorders>
              <w:top w:val="nil"/>
              <w:bottom w:val="single" w:sz="4" w:space="0" w:color="000000" w:themeColor="text1"/>
            </w:tcBorders>
            <w:shd w:val="clear" w:color="auto" w:fill="E2E2E2"/>
          </w:tcPr>
          <w:p w:rsidR="003501A1" w:rsidRPr="006F7AE8" w:rsidRDefault="003501A1" w:rsidP="007B71A4">
            <w:r w:rsidRPr="006F7AE8">
              <w:t xml:space="preserve">    z toho rozpočtovo zabezpečené vplyvy</w:t>
            </w:r>
          </w:p>
        </w:tc>
        <w:tc>
          <w:tcPr>
            <w:tcW w:w="541" w:type="dxa"/>
            <w:gridSpan w:val="2"/>
            <w:tcBorders>
              <w:right w:val="nil"/>
            </w:tcBorders>
          </w:tcPr>
          <w:p w:rsidR="003501A1" w:rsidRPr="006F7AE8" w:rsidRDefault="008121CC" w:rsidP="007B71A4">
            <w:pPr>
              <w:jc w:val="center"/>
            </w:pPr>
            <w:r w:rsidRPr="006F7AE8">
              <w:rPr>
                <w:rFonts w:ascii="Segoe UI Symbol" w:eastAsia="MS Gothic" w:hAnsi="Segoe UI Symbol" w:cs="Segoe UI Symbol"/>
                <w:b/>
              </w:rPr>
              <w:t>☒</w:t>
            </w:r>
          </w:p>
        </w:tc>
        <w:tc>
          <w:tcPr>
            <w:tcW w:w="1281" w:type="dxa"/>
            <w:gridSpan w:val="2"/>
            <w:tcBorders>
              <w:left w:val="nil"/>
              <w:right w:val="nil"/>
            </w:tcBorders>
          </w:tcPr>
          <w:p w:rsidR="003501A1" w:rsidRPr="006F7AE8" w:rsidRDefault="003501A1" w:rsidP="007B71A4">
            <w:r w:rsidRPr="006F7AE8">
              <w:t>Áno</w:t>
            </w:r>
          </w:p>
        </w:tc>
        <w:tc>
          <w:tcPr>
            <w:tcW w:w="569" w:type="dxa"/>
            <w:tcBorders>
              <w:left w:val="nil"/>
              <w:right w:val="nil"/>
            </w:tcBorders>
          </w:tcPr>
          <w:p w:rsidR="003501A1" w:rsidRPr="006F7AE8" w:rsidRDefault="003501A1" w:rsidP="007B71A4">
            <w:pPr>
              <w:jc w:val="center"/>
            </w:pPr>
            <w:r w:rsidRPr="006F7AE8">
              <w:rPr>
                <w:rFonts w:ascii="Segoe UI Symbol" w:eastAsia="MS Mincho" w:hAnsi="Segoe UI Symbol" w:cs="Segoe UI Symbol"/>
              </w:rPr>
              <w:t>☐</w:t>
            </w:r>
          </w:p>
        </w:tc>
        <w:tc>
          <w:tcPr>
            <w:tcW w:w="1133" w:type="dxa"/>
            <w:tcBorders>
              <w:left w:val="nil"/>
              <w:right w:val="nil"/>
            </w:tcBorders>
          </w:tcPr>
          <w:p w:rsidR="003501A1" w:rsidRPr="006F7AE8" w:rsidRDefault="003501A1" w:rsidP="007B71A4">
            <w:r w:rsidRPr="006F7AE8">
              <w:t>Nie</w:t>
            </w:r>
          </w:p>
        </w:tc>
        <w:tc>
          <w:tcPr>
            <w:tcW w:w="547" w:type="dxa"/>
            <w:gridSpan w:val="2"/>
            <w:tcBorders>
              <w:left w:val="nil"/>
              <w:right w:val="nil"/>
            </w:tcBorders>
          </w:tcPr>
          <w:p w:rsidR="003501A1" w:rsidRPr="006F7AE8" w:rsidRDefault="003501A1" w:rsidP="007B71A4">
            <w:pPr>
              <w:ind w:left="-107" w:right="-108"/>
              <w:jc w:val="center"/>
            </w:pPr>
            <w:r w:rsidRPr="006F7AE8">
              <w:rPr>
                <w:rFonts w:ascii="Segoe UI Symbol" w:eastAsia="MS Mincho" w:hAnsi="Segoe UI Symbol" w:cs="Segoe UI Symbol"/>
              </w:rPr>
              <w:t>☐</w:t>
            </w:r>
          </w:p>
        </w:tc>
        <w:tc>
          <w:tcPr>
            <w:tcW w:w="1297" w:type="dxa"/>
            <w:tcBorders>
              <w:left w:val="nil"/>
            </w:tcBorders>
          </w:tcPr>
          <w:p w:rsidR="003501A1" w:rsidRPr="006F7AE8" w:rsidRDefault="003501A1" w:rsidP="007B71A4">
            <w:pPr>
              <w:ind w:left="34"/>
            </w:pPr>
            <w:r w:rsidRPr="006F7AE8">
              <w:t>Čiastočne</w:t>
            </w:r>
          </w:p>
        </w:tc>
      </w:tr>
      <w:tr w:rsidR="003501A1" w:rsidRPr="006F7AE8" w:rsidTr="004F6F1F">
        <w:tc>
          <w:tcPr>
            <w:tcW w:w="3812" w:type="dxa"/>
            <w:tcBorders>
              <w:top w:val="single" w:sz="4" w:space="0" w:color="000000" w:themeColor="text1"/>
              <w:bottom w:val="nil"/>
            </w:tcBorders>
            <w:shd w:val="clear" w:color="auto" w:fill="E2E2E2"/>
          </w:tcPr>
          <w:p w:rsidR="003501A1" w:rsidRPr="006F7AE8" w:rsidRDefault="003501A1" w:rsidP="004C794A">
            <w:pPr>
              <w:rPr>
                <w:b/>
              </w:rPr>
            </w:pPr>
            <w:r w:rsidRPr="006F7AE8">
              <w:rPr>
                <w:b/>
              </w:rPr>
              <w:t>Vplyvy na podnikateľské prostredie</w:t>
            </w:r>
          </w:p>
        </w:tc>
        <w:tc>
          <w:tcPr>
            <w:tcW w:w="541" w:type="dxa"/>
            <w:gridSpan w:val="2"/>
            <w:tcBorders>
              <w:right w:val="nil"/>
            </w:tcBorders>
          </w:tcPr>
          <w:p w:rsidR="003501A1" w:rsidRPr="006F7AE8" w:rsidRDefault="004730E4" w:rsidP="007B71A4">
            <w:pPr>
              <w:jc w:val="center"/>
              <w:rPr>
                <w:b/>
              </w:rPr>
            </w:pPr>
            <w:r w:rsidRPr="006F7AE8">
              <w:rPr>
                <w:rFonts w:ascii="Segoe UI Symbol" w:eastAsia="MS Gothic" w:hAnsi="Segoe UI Symbol" w:cs="Segoe UI Symbol"/>
                <w:b/>
              </w:rPr>
              <w:t>☒</w:t>
            </w:r>
          </w:p>
        </w:tc>
        <w:tc>
          <w:tcPr>
            <w:tcW w:w="1281" w:type="dxa"/>
            <w:gridSpan w:val="2"/>
            <w:tcBorders>
              <w:left w:val="nil"/>
              <w:right w:val="nil"/>
            </w:tcBorders>
          </w:tcPr>
          <w:p w:rsidR="003501A1" w:rsidRPr="006F7AE8" w:rsidRDefault="003501A1" w:rsidP="007B71A4">
            <w:pPr>
              <w:ind w:right="-108"/>
              <w:rPr>
                <w:b/>
              </w:rPr>
            </w:pPr>
            <w:r w:rsidRPr="006F7AE8">
              <w:rPr>
                <w:b/>
              </w:rPr>
              <w:t>Pozitívne</w:t>
            </w:r>
          </w:p>
        </w:tc>
        <w:tc>
          <w:tcPr>
            <w:tcW w:w="569" w:type="dxa"/>
            <w:tcBorders>
              <w:left w:val="nil"/>
              <w:right w:val="nil"/>
            </w:tcBorders>
          </w:tcPr>
          <w:p w:rsidR="003501A1" w:rsidRPr="006F7AE8" w:rsidRDefault="004730E4" w:rsidP="007B71A4">
            <w:pPr>
              <w:jc w:val="center"/>
              <w:rPr>
                <w:b/>
              </w:rPr>
            </w:pPr>
            <w:r w:rsidRPr="006F7AE8">
              <w:rPr>
                <w:rFonts w:ascii="Segoe UI Symbol" w:eastAsia="MS Gothic" w:hAnsi="Segoe UI Symbol" w:cs="Segoe UI Symbol"/>
                <w:b/>
              </w:rPr>
              <w:t>☐</w:t>
            </w:r>
          </w:p>
        </w:tc>
        <w:tc>
          <w:tcPr>
            <w:tcW w:w="1133" w:type="dxa"/>
            <w:tcBorders>
              <w:left w:val="nil"/>
              <w:right w:val="nil"/>
            </w:tcBorders>
          </w:tcPr>
          <w:p w:rsidR="003501A1" w:rsidRPr="006F7AE8" w:rsidRDefault="003501A1" w:rsidP="007B71A4">
            <w:pPr>
              <w:rPr>
                <w:b/>
              </w:rPr>
            </w:pPr>
            <w:r w:rsidRPr="006F7AE8">
              <w:rPr>
                <w:b/>
              </w:rPr>
              <w:t>Žiadne</w:t>
            </w:r>
          </w:p>
        </w:tc>
        <w:tc>
          <w:tcPr>
            <w:tcW w:w="547" w:type="dxa"/>
            <w:gridSpan w:val="2"/>
            <w:tcBorders>
              <w:left w:val="nil"/>
              <w:right w:val="nil"/>
            </w:tcBorders>
          </w:tcPr>
          <w:p w:rsidR="003501A1" w:rsidRPr="006F7AE8" w:rsidRDefault="009863A6" w:rsidP="007B71A4">
            <w:pPr>
              <w:jc w:val="center"/>
              <w:rPr>
                <w:b/>
              </w:rPr>
            </w:pPr>
            <w:r w:rsidRPr="006F7AE8">
              <w:rPr>
                <w:rFonts w:ascii="Segoe UI Symbol" w:eastAsia="MS Gothic" w:hAnsi="Segoe UI Symbol" w:cs="Segoe UI Symbol"/>
                <w:b/>
              </w:rPr>
              <w:t>☐</w:t>
            </w:r>
          </w:p>
        </w:tc>
        <w:tc>
          <w:tcPr>
            <w:tcW w:w="1297" w:type="dxa"/>
            <w:tcBorders>
              <w:left w:val="nil"/>
            </w:tcBorders>
          </w:tcPr>
          <w:p w:rsidR="003501A1" w:rsidRPr="006F7AE8" w:rsidRDefault="003501A1" w:rsidP="007B71A4">
            <w:pPr>
              <w:ind w:left="54"/>
              <w:rPr>
                <w:b/>
              </w:rPr>
            </w:pPr>
            <w:r w:rsidRPr="006F7AE8">
              <w:rPr>
                <w:b/>
              </w:rPr>
              <w:t>Negatívne</w:t>
            </w:r>
          </w:p>
        </w:tc>
      </w:tr>
      <w:tr w:rsidR="003501A1" w:rsidRPr="006F7AE8" w:rsidTr="004F6F1F">
        <w:tc>
          <w:tcPr>
            <w:tcW w:w="3812" w:type="dxa"/>
            <w:tcBorders>
              <w:top w:val="nil"/>
              <w:left w:val="single" w:sz="4" w:space="0" w:color="000000" w:themeColor="text1"/>
              <w:bottom w:val="single" w:sz="4" w:space="0" w:color="000000" w:themeColor="text1"/>
              <w:right w:val="single" w:sz="4" w:space="0" w:color="000000" w:themeColor="text1"/>
            </w:tcBorders>
            <w:shd w:val="clear" w:color="auto" w:fill="E2E2E2"/>
          </w:tcPr>
          <w:p w:rsidR="003501A1" w:rsidRPr="006F7AE8" w:rsidRDefault="003501A1" w:rsidP="007B71A4">
            <w:r w:rsidRPr="006F7AE8">
              <w:t xml:space="preserve">    z toho vplyvy na MSP</w:t>
            </w:r>
          </w:p>
        </w:tc>
        <w:tc>
          <w:tcPr>
            <w:tcW w:w="541" w:type="dxa"/>
            <w:gridSpan w:val="2"/>
            <w:tcBorders>
              <w:left w:val="single" w:sz="4" w:space="0" w:color="000000" w:themeColor="text1"/>
              <w:right w:val="nil"/>
            </w:tcBorders>
          </w:tcPr>
          <w:p w:rsidR="003501A1" w:rsidRPr="006F7AE8" w:rsidRDefault="00734088" w:rsidP="007B71A4">
            <w:pPr>
              <w:jc w:val="center"/>
            </w:pPr>
            <w:r w:rsidRPr="006F7AE8">
              <w:rPr>
                <w:rFonts w:ascii="Segoe UI Symbol" w:eastAsia="MS Gothic" w:hAnsi="Segoe UI Symbol" w:cs="Segoe UI Symbol"/>
              </w:rPr>
              <w:t>☒</w:t>
            </w:r>
          </w:p>
        </w:tc>
        <w:tc>
          <w:tcPr>
            <w:tcW w:w="1281" w:type="dxa"/>
            <w:gridSpan w:val="2"/>
            <w:tcBorders>
              <w:left w:val="nil"/>
              <w:right w:val="nil"/>
            </w:tcBorders>
          </w:tcPr>
          <w:p w:rsidR="003501A1" w:rsidRPr="006F7AE8" w:rsidRDefault="003501A1" w:rsidP="007B71A4">
            <w:pPr>
              <w:ind w:right="-108"/>
            </w:pPr>
            <w:r w:rsidRPr="006F7AE8">
              <w:t>Pozitívne</w:t>
            </w:r>
          </w:p>
        </w:tc>
        <w:tc>
          <w:tcPr>
            <w:tcW w:w="569" w:type="dxa"/>
            <w:tcBorders>
              <w:left w:val="nil"/>
              <w:right w:val="nil"/>
            </w:tcBorders>
          </w:tcPr>
          <w:p w:rsidR="003501A1" w:rsidRPr="006F7AE8" w:rsidRDefault="00734088" w:rsidP="007B71A4">
            <w:pPr>
              <w:jc w:val="center"/>
            </w:pPr>
            <w:r w:rsidRPr="006F7AE8">
              <w:rPr>
                <w:rFonts w:ascii="Segoe UI Symbol" w:eastAsia="MS Gothic" w:hAnsi="Segoe UI Symbol" w:cs="Segoe UI Symbol"/>
              </w:rPr>
              <w:t>☐</w:t>
            </w:r>
          </w:p>
        </w:tc>
        <w:tc>
          <w:tcPr>
            <w:tcW w:w="1133" w:type="dxa"/>
            <w:tcBorders>
              <w:left w:val="nil"/>
              <w:right w:val="nil"/>
            </w:tcBorders>
          </w:tcPr>
          <w:p w:rsidR="003501A1" w:rsidRPr="006F7AE8" w:rsidRDefault="003501A1" w:rsidP="007B71A4">
            <w:r w:rsidRPr="006F7AE8">
              <w:t>Žiadne</w:t>
            </w:r>
          </w:p>
        </w:tc>
        <w:tc>
          <w:tcPr>
            <w:tcW w:w="547" w:type="dxa"/>
            <w:gridSpan w:val="2"/>
            <w:tcBorders>
              <w:left w:val="nil"/>
              <w:right w:val="nil"/>
            </w:tcBorders>
          </w:tcPr>
          <w:p w:rsidR="003501A1" w:rsidRPr="006F7AE8" w:rsidRDefault="00602B2E" w:rsidP="007B71A4">
            <w:pPr>
              <w:jc w:val="center"/>
            </w:pPr>
            <w:r w:rsidRPr="006F7AE8">
              <w:rPr>
                <w:rFonts w:ascii="Segoe UI Symbol" w:eastAsia="MS Gothic" w:hAnsi="Segoe UI Symbol" w:cs="Segoe UI Symbol"/>
              </w:rPr>
              <w:t>☐</w:t>
            </w:r>
          </w:p>
        </w:tc>
        <w:tc>
          <w:tcPr>
            <w:tcW w:w="1297" w:type="dxa"/>
            <w:tcBorders>
              <w:left w:val="nil"/>
            </w:tcBorders>
          </w:tcPr>
          <w:p w:rsidR="003501A1" w:rsidRPr="006F7AE8" w:rsidRDefault="003501A1" w:rsidP="007B71A4">
            <w:pPr>
              <w:ind w:left="54"/>
            </w:pPr>
            <w:r w:rsidRPr="006F7AE8">
              <w:t>Negatívne</w:t>
            </w:r>
          </w:p>
        </w:tc>
      </w:tr>
      <w:tr w:rsidR="003501A1" w:rsidRPr="006F7AE8" w:rsidTr="004F6F1F">
        <w:tc>
          <w:tcPr>
            <w:tcW w:w="3812" w:type="dxa"/>
            <w:tcBorders>
              <w:top w:val="single" w:sz="4" w:space="0" w:color="000000" w:themeColor="text1"/>
            </w:tcBorders>
            <w:shd w:val="clear" w:color="auto" w:fill="E2E2E2"/>
          </w:tcPr>
          <w:p w:rsidR="003501A1" w:rsidRPr="006F7AE8" w:rsidRDefault="003501A1" w:rsidP="004C794A">
            <w:pPr>
              <w:rPr>
                <w:b/>
              </w:rPr>
            </w:pPr>
            <w:r w:rsidRPr="006F7AE8">
              <w:rPr>
                <w:b/>
              </w:rPr>
              <w:t>Sociálne vplyvy</w:t>
            </w:r>
          </w:p>
        </w:tc>
        <w:tc>
          <w:tcPr>
            <w:tcW w:w="541" w:type="dxa"/>
            <w:gridSpan w:val="2"/>
            <w:tcBorders>
              <w:right w:val="nil"/>
            </w:tcBorders>
          </w:tcPr>
          <w:p w:rsidR="003501A1" w:rsidRPr="006F7AE8" w:rsidRDefault="002D7D49" w:rsidP="007B71A4">
            <w:pPr>
              <w:jc w:val="center"/>
              <w:rPr>
                <w:b/>
              </w:rPr>
            </w:pPr>
            <w:r w:rsidRPr="006F7AE8">
              <w:rPr>
                <w:rFonts w:ascii="Segoe UI Symbol" w:eastAsia="MS Gothic" w:hAnsi="Segoe UI Symbol" w:cs="Segoe UI Symbol"/>
                <w:b/>
              </w:rPr>
              <w:t>☒</w:t>
            </w:r>
          </w:p>
        </w:tc>
        <w:tc>
          <w:tcPr>
            <w:tcW w:w="1281" w:type="dxa"/>
            <w:gridSpan w:val="2"/>
            <w:tcBorders>
              <w:left w:val="nil"/>
              <w:right w:val="nil"/>
            </w:tcBorders>
          </w:tcPr>
          <w:p w:rsidR="003501A1" w:rsidRPr="006F7AE8" w:rsidRDefault="003501A1" w:rsidP="007B71A4">
            <w:pPr>
              <w:ind w:right="-108"/>
              <w:rPr>
                <w:b/>
              </w:rPr>
            </w:pPr>
            <w:r w:rsidRPr="006F7AE8">
              <w:rPr>
                <w:b/>
              </w:rPr>
              <w:t>Pozitívne</w:t>
            </w:r>
          </w:p>
        </w:tc>
        <w:tc>
          <w:tcPr>
            <w:tcW w:w="569" w:type="dxa"/>
            <w:tcBorders>
              <w:left w:val="nil"/>
              <w:right w:val="nil"/>
            </w:tcBorders>
          </w:tcPr>
          <w:p w:rsidR="003501A1" w:rsidRPr="006F7AE8" w:rsidRDefault="002D7D49" w:rsidP="007B71A4">
            <w:pPr>
              <w:jc w:val="center"/>
              <w:rPr>
                <w:b/>
              </w:rPr>
            </w:pPr>
            <w:r w:rsidRPr="006F7AE8">
              <w:rPr>
                <w:rFonts w:ascii="Segoe UI Symbol" w:eastAsia="MS Gothic" w:hAnsi="Segoe UI Symbol" w:cs="Segoe UI Symbol"/>
                <w:b/>
              </w:rPr>
              <w:t>☐</w:t>
            </w:r>
          </w:p>
        </w:tc>
        <w:tc>
          <w:tcPr>
            <w:tcW w:w="1133" w:type="dxa"/>
            <w:tcBorders>
              <w:left w:val="nil"/>
              <w:right w:val="nil"/>
            </w:tcBorders>
          </w:tcPr>
          <w:p w:rsidR="003501A1" w:rsidRPr="006F7AE8" w:rsidRDefault="003501A1" w:rsidP="007B71A4">
            <w:pPr>
              <w:rPr>
                <w:b/>
              </w:rPr>
            </w:pPr>
            <w:r w:rsidRPr="006F7AE8">
              <w:rPr>
                <w:b/>
              </w:rPr>
              <w:t>Žiadne</w:t>
            </w:r>
          </w:p>
        </w:tc>
        <w:tc>
          <w:tcPr>
            <w:tcW w:w="547" w:type="dxa"/>
            <w:gridSpan w:val="2"/>
            <w:tcBorders>
              <w:left w:val="nil"/>
              <w:right w:val="nil"/>
            </w:tcBorders>
          </w:tcPr>
          <w:p w:rsidR="003501A1" w:rsidRPr="006F7AE8" w:rsidRDefault="003501A1" w:rsidP="007B71A4">
            <w:pPr>
              <w:jc w:val="center"/>
              <w:rPr>
                <w:b/>
              </w:rPr>
            </w:pPr>
            <w:r w:rsidRPr="006F7AE8">
              <w:rPr>
                <w:rFonts w:ascii="Segoe UI Symbol" w:eastAsia="MS Mincho" w:hAnsi="Segoe UI Symbol" w:cs="Segoe UI Symbol"/>
                <w:b/>
              </w:rPr>
              <w:t>☐</w:t>
            </w:r>
          </w:p>
        </w:tc>
        <w:tc>
          <w:tcPr>
            <w:tcW w:w="1297" w:type="dxa"/>
            <w:tcBorders>
              <w:left w:val="nil"/>
            </w:tcBorders>
          </w:tcPr>
          <w:p w:rsidR="003501A1" w:rsidRPr="006F7AE8" w:rsidRDefault="003501A1" w:rsidP="007B71A4">
            <w:pPr>
              <w:ind w:left="54"/>
              <w:rPr>
                <w:b/>
              </w:rPr>
            </w:pPr>
            <w:r w:rsidRPr="006F7AE8">
              <w:rPr>
                <w:b/>
              </w:rPr>
              <w:t>Negatívne</w:t>
            </w:r>
          </w:p>
        </w:tc>
      </w:tr>
      <w:tr w:rsidR="003501A1" w:rsidRPr="006F7AE8" w:rsidTr="004F6F1F">
        <w:tc>
          <w:tcPr>
            <w:tcW w:w="3812" w:type="dxa"/>
            <w:shd w:val="clear" w:color="auto" w:fill="E2E2E2"/>
          </w:tcPr>
          <w:p w:rsidR="003501A1" w:rsidRPr="006F7AE8" w:rsidRDefault="003501A1" w:rsidP="004C794A">
            <w:pPr>
              <w:rPr>
                <w:b/>
              </w:rPr>
            </w:pPr>
            <w:r w:rsidRPr="006F7AE8">
              <w:rPr>
                <w:b/>
              </w:rPr>
              <w:t>Vplyvy na životné prostredie</w:t>
            </w:r>
          </w:p>
        </w:tc>
        <w:tc>
          <w:tcPr>
            <w:tcW w:w="541" w:type="dxa"/>
            <w:gridSpan w:val="2"/>
            <w:tcBorders>
              <w:right w:val="nil"/>
            </w:tcBorders>
          </w:tcPr>
          <w:p w:rsidR="003501A1" w:rsidRPr="006F7AE8" w:rsidRDefault="003501A1" w:rsidP="007B71A4">
            <w:pPr>
              <w:jc w:val="center"/>
              <w:rPr>
                <w:b/>
              </w:rPr>
            </w:pPr>
            <w:r w:rsidRPr="006F7AE8">
              <w:rPr>
                <w:rFonts w:ascii="Segoe UI Symbol" w:eastAsia="MS Mincho" w:hAnsi="Segoe UI Symbol" w:cs="Segoe UI Symbol"/>
                <w:b/>
              </w:rPr>
              <w:t>☐</w:t>
            </w:r>
          </w:p>
        </w:tc>
        <w:tc>
          <w:tcPr>
            <w:tcW w:w="1281" w:type="dxa"/>
            <w:gridSpan w:val="2"/>
            <w:tcBorders>
              <w:left w:val="nil"/>
              <w:right w:val="nil"/>
            </w:tcBorders>
          </w:tcPr>
          <w:p w:rsidR="003501A1" w:rsidRPr="006F7AE8" w:rsidRDefault="003501A1" w:rsidP="007B71A4">
            <w:pPr>
              <w:ind w:right="-108"/>
              <w:rPr>
                <w:b/>
              </w:rPr>
            </w:pPr>
            <w:r w:rsidRPr="006F7AE8">
              <w:rPr>
                <w:b/>
              </w:rPr>
              <w:t>Pozitívne</w:t>
            </w:r>
          </w:p>
        </w:tc>
        <w:tc>
          <w:tcPr>
            <w:tcW w:w="569" w:type="dxa"/>
            <w:tcBorders>
              <w:left w:val="nil"/>
              <w:right w:val="nil"/>
            </w:tcBorders>
          </w:tcPr>
          <w:p w:rsidR="003501A1" w:rsidRPr="006F7AE8" w:rsidRDefault="00D77891" w:rsidP="007B71A4">
            <w:pPr>
              <w:jc w:val="center"/>
              <w:rPr>
                <w:b/>
              </w:rPr>
            </w:pPr>
            <w:r w:rsidRPr="006F7AE8">
              <w:rPr>
                <w:rFonts w:ascii="Segoe UI Symbol" w:eastAsia="MS Gothic" w:hAnsi="Segoe UI Symbol" w:cs="Segoe UI Symbol"/>
                <w:b/>
              </w:rPr>
              <w:t>☒</w:t>
            </w:r>
          </w:p>
        </w:tc>
        <w:tc>
          <w:tcPr>
            <w:tcW w:w="1133" w:type="dxa"/>
            <w:tcBorders>
              <w:left w:val="nil"/>
              <w:right w:val="nil"/>
            </w:tcBorders>
          </w:tcPr>
          <w:p w:rsidR="003501A1" w:rsidRPr="006F7AE8" w:rsidRDefault="003501A1" w:rsidP="007B71A4">
            <w:pPr>
              <w:rPr>
                <w:b/>
              </w:rPr>
            </w:pPr>
            <w:r w:rsidRPr="006F7AE8">
              <w:rPr>
                <w:b/>
              </w:rPr>
              <w:t>Žiadne</w:t>
            </w:r>
          </w:p>
        </w:tc>
        <w:tc>
          <w:tcPr>
            <w:tcW w:w="547" w:type="dxa"/>
            <w:gridSpan w:val="2"/>
            <w:tcBorders>
              <w:left w:val="nil"/>
              <w:right w:val="nil"/>
            </w:tcBorders>
          </w:tcPr>
          <w:p w:rsidR="003501A1" w:rsidRPr="006F7AE8" w:rsidRDefault="003501A1" w:rsidP="007B71A4">
            <w:pPr>
              <w:jc w:val="center"/>
              <w:rPr>
                <w:b/>
              </w:rPr>
            </w:pPr>
            <w:r w:rsidRPr="006F7AE8">
              <w:rPr>
                <w:rFonts w:ascii="Segoe UI Symbol" w:eastAsia="MS Mincho" w:hAnsi="Segoe UI Symbol" w:cs="Segoe UI Symbol"/>
                <w:b/>
              </w:rPr>
              <w:t>☐</w:t>
            </w:r>
          </w:p>
        </w:tc>
        <w:tc>
          <w:tcPr>
            <w:tcW w:w="1297" w:type="dxa"/>
            <w:tcBorders>
              <w:left w:val="nil"/>
            </w:tcBorders>
          </w:tcPr>
          <w:p w:rsidR="003501A1" w:rsidRPr="006F7AE8" w:rsidRDefault="003501A1" w:rsidP="007B71A4">
            <w:pPr>
              <w:ind w:left="54"/>
              <w:rPr>
                <w:b/>
              </w:rPr>
            </w:pPr>
            <w:r w:rsidRPr="006F7AE8">
              <w:rPr>
                <w:b/>
              </w:rPr>
              <w:t>Negatívne</w:t>
            </w:r>
          </w:p>
        </w:tc>
      </w:tr>
      <w:tr w:rsidR="003501A1" w:rsidRPr="006F7AE8" w:rsidTr="0045465B">
        <w:tc>
          <w:tcPr>
            <w:tcW w:w="3812" w:type="dxa"/>
            <w:shd w:val="clear" w:color="auto" w:fill="E2E2E2"/>
          </w:tcPr>
          <w:p w:rsidR="003501A1" w:rsidRPr="006F7AE8" w:rsidRDefault="003501A1" w:rsidP="004C794A">
            <w:pPr>
              <w:rPr>
                <w:b/>
              </w:rPr>
            </w:pPr>
            <w:r w:rsidRPr="006F7AE8">
              <w:rPr>
                <w:b/>
              </w:rPr>
              <w:t>Vplyvy na informatizáciu</w:t>
            </w:r>
          </w:p>
        </w:tc>
        <w:tc>
          <w:tcPr>
            <w:tcW w:w="541" w:type="dxa"/>
            <w:gridSpan w:val="2"/>
            <w:tcBorders>
              <w:right w:val="nil"/>
            </w:tcBorders>
          </w:tcPr>
          <w:p w:rsidR="003501A1" w:rsidRPr="006F7AE8" w:rsidRDefault="00F90F47" w:rsidP="007B71A4">
            <w:pPr>
              <w:jc w:val="center"/>
              <w:rPr>
                <w:b/>
              </w:rPr>
            </w:pPr>
            <w:r w:rsidRPr="006F7AE8">
              <w:rPr>
                <w:rFonts w:ascii="Segoe UI Symbol" w:eastAsia="MS Gothic" w:hAnsi="Segoe UI Symbol" w:cs="Segoe UI Symbol"/>
                <w:b/>
              </w:rPr>
              <w:t>☐</w:t>
            </w:r>
          </w:p>
        </w:tc>
        <w:tc>
          <w:tcPr>
            <w:tcW w:w="1281" w:type="dxa"/>
            <w:gridSpan w:val="2"/>
            <w:tcBorders>
              <w:left w:val="nil"/>
              <w:right w:val="nil"/>
            </w:tcBorders>
          </w:tcPr>
          <w:p w:rsidR="003501A1" w:rsidRPr="006F7AE8" w:rsidRDefault="003501A1" w:rsidP="007B71A4">
            <w:pPr>
              <w:ind w:right="-108"/>
              <w:rPr>
                <w:b/>
              </w:rPr>
            </w:pPr>
            <w:r w:rsidRPr="006F7AE8">
              <w:rPr>
                <w:b/>
              </w:rPr>
              <w:t>Pozitívne</w:t>
            </w:r>
          </w:p>
        </w:tc>
        <w:tc>
          <w:tcPr>
            <w:tcW w:w="569" w:type="dxa"/>
            <w:tcBorders>
              <w:left w:val="nil"/>
              <w:right w:val="nil"/>
            </w:tcBorders>
          </w:tcPr>
          <w:p w:rsidR="003501A1" w:rsidRPr="006F7AE8" w:rsidRDefault="00F90F47" w:rsidP="007B71A4">
            <w:pPr>
              <w:jc w:val="center"/>
              <w:rPr>
                <w:b/>
              </w:rPr>
            </w:pPr>
            <w:r w:rsidRPr="006F7AE8">
              <w:rPr>
                <w:rFonts w:ascii="Segoe UI Symbol" w:eastAsia="MS Gothic" w:hAnsi="Segoe UI Symbol" w:cs="Segoe UI Symbol"/>
                <w:b/>
              </w:rPr>
              <w:t>☒</w:t>
            </w:r>
          </w:p>
        </w:tc>
        <w:tc>
          <w:tcPr>
            <w:tcW w:w="1133" w:type="dxa"/>
            <w:tcBorders>
              <w:left w:val="nil"/>
              <w:right w:val="nil"/>
            </w:tcBorders>
          </w:tcPr>
          <w:p w:rsidR="003501A1" w:rsidRPr="006F7AE8" w:rsidRDefault="003501A1" w:rsidP="007B71A4">
            <w:pPr>
              <w:rPr>
                <w:b/>
              </w:rPr>
            </w:pPr>
            <w:r w:rsidRPr="006F7AE8">
              <w:rPr>
                <w:b/>
              </w:rPr>
              <w:t>Žiadne</w:t>
            </w:r>
          </w:p>
        </w:tc>
        <w:tc>
          <w:tcPr>
            <w:tcW w:w="547" w:type="dxa"/>
            <w:gridSpan w:val="2"/>
            <w:tcBorders>
              <w:left w:val="nil"/>
              <w:right w:val="nil"/>
            </w:tcBorders>
          </w:tcPr>
          <w:p w:rsidR="003501A1" w:rsidRPr="006F7AE8" w:rsidRDefault="003501A1" w:rsidP="007B71A4">
            <w:pPr>
              <w:jc w:val="center"/>
              <w:rPr>
                <w:b/>
              </w:rPr>
            </w:pPr>
            <w:r w:rsidRPr="006F7AE8">
              <w:rPr>
                <w:rFonts w:ascii="Segoe UI Symbol" w:eastAsia="MS Mincho" w:hAnsi="Segoe UI Symbol" w:cs="Segoe UI Symbol"/>
                <w:b/>
              </w:rPr>
              <w:t>☐</w:t>
            </w:r>
          </w:p>
        </w:tc>
        <w:tc>
          <w:tcPr>
            <w:tcW w:w="1297" w:type="dxa"/>
            <w:tcBorders>
              <w:left w:val="nil"/>
            </w:tcBorders>
          </w:tcPr>
          <w:p w:rsidR="003501A1" w:rsidRPr="006F7AE8" w:rsidRDefault="003501A1" w:rsidP="007B71A4">
            <w:pPr>
              <w:ind w:left="54"/>
              <w:rPr>
                <w:b/>
              </w:rPr>
            </w:pPr>
            <w:r w:rsidRPr="006F7AE8">
              <w:rPr>
                <w:b/>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45465B" w:rsidRPr="006F7AE8" w:rsidTr="00B83402">
        <w:tc>
          <w:tcPr>
            <w:tcW w:w="3812" w:type="dxa"/>
            <w:tcBorders>
              <w:bottom w:val="nil"/>
            </w:tcBorders>
            <w:shd w:val="clear" w:color="auto" w:fill="E2E2E2"/>
          </w:tcPr>
          <w:p w:rsidR="0045465B" w:rsidRPr="006F7AE8" w:rsidRDefault="0045465B" w:rsidP="00B83402">
            <w:pPr>
              <w:rPr>
                <w:b/>
              </w:rPr>
            </w:pPr>
            <w:r w:rsidRPr="006F7AE8">
              <w:rPr>
                <w:b/>
                <w:lang w:eastAsia="en-US"/>
              </w:rPr>
              <w:t>Vplyvy na služby verejnej správy pre občana, z toho</w:t>
            </w:r>
          </w:p>
        </w:tc>
        <w:tc>
          <w:tcPr>
            <w:tcW w:w="541" w:type="dxa"/>
            <w:tcBorders>
              <w:bottom w:val="nil"/>
              <w:right w:val="nil"/>
            </w:tcBorders>
          </w:tcPr>
          <w:p w:rsidR="0045465B" w:rsidRPr="006F7AE8" w:rsidRDefault="0045465B" w:rsidP="00B83402">
            <w:pPr>
              <w:jc w:val="center"/>
              <w:rPr>
                <w:rFonts w:eastAsia="MS Mincho"/>
                <w:b/>
              </w:rPr>
            </w:pPr>
          </w:p>
        </w:tc>
        <w:tc>
          <w:tcPr>
            <w:tcW w:w="1281" w:type="dxa"/>
            <w:tcBorders>
              <w:left w:val="nil"/>
              <w:bottom w:val="nil"/>
              <w:right w:val="nil"/>
            </w:tcBorders>
          </w:tcPr>
          <w:p w:rsidR="0045465B" w:rsidRPr="006F7AE8" w:rsidRDefault="0045465B" w:rsidP="00B83402">
            <w:pPr>
              <w:ind w:right="-108"/>
              <w:rPr>
                <w:b/>
              </w:rPr>
            </w:pPr>
          </w:p>
        </w:tc>
        <w:tc>
          <w:tcPr>
            <w:tcW w:w="569" w:type="dxa"/>
            <w:tcBorders>
              <w:left w:val="nil"/>
              <w:bottom w:val="nil"/>
              <w:right w:val="nil"/>
            </w:tcBorders>
          </w:tcPr>
          <w:p w:rsidR="0045465B" w:rsidRPr="006F7AE8" w:rsidRDefault="0045465B" w:rsidP="00B83402">
            <w:pPr>
              <w:jc w:val="center"/>
              <w:rPr>
                <w:rFonts w:eastAsia="MS Mincho"/>
                <w:b/>
              </w:rPr>
            </w:pPr>
          </w:p>
        </w:tc>
        <w:tc>
          <w:tcPr>
            <w:tcW w:w="1133" w:type="dxa"/>
            <w:tcBorders>
              <w:left w:val="nil"/>
              <w:bottom w:val="nil"/>
              <w:right w:val="nil"/>
            </w:tcBorders>
          </w:tcPr>
          <w:p w:rsidR="0045465B" w:rsidRPr="006F7AE8" w:rsidRDefault="0045465B" w:rsidP="00B83402">
            <w:pPr>
              <w:rPr>
                <w:b/>
              </w:rPr>
            </w:pPr>
          </w:p>
        </w:tc>
        <w:tc>
          <w:tcPr>
            <w:tcW w:w="547" w:type="dxa"/>
            <w:tcBorders>
              <w:left w:val="nil"/>
              <w:bottom w:val="nil"/>
              <w:right w:val="nil"/>
            </w:tcBorders>
          </w:tcPr>
          <w:p w:rsidR="0045465B" w:rsidRPr="006F7AE8" w:rsidRDefault="0045465B" w:rsidP="00B83402">
            <w:pPr>
              <w:jc w:val="center"/>
              <w:rPr>
                <w:rFonts w:eastAsia="MS Mincho"/>
                <w:b/>
              </w:rPr>
            </w:pPr>
          </w:p>
        </w:tc>
        <w:tc>
          <w:tcPr>
            <w:tcW w:w="1297" w:type="dxa"/>
            <w:tcBorders>
              <w:left w:val="nil"/>
              <w:bottom w:val="nil"/>
            </w:tcBorders>
          </w:tcPr>
          <w:p w:rsidR="0045465B" w:rsidRPr="006F7AE8" w:rsidRDefault="0045465B" w:rsidP="00B83402">
            <w:pPr>
              <w:ind w:left="54"/>
              <w:rPr>
                <w:b/>
              </w:rPr>
            </w:pPr>
          </w:p>
        </w:tc>
      </w:tr>
      <w:tr w:rsidR="001A1559" w:rsidRPr="006F7AE8" w:rsidTr="00B83402">
        <w:tc>
          <w:tcPr>
            <w:tcW w:w="3812" w:type="dxa"/>
            <w:tcBorders>
              <w:top w:val="nil"/>
              <w:bottom w:val="nil"/>
            </w:tcBorders>
            <w:shd w:val="clear" w:color="auto" w:fill="E2E2E2"/>
          </w:tcPr>
          <w:p w:rsidR="001A1559" w:rsidRPr="006F7AE8" w:rsidRDefault="001A1559" w:rsidP="00B83402">
            <w:pPr>
              <w:ind w:left="196" w:hanging="196"/>
              <w:rPr>
                <w:b/>
                <w:lang w:eastAsia="en-US"/>
              </w:rPr>
            </w:pPr>
            <w:r w:rsidRPr="006F7AE8">
              <w:rPr>
                <w:b/>
                <w:lang w:eastAsia="en-US"/>
              </w:rPr>
              <w:t xml:space="preserve">    vplyvy služieb verejnej správy na občana</w:t>
            </w:r>
          </w:p>
        </w:tc>
        <w:tc>
          <w:tcPr>
            <w:tcW w:w="541" w:type="dxa"/>
            <w:tcBorders>
              <w:top w:val="nil"/>
              <w:bottom w:val="nil"/>
              <w:right w:val="nil"/>
            </w:tcBorders>
          </w:tcPr>
          <w:p w:rsidR="001A1559" w:rsidRPr="006F7AE8" w:rsidRDefault="00F90F47" w:rsidP="00EB1608">
            <w:pPr>
              <w:jc w:val="center"/>
              <w:rPr>
                <w:b/>
              </w:rPr>
            </w:pPr>
            <w:r w:rsidRPr="006F7AE8">
              <w:rPr>
                <w:rFonts w:ascii="Segoe UI Symbol" w:eastAsia="MS Gothic" w:hAnsi="Segoe UI Symbol" w:cs="Segoe UI Symbol"/>
                <w:b/>
              </w:rPr>
              <w:t>☐</w:t>
            </w:r>
          </w:p>
        </w:tc>
        <w:tc>
          <w:tcPr>
            <w:tcW w:w="1281" w:type="dxa"/>
            <w:tcBorders>
              <w:top w:val="nil"/>
              <w:left w:val="nil"/>
              <w:bottom w:val="nil"/>
              <w:right w:val="nil"/>
            </w:tcBorders>
          </w:tcPr>
          <w:p w:rsidR="001A1559" w:rsidRPr="006F7AE8" w:rsidRDefault="001A1559" w:rsidP="00EB1608">
            <w:pPr>
              <w:ind w:right="-108"/>
              <w:rPr>
                <w:b/>
              </w:rPr>
            </w:pPr>
            <w:r w:rsidRPr="006F7AE8">
              <w:rPr>
                <w:b/>
              </w:rPr>
              <w:t>Pozitívne</w:t>
            </w:r>
          </w:p>
        </w:tc>
        <w:tc>
          <w:tcPr>
            <w:tcW w:w="569" w:type="dxa"/>
            <w:tcBorders>
              <w:top w:val="nil"/>
              <w:left w:val="nil"/>
              <w:bottom w:val="nil"/>
              <w:right w:val="nil"/>
            </w:tcBorders>
          </w:tcPr>
          <w:p w:rsidR="001A1559" w:rsidRPr="006F7AE8" w:rsidRDefault="00F90F47" w:rsidP="00EB1608">
            <w:pPr>
              <w:jc w:val="center"/>
              <w:rPr>
                <w:b/>
              </w:rPr>
            </w:pPr>
            <w:r w:rsidRPr="006F7AE8">
              <w:rPr>
                <w:rFonts w:ascii="Segoe UI Symbol" w:eastAsia="MS Gothic" w:hAnsi="Segoe UI Symbol" w:cs="Segoe UI Symbol"/>
                <w:b/>
              </w:rPr>
              <w:t>☒</w:t>
            </w:r>
          </w:p>
        </w:tc>
        <w:tc>
          <w:tcPr>
            <w:tcW w:w="1133" w:type="dxa"/>
            <w:tcBorders>
              <w:top w:val="nil"/>
              <w:left w:val="nil"/>
              <w:bottom w:val="nil"/>
              <w:right w:val="nil"/>
            </w:tcBorders>
          </w:tcPr>
          <w:p w:rsidR="001A1559" w:rsidRPr="006F7AE8" w:rsidRDefault="001A1559" w:rsidP="00EB1608">
            <w:pPr>
              <w:rPr>
                <w:b/>
              </w:rPr>
            </w:pPr>
            <w:r w:rsidRPr="006F7AE8">
              <w:rPr>
                <w:b/>
              </w:rPr>
              <w:t>Žiadne</w:t>
            </w:r>
          </w:p>
        </w:tc>
        <w:tc>
          <w:tcPr>
            <w:tcW w:w="547" w:type="dxa"/>
            <w:tcBorders>
              <w:top w:val="nil"/>
              <w:left w:val="nil"/>
              <w:bottom w:val="nil"/>
              <w:right w:val="nil"/>
            </w:tcBorders>
          </w:tcPr>
          <w:p w:rsidR="001A1559" w:rsidRPr="006F7AE8" w:rsidRDefault="001A1559" w:rsidP="00EB1608">
            <w:pPr>
              <w:jc w:val="center"/>
              <w:rPr>
                <w:b/>
              </w:rPr>
            </w:pPr>
            <w:r w:rsidRPr="006F7AE8">
              <w:rPr>
                <w:rFonts w:ascii="Segoe UI Symbol" w:eastAsia="MS Mincho" w:hAnsi="Segoe UI Symbol" w:cs="Segoe UI Symbol"/>
                <w:b/>
              </w:rPr>
              <w:t>☐</w:t>
            </w:r>
          </w:p>
        </w:tc>
        <w:tc>
          <w:tcPr>
            <w:tcW w:w="1297" w:type="dxa"/>
            <w:tcBorders>
              <w:top w:val="nil"/>
              <w:left w:val="nil"/>
              <w:bottom w:val="nil"/>
            </w:tcBorders>
          </w:tcPr>
          <w:p w:rsidR="001A1559" w:rsidRPr="006F7AE8" w:rsidRDefault="001A1559" w:rsidP="00EB1608">
            <w:pPr>
              <w:ind w:left="54"/>
              <w:rPr>
                <w:b/>
              </w:rPr>
            </w:pPr>
            <w:r w:rsidRPr="006F7AE8">
              <w:rPr>
                <w:b/>
              </w:rPr>
              <w:t>Negatívne</w:t>
            </w:r>
          </w:p>
        </w:tc>
      </w:tr>
      <w:tr w:rsidR="001A1559" w:rsidRPr="006F7AE8" w:rsidTr="00B83402">
        <w:tc>
          <w:tcPr>
            <w:tcW w:w="3812" w:type="dxa"/>
            <w:tcBorders>
              <w:top w:val="nil"/>
            </w:tcBorders>
            <w:shd w:val="clear" w:color="auto" w:fill="E2E2E2"/>
          </w:tcPr>
          <w:p w:rsidR="001A1559" w:rsidRDefault="001A1559" w:rsidP="00B83402">
            <w:pPr>
              <w:ind w:left="168" w:hanging="168"/>
              <w:rPr>
                <w:b/>
                <w:lang w:eastAsia="en-US"/>
              </w:rPr>
            </w:pPr>
            <w:r w:rsidRPr="006F7AE8">
              <w:rPr>
                <w:b/>
                <w:lang w:eastAsia="en-US"/>
              </w:rPr>
              <w:t xml:space="preserve">    vplyvy na procesy služieb vo verejnej správe</w:t>
            </w:r>
          </w:p>
          <w:p w:rsidR="000A7C5E" w:rsidRPr="000A7C5E" w:rsidRDefault="000A7C5E" w:rsidP="00B83402">
            <w:pPr>
              <w:ind w:left="168" w:hanging="168"/>
              <w:rPr>
                <w:b/>
                <w:lang w:eastAsia="en-US"/>
              </w:rPr>
            </w:pPr>
            <w:r w:rsidRPr="000A7C5E">
              <w:rPr>
                <w:b/>
                <w:color w:val="000000"/>
              </w:rPr>
              <w:lastRenderedPageBreak/>
              <w:t xml:space="preserve">   </w:t>
            </w:r>
            <w:r>
              <w:rPr>
                <w:b/>
                <w:color w:val="000000"/>
              </w:rPr>
              <w:t xml:space="preserve"> </w:t>
            </w:r>
            <w:r w:rsidRPr="000A7C5E">
              <w:rPr>
                <w:b/>
                <w:color w:val="000000"/>
              </w:rPr>
              <w:t>vplyvy na manželstvo, rodičovstvo a rodinu</w:t>
            </w:r>
          </w:p>
        </w:tc>
        <w:tc>
          <w:tcPr>
            <w:tcW w:w="541" w:type="dxa"/>
            <w:tcBorders>
              <w:top w:val="nil"/>
              <w:right w:val="nil"/>
            </w:tcBorders>
          </w:tcPr>
          <w:p w:rsidR="000A7C5E" w:rsidRDefault="000A7C5E" w:rsidP="00EB1608">
            <w:pPr>
              <w:jc w:val="center"/>
              <w:rPr>
                <w:rFonts w:ascii="Segoe UI Symbol" w:eastAsia="MS Mincho" w:hAnsi="Segoe UI Symbol" w:cs="Segoe UI Symbol"/>
                <w:b/>
              </w:rPr>
            </w:pPr>
            <w:r w:rsidRPr="006F7AE8">
              <w:rPr>
                <w:rFonts w:ascii="Segoe UI Symbol" w:eastAsia="MS Gothic" w:hAnsi="Segoe UI Symbol" w:cs="Segoe UI Symbol"/>
                <w:b/>
              </w:rPr>
              <w:lastRenderedPageBreak/>
              <w:t>☐</w:t>
            </w:r>
          </w:p>
          <w:p w:rsidR="000A7C5E" w:rsidRDefault="000A7C5E" w:rsidP="00EB1608">
            <w:pPr>
              <w:jc w:val="center"/>
              <w:rPr>
                <w:rFonts w:ascii="Segoe UI Symbol" w:eastAsia="MS Mincho" w:hAnsi="Segoe UI Symbol" w:cs="Segoe UI Symbol"/>
                <w:b/>
              </w:rPr>
            </w:pPr>
          </w:p>
          <w:p w:rsidR="001A1559" w:rsidRPr="006F7AE8" w:rsidRDefault="001A1559" w:rsidP="00EB1608">
            <w:pPr>
              <w:jc w:val="center"/>
              <w:rPr>
                <w:b/>
              </w:rPr>
            </w:pPr>
            <w:r w:rsidRPr="006F7AE8">
              <w:rPr>
                <w:rFonts w:ascii="Segoe UI Symbol" w:eastAsia="MS Mincho" w:hAnsi="Segoe UI Symbol" w:cs="Segoe UI Symbol"/>
                <w:b/>
              </w:rPr>
              <w:lastRenderedPageBreak/>
              <w:t>☐</w:t>
            </w:r>
          </w:p>
        </w:tc>
        <w:tc>
          <w:tcPr>
            <w:tcW w:w="1281" w:type="dxa"/>
            <w:tcBorders>
              <w:top w:val="nil"/>
              <w:left w:val="nil"/>
              <w:right w:val="nil"/>
            </w:tcBorders>
          </w:tcPr>
          <w:p w:rsidR="001A1559" w:rsidRDefault="001A1559" w:rsidP="00EB1608">
            <w:pPr>
              <w:ind w:right="-108"/>
              <w:rPr>
                <w:b/>
              </w:rPr>
            </w:pPr>
            <w:r w:rsidRPr="006F7AE8">
              <w:rPr>
                <w:b/>
              </w:rPr>
              <w:lastRenderedPageBreak/>
              <w:t>Pozitívne</w:t>
            </w:r>
          </w:p>
          <w:p w:rsidR="000A7C5E" w:rsidRDefault="000A7C5E" w:rsidP="000A7C5E">
            <w:pPr>
              <w:ind w:right="-108"/>
              <w:rPr>
                <w:b/>
              </w:rPr>
            </w:pPr>
          </w:p>
          <w:p w:rsidR="000A7C5E" w:rsidRDefault="000A7C5E" w:rsidP="000A7C5E">
            <w:pPr>
              <w:ind w:right="-108"/>
              <w:rPr>
                <w:b/>
              </w:rPr>
            </w:pPr>
            <w:r w:rsidRPr="006F7AE8">
              <w:rPr>
                <w:b/>
              </w:rPr>
              <w:lastRenderedPageBreak/>
              <w:t>Pozitívne</w:t>
            </w:r>
          </w:p>
          <w:p w:rsidR="000A7C5E" w:rsidRDefault="000A7C5E" w:rsidP="00EB1608">
            <w:pPr>
              <w:ind w:right="-108"/>
              <w:rPr>
                <w:b/>
              </w:rPr>
            </w:pPr>
          </w:p>
          <w:p w:rsidR="000A7C5E" w:rsidRPr="006F7AE8" w:rsidRDefault="000A7C5E" w:rsidP="000A7C5E">
            <w:pPr>
              <w:ind w:left="-501" w:right="-108"/>
              <w:rPr>
                <w:b/>
              </w:rPr>
            </w:pPr>
          </w:p>
        </w:tc>
        <w:tc>
          <w:tcPr>
            <w:tcW w:w="569" w:type="dxa"/>
            <w:tcBorders>
              <w:top w:val="nil"/>
              <w:left w:val="nil"/>
              <w:right w:val="nil"/>
            </w:tcBorders>
          </w:tcPr>
          <w:p w:rsidR="001A1559" w:rsidRDefault="00D77891" w:rsidP="00EB1608">
            <w:pPr>
              <w:jc w:val="center"/>
              <w:rPr>
                <w:rFonts w:ascii="Segoe UI Symbol" w:eastAsia="MS Gothic" w:hAnsi="Segoe UI Symbol" w:cs="Segoe UI Symbol"/>
                <w:b/>
              </w:rPr>
            </w:pPr>
            <w:r w:rsidRPr="006F7AE8">
              <w:rPr>
                <w:rFonts w:ascii="Segoe UI Symbol" w:eastAsia="MS Gothic" w:hAnsi="Segoe UI Symbol" w:cs="Segoe UI Symbol"/>
                <w:b/>
              </w:rPr>
              <w:lastRenderedPageBreak/>
              <w:t>☒</w:t>
            </w:r>
          </w:p>
          <w:p w:rsidR="000A7C5E" w:rsidRDefault="000A7C5E" w:rsidP="00EB1608">
            <w:pPr>
              <w:jc w:val="center"/>
              <w:rPr>
                <w:rFonts w:ascii="Segoe UI Symbol" w:eastAsia="MS Gothic" w:hAnsi="Segoe UI Symbol" w:cs="Segoe UI Symbol"/>
                <w:b/>
              </w:rPr>
            </w:pPr>
          </w:p>
          <w:p w:rsidR="000A7C5E" w:rsidRDefault="000A7C5E" w:rsidP="00EB1608">
            <w:pPr>
              <w:jc w:val="center"/>
              <w:rPr>
                <w:rFonts w:ascii="Segoe UI Symbol" w:eastAsia="MS Gothic" w:hAnsi="Segoe UI Symbol" w:cs="Segoe UI Symbol"/>
                <w:b/>
              </w:rPr>
            </w:pPr>
            <w:r w:rsidRPr="006F7AE8">
              <w:rPr>
                <w:rFonts w:ascii="Segoe UI Symbol" w:eastAsia="MS Gothic" w:hAnsi="Segoe UI Symbol" w:cs="Segoe UI Symbol"/>
                <w:b/>
              </w:rPr>
              <w:lastRenderedPageBreak/>
              <w:t>☒</w:t>
            </w:r>
          </w:p>
          <w:p w:rsidR="000A7C5E" w:rsidRPr="006F7AE8" w:rsidRDefault="000A7C5E" w:rsidP="00EB1608">
            <w:pPr>
              <w:jc w:val="center"/>
              <w:rPr>
                <w:b/>
              </w:rPr>
            </w:pPr>
          </w:p>
        </w:tc>
        <w:tc>
          <w:tcPr>
            <w:tcW w:w="1133" w:type="dxa"/>
            <w:tcBorders>
              <w:top w:val="nil"/>
              <w:left w:val="nil"/>
              <w:right w:val="nil"/>
            </w:tcBorders>
          </w:tcPr>
          <w:p w:rsidR="001A1559" w:rsidRDefault="001A1559" w:rsidP="00EB1608">
            <w:pPr>
              <w:rPr>
                <w:b/>
              </w:rPr>
            </w:pPr>
            <w:r w:rsidRPr="006F7AE8">
              <w:rPr>
                <w:b/>
              </w:rPr>
              <w:lastRenderedPageBreak/>
              <w:t>Žiadne</w:t>
            </w:r>
          </w:p>
          <w:p w:rsidR="000A7C5E" w:rsidRDefault="000A7C5E" w:rsidP="00EB1608">
            <w:pPr>
              <w:rPr>
                <w:b/>
              </w:rPr>
            </w:pPr>
          </w:p>
          <w:p w:rsidR="000A7C5E" w:rsidRPr="006F7AE8" w:rsidRDefault="000A7C5E" w:rsidP="00EB1608">
            <w:pPr>
              <w:rPr>
                <w:b/>
              </w:rPr>
            </w:pPr>
            <w:r w:rsidRPr="006F7AE8">
              <w:rPr>
                <w:b/>
              </w:rPr>
              <w:lastRenderedPageBreak/>
              <w:t>Žiadne</w:t>
            </w:r>
          </w:p>
        </w:tc>
        <w:tc>
          <w:tcPr>
            <w:tcW w:w="547" w:type="dxa"/>
            <w:tcBorders>
              <w:top w:val="nil"/>
              <w:left w:val="nil"/>
              <w:right w:val="nil"/>
            </w:tcBorders>
          </w:tcPr>
          <w:p w:rsidR="001A1559" w:rsidRDefault="001A1559" w:rsidP="00EB1608">
            <w:pPr>
              <w:jc w:val="center"/>
              <w:rPr>
                <w:rFonts w:ascii="Segoe UI Symbol" w:eastAsia="MS Mincho" w:hAnsi="Segoe UI Symbol" w:cs="Segoe UI Symbol"/>
                <w:b/>
              </w:rPr>
            </w:pPr>
            <w:r w:rsidRPr="006F7AE8">
              <w:rPr>
                <w:rFonts w:ascii="Segoe UI Symbol" w:eastAsia="MS Mincho" w:hAnsi="Segoe UI Symbol" w:cs="Segoe UI Symbol"/>
                <w:b/>
              </w:rPr>
              <w:lastRenderedPageBreak/>
              <w:t>☐</w:t>
            </w:r>
          </w:p>
          <w:p w:rsidR="000A7C5E" w:rsidRDefault="000A7C5E" w:rsidP="00EB1608">
            <w:pPr>
              <w:jc w:val="center"/>
              <w:rPr>
                <w:rFonts w:ascii="Segoe UI Symbol" w:eastAsia="MS Mincho" w:hAnsi="Segoe UI Symbol" w:cs="Segoe UI Symbol"/>
                <w:b/>
              </w:rPr>
            </w:pPr>
          </w:p>
          <w:p w:rsidR="000A7C5E" w:rsidRPr="006F7AE8" w:rsidRDefault="000A7C5E" w:rsidP="00EB1608">
            <w:pPr>
              <w:jc w:val="center"/>
              <w:rPr>
                <w:b/>
              </w:rPr>
            </w:pPr>
            <w:r w:rsidRPr="006F7AE8">
              <w:rPr>
                <w:rFonts w:ascii="Segoe UI Symbol" w:eastAsia="MS Mincho" w:hAnsi="Segoe UI Symbol" w:cs="Segoe UI Symbol"/>
                <w:b/>
              </w:rPr>
              <w:lastRenderedPageBreak/>
              <w:t>☐</w:t>
            </w:r>
          </w:p>
        </w:tc>
        <w:tc>
          <w:tcPr>
            <w:tcW w:w="1297" w:type="dxa"/>
            <w:tcBorders>
              <w:top w:val="nil"/>
              <w:left w:val="nil"/>
            </w:tcBorders>
          </w:tcPr>
          <w:p w:rsidR="001A1559" w:rsidRDefault="001A1559" w:rsidP="00EB1608">
            <w:pPr>
              <w:ind w:left="54"/>
              <w:rPr>
                <w:b/>
              </w:rPr>
            </w:pPr>
            <w:r w:rsidRPr="006F7AE8">
              <w:rPr>
                <w:b/>
              </w:rPr>
              <w:lastRenderedPageBreak/>
              <w:t>Negatívne</w:t>
            </w:r>
          </w:p>
          <w:p w:rsidR="000A7C5E" w:rsidRDefault="000A7C5E" w:rsidP="000A7C5E">
            <w:pPr>
              <w:ind w:left="54"/>
              <w:rPr>
                <w:b/>
              </w:rPr>
            </w:pPr>
          </w:p>
          <w:p w:rsidR="000A7C5E" w:rsidRPr="006F7AE8" w:rsidRDefault="000A7C5E" w:rsidP="000A7C5E">
            <w:pPr>
              <w:ind w:left="54"/>
              <w:rPr>
                <w:b/>
              </w:rPr>
            </w:pPr>
            <w:r w:rsidRPr="006F7AE8">
              <w:rPr>
                <w:b/>
              </w:rPr>
              <w:lastRenderedPageBreak/>
              <w:t>Negatívne</w:t>
            </w:r>
          </w:p>
        </w:tc>
      </w:tr>
    </w:tbl>
    <w:p w:rsidR="003501A1" w:rsidRPr="006F7AE8" w:rsidRDefault="003501A1" w:rsidP="003501A1">
      <w:pPr>
        <w:ind w:right="141"/>
        <w:rPr>
          <w:b/>
        </w:rPr>
      </w:pPr>
    </w:p>
    <w:tbl>
      <w:tblPr>
        <w:tblStyle w:val="Mriekatabuky"/>
        <w:tblW w:w="9176" w:type="dxa"/>
        <w:tblLayout w:type="fixed"/>
        <w:tblLook w:val="04A0" w:firstRow="1" w:lastRow="0" w:firstColumn="1" w:lastColumn="0" w:noHBand="0" w:noVBand="1"/>
      </w:tblPr>
      <w:tblGrid>
        <w:gridCol w:w="9176"/>
      </w:tblGrid>
      <w:tr w:rsidR="004F6F1F" w:rsidRPr="006F7AE8" w:rsidTr="004F6F1F">
        <w:tc>
          <w:tcPr>
            <w:tcW w:w="9176" w:type="dxa"/>
            <w:tcBorders>
              <w:bottom w:val="nil"/>
            </w:tcBorders>
            <w:shd w:val="clear" w:color="auto" w:fill="E2E2E2"/>
          </w:tcPr>
          <w:p w:rsidR="004F6F1F" w:rsidRDefault="004F6F1F" w:rsidP="003501A1">
            <w:pPr>
              <w:pStyle w:val="Odsekzoznamu"/>
              <w:numPr>
                <w:ilvl w:val="0"/>
                <w:numId w:val="1"/>
              </w:numPr>
              <w:spacing w:after="0" w:line="240" w:lineRule="auto"/>
              <w:ind w:left="426"/>
              <w:rPr>
                <w:rFonts w:ascii="Times New Roman" w:hAnsi="Times New Roman"/>
                <w:b/>
              </w:rPr>
            </w:pPr>
            <w:r w:rsidRPr="006F7AE8">
              <w:rPr>
                <w:rFonts w:ascii="Times New Roman" w:hAnsi="Times New Roman"/>
                <w:b/>
              </w:rPr>
              <w:t>Poznámky</w:t>
            </w:r>
            <w:r w:rsidR="002D7D49">
              <w:rPr>
                <w:rFonts w:ascii="Times New Roman" w:hAnsi="Times New Roman"/>
                <w:b/>
              </w:rPr>
              <w:t xml:space="preserve"> </w:t>
            </w:r>
          </w:p>
          <w:p w:rsidR="002D7D49" w:rsidRPr="006F7AE8" w:rsidRDefault="002D7D49" w:rsidP="002D7D49">
            <w:pPr>
              <w:pStyle w:val="Odsekzoznamu"/>
              <w:spacing w:after="0" w:line="240" w:lineRule="auto"/>
              <w:ind w:left="426"/>
              <w:rPr>
                <w:rFonts w:ascii="Times New Roman" w:hAnsi="Times New Roman"/>
                <w:b/>
              </w:rPr>
            </w:pPr>
          </w:p>
        </w:tc>
      </w:tr>
      <w:tr w:rsidR="004F6F1F" w:rsidRPr="006F7AE8" w:rsidTr="004F6F1F">
        <w:trPr>
          <w:trHeight w:val="713"/>
        </w:trPr>
        <w:tc>
          <w:tcPr>
            <w:tcW w:w="9176" w:type="dxa"/>
            <w:tcBorders>
              <w:top w:val="nil"/>
              <w:bottom w:val="single" w:sz="4" w:space="0" w:color="FFFFFF" w:themeColor="background1"/>
            </w:tcBorders>
          </w:tcPr>
          <w:p w:rsidR="004730E4" w:rsidRDefault="004730E4" w:rsidP="0085160F">
            <w:pPr>
              <w:jc w:val="both"/>
              <w:rPr>
                <w:iCs/>
              </w:rPr>
            </w:pPr>
            <w:r>
              <w:rPr>
                <w:iCs/>
              </w:rPr>
              <w:t xml:space="preserve">Návrh zákona má </w:t>
            </w:r>
            <w:r w:rsidR="0085160F">
              <w:rPr>
                <w:iCs/>
              </w:rPr>
              <w:t>pozitívny vplyv na podnikateľské prostredie,</w:t>
            </w:r>
            <w:r w:rsidR="00734088">
              <w:rPr>
                <w:iCs/>
              </w:rPr>
              <w:t xml:space="preserve"> vrátane MSP,</w:t>
            </w:r>
            <w:r w:rsidR="0085160F">
              <w:rPr>
                <w:iCs/>
              </w:rPr>
              <w:t xml:space="preserve"> keďže sa predlžuje platnosť osvedčenia z dvoch na tri roky.</w:t>
            </w:r>
            <w:r>
              <w:rPr>
                <w:iCs/>
              </w:rPr>
              <w:t xml:space="preserve"> </w:t>
            </w:r>
            <w:r w:rsidR="00734088">
              <w:rPr>
                <w:iCs/>
              </w:rPr>
              <w:t xml:space="preserve">Medzi MSP patria držitelia povolenia na veľkodistribúciu, ktorí zaobchádzajú s omamnými a psychotropnými látkami v obmedzenom rozsahu a najmä </w:t>
            </w:r>
            <w:r w:rsidR="00704282">
              <w:rPr>
                <w:iCs/>
              </w:rPr>
              <w:t>držitelia povolenia na pestovanie maku   siateho a držitelia povolenia na prepravu.</w:t>
            </w:r>
          </w:p>
          <w:p w:rsidR="004730E4" w:rsidRDefault="004730E4" w:rsidP="004730E4">
            <w:pPr>
              <w:jc w:val="both"/>
              <w:rPr>
                <w:iCs/>
              </w:rPr>
            </w:pPr>
          </w:p>
          <w:p w:rsidR="009E592A" w:rsidRDefault="009E592A" w:rsidP="00842D9F">
            <w:pPr>
              <w:rPr>
                <w:iCs/>
              </w:rPr>
            </w:pPr>
            <w:r>
              <w:rPr>
                <w:iCs/>
              </w:rPr>
              <w:t>Keďže n</w:t>
            </w:r>
            <w:r w:rsidRPr="009E592A">
              <w:rPr>
                <w:iCs/>
              </w:rPr>
              <w:t xml:space="preserve">áklady spojené s oboznámením a preverením </w:t>
            </w:r>
            <w:r>
              <w:rPr>
                <w:iCs/>
              </w:rPr>
              <w:t>znalostí potrebných na zaobchádzanie s omamnými a psychotropnými látkami</w:t>
            </w:r>
            <w:r w:rsidRPr="009E592A">
              <w:rPr>
                <w:iCs/>
              </w:rPr>
              <w:t xml:space="preserve"> znáša zamestnávateľ</w:t>
            </w:r>
            <w:r>
              <w:rPr>
                <w:iCs/>
              </w:rPr>
              <w:t xml:space="preserve">, predpokladáme pozitívny vplyv na podnikateľské prostredie vo výške cca 37 500 </w:t>
            </w:r>
            <w:r w:rsidRPr="00842D9F">
              <w:rPr>
                <w:iCs/>
              </w:rPr>
              <w:t>€</w:t>
            </w:r>
            <w:r>
              <w:rPr>
                <w:iCs/>
              </w:rPr>
              <w:t xml:space="preserve"> ročne na strane zamestnávateľov, ktorí sú držiteľmi povolenia na zaobchádzanie s oma</w:t>
            </w:r>
            <w:r w:rsidR="00E85DDD">
              <w:rPr>
                <w:iCs/>
              </w:rPr>
              <w:t>mnými a psychotropnými látkami.</w:t>
            </w:r>
          </w:p>
          <w:p w:rsidR="008D5720" w:rsidRDefault="008D5720" w:rsidP="008D5720">
            <w:pPr>
              <w:jc w:val="both"/>
              <w:rPr>
                <w:iCs/>
              </w:rPr>
            </w:pPr>
            <w:r>
              <w:rPr>
                <w:iCs/>
              </w:rPr>
              <w:t>O túto sumu sa znížia príjmy Slovenskej zdravotníckej univerzity v Bratislave a tým sa zakladá negatívny vplyv na rozpočet verejnej správy. Ministerstvo zdravotníctva SR navrhuje predĺženie platnosti osvedčenia z dvoch na tri roky, pretože Slovenská zdravotnícka univerzita bez konzultácie s Ministerstvom zdravotníctva SR v roku 2019</w:t>
            </w:r>
            <w:r w:rsidR="00734088">
              <w:rPr>
                <w:iCs/>
              </w:rPr>
              <w:t xml:space="preserve"> výrazne zvýšila poplatky za školiace akcie v oblasti zaobchádzania s omamnými a psychotropnými látkami, čím vyvolala nespokojnosť držiteľov povolenia na zaobchádzanie s omamnými a psychotropnými látkami. </w:t>
            </w:r>
            <w:r>
              <w:rPr>
                <w:iCs/>
              </w:rPr>
              <w:t xml:space="preserve"> </w:t>
            </w:r>
          </w:p>
          <w:p w:rsidR="008D5720" w:rsidRDefault="008D5720" w:rsidP="008D5720">
            <w:pPr>
              <w:jc w:val="both"/>
              <w:rPr>
                <w:iCs/>
              </w:rPr>
            </w:pPr>
          </w:p>
          <w:p w:rsidR="00E85DDD" w:rsidRDefault="00E85DDD" w:rsidP="00E85DDD">
            <w:pPr>
              <w:rPr>
                <w:iCs/>
              </w:rPr>
            </w:pPr>
            <w:r>
              <w:rPr>
                <w:iCs/>
              </w:rPr>
              <w:t xml:space="preserve">V dôsledku vyradenia látky </w:t>
            </w:r>
            <w:r w:rsidRPr="00E85DDD">
              <w:rPr>
                <w:iCs/>
              </w:rPr>
              <w:t>Cannabidiol,</w:t>
            </w:r>
            <w:r>
              <w:rPr>
                <w:iCs/>
              </w:rPr>
              <w:t xml:space="preserve"> CBD</w:t>
            </w:r>
            <w:r w:rsidRPr="00E85DDD">
              <w:rPr>
                <w:iCs/>
              </w:rPr>
              <w:t xml:space="preserve"> </w:t>
            </w:r>
            <w:r w:rsidRPr="00D30164">
              <w:rPr>
                <w:rFonts w:eastAsia="Arial"/>
                <w:color w:val="000000"/>
                <w:bdr w:val="none" w:sz="0" w:space="0" w:color="auto" w:frame="1"/>
                <w:lang w:eastAsia="en-GB"/>
              </w:rPr>
              <w:t>z II. skupiny psychotropných látok</w:t>
            </w:r>
            <w:r w:rsidRPr="00E85DDD">
              <w:rPr>
                <w:iCs/>
              </w:rPr>
              <w:t xml:space="preserve"> </w:t>
            </w:r>
            <w:r>
              <w:rPr>
                <w:iCs/>
              </w:rPr>
              <w:t>predpokladáme pozitívny vplyv na podnikateľské prostredie</w:t>
            </w:r>
            <w:r w:rsidR="002D7D49">
              <w:rPr>
                <w:iCs/>
              </w:rPr>
              <w:t xml:space="preserve"> v kozmetickom priemysle</w:t>
            </w:r>
            <w:r>
              <w:rPr>
                <w:iCs/>
              </w:rPr>
              <w:t xml:space="preserve">, </w:t>
            </w:r>
            <w:r w:rsidR="002D7D49">
              <w:rPr>
                <w:iCs/>
              </w:rPr>
              <w:t>v ktorom môže sekundárne dôjsť k zvýšeniu zamestnanosti,</w:t>
            </w:r>
            <w:r w:rsidR="00734088">
              <w:rPr>
                <w:iCs/>
              </w:rPr>
              <w:t xml:space="preserve"> čo predstavuje pozitívny sociálny vplyv,</w:t>
            </w:r>
            <w:r w:rsidR="002D7D49">
              <w:rPr>
                <w:iCs/>
              </w:rPr>
              <w:t xml:space="preserve"> </w:t>
            </w:r>
            <w:r>
              <w:rPr>
                <w:iCs/>
              </w:rPr>
              <w:t xml:space="preserve">nakoľko </w:t>
            </w:r>
            <w:r w:rsidR="002D7D49">
              <w:rPr>
                <w:iCs/>
              </w:rPr>
              <w:t xml:space="preserve">látka cannabidiol sa používa v kozmetickom priemysle a výrobky s ich obsahom </w:t>
            </w:r>
            <w:r>
              <w:rPr>
                <w:iCs/>
              </w:rPr>
              <w:t>nebud</w:t>
            </w:r>
            <w:r w:rsidR="002D7D49">
              <w:rPr>
                <w:iCs/>
              </w:rPr>
              <w:t>ú</w:t>
            </w:r>
            <w:r>
              <w:rPr>
                <w:iCs/>
              </w:rPr>
              <w:t xml:space="preserve"> zaraden</w:t>
            </w:r>
            <w:r w:rsidR="002D7D49">
              <w:rPr>
                <w:iCs/>
              </w:rPr>
              <w:t>é</w:t>
            </w:r>
            <w:r>
              <w:rPr>
                <w:iCs/>
              </w:rPr>
              <w:t xml:space="preserve"> medzi kontrolované látky, </w:t>
            </w:r>
            <w:r w:rsidR="002D7D49">
              <w:rPr>
                <w:iCs/>
              </w:rPr>
              <w:t xml:space="preserve">čím sa zjednoduší ich </w:t>
            </w:r>
            <w:r w:rsidR="00734088">
              <w:rPr>
                <w:iCs/>
              </w:rPr>
              <w:t xml:space="preserve">uvádzanie na trh, </w:t>
            </w:r>
            <w:r w:rsidR="002D7D49">
              <w:rPr>
                <w:iCs/>
              </w:rPr>
              <w:t xml:space="preserve">výroba, distribúcia a predaj. Ministerstvo zdravotníctva SR nemá podklady na objektívne vyčíslenie sociálnych dopadov a preto nevypracovalo analýzu sociálnych vplyvov podľa Metodického postupu pre analýzu sociálnych vplyvov upravenom v prílohe č. 4 Jednotnej metodiky na posudzovanie vybraných vplyvov. </w:t>
            </w:r>
          </w:p>
          <w:p w:rsidR="00734088" w:rsidRDefault="00734088" w:rsidP="00E85DDD">
            <w:pPr>
              <w:rPr>
                <w:iCs/>
              </w:rPr>
            </w:pPr>
          </w:p>
          <w:p w:rsidR="00E85DDD" w:rsidRPr="006F7AE8" w:rsidRDefault="00E85DDD" w:rsidP="00E85DDD">
            <w:pPr>
              <w:rPr>
                <w:sz w:val="24"/>
                <w:szCs w:val="24"/>
              </w:rPr>
            </w:pPr>
          </w:p>
        </w:tc>
      </w:tr>
      <w:tr w:rsidR="003501A1" w:rsidRPr="006F7AE8" w:rsidTr="007B71A4">
        <w:tc>
          <w:tcPr>
            <w:tcW w:w="9176" w:type="dxa"/>
            <w:tcBorders>
              <w:bottom w:val="single" w:sz="4" w:space="0" w:color="FFFFFF" w:themeColor="background1"/>
            </w:tcBorders>
            <w:shd w:val="clear" w:color="auto" w:fill="E2E2E2"/>
          </w:tcPr>
          <w:p w:rsidR="003501A1" w:rsidRPr="006F7AE8" w:rsidRDefault="003501A1" w:rsidP="003501A1">
            <w:pPr>
              <w:pStyle w:val="Odsekzoznamu"/>
              <w:numPr>
                <w:ilvl w:val="0"/>
                <w:numId w:val="1"/>
              </w:numPr>
              <w:spacing w:after="0" w:line="240" w:lineRule="auto"/>
              <w:ind w:left="426"/>
              <w:rPr>
                <w:rFonts w:ascii="Times New Roman" w:hAnsi="Times New Roman"/>
                <w:b/>
              </w:rPr>
            </w:pPr>
            <w:r w:rsidRPr="006F7AE8">
              <w:rPr>
                <w:rFonts w:ascii="Times New Roman" w:hAnsi="Times New Roman"/>
                <w:b/>
              </w:rPr>
              <w:t>Kontakt na spracovateľa</w:t>
            </w:r>
          </w:p>
        </w:tc>
      </w:tr>
      <w:tr w:rsidR="003501A1" w:rsidRPr="006F7AE8" w:rsidTr="004F6F1F">
        <w:trPr>
          <w:trHeight w:val="586"/>
        </w:trPr>
        <w:tc>
          <w:tcPr>
            <w:tcW w:w="9176" w:type="dxa"/>
            <w:tcBorders>
              <w:top w:val="single" w:sz="4" w:space="0" w:color="FFFFFF" w:themeColor="background1"/>
            </w:tcBorders>
            <w:shd w:val="clear" w:color="auto" w:fill="FFFFFF" w:themeFill="background1"/>
          </w:tcPr>
          <w:p w:rsidR="00B4361B" w:rsidRPr="006F7AE8" w:rsidRDefault="00B4361B">
            <w:pPr>
              <w:rPr>
                <w:sz w:val="24"/>
                <w:szCs w:val="24"/>
              </w:rPr>
            </w:pPr>
            <w:r w:rsidRPr="006F7AE8">
              <w:rPr>
                <w:sz w:val="24"/>
                <w:szCs w:val="24"/>
              </w:rPr>
              <w:t>RNDr. Jozef Slaný, CSc.</w:t>
            </w:r>
            <w:r w:rsidR="00A7564B">
              <w:rPr>
                <w:sz w:val="24"/>
                <w:szCs w:val="24"/>
              </w:rPr>
              <w:t>, odbor farmácie SFLP, Ministerstvo zdravotníctva  SR.</w:t>
            </w:r>
            <w:r w:rsidRPr="006F7AE8">
              <w:rPr>
                <w:sz w:val="24"/>
                <w:szCs w:val="24"/>
              </w:rPr>
              <w:t xml:space="preserve"> </w:t>
            </w:r>
          </w:p>
          <w:p w:rsidR="00B4361B" w:rsidRPr="006F7AE8" w:rsidRDefault="00A96517">
            <w:pPr>
              <w:rPr>
                <w:sz w:val="24"/>
                <w:szCs w:val="24"/>
              </w:rPr>
            </w:pPr>
            <w:hyperlink r:id="rId8" w:history="1">
              <w:r w:rsidR="00A7564B" w:rsidRPr="008207E0">
                <w:rPr>
                  <w:rStyle w:val="Hypertextovprepojenie"/>
                  <w:sz w:val="24"/>
                  <w:szCs w:val="24"/>
                </w:rPr>
                <w:t>jozef.slany@health.gov.sk</w:t>
              </w:r>
            </w:hyperlink>
            <w:r w:rsidR="00A7564B">
              <w:rPr>
                <w:sz w:val="24"/>
                <w:szCs w:val="24"/>
              </w:rPr>
              <w:t xml:space="preserve">  </w:t>
            </w:r>
          </w:p>
          <w:p w:rsidR="003501A1" w:rsidRPr="006F7AE8" w:rsidRDefault="00D13B6F">
            <w:pPr>
              <w:rPr>
                <w:i/>
              </w:rPr>
            </w:pPr>
            <w:r w:rsidRPr="006F7AE8">
              <w:rPr>
                <w:i/>
              </w:rPr>
              <w:t>Uveďte údaje na kontaktnú osobu, ktorú je možné kontaktovať v súvislosti s posúdením vybraných vplyvov</w:t>
            </w:r>
          </w:p>
        </w:tc>
      </w:tr>
      <w:tr w:rsidR="003501A1" w:rsidRPr="006F7AE8" w:rsidTr="007B71A4">
        <w:tc>
          <w:tcPr>
            <w:tcW w:w="9176" w:type="dxa"/>
            <w:tcBorders>
              <w:bottom w:val="single" w:sz="4" w:space="0" w:color="FFFFFF" w:themeColor="background1"/>
            </w:tcBorders>
            <w:shd w:val="clear" w:color="auto" w:fill="E2E2E2"/>
          </w:tcPr>
          <w:p w:rsidR="003501A1" w:rsidRPr="006F7AE8" w:rsidRDefault="003501A1" w:rsidP="003501A1">
            <w:pPr>
              <w:pStyle w:val="Odsekzoznamu"/>
              <w:numPr>
                <w:ilvl w:val="0"/>
                <w:numId w:val="1"/>
              </w:numPr>
              <w:spacing w:after="0" w:line="240" w:lineRule="auto"/>
              <w:ind w:left="426"/>
              <w:rPr>
                <w:rFonts w:ascii="Times New Roman" w:hAnsi="Times New Roman"/>
                <w:b/>
              </w:rPr>
            </w:pPr>
            <w:r w:rsidRPr="006F7AE8">
              <w:rPr>
                <w:rFonts w:ascii="Times New Roman" w:hAnsi="Times New Roman"/>
                <w:b/>
              </w:rPr>
              <w:t>Zdroje</w:t>
            </w:r>
          </w:p>
        </w:tc>
      </w:tr>
      <w:tr w:rsidR="003501A1" w:rsidRPr="006F7AE8" w:rsidTr="007B71A4">
        <w:trPr>
          <w:trHeight w:val="401"/>
        </w:trPr>
        <w:tc>
          <w:tcPr>
            <w:tcW w:w="9176" w:type="dxa"/>
            <w:tcBorders>
              <w:top w:val="single" w:sz="4" w:space="0" w:color="FFFFFF" w:themeColor="background1"/>
            </w:tcBorders>
            <w:shd w:val="clear" w:color="auto" w:fill="FFFFFF" w:themeFill="background1"/>
          </w:tcPr>
          <w:p w:rsidR="003501A1" w:rsidRPr="006F7AE8" w:rsidRDefault="00665C3B" w:rsidP="00F40C45">
            <w:pPr>
              <w:rPr>
                <w:b/>
              </w:rPr>
            </w:pPr>
            <w:r w:rsidRPr="00AB18D2">
              <w:t>Rozhodnutie prijaté na 6</w:t>
            </w:r>
            <w:r w:rsidR="00F40C45">
              <w:t>3</w:t>
            </w:r>
            <w:r w:rsidRPr="00AB18D2">
              <w:t xml:space="preserve">. zasadnutí Komisie pre omamné látky Úradu OSN pre </w:t>
            </w:r>
            <w:r w:rsidR="00F40C45">
              <w:t>omamné látky a kriminalitu dňa 4</w:t>
            </w:r>
            <w:r w:rsidRPr="00AB18D2">
              <w:t>. 3.20</w:t>
            </w:r>
            <w:r w:rsidR="00F40C45">
              <w:t>20</w:t>
            </w:r>
            <w:r w:rsidRPr="00AB18D2">
              <w:t xml:space="preserve"> (UNODC - United Nations Office on Drugs and Crime). Podnet Ministerstva vnútra SR, Policajného zboru SR a Národnej kriminálnej agentúry, aplikačná prax ustanovení platného znenia zákona č. 139/1998 Z. z.</w:t>
            </w:r>
            <w:r>
              <w:rPr>
                <w:b/>
              </w:rPr>
              <w:t xml:space="preserve"> </w:t>
            </w:r>
          </w:p>
        </w:tc>
      </w:tr>
      <w:tr w:rsidR="003501A1" w:rsidRPr="006F7AE8" w:rsidTr="007B71A4">
        <w:tc>
          <w:tcPr>
            <w:tcW w:w="9176" w:type="dxa"/>
            <w:tcBorders>
              <w:bottom w:val="single" w:sz="4" w:space="0" w:color="FFFFFF" w:themeColor="background1"/>
            </w:tcBorders>
            <w:shd w:val="clear" w:color="auto" w:fill="E2E2E2"/>
          </w:tcPr>
          <w:p w:rsidR="003501A1" w:rsidRPr="006F7AE8" w:rsidRDefault="003501A1" w:rsidP="003501A1">
            <w:pPr>
              <w:pStyle w:val="Odsekzoznamu"/>
              <w:numPr>
                <w:ilvl w:val="0"/>
                <w:numId w:val="1"/>
              </w:numPr>
              <w:spacing w:after="0" w:line="240" w:lineRule="auto"/>
              <w:ind w:left="426"/>
              <w:rPr>
                <w:rFonts w:ascii="Times New Roman" w:hAnsi="Times New Roman"/>
                <w:b/>
              </w:rPr>
            </w:pPr>
            <w:r w:rsidRPr="006F7AE8">
              <w:rPr>
                <w:rFonts w:ascii="Times New Roman" w:hAnsi="Times New Roman"/>
                <w:b/>
              </w:rPr>
              <w:t>Stanovisko Komisie pre posudzovanie vybraných vplyvov z PPK</w:t>
            </w:r>
          </w:p>
        </w:tc>
      </w:tr>
      <w:tr w:rsidR="003501A1" w:rsidRPr="006F7AE8" w:rsidTr="007B71A4">
        <w:tc>
          <w:tcPr>
            <w:tcW w:w="9176" w:type="dxa"/>
            <w:tcBorders>
              <w:top w:val="single" w:sz="4" w:space="0" w:color="FFFFFF" w:themeColor="background1"/>
            </w:tcBorders>
            <w:shd w:val="clear" w:color="auto" w:fill="FFFFFF" w:themeFill="background1"/>
          </w:tcPr>
          <w:p w:rsidR="003501A1" w:rsidRDefault="003501A1" w:rsidP="002735AB">
            <w:pPr>
              <w:rPr>
                <w:i/>
              </w:rPr>
            </w:pPr>
            <w:r w:rsidRPr="006F7AE8">
              <w:rPr>
                <w:i/>
              </w:rPr>
              <w:t>Uveďte stanovisko Komisie pre posudzovanie vybraných vplyvov, ktoré Vám bolo zaslané v rámci predbežného pripomienkového konania</w:t>
            </w:r>
            <w:r w:rsidR="002D7D49">
              <w:rPr>
                <w:i/>
              </w:rPr>
              <w:t>.</w:t>
            </w:r>
          </w:p>
          <w:p w:rsidR="002D7D49" w:rsidRDefault="002D7D49" w:rsidP="002735AB">
            <w:pPr>
              <w:rPr>
                <w:i/>
              </w:rPr>
            </w:pPr>
          </w:p>
          <w:tbl>
            <w:tblPr>
              <w:tblW w:w="0" w:type="auto"/>
              <w:tblInd w:w="109" w:type="dxa"/>
              <w:tblLayout w:type="fixed"/>
              <w:tblLook w:val="0000" w:firstRow="0" w:lastRow="0" w:firstColumn="0" w:lastColumn="0" w:noHBand="0" w:noVBand="0"/>
            </w:tblPr>
            <w:tblGrid>
              <w:gridCol w:w="4252"/>
              <w:gridCol w:w="5244"/>
            </w:tblGrid>
            <w:tr w:rsidR="002D7D49" w:rsidRPr="002D7D49" w:rsidTr="005A576C">
              <w:tc>
                <w:tcPr>
                  <w:tcW w:w="4252" w:type="dxa"/>
                  <w:shd w:val="clear" w:color="auto" w:fill="FFFFFF"/>
                </w:tcPr>
                <w:p w:rsidR="002D7D49" w:rsidRPr="002D7D49" w:rsidRDefault="002D7D49" w:rsidP="002D7D49">
                  <w:pPr>
                    <w:snapToGrid w:val="0"/>
                    <w:jc w:val="both"/>
                    <w:rPr>
                      <w:smallCaps/>
                    </w:rPr>
                  </w:pPr>
                </w:p>
              </w:tc>
              <w:tc>
                <w:tcPr>
                  <w:tcW w:w="5244" w:type="dxa"/>
                  <w:shd w:val="clear" w:color="auto" w:fill="FFFFFF"/>
                </w:tcPr>
                <w:p w:rsidR="002D7D49" w:rsidRPr="002D7D49" w:rsidRDefault="002D7D49" w:rsidP="002D7D49">
                  <w:pPr>
                    <w:rPr>
                      <w:smallCaps/>
                    </w:rPr>
                  </w:pPr>
                  <w:r w:rsidRPr="002D7D49">
                    <w:rPr>
                      <w:smallCaps/>
                    </w:rPr>
                    <w:t xml:space="preserve">                                 Bratislava: 17. 9. 2020</w:t>
                  </w:r>
                </w:p>
                <w:p w:rsidR="002D7D49" w:rsidRPr="002D7D49" w:rsidRDefault="002D7D49" w:rsidP="002D7D49">
                  <w:pPr>
                    <w:rPr>
                      <w:smallCaps/>
                    </w:rPr>
                  </w:pPr>
                  <w:r w:rsidRPr="002D7D49">
                    <w:rPr>
                      <w:smallCaps/>
                    </w:rPr>
                    <w:t xml:space="preserve">                                 Číslo: 112/2020</w:t>
                  </w:r>
                </w:p>
                <w:p w:rsidR="002D7D49" w:rsidRPr="002D7D49" w:rsidRDefault="002D7D49" w:rsidP="002D7D49">
                  <w:r w:rsidRPr="002D7D49">
                    <w:rPr>
                      <w:smallCaps/>
                    </w:rPr>
                    <w:t xml:space="preserve">                                 Vybavuje: Mgr. Viselková</w:t>
                  </w:r>
                </w:p>
              </w:tc>
            </w:tr>
          </w:tbl>
          <w:p w:rsidR="002D7D49" w:rsidRPr="002D7D49" w:rsidRDefault="002D7D49" w:rsidP="002D7D49">
            <w:pPr>
              <w:ind w:right="-2"/>
              <w:jc w:val="center"/>
            </w:pPr>
          </w:p>
          <w:p w:rsidR="002D7D49" w:rsidRPr="002D7D49" w:rsidRDefault="002D7D49" w:rsidP="002D7D49">
            <w:pPr>
              <w:ind w:right="-2"/>
              <w:jc w:val="center"/>
            </w:pPr>
          </w:p>
          <w:p w:rsidR="002D7D49" w:rsidRPr="002D7D49" w:rsidRDefault="002D7D49" w:rsidP="002D7D49">
            <w:pPr>
              <w:pStyle w:val="Nadpis4"/>
              <w:numPr>
                <w:ilvl w:val="3"/>
                <w:numId w:val="4"/>
              </w:numPr>
              <w:outlineLvl w:val="3"/>
              <w:rPr>
                <w:sz w:val="20"/>
              </w:rPr>
            </w:pPr>
            <w:r w:rsidRPr="002D7D49">
              <w:rPr>
                <w:spacing w:val="20"/>
                <w:sz w:val="20"/>
              </w:rPr>
              <w:t>stanovisko komisie</w:t>
            </w:r>
            <w:r w:rsidRPr="002D7D49">
              <w:rPr>
                <w:sz w:val="20"/>
              </w:rPr>
              <w:t xml:space="preserve"> </w:t>
            </w:r>
          </w:p>
          <w:p w:rsidR="002D7D49" w:rsidRPr="002D7D49" w:rsidRDefault="002D7D49" w:rsidP="002D7D49">
            <w:pPr>
              <w:ind w:right="-2"/>
              <w:jc w:val="center"/>
              <w:rPr>
                <w:b/>
                <w:smallCaps/>
              </w:rPr>
            </w:pPr>
          </w:p>
          <w:p w:rsidR="002D7D49" w:rsidRPr="002D7D49" w:rsidRDefault="002D7D49" w:rsidP="002D7D49">
            <w:pPr>
              <w:ind w:right="-2"/>
              <w:jc w:val="center"/>
              <w:rPr>
                <w:b/>
                <w:smallCaps/>
              </w:rPr>
            </w:pPr>
            <w:r w:rsidRPr="002D7D49">
              <w:rPr>
                <w:b/>
                <w:smallCaps/>
              </w:rPr>
              <w:t>(Predbežné Pripomienkové Konanie)</w:t>
            </w:r>
          </w:p>
          <w:p w:rsidR="002D7D49" w:rsidRPr="002D7D49" w:rsidRDefault="002D7D49" w:rsidP="002D7D49">
            <w:pPr>
              <w:ind w:right="-2"/>
              <w:jc w:val="center"/>
              <w:rPr>
                <w:b/>
                <w:smallCaps/>
              </w:rPr>
            </w:pPr>
          </w:p>
          <w:p w:rsidR="002D7D49" w:rsidRPr="002D7D49" w:rsidRDefault="002D7D49" w:rsidP="002D7D49">
            <w:pPr>
              <w:shd w:val="clear" w:color="auto" w:fill="FFFFFF"/>
              <w:ind w:right="-2"/>
              <w:jc w:val="center"/>
              <w:rPr>
                <w:b/>
                <w:smallCaps/>
              </w:rPr>
            </w:pPr>
            <w:r w:rsidRPr="002D7D49">
              <w:rPr>
                <w:b/>
                <w:smallCaps/>
              </w:rPr>
              <w:t>k materiálu</w:t>
            </w:r>
          </w:p>
          <w:p w:rsidR="002D7D49" w:rsidRPr="002D7D49" w:rsidRDefault="002D7D49" w:rsidP="002D7D49">
            <w:pPr>
              <w:pBdr>
                <w:bottom w:val="single" w:sz="4" w:space="1" w:color="000000"/>
              </w:pBdr>
              <w:shd w:val="clear" w:color="auto" w:fill="FFFFFF"/>
              <w:ind w:right="-2"/>
              <w:jc w:val="center"/>
              <w:rPr>
                <w:b/>
                <w:smallCaps/>
              </w:rPr>
            </w:pPr>
            <w:r w:rsidRPr="002D7D49">
              <w:rPr>
                <w:b/>
                <w:smallCaps/>
              </w:rPr>
              <w:t>Návrh zákona, ktorým sa mení a dopĺňa zákon č. 139/1998 Z. z. o omamných látkach, psychotropných látkach a prípravkoch v znení neskorších predpisov</w:t>
            </w:r>
          </w:p>
          <w:p w:rsidR="002D7D49" w:rsidRPr="002D7D49" w:rsidRDefault="002D7D49" w:rsidP="002D7D49">
            <w:pPr>
              <w:tabs>
                <w:tab w:val="center" w:pos="6379"/>
              </w:tabs>
              <w:ind w:right="-2"/>
            </w:pPr>
          </w:p>
          <w:p w:rsidR="002D7D49" w:rsidRPr="002D7D49" w:rsidRDefault="002D7D49" w:rsidP="002D7D49">
            <w:pPr>
              <w:jc w:val="both"/>
              <w:rPr>
                <w:b/>
                <w:bCs/>
              </w:rPr>
            </w:pPr>
            <w:r w:rsidRPr="002D7D49">
              <w:rPr>
                <w:b/>
                <w:bCs/>
                <w:shd w:val="clear" w:color="auto" w:fill="FFFFFF"/>
              </w:rPr>
              <w:t xml:space="preserve">I. Úvod: </w:t>
            </w:r>
            <w:r w:rsidRPr="002D7D49">
              <w:rPr>
                <w:bCs/>
                <w:shd w:val="clear" w:color="auto" w:fill="FFFFFF"/>
              </w:rPr>
              <w:t>Ministerstvo zdravotníctva Slovenskej republiky</w:t>
            </w:r>
            <w:r w:rsidRPr="002D7D49">
              <w:rPr>
                <w:b/>
                <w:bCs/>
                <w:shd w:val="clear" w:color="auto" w:fill="FFFFFF"/>
              </w:rPr>
              <w:t xml:space="preserve"> </w:t>
            </w:r>
            <w:r w:rsidRPr="002D7D49">
              <w:rPr>
                <w:bCs/>
                <w:shd w:val="clear" w:color="auto" w:fill="FFFFFF"/>
              </w:rPr>
              <w:t xml:space="preserve">predložilo dňa 3. septembra </w:t>
            </w:r>
            <w:r w:rsidRPr="002D7D49">
              <w:rPr>
                <w:bCs/>
              </w:rPr>
              <w:t>2020 Stálej pracovnej komisii na posudzovanie vybraných vplyvov (ďalej len „Komisia“) na predbežné pripomienkové konanie materiál:</w:t>
            </w:r>
            <w:r w:rsidRPr="002D7D49">
              <w:rPr>
                <w:bCs/>
                <w:i/>
              </w:rPr>
              <w:t xml:space="preserve"> „Návrh zákona, ktorým sa mení a dopĺňa zákon č. 139/1998 Z. z. o omamných látkach, psychotropných </w:t>
            </w:r>
            <w:r w:rsidRPr="002D7D49">
              <w:rPr>
                <w:bCs/>
                <w:i/>
              </w:rPr>
              <w:lastRenderedPageBreak/>
              <w:t>látkach a prípravkoch v znení neskorších predpisov“.</w:t>
            </w:r>
            <w:r w:rsidRPr="002D7D49">
              <w:rPr>
                <w:bCs/>
                <w:i/>
                <w:shd w:val="clear" w:color="auto" w:fill="FFFFFF"/>
              </w:rPr>
              <w:t xml:space="preserve"> </w:t>
            </w:r>
            <w:r w:rsidRPr="002D7D49">
              <w:rPr>
                <w:bCs/>
              </w:rPr>
              <w:t xml:space="preserve">Materiál predpokladá pozitívne vplyvy na podnikateľské prostredie. </w:t>
            </w:r>
          </w:p>
          <w:p w:rsidR="002D7D49" w:rsidRPr="002D7D49" w:rsidRDefault="002D7D49" w:rsidP="002D7D49">
            <w:pPr>
              <w:jc w:val="both"/>
              <w:rPr>
                <w:b/>
                <w:bCs/>
              </w:rPr>
            </w:pPr>
          </w:p>
          <w:p w:rsidR="002D7D49" w:rsidRPr="002D7D49" w:rsidRDefault="002D7D49" w:rsidP="002D7D49">
            <w:pPr>
              <w:jc w:val="both"/>
              <w:rPr>
                <w:bCs/>
              </w:rPr>
            </w:pPr>
            <w:r w:rsidRPr="002D7D49">
              <w:rPr>
                <w:b/>
                <w:bCs/>
              </w:rPr>
              <w:t>II. P</w:t>
            </w:r>
            <w:r w:rsidRPr="002D7D49">
              <w:rPr>
                <w:b/>
              </w:rPr>
              <w:t>r</w:t>
            </w:r>
            <w:r w:rsidRPr="002D7D49">
              <w:rPr>
                <w:b/>
                <w:bCs/>
              </w:rPr>
              <w:t>ipomienky a návrhy zm</w:t>
            </w:r>
            <w:r w:rsidRPr="002D7D49">
              <w:rPr>
                <w:b/>
              </w:rPr>
              <w:t>ie</w:t>
            </w:r>
            <w:r w:rsidRPr="002D7D49">
              <w:rPr>
                <w:b/>
                <w:bCs/>
              </w:rPr>
              <w:t xml:space="preserve">n: </w:t>
            </w:r>
            <w:r w:rsidRPr="002D7D49">
              <w:rPr>
                <w:bCs/>
              </w:rPr>
              <w:t>Komisia uplatňuje k materiálu zásadné pripomienky a odporúčania:</w:t>
            </w:r>
          </w:p>
          <w:p w:rsidR="002D7D49" w:rsidRPr="002D7D49" w:rsidRDefault="002D7D49" w:rsidP="002D7D49">
            <w:pPr>
              <w:jc w:val="both"/>
              <w:rPr>
                <w:bCs/>
              </w:rPr>
            </w:pPr>
          </w:p>
          <w:p w:rsidR="002D7D49" w:rsidRPr="002D7D49" w:rsidRDefault="002D7D49" w:rsidP="002D7D49">
            <w:pPr>
              <w:jc w:val="both"/>
              <w:rPr>
                <w:b/>
                <w:bCs/>
              </w:rPr>
            </w:pPr>
            <w:r w:rsidRPr="002D7D49">
              <w:rPr>
                <w:b/>
                <w:bCs/>
              </w:rPr>
              <w:t xml:space="preserve">K doložke vybraných vplyvov </w:t>
            </w:r>
          </w:p>
          <w:p w:rsidR="002D7D49" w:rsidRPr="002D7D49" w:rsidRDefault="002D7D49" w:rsidP="002D7D49">
            <w:pPr>
              <w:jc w:val="both"/>
              <w:rPr>
                <w:bCs/>
              </w:rPr>
            </w:pPr>
            <w:r w:rsidRPr="002D7D49">
              <w:rPr>
                <w:bCs/>
              </w:rPr>
              <w:t xml:space="preserve">Predkladateľ v doložke vybraných vplyvov identifikoval pozitívne vplyvy na podnikateľské prostredie a zároveň vypracoval separátnu analýzu. V predkladacej správe, ako aj vo všeobecnej časti dôvodovej správy však uvádza, že predložený návrh nemá vplyvy na podnikateľské prostredie. Na základe vyššie uvedeného odporúčame predkladateľovi vzniknutú diskrepanciu odstrániť. </w:t>
            </w:r>
          </w:p>
          <w:p w:rsidR="002D7D49" w:rsidRPr="002D7D49" w:rsidRDefault="002D7D49" w:rsidP="002D7D49">
            <w:pPr>
              <w:jc w:val="both"/>
              <w:rPr>
                <w:bCs/>
              </w:rPr>
            </w:pPr>
            <w:r w:rsidRPr="002D7D49">
              <w:rPr>
                <w:bCs/>
              </w:rPr>
              <w:t xml:space="preserve"> </w:t>
            </w:r>
          </w:p>
          <w:p w:rsidR="002D7D49" w:rsidRPr="002D7D49" w:rsidRDefault="002D7D49" w:rsidP="002D7D49">
            <w:pPr>
              <w:jc w:val="both"/>
              <w:rPr>
                <w:bCs/>
              </w:rPr>
            </w:pPr>
            <w:r w:rsidRPr="002D7D49">
              <w:rPr>
                <w:bCs/>
              </w:rPr>
              <w:t xml:space="preserve">Cieľom návrhu je okrem iného vyradiť zo zoznamu psychotropných látok látku Cannabidiol, CBD, čo môže mať za následok zvýšený záujem podnikateľských subjektov predávať produkty obsahujúce predmetnú látku, čím sa rozšíri ponuka výrobkov na trhu, čo môže mať sekundárny následok na vytvorenie nových pracovných miest. </w:t>
            </w:r>
          </w:p>
          <w:p w:rsidR="002D7D49" w:rsidRPr="002D7D49" w:rsidRDefault="002D7D49" w:rsidP="002D7D49">
            <w:pPr>
              <w:jc w:val="both"/>
              <w:rPr>
                <w:bCs/>
              </w:rPr>
            </w:pPr>
            <w:r w:rsidRPr="002D7D49">
              <w:rPr>
                <w:bCs/>
              </w:rPr>
              <w:t>Vzhľadom na vyššie uvedené odporúčame predkladateľovi prehodnotiť sociálne vplyvy predloženého návrhu. V prípade identifikácie sociálnych vplyvov v doložke vybraných vplyvov sa podľa Jednotnej metodiky na posudzovanie vybraných vplyvov povinnou súčasťou predkladaného materiálu stáva analýza sociálnych vplyvov vypracovaná v súlade s Metodickým postupom pre analýzu sociálnych vplyvov upravenom v prílohe č. 4 tejto metodiky. Túto pripomienku je potrebné zohľadniť aj v príslušnom texte týkajúcom sa hodnotenia sociálnych vplyvov predloženého návrhu vo všeobecnej časti dôvodovej správy.</w:t>
            </w:r>
          </w:p>
          <w:p w:rsidR="002D7D49" w:rsidRPr="002D7D49" w:rsidRDefault="002D7D49" w:rsidP="002D7D49">
            <w:pPr>
              <w:jc w:val="both"/>
              <w:rPr>
                <w:bCs/>
              </w:rPr>
            </w:pPr>
            <w:r w:rsidRPr="002D7D49">
              <w:rPr>
                <w:bCs/>
              </w:rPr>
              <w:t xml:space="preserve"> </w:t>
            </w:r>
          </w:p>
          <w:p w:rsidR="002D7D49" w:rsidRPr="002D7D49" w:rsidRDefault="002D7D49" w:rsidP="002D7D49">
            <w:pPr>
              <w:jc w:val="both"/>
              <w:rPr>
                <w:bCs/>
              </w:rPr>
            </w:pPr>
            <w:r w:rsidRPr="002D7D49">
              <w:rPr>
                <w:bCs/>
              </w:rPr>
              <w:t>Pokiaľ má predkladateľ zato, že daný vplyv nie je možné bližšie zhodnotiť, prípadne, že ide o vplyv marginálny, odporúčame danú skutočnosť uviesť v bode 10 Poznámky doložky vybraných vplyvov.</w:t>
            </w:r>
          </w:p>
          <w:p w:rsidR="002D7D49" w:rsidRPr="002D7D49" w:rsidRDefault="002D7D49" w:rsidP="002D7D49">
            <w:pPr>
              <w:jc w:val="both"/>
              <w:rPr>
                <w:bCs/>
              </w:rPr>
            </w:pPr>
          </w:p>
          <w:p w:rsidR="002D7D49" w:rsidRPr="002D7D49" w:rsidRDefault="002D7D49" w:rsidP="002D7D49">
            <w:pPr>
              <w:jc w:val="both"/>
              <w:rPr>
                <w:bCs/>
              </w:rPr>
            </w:pPr>
          </w:p>
          <w:p w:rsidR="002D7D49" w:rsidRPr="002D7D49" w:rsidRDefault="002D7D49" w:rsidP="002D7D49">
            <w:pPr>
              <w:jc w:val="both"/>
              <w:rPr>
                <w:bCs/>
              </w:rPr>
            </w:pPr>
          </w:p>
          <w:p w:rsidR="002D7D49" w:rsidRPr="002D7D49" w:rsidRDefault="002D7D49" w:rsidP="002D7D49">
            <w:pPr>
              <w:jc w:val="both"/>
              <w:rPr>
                <w:b/>
                <w:bCs/>
              </w:rPr>
            </w:pPr>
            <w:r w:rsidRPr="002D7D49">
              <w:rPr>
                <w:b/>
                <w:bCs/>
              </w:rPr>
              <w:t>K analýze vplyvov na rozpočet verejnej správy</w:t>
            </w:r>
          </w:p>
          <w:p w:rsidR="002D7D49" w:rsidRPr="002D7D49" w:rsidRDefault="002D7D49" w:rsidP="002D7D49">
            <w:pPr>
              <w:jc w:val="both"/>
              <w:rPr>
                <w:bCs/>
              </w:rPr>
            </w:pPr>
            <w:r w:rsidRPr="002D7D49">
              <w:rPr>
                <w:bCs/>
              </w:rPr>
              <w:t>V doložke vybraných vplyvov je označený žiadny vplyv na rozpočet verejnej správy. V materiáli sa navrhuje predĺžiť platnosť povolenia na zaobchádzanie s omamnými a psychotropnými látkami, ktoré vydáva Slovenská zdravotnícka univerzita v Bratislave, z 2 rokov na 3 roky. Z tohto titulu je vyčíslený pozitívny vplyv na podnikateľské prostredie v sume 37 500 eur ročne. Žiadame v bode 10. Poznámky doložky vybraných vplyvov jednoznačne uviesť či neprichádza k výpadku príjmov v rovnakej sume v rozpočte Slovenskej zdravotníckej univerzity v Bratislave, čo by zakladalo negatívny vplyv na rozpočet verejnej správy. V prípade negatívneho vplyvu žiadame vypracovať analýzu vplyvov na rozpočet verejnej správy a upraviť doložku vybraných vplyvov tak, že z nich bude vyplývať negatívny, rozpočtovo zabezpečený vplyv.</w:t>
            </w:r>
          </w:p>
          <w:p w:rsidR="002D7D49" w:rsidRPr="002D7D49" w:rsidRDefault="002D7D49" w:rsidP="002D7D49">
            <w:pPr>
              <w:jc w:val="both"/>
              <w:rPr>
                <w:b/>
                <w:bCs/>
              </w:rPr>
            </w:pPr>
          </w:p>
          <w:p w:rsidR="002D7D49" w:rsidRPr="002D7D49" w:rsidRDefault="002D7D49" w:rsidP="002D7D49">
            <w:pPr>
              <w:jc w:val="both"/>
              <w:rPr>
                <w:b/>
                <w:bCs/>
              </w:rPr>
            </w:pPr>
            <w:r w:rsidRPr="002D7D49">
              <w:rPr>
                <w:b/>
                <w:bCs/>
              </w:rPr>
              <w:t>K analýze vplyvov na podnikateľské prostredie</w:t>
            </w:r>
          </w:p>
          <w:p w:rsidR="002D7D49" w:rsidRPr="002D7D49" w:rsidRDefault="002D7D49" w:rsidP="002D7D49">
            <w:pPr>
              <w:jc w:val="both"/>
              <w:rPr>
                <w:bCs/>
              </w:rPr>
            </w:pPr>
            <w:r w:rsidRPr="002D7D49">
              <w:rPr>
                <w:bCs/>
              </w:rPr>
              <w:t>Komisia žiada predkladateľa o prehodnotenie vyznačeného žiadneho vplyvu na MSP v časti 9. Vplyvy navrhovaného materiálu Doložky vybraných vplyvov, nakoľko Komisia na základe informácií uvedených v predloženom materiáli predpokladá, že medzi dotknutými podnikateľskými subjektmi sú aj MSP. V uvedenom prípade Komisia zároveň odporúča predkladateľovi kvalitatívne popísať vplyvy predloženého materiálu priamo na MSP. V prípade, že medzi dotknuté podnikateľské subjekty MSP nepatria a predkladateľ trvá na svojom stanovisku (žiadny vplyv na MSP), Komisia odporúča predkladateľovi bližšie špecifikovať dotknuté podnikateľské subjekty v časti 3.1 Dotknuté podnikateľské subjekty Analýzy vplyvov na podnikateľské prostredie.</w:t>
            </w:r>
          </w:p>
          <w:p w:rsidR="002D7D49" w:rsidRPr="002D7D49" w:rsidRDefault="002D7D49" w:rsidP="002D7D49">
            <w:pPr>
              <w:jc w:val="both"/>
              <w:rPr>
                <w:bCs/>
              </w:rPr>
            </w:pPr>
          </w:p>
          <w:p w:rsidR="002D7D49" w:rsidRPr="002D7D49" w:rsidRDefault="002D7D49" w:rsidP="002D7D49">
            <w:pPr>
              <w:jc w:val="both"/>
              <w:rPr>
                <w:bCs/>
              </w:rPr>
            </w:pPr>
          </w:p>
          <w:p w:rsidR="002D7D49" w:rsidRPr="002D7D49" w:rsidRDefault="002D7D49" w:rsidP="002D7D49">
            <w:pPr>
              <w:jc w:val="both"/>
              <w:rPr>
                <w:bCs/>
              </w:rPr>
            </w:pPr>
            <w:r w:rsidRPr="002D7D49">
              <w:rPr>
                <w:b/>
                <w:bCs/>
              </w:rPr>
              <w:t xml:space="preserve">III. Záver: </w:t>
            </w:r>
            <w:r w:rsidRPr="002D7D49">
              <w:rPr>
                <w:bCs/>
              </w:rPr>
              <w:t xml:space="preserve">Stála pracovná komisia na posudzovanie vybraných vplyvov vyjadruje </w:t>
            </w:r>
          </w:p>
          <w:p w:rsidR="002D7D49" w:rsidRPr="002D7D49" w:rsidRDefault="002D7D49" w:rsidP="002D7D49">
            <w:pPr>
              <w:tabs>
                <w:tab w:val="center" w:pos="6379"/>
              </w:tabs>
              <w:ind w:right="-2"/>
              <w:jc w:val="both"/>
              <w:rPr>
                <w:bCs/>
              </w:rPr>
            </w:pPr>
          </w:p>
          <w:p w:rsidR="002D7D49" w:rsidRPr="002D7D49" w:rsidRDefault="002D7D49" w:rsidP="002D7D49">
            <w:pPr>
              <w:tabs>
                <w:tab w:val="center" w:pos="6379"/>
              </w:tabs>
              <w:jc w:val="center"/>
              <w:rPr>
                <w:bCs/>
              </w:rPr>
            </w:pPr>
            <w:r w:rsidRPr="002D7D49">
              <w:rPr>
                <w:b/>
                <w:bCs/>
              </w:rPr>
              <w:t>nesúhlasné stanovisko</w:t>
            </w:r>
          </w:p>
          <w:p w:rsidR="002D7D49" w:rsidRPr="002D7D49" w:rsidRDefault="002D7D49" w:rsidP="002D7D49">
            <w:pPr>
              <w:tabs>
                <w:tab w:val="center" w:pos="6379"/>
              </w:tabs>
              <w:jc w:val="both"/>
              <w:rPr>
                <w:bCs/>
              </w:rPr>
            </w:pPr>
          </w:p>
          <w:p w:rsidR="002D7D49" w:rsidRPr="002D7D49" w:rsidRDefault="002D7D49" w:rsidP="002D7D49">
            <w:pPr>
              <w:tabs>
                <w:tab w:val="center" w:pos="6379"/>
              </w:tabs>
              <w:jc w:val="both"/>
              <w:rPr>
                <w:bCs/>
              </w:rPr>
            </w:pPr>
            <w:r w:rsidRPr="002D7D49">
              <w:rPr>
                <w:bCs/>
              </w:rPr>
              <w:t>s materiálom predloženým na predbežné pripomienkové konanie.</w:t>
            </w:r>
          </w:p>
          <w:p w:rsidR="002D7D49" w:rsidRPr="002D7D49" w:rsidRDefault="002D7D49" w:rsidP="002D7D49">
            <w:pPr>
              <w:tabs>
                <w:tab w:val="center" w:pos="6379"/>
              </w:tabs>
              <w:jc w:val="both"/>
              <w:rPr>
                <w:b/>
                <w:bCs/>
              </w:rPr>
            </w:pPr>
          </w:p>
          <w:p w:rsidR="002D7D49" w:rsidRPr="002D7D49" w:rsidRDefault="002D7D49" w:rsidP="002D7D49">
            <w:pPr>
              <w:jc w:val="both"/>
              <w:rPr>
                <w:iCs/>
              </w:rPr>
            </w:pPr>
            <w:r w:rsidRPr="002D7D49">
              <w:rPr>
                <w:b/>
                <w:bCs/>
              </w:rPr>
              <w:t>IV. Poznámka:</w:t>
            </w:r>
            <w:r w:rsidRPr="002D7D49">
              <w:rPr>
                <w:iCs/>
              </w:rPr>
              <w:t xml:space="preserve"> Predkladateľ zapracuje pripomienky a odporúčania na úpravu uvedené v bode II a uvedie stanovisko Komisie do doložky vybraných vplyvov spolu s vyhodnotením pripomienok.</w:t>
            </w:r>
          </w:p>
          <w:p w:rsidR="002D7D49" w:rsidRPr="002D7D49" w:rsidRDefault="002D7D49" w:rsidP="002D7D49">
            <w:pPr>
              <w:jc w:val="both"/>
              <w:rPr>
                <w:iCs/>
              </w:rPr>
            </w:pPr>
          </w:p>
          <w:p w:rsidR="002D7D49" w:rsidRPr="002D7D49" w:rsidRDefault="002D7D49" w:rsidP="002D7D49">
            <w:pPr>
              <w:jc w:val="both"/>
              <w:rPr>
                <w:iCs/>
              </w:rPr>
            </w:pPr>
          </w:p>
          <w:p w:rsidR="002D7D49" w:rsidRPr="002D7D49" w:rsidRDefault="002D7D49" w:rsidP="002D7D49">
            <w:pPr>
              <w:jc w:val="both"/>
              <w:rPr>
                <w:b/>
                <w:bCs/>
              </w:rPr>
            </w:pPr>
            <w:r w:rsidRPr="002D7D49">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rsidR="002D7D49" w:rsidRPr="002D7D49" w:rsidRDefault="002D7D49" w:rsidP="002D7D49">
            <w:pPr>
              <w:tabs>
                <w:tab w:val="center" w:pos="6379"/>
              </w:tabs>
              <w:ind w:left="4536" w:right="-2"/>
              <w:jc w:val="center"/>
              <w:rPr>
                <w:b/>
                <w:bCs/>
              </w:rPr>
            </w:pPr>
          </w:p>
          <w:p w:rsidR="002D7D49" w:rsidRPr="002D7D49" w:rsidRDefault="002D7D49" w:rsidP="002D7D49">
            <w:pPr>
              <w:tabs>
                <w:tab w:val="center" w:pos="6379"/>
              </w:tabs>
              <w:ind w:left="4536" w:right="-2"/>
              <w:jc w:val="center"/>
              <w:rPr>
                <w:b/>
                <w:bCs/>
              </w:rPr>
            </w:pPr>
          </w:p>
          <w:p w:rsidR="002D7D49" w:rsidRPr="002D7D49" w:rsidRDefault="002D7D49" w:rsidP="002D7D49">
            <w:pPr>
              <w:tabs>
                <w:tab w:val="center" w:pos="6379"/>
              </w:tabs>
              <w:ind w:left="4536" w:right="-2"/>
              <w:jc w:val="center"/>
              <w:rPr>
                <w:b/>
                <w:bCs/>
              </w:rPr>
            </w:pPr>
            <w:r w:rsidRPr="002D7D49">
              <w:rPr>
                <w:b/>
                <w:bCs/>
              </w:rPr>
              <w:t>PhDr. Ján Oravec, CSc.</w:t>
            </w:r>
          </w:p>
          <w:p w:rsidR="002D7D49" w:rsidRPr="002D7D49" w:rsidRDefault="002D7D49" w:rsidP="002D7D49">
            <w:pPr>
              <w:tabs>
                <w:tab w:val="center" w:pos="6379"/>
              </w:tabs>
              <w:ind w:left="4536" w:right="-2"/>
              <w:jc w:val="center"/>
            </w:pPr>
            <w:r w:rsidRPr="002D7D49">
              <w:rPr>
                <w:bCs/>
              </w:rPr>
              <w:t>predseda Komisie</w:t>
            </w:r>
          </w:p>
          <w:p w:rsidR="002D7D49" w:rsidRPr="002D7D49" w:rsidRDefault="002D7D49" w:rsidP="002735AB"/>
          <w:p w:rsidR="00145BFB" w:rsidRPr="004B21E9" w:rsidRDefault="004B21E9" w:rsidP="004B21E9">
            <w:r w:rsidRPr="004B21E9">
              <w:t>Ministerstvo zdravotníctva SR</w:t>
            </w:r>
            <w:r>
              <w:t xml:space="preserve"> zapracovalo </w:t>
            </w:r>
            <w:r w:rsidRPr="002D7D49">
              <w:rPr>
                <w:bCs/>
              </w:rPr>
              <w:t>zásadné pripomienky a odporúčania Komisi</w:t>
            </w:r>
            <w:r>
              <w:rPr>
                <w:bCs/>
              </w:rPr>
              <w:t>e</w:t>
            </w:r>
            <w:r w:rsidRPr="002D7D49">
              <w:rPr>
                <w:bCs/>
              </w:rPr>
              <w:t xml:space="preserve"> uplat</w:t>
            </w:r>
            <w:r>
              <w:rPr>
                <w:bCs/>
              </w:rPr>
              <w:t>nené</w:t>
            </w:r>
            <w:r w:rsidRPr="002D7D49">
              <w:rPr>
                <w:bCs/>
              </w:rPr>
              <w:t xml:space="preserve"> k</w:t>
            </w:r>
            <w:r>
              <w:rPr>
                <w:bCs/>
              </w:rPr>
              <w:t> </w:t>
            </w:r>
            <w:r w:rsidRPr="002D7D49">
              <w:rPr>
                <w:bCs/>
              </w:rPr>
              <w:t>materiálu</w:t>
            </w:r>
            <w:r>
              <w:rPr>
                <w:bCs/>
              </w:rPr>
              <w:t xml:space="preserve"> v bode II.</w:t>
            </w:r>
            <w:r w:rsidRPr="002D7D49">
              <w:rPr>
                <w:bCs/>
              </w:rPr>
              <w:t xml:space="preserve"> </w:t>
            </w:r>
          </w:p>
        </w:tc>
      </w:tr>
    </w:tbl>
    <w:p w:rsidR="003501A1" w:rsidRPr="006F7AE8" w:rsidRDefault="003501A1" w:rsidP="003501A1">
      <w:pPr>
        <w:rPr>
          <w:b/>
        </w:rPr>
      </w:pPr>
    </w:p>
    <w:sectPr w:rsidR="003501A1" w:rsidRPr="006F7AE8" w:rsidSect="004C60B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517" w:rsidRDefault="00A96517" w:rsidP="003501A1">
      <w:r>
        <w:separator/>
      </w:r>
    </w:p>
  </w:endnote>
  <w:endnote w:type="continuationSeparator" w:id="0">
    <w:p w:rsidR="00A96517" w:rsidRDefault="00A96517" w:rsidP="0035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508598"/>
      <w:docPartObj>
        <w:docPartGallery w:val="Page Numbers (Bottom of Page)"/>
        <w:docPartUnique/>
      </w:docPartObj>
    </w:sdtPr>
    <w:sdtEndPr/>
    <w:sdtContent>
      <w:p w:rsidR="00135AED" w:rsidRDefault="00135AED">
        <w:pPr>
          <w:pStyle w:val="Pta"/>
          <w:jc w:val="center"/>
        </w:pPr>
        <w:r>
          <w:fldChar w:fldCharType="begin"/>
        </w:r>
        <w:r>
          <w:instrText>PAGE   \* MERGEFORMAT</w:instrText>
        </w:r>
        <w:r>
          <w:fldChar w:fldCharType="separate"/>
        </w:r>
        <w:r w:rsidR="009D585B">
          <w:rPr>
            <w:noProof/>
          </w:rPr>
          <w:t>1</w:t>
        </w:r>
        <w:r>
          <w:fldChar w:fldCharType="end"/>
        </w:r>
      </w:p>
    </w:sdtContent>
  </w:sdt>
  <w:p w:rsidR="00135AED" w:rsidRDefault="00135A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517" w:rsidRDefault="00A96517" w:rsidP="003501A1">
      <w:r>
        <w:separator/>
      </w:r>
    </w:p>
  </w:footnote>
  <w:footnote w:type="continuationSeparator" w:id="0">
    <w:p w:rsidR="00A96517" w:rsidRDefault="00A96517" w:rsidP="00350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39A4DF7"/>
    <w:multiLevelType w:val="hybridMultilevel"/>
    <w:tmpl w:val="0C880C4A"/>
    <w:lvl w:ilvl="0" w:tplc="8DE8674A">
      <w:start w:val="2"/>
      <w:numFmt w:val="bullet"/>
      <w:lvlText w:val="-"/>
      <w:lvlJc w:val="left"/>
      <w:pPr>
        <w:ind w:left="927" w:hanging="360"/>
      </w:pPr>
      <w:rPr>
        <w:rFonts w:ascii="Times New Roman" w:eastAsia="Times New Roman" w:hAnsi="Times New Roman" w:cs="Times New Roman" w:hint="default"/>
        <w:sz w:val="24"/>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 w15:restartNumberingAfterBreak="0">
    <w:nsid w:val="394C5BFC"/>
    <w:multiLevelType w:val="hybridMultilevel"/>
    <w:tmpl w:val="EB80276A"/>
    <w:lvl w:ilvl="0" w:tplc="2A3E026A">
      <w:start w:val="23"/>
      <w:numFmt w:val="bullet"/>
      <w:lvlText w:val="-"/>
      <w:lvlJc w:val="left"/>
      <w:pPr>
        <w:ind w:left="360" w:hanging="360"/>
      </w:pPr>
      <w:rPr>
        <w:rFonts w:ascii="Times New Roman" w:eastAsia="Times New Roman" w:hAnsi="Times New Roman" w:hint="default"/>
        <w:color w:val="auto"/>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pStyle w:val="Nadpis4"/>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A86"/>
    <w:rsid w:val="00004D3D"/>
    <w:rsid w:val="00005AE4"/>
    <w:rsid w:val="00020271"/>
    <w:rsid w:val="000202AC"/>
    <w:rsid w:val="00036A60"/>
    <w:rsid w:val="00061466"/>
    <w:rsid w:val="00062563"/>
    <w:rsid w:val="00070B37"/>
    <w:rsid w:val="00083CF5"/>
    <w:rsid w:val="00094BE6"/>
    <w:rsid w:val="000A15AE"/>
    <w:rsid w:val="000A7C5E"/>
    <w:rsid w:val="000C18A6"/>
    <w:rsid w:val="000D1ECC"/>
    <w:rsid w:val="000D40AB"/>
    <w:rsid w:val="000E04F6"/>
    <w:rsid w:val="0011693A"/>
    <w:rsid w:val="00124DB0"/>
    <w:rsid w:val="00135AED"/>
    <w:rsid w:val="00145BFB"/>
    <w:rsid w:val="00173CE4"/>
    <w:rsid w:val="00175FD8"/>
    <w:rsid w:val="001823F0"/>
    <w:rsid w:val="00186439"/>
    <w:rsid w:val="001A1559"/>
    <w:rsid w:val="001B432D"/>
    <w:rsid w:val="001C03E9"/>
    <w:rsid w:val="001C2662"/>
    <w:rsid w:val="001C467E"/>
    <w:rsid w:val="001C5FE3"/>
    <w:rsid w:val="001F58CC"/>
    <w:rsid w:val="00225AC1"/>
    <w:rsid w:val="0022782E"/>
    <w:rsid w:val="002420E5"/>
    <w:rsid w:val="002735AB"/>
    <w:rsid w:val="002807BF"/>
    <w:rsid w:val="002A4949"/>
    <w:rsid w:val="002B0563"/>
    <w:rsid w:val="002B1CFB"/>
    <w:rsid w:val="002C22E5"/>
    <w:rsid w:val="002D7D49"/>
    <w:rsid w:val="00322A56"/>
    <w:rsid w:val="00325162"/>
    <w:rsid w:val="003501A1"/>
    <w:rsid w:val="00366AAA"/>
    <w:rsid w:val="00380E60"/>
    <w:rsid w:val="00382C44"/>
    <w:rsid w:val="00395098"/>
    <w:rsid w:val="003D6A69"/>
    <w:rsid w:val="00424976"/>
    <w:rsid w:val="00426A90"/>
    <w:rsid w:val="00430BA8"/>
    <w:rsid w:val="0045465B"/>
    <w:rsid w:val="004730E4"/>
    <w:rsid w:val="00481D8D"/>
    <w:rsid w:val="00497DC5"/>
    <w:rsid w:val="004B21E9"/>
    <w:rsid w:val="004C53F8"/>
    <w:rsid w:val="004C60B8"/>
    <w:rsid w:val="004C794A"/>
    <w:rsid w:val="004E4D68"/>
    <w:rsid w:val="004F6F1F"/>
    <w:rsid w:val="004F7D6F"/>
    <w:rsid w:val="00513F9D"/>
    <w:rsid w:val="00570B48"/>
    <w:rsid w:val="0058756F"/>
    <w:rsid w:val="00596AF1"/>
    <w:rsid w:val="005B7A8D"/>
    <w:rsid w:val="005D1991"/>
    <w:rsid w:val="00601188"/>
    <w:rsid w:val="00602B2E"/>
    <w:rsid w:val="00634B28"/>
    <w:rsid w:val="00665C3B"/>
    <w:rsid w:val="0067265F"/>
    <w:rsid w:val="006C1BB4"/>
    <w:rsid w:val="006C3B7D"/>
    <w:rsid w:val="006D2416"/>
    <w:rsid w:val="006F141F"/>
    <w:rsid w:val="006F22FA"/>
    <w:rsid w:val="006F4B3B"/>
    <w:rsid w:val="006F7AE8"/>
    <w:rsid w:val="00704282"/>
    <w:rsid w:val="00715326"/>
    <w:rsid w:val="0072492F"/>
    <w:rsid w:val="0073135F"/>
    <w:rsid w:val="00734088"/>
    <w:rsid w:val="007539AC"/>
    <w:rsid w:val="007562E6"/>
    <w:rsid w:val="00786F96"/>
    <w:rsid w:val="007A3846"/>
    <w:rsid w:val="007B71A4"/>
    <w:rsid w:val="007F3F53"/>
    <w:rsid w:val="007F56A7"/>
    <w:rsid w:val="00800744"/>
    <w:rsid w:val="008121CC"/>
    <w:rsid w:val="00820717"/>
    <w:rsid w:val="00821D96"/>
    <w:rsid w:val="008227E3"/>
    <w:rsid w:val="00842D9F"/>
    <w:rsid w:val="0085160F"/>
    <w:rsid w:val="008724EA"/>
    <w:rsid w:val="008A0017"/>
    <w:rsid w:val="008B3A26"/>
    <w:rsid w:val="008C3634"/>
    <w:rsid w:val="008D1A79"/>
    <w:rsid w:val="008D5720"/>
    <w:rsid w:val="0090496C"/>
    <w:rsid w:val="0091011D"/>
    <w:rsid w:val="00926C80"/>
    <w:rsid w:val="00973145"/>
    <w:rsid w:val="009863A6"/>
    <w:rsid w:val="009A7D4D"/>
    <w:rsid w:val="009D0427"/>
    <w:rsid w:val="009D160A"/>
    <w:rsid w:val="009D585B"/>
    <w:rsid w:val="009E386D"/>
    <w:rsid w:val="009E592A"/>
    <w:rsid w:val="00A00C0A"/>
    <w:rsid w:val="00A346CB"/>
    <w:rsid w:val="00A46475"/>
    <w:rsid w:val="00A66B43"/>
    <w:rsid w:val="00A7527A"/>
    <w:rsid w:val="00A7564B"/>
    <w:rsid w:val="00A76766"/>
    <w:rsid w:val="00A96517"/>
    <w:rsid w:val="00AB18D2"/>
    <w:rsid w:val="00AC2477"/>
    <w:rsid w:val="00AC6B0C"/>
    <w:rsid w:val="00AE6A3B"/>
    <w:rsid w:val="00B05663"/>
    <w:rsid w:val="00B2007A"/>
    <w:rsid w:val="00B4361B"/>
    <w:rsid w:val="00B65A86"/>
    <w:rsid w:val="00B725C0"/>
    <w:rsid w:val="00B83402"/>
    <w:rsid w:val="00B9491F"/>
    <w:rsid w:val="00BD3D07"/>
    <w:rsid w:val="00C0069F"/>
    <w:rsid w:val="00C17D8C"/>
    <w:rsid w:val="00C35104"/>
    <w:rsid w:val="00C420D2"/>
    <w:rsid w:val="00C5148B"/>
    <w:rsid w:val="00C66348"/>
    <w:rsid w:val="00CA4F6C"/>
    <w:rsid w:val="00CA7F82"/>
    <w:rsid w:val="00CB3623"/>
    <w:rsid w:val="00CF0357"/>
    <w:rsid w:val="00D13B6F"/>
    <w:rsid w:val="00D151C7"/>
    <w:rsid w:val="00D25F57"/>
    <w:rsid w:val="00D264D6"/>
    <w:rsid w:val="00D37D2D"/>
    <w:rsid w:val="00D53AF9"/>
    <w:rsid w:val="00D75D35"/>
    <w:rsid w:val="00D75EF4"/>
    <w:rsid w:val="00D77891"/>
    <w:rsid w:val="00DA5E46"/>
    <w:rsid w:val="00DD7FC1"/>
    <w:rsid w:val="00DE2A12"/>
    <w:rsid w:val="00DE5643"/>
    <w:rsid w:val="00DE7C77"/>
    <w:rsid w:val="00E766F1"/>
    <w:rsid w:val="00E85DDD"/>
    <w:rsid w:val="00EB1608"/>
    <w:rsid w:val="00EB3C13"/>
    <w:rsid w:val="00EB59E3"/>
    <w:rsid w:val="00ED7B39"/>
    <w:rsid w:val="00EF466C"/>
    <w:rsid w:val="00F22831"/>
    <w:rsid w:val="00F40C45"/>
    <w:rsid w:val="00F62771"/>
    <w:rsid w:val="00F71220"/>
    <w:rsid w:val="00F81FAD"/>
    <w:rsid w:val="00F90F47"/>
    <w:rsid w:val="00FA55D1"/>
    <w:rsid w:val="00FB377D"/>
    <w:rsid w:val="00FF54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501A1"/>
    <w:pPr>
      <w:spacing w:after="0" w:line="240" w:lineRule="auto"/>
    </w:pPr>
    <w:rPr>
      <w:rFonts w:ascii="Times New Roman" w:hAnsi="Times New Roman" w:cs="Times New Roman"/>
      <w:sz w:val="20"/>
      <w:szCs w:val="20"/>
      <w:lang w:eastAsia="sk-SK"/>
    </w:rPr>
  </w:style>
  <w:style w:type="paragraph" w:styleId="Nadpis4">
    <w:name w:val="heading 4"/>
    <w:basedOn w:val="Normlny"/>
    <w:next w:val="Zkladntext"/>
    <w:link w:val="Nadpis4Char"/>
    <w:qFormat/>
    <w:rsid w:val="002D7D49"/>
    <w:pPr>
      <w:keepNext/>
      <w:numPr>
        <w:ilvl w:val="3"/>
        <w:numId w:val="1"/>
      </w:numPr>
      <w:suppressAutoHyphens/>
      <w:spacing w:line="100" w:lineRule="atLeast"/>
      <w:ind w:right="-2"/>
      <w:jc w:val="center"/>
      <w:outlineLvl w:val="3"/>
    </w:pPr>
    <w:rPr>
      <w:b/>
      <w:smallCaps/>
      <w:sz w:val="26"/>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501A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3501A1"/>
    <w:pPr>
      <w:spacing w:after="200" w:line="276" w:lineRule="auto"/>
      <w:ind w:left="720"/>
      <w:contextualSpacing/>
    </w:pPr>
    <w:rPr>
      <w:rFonts w:asciiTheme="minorHAnsi" w:hAnsiTheme="minorHAnsi"/>
      <w:sz w:val="22"/>
      <w:szCs w:val="22"/>
      <w:lang w:eastAsia="en-US"/>
    </w:rPr>
  </w:style>
  <w:style w:type="paragraph" w:styleId="Textbubliny">
    <w:name w:val="Balloon Text"/>
    <w:basedOn w:val="Normlny"/>
    <w:link w:val="TextbublinyChar"/>
    <w:uiPriority w:val="99"/>
    <w:semiHidden/>
    <w:unhideWhenUsed/>
    <w:rsid w:val="003501A1"/>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3501A1"/>
    <w:rPr>
      <w:rFonts w:ascii="Tahoma" w:hAnsi="Tahoma" w:cs="Tahoma"/>
      <w:sz w:val="16"/>
      <w:szCs w:val="16"/>
      <w:lang w:val="x-none" w:eastAsia="sk-SK"/>
    </w:rPr>
  </w:style>
  <w:style w:type="paragraph" w:styleId="Hlavika">
    <w:name w:val="header"/>
    <w:basedOn w:val="Normlny"/>
    <w:link w:val="HlavikaChar"/>
    <w:uiPriority w:val="99"/>
    <w:unhideWhenUsed/>
    <w:rsid w:val="003501A1"/>
    <w:pPr>
      <w:tabs>
        <w:tab w:val="center" w:pos="4536"/>
        <w:tab w:val="right" w:pos="9072"/>
      </w:tabs>
    </w:pPr>
  </w:style>
  <w:style w:type="character" w:customStyle="1" w:styleId="HlavikaChar">
    <w:name w:val="Hlavička Char"/>
    <w:basedOn w:val="Predvolenpsmoodseku"/>
    <w:link w:val="Hlavika"/>
    <w:uiPriority w:val="99"/>
    <w:locked/>
    <w:rsid w:val="003501A1"/>
    <w:rPr>
      <w:rFonts w:ascii="Times New Roman" w:hAnsi="Times New Roman" w:cs="Times New Roman"/>
      <w:sz w:val="20"/>
      <w:szCs w:val="20"/>
      <w:lang w:val="x-none" w:eastAsia="sk-SK"/>
    </w:rPr>
  </w:style>
  <w:style w:type="paragraph" w:styleId="Pta">
    <w:name w:val="footer"/>
    <w:basedOn w:val="Normlny"/>
    <w:link w:val="PtaChar"/>
    <w:uiPriority w:val="99"/>
    <w:unhideWhenUsed/>
    <w:rsid w:val="003501A1"/>
    <w:pPr>
      <w:tabs>
        <w:tab w:val="center" w:pos="4536"/>
        <w:tab w:val="right" w:pos="9072"/>
      </w:tabs>
    </w:pPr>
  </w:style>
  <w:style w:type="character" w:customStyle="1" w:styleId="PtaChar">
    <w:name w:val="Päta Char"/>
    <w:basedOn w:val="Predvolenpsmoodseku"/>
    <w:link w:val="Pta"/>
    <w:uiPriority w:val="99"/>
    <w:locked/>
    <w:rsid w:val="003501A1"/>
    <w:rPr>
      <w:rFonts w:ascii="Times New Roman" w:hAnsi="Times New Roman" w:cs="Times New Roman"/>
      <w:sz w:val="20"/>
      <w:szCs w:val="20"/>
      <w:lang w:val="x-none" w:eastAsia="sk-SK"/>
    </w:rPr>
  </w:style>
  <w:style w:type="paragraph" w:styleId="Textpoznmkypodiarou">
    <w:name w:val="footnote text"/>
    <w:basedOn w:val="Normlny"/>
    <w:link w:val="TextpoznmkypodiarouChar"/>
    <w:uiPriority w:val="99"/>
    <w:semiHidden/>
    <w:unhideWhenUsed/>
    <w:rsid w:val="00F22831"/>
  </w:style>
  <w:style w:type="character" w:customStyle="1" w:styleId="TextpoznmkypodiarouChar">
    <w:name w:val="Text poznámky pod čiarou Char"/>
    <w:basedOn w:val="Predvolenpsmoodseku"/>
    <w:link w:val="Textpoznmkypodiarou"/>
    <w:uiPriority w:val="99"/>
    <w:semiHidden/>
    <w:locked/>
    <w:rsid w:val="00F22831"/>
    <w:rPr>
      <w:rFonts w:ascii="Times New Roman" w:hAnsi="Times New Roman" w:cs="Times New Roman"/>
      <w:sz w:val="20"/>
      <w:szCs w:val="20"/>
      <w:lang w:val="x-none" w:eastAsia="sk-SK"/>
    </w:rPr>
  </w:style>
  <w:style w:type="character" w:styleId="Odkaznapoznmkupodiarou">
    <w:name w:val="footnote reference"/>
    <w:basedOn w:val="Predvolenpsmoodseku"/>
    <w:uiPriority w:val="99"/>
    <w:semiHidden/>
    <w:unhideWhenUsed/>
    <w:rsid w:val="00F22831"/>
    <w:rPr>
      <w:rFonts w:cs="Times New Roman"/>
      <w:vertAlign w:val="superscript"/>
    </w:rPr>
  </w:style>
  <w:style w:type="character" w:styleId="Odkaznakomentr">
    <w:name w:val="annotation reference"/>
    <w:basedOn w:val="Predvolenpsmoodseku"/>
    <w:uiPriority w:val="99"/>
    <w:semiHidden/>
    <w:unhideWhenUsed/>
    <w:rsid w:val="00175FD8"/>
    <w:rPr>
      <w:rFonts w:cs="Times New Roman"/>
      <w:sz w:val="16"/>
      <w:szCs w:val="16"/>
    </w:rPr>
  </w:style>
  <w:style w:type="paragraph" w:styleId="Textkomentra">
    <w:name w:val="annotation text"/>
    <w:basedOn w:val="Normlny"/>
    <w:link w:val="TextkomentraChar"/>
    <w:uiPriority w:val="99"/>
    <w:semiHidden/>
    <w:unhideWhenUsed/>
    <w:rsid w:val="00175FD8"/>
  </w:style>
  <w:style w:type="character" w:customStyle="1" w:styleId="TextkomentraChar">
    <w:name w:val="Text komentára Char"/>
    <w:basedOn w:val="Predvolenpsmoodseku"/>
    <w:link w:val="Textkomentra"/>
    <w:uiPriority w:val="99"/>
    <w:semiHidden/>
    <w:locked/>
    <w:rsid w:val="00175FD8"/>
    <w:rPr>
      <w:rFonts w:ascii="Times New Roman" w:hAnsi="Times New Roman" w:cs="Times New Roman"/>
      <w:sz w:val="20"/>
      <w:szCs w:val="20"/>
      <w:lang w:val="x-none" w:eastAsia="sk-SK"/>
    </w:rPr>
  </w:style>
  <w:style w:type="paragraph" w:styleId="Predmetkomentra">
    <w:name w:val="annotation subject"/>
    <w:basedOn w:val="Textkomentra"/>
    <w:next w:val="Textkomentra"/>
    <w:link w:val="PredmetkomentraChar"/>
    <w:uiPriority w:val="99"/>
    <w:semiHidden/>
    <w:unhideWhenUsed/>
    <w:rsid w:val="00175FD8"/>
    <w:rPr>
      <w:b/>
      <w:bCs/>
    </w:rPr>
  </w:style>
  <w:style w:type="character" w:customStyle="1" w:styleId="PredmetkomentraChar">
    <w:name w:val="Predmet komentára Char"/>
    <w:basedOn w:val="TextkomentraChar"/>
    <w:link w:val="Predmetkomentra"/>
    <w:uiPriority w:val="99"/>
    <w:semiHidden/>
    <w:locked/>
    <w:rsid w:val="00175FD8"/>
    <w:rPr>
      <w:rFonts w:ascii="Times New Roman" w:hAnsi="Times New Roman" w:cs="Times New Roman"/>
      <w:b/>
      <w:bCs/>
      <w:sz w:val="20"/>
      <w:szCs w:val="20"/>
      <w:lang w:val="x-none" w:eastAsia="sk-SK"/>
    </w:rPr>
  </w:style>
  <w:style w:type="paragraph" w:customStyle="1" w:styleId="Default">
    <w:name w:val="Default"/>
    <w:rsid w:val="000614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zstupnhosymbolu1">
    <w:name w:val="Text zástupného symbolu1"/>
    <w:semiHidden/>
    <w:rsid w:val="00061466"/>
    <w:rPr>
      <w:rFonts w:ascii="Times New Roman" w:hAnsi="Times New Roman"/>
      <w:color w:val="808080"/>
    </w:rPr>
  </w:style>
  <w:style w:type="paragraph" w:customStyle="1" w:styleId="BodyTextIndent1">
    <w:name w:val="Body Text Indent1"/>
    <w:basedOn w:val="Normlny"/>
    <w:uiPriority w:val="99"/>
    <w:rsid w:val="00B4361B"/>
    <w:pPr>
      <w:ind w:left="360"/>
      <w:jc w:val="center"/>
    </w:pPr>
    <w:rPr>
      <w:sz w:val="24"/>
      <w:szCs w:val="24"/>
    </w:rPr>
  </w:style>
  <w:style w:type="paragraph" w:styleId="Zkladntext">
    <w:name w:val="Body Text"/>
    <w:basedOn w:val="Normlny"/>
    <w:link w:val="ZkladntextChar"/>
    <w:uiPriority w:val="99"/>
    <w:rsid w:val="00430BA8"/>
    <w:pPr>
      <w:tabs>
        <w:tab w:val="left" w:pos="851"/>
      </w:tabs>
      <w:spacing w:line="360" w:lineRule="auto"/>
      <w:jc w:val="both"/>
    </w:pPr>
    <w:rPr>
      <w:sz w:val="26"/>
      <w:szCs w:val="26"/>
    </w:rPr>
  </w:style>
  <w:style w:type="character" w:customStyle="1" w:styleId="ZkladntextChar">
    <w:name w:val="Základný text Char"/>
    <w:basedOn w:val="Predvolenpsmoodseku"/>
    <w:link w:val="Zkladntext"/>
    <w:uiPriority w:val="99"/>
    <w:locked/>
    <w:rsid w:val="00430BA8"/>
    <w:rPr>
      <w:rFonts w:ascii="Times New Roman" w:hAnsi="Times New Roman" w:cs="Times New Roman"/>
      <w:sz w:val="26"/>
      <w:szCs w:val="26"/>
      <w:lang w:val="x-none" w:eastAsia="sk-SK"/>
    </w:rPr>
  </w:style>
  <w:style w:type="character" w:styleId="Hypertextovprepojenie">
    <w:name w:val="Hyperlink"/>
    <w:basedOn w:val="Predvolenpsmoodseku"/>
    <w:uiPriority w:val="99"/>
    <w:unhideWhenUsed/>
    <w:rsid w:val="00A7564B"/>
    <w:rPr>
      <w:color w:val="0000FF" w:themeColor="hyperlink"/>
      <w:u w:val="single"/>
    </w:rPr>
  </w:style>
  <w:style w:type="character" w:customStyle="1" w:styleId="Nadpis4Char">
    <w:name w:val="Nadpis 4 Char"/>
    <w:basedOn w:val="Predvolenpsmoodseku"/>
    <w:link w:val="Nadpis4"/>
    <w:rsid w:val="002D7D49"/>
    <w:rPr>
      <w:rFonts w:ascii="Times New Roman" w:hAnsi="Times New Roman" w:cs="Times New Roman"/>
      <w:b/>
      <w:smallCaps/>
      <w:sz w:val="2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6498">
      <w:marLeft w:val="0"/>
      <w:marRight w:val="0"/>
      <w:marTop w:val="0"/>
      <w:marBottom w:val="0"/>
      <w:divBdr>
        <w:top w:val="none" w:sz="0" w:space="0" w:color="auto"/>
        <w:left w:val="none" w:sz="0" w:space="0" w:color="auto"/>
        <w:bottom w:val="none" w:sz="0" w:space="0" w:color="auto"/>
        <w:right w:val="none" w:sz="0" w:space="0" w:color="auto"/>
      </w:divBdr>
    </w:div>
    <w:div w:id="1822186787">
      <w:bodyDiv w:val="1"/>
      <w:marLeft w:val="0"/>
      <w:marRight w:val="0"/>
      <w:marTop w:val="0"/>
      <w:marBottom w:val="0"/>
      <w:divBdr>
        <w:top w:val="none" w:sz="0" w:space="0" w:color="auto"/>
        <w:left w:val="none" w:sz="0" w:space="0" w:color="auto"/>
        <w:bottom w:val="none" w:sz="0" w:space="0" w:color="auto"/>
        <w:right w:val="none" w:sz="0" w:space="0" w:color="auto"/>
      </w:divBdr>
    </w:div>
    <w:div w:id="214658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zef.slany@health.g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419A4-F48A-4A48-9704-87E7F90DD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1892</Words>
  <Characters>10789</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2020-12-04T11:19:00Z</dcterms:created>
  <dcterms:modified xsi:type="dcterms:W3CDTF">2020-12-04T11:19:00Z</dcterms:modified>
</cp:coreProperties>
</file>