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0D6" w:rsidRPr="00CD20D6" w:rsidRDefault="00CD20D6" w:rsidP="00CD20D6">
      <w:pPr>
        <w:spacing w:after="0" w:line="240" w:lineRule="auto"/>
        <w:jc w:val="center"/>
        <w:rPr>
          <w:rFonts w:ascii="Times New Roman" w:eastAsia="Calibri" w:hAnsi="Times New Roman" w:cs="Times New Roman"/>
          <w:b/>
          <w:caps/>
          <w:sz w:val="24"/>
          <w:szCs w:val="24"/>
        </w:rPr>
      </w:pPr>
      <w:r w:rsidRPr="00CD20D6">
        <w:rPr>
          <w:rFonts w:ascii="Times New Roman" w:eastAsia="Calibri" w:hAnsi="Times New Roman" w:cs="Times New Roman"/>
          <w:b/>
          <w:caps/>
          <w:sz w:val="24"/>
          <w:szCs w:val="24"/>
        </w:rPr>
        <w:t>Dôvodová správa</w:t>
      </w:r>
    </w:p>
    <w:p w:rsidR="00CD20D6" w:rsidRPr="00CD20D6" w:rsidRDefault="00CD20D6" w:rsidP="00CD20D6">
      <w:pPr>
        <w:spacing w:after="0" w:line="240" w:lineRule="auto"/>
        <w:rPr>
          <w:rFonts w:ascii="Times New Roman" w:eastAsia="Calibri" w:hAnsi="Times New Roman" w:cs="Times New Roman"/>
          <w:b/>
          <w:sz w:val="24"/>
          <w:szCs w:val="24"/>
        </w:rPr>
      </w:pPr>
    </w:p>
    <w:p w:rsidR="00CD20D6" w:rsidRPr="00CD20D6" w:rsidRDefault="00CD20D6" w:rsidP="00CD20D6">
      <w:pPr>
        <w:spacing w:after="0" w:line="240" w:lineRule="auto"/>
        <w:jc w:val="both"/>
        <w:rPr>
          <w:rFonts w:ascii="Times New Roman" w:eastAsia="Calibri" w:hAnsi="Times New Roman" w:cs="Times New Roman"/>
          <w:b/>
          <w:sz w:val="24"/>
          <w:szCs w:val="24"/>
        </w:rPr>
      </w:pPr>
      <w:r w:rsidRPr="00CD20D6">
        <w:rPr>
          <w:rFonts w:ascii="Times New Roman" w:eastAsia="Calibri" w:hAnsi="Times New Roman" w:cs="Times New Roman"/>
          <w:b/>
          <w:sz w:val="24"/>
          <w:szCs w:val="24"/>
        </w:rPr>
        <w:t>A. Všeobecná časť</w:t>
      </w:r>
    </w:p>
    <w:p w:rsidR="00CD20D6" w:rsidRPr="00CD20D6" w:rsidRDefault="00CD20D6" w:rsidP="00CD20D6">
      <w:pPr>
        <w:spacing w:after="0" w:line="240" w:lineRule="auto"/>
        <w:jc w:val="both"/>
        <w:rPr>
          <w:rFonts w:ascii="Times New Roman" w:eastAsia="Calibri" w:hAnsi="Times New Roman" w:cs="Times New Roman"/>
          <w:sz w:val="24"/>
          <w:szCs w:val="24"/>
        </w:rPr>
      </w:pPr>
    </w:p>
    <w:p w:rsidR="00CD20D6" w:rsidRPr="00CD20D6" w:rsidRDefault="00CD20D6" w:rsidP="00CD20D6">
      <w:pPr>
        <w:spacing w:after="0" w:line="240" w:lineRule="auto"/>
        <w:ind w:firstLine="709"/>
        <w:jc w:val="both"/>
        <w:rPr>
          <w:rFonts w:ascii="Times New Roman" w:eastAsia="Calibri" w:hAnsi="Times New Roman" w:cs="Times New Roman"/>
          <w:sz w:val="24"/>
          <w:szCs w:val="24"/>
        </w:rPr>
      </w:pPr>
      <w:r w:rsidRPr="00CD20D6">
        <w:rPr>
          <w:rFonts w:ascii="Times New Roman" w:eastAsia="Calibri" w:hAnsi="Times New Roman" w:cs="Times New Roman"/>
          <w:sz w:val="24"/>
          <w:szCs w:val="24"/>
        </w:rPr>
        <w:t>Ministerstvo dopravy a výstavby Slovenskej republiky predkladá na rokovanie vlády Slovenskej republiky návrh zákona, ktorým sa dopĺňa zákon č. 106/2018 Z. z. o prevádzke vozidiel v cestnej premávke a o zmene a doplnení niektorých zákonov v znení neskorších predpisov</w:t>
      </w:r>
      <w:r w:rsidRPr="00CD20D6" w:rsidDel="007636A8">
        <w:rPr>
          <w:rFonts w:ascii="Times New Roman" w:eastAsia="Calibri" w:hAnsi="Times New Roman" w:cs="Times New Roman"/>
          <w:sz w:val="24"/>
          <w:szCs w:val="24"/>
        </w:rPr>
        <w:t xml:space="preserve"> </w:t>
      </w:r>
      <w:r w:rsidRPr="00CD20D6">
        <w:rPr>
          <w:rFonts w:ascii="Times New Roman" w:eastAsia="Calibri" w:hAnsi="Times New Roman" w:cs="Times New Roman"/>
          <w:sz w:val="24"/>
          <w:szCs w:val="24"/>
        </w:rPr>
        <w:t>(ďalej len „návrh zákona“).</w:t>
      </w:r>
    </w:p>
    <w:p w:rsidR="00CD20D6" w:rsidRPr="00CD20D6" w:rsidRDefault="00CD20D6" w:rsidP="00CD20D6">
      <w:pPr>
        <w:spacing w:before="120" w:after="0" w:line="240" w:lineRule="auto"/>
        <w:ind w:firstLine="709"/>
        <w:jc w:val="both"/>
        <w:rPr>
          <w:rFonts w:ascii="Times New Roman" w:eastAsia="Calibri" w:hAnsi="Times New Roman" w:cs="Times New Roman"/>
          <w:sz w:val="24"/>
          <w:szCs w:val="24"/>
        </w:rPr>
      </w:pPr>
      <w:r w:rsidRPr="00CD20D6">
        <w:rPr>
          <w:rFonts w:ascii="Times New Roman" w:eastAsia="Calibri" w:hAnsi="Times New Roman" w:cs="Times New Roman"/>
          <w:sz w:val="24"/>
          <w:szCs w:val="24"/>
        </w:rPr>
        <w:t>Podľa nariadenia Komisie (EÚ) 2017/1151 z 1. júna 2017,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(ES) č. 692/2008 (ďalej len „nariadenie (EÚ) 2017/1151“) je posledný dátum prvej evidencie 31. decembra 2020 pre nové vozidlá kategórie M1 a kategórie N1 triedy I, ktoré plnia emisné limity Euro 6d- TEMP- EVAP-ISC a Euro 6d-ISC označené písmenami DG a AM. Po 31. decembri 2020 sa stanú tieto vozidlá vozidlami ukončenej série, ktoré je možné prihlásiť do evidencie vozidiel len na základe povolenia pre skladové zásoby tzv. povolenie dopredaja vozidiel, ktoré je limitované počtom vozidiel.</w:t>
      </w:r>
    </w:p>
    <w:p w:rsidR="00CD20D6" w:rsidRPr="00CD20D6" w:rsidRDefault="00CD20D6" w:rsidP="00CD20D6">
      <w:pPr>
        <w:spacing w:before="120" w:after="0" w:line="240" w:lineRule="auto"/>
        <w:ind w:firstLine="709"/>
        <w:jc w:val="both"/>
        <w:rPr>
          <w:rFonts w:ascii="Times New Roman" w:eastAsia="Calibri" w:hAnsi="Times New Roman" w:cs="Times New Roman"/>
          <w:sz w:val="24"/>
          <w:szCs w:val="24"/>
        </w:rPr>
      </w:pPr>
      <w:r w:rsidRPr="00CD20D6">
        <w:rPr>
          <w:rFonts w:ascii="Times New Roman" w:eastAsia="Calibri" w:hAnsi="Times New Roman" w:cs="Times New Roman"/>
          <w:sz w:val="24"/>
          <w:szCs w:val="24"/>
        </w:rPr>
        <w:t>Prvá plna pandémie spôsobila, že nové vozidlá s touto emisnou normou boli predajcom v Slovenskej republike dodané s oneskorím, zväčša až po letných prázdninách, kedy v Slovenskej republika začala druhá vlna pandémie, počas ktorej boli vládou Slovenskej republiky prijímané opatrenia na obmedzenie mobility občanov, ktoré vyvrcholili obmedzením slobody pohybu a pobytu zákazom vychádzania. Tieto opatrenia spôsobili, že došlo k poklesom predaja nových vozidiel, čo spôsobilo, že predajcom nových vozidiel zostane k 31. decembru 2020 na skladoch väčšie množstvo vozidiel, ktorých počet prekročí limit vozidiel, ktoré môžu byť povolené pre skladové zásoby.</w:t>
      </w:r>
    </w:p>
    <w:p w:rsidR="00CD20D6" w:rsidRPr="00CD20D6" w:rsidRDefault="00CD20D6" w:rsidP="00CD20D6">
      <w:pPr>
        <w:spacing w:before="120" w:after="0" w:line="240" w:lineRule="auto"/>
        <w:ind w:firstLine="709"/>
        <w:jc w:val="both"/>
        <w:rPr>
          <w:rFonts w:ascii="Times New Roman" w:eastAsia="Calibri" w:hAnsi="Times New Roman" w:cs="Times New Roman"/>
          <w:sz w:val="24"/>
          <w:szCs w:val="24"/>
        </w:rPr>
      </w:pPr>
      <w:r w:rsidRPr="00CD20D6">
        <w:rPr>
          <w:rFonts w:ascii="Times New Roman" w:eastAsia="Calibri" w:hAnsi="Times New Roman" w:cs="Times New Roman"/>
          <w:sz w:val="24"/>
          <w:szCs w:val="24"/>
        </w:rPr>
        <w:t>Materiál nebol predmetom pripomienkového konania, a to podľa § 27 ods. 1 zákona č. 400/2015 Z. z. o tvorbe právnych predpisov a o Zbierke zákonov Slovenskej republiky a o zmene a doplnení niektorých zákonov v znení neskorších predpisov, pretože je pripravovaný s cieľom reagovať na mimoriadnu situáciu v súvislosti s ochorením COVID-19 a čo najskôr tak predísť negatívnym následkom na predajcov vozidiel.</w:t>
      </w:r>
    </w:p>
    <w:p w:rsidR="00CD20D6" w:rsidRPr="00CD20D6" w:rsidRDefault="00CD20D6" w:rsidP="00CD20D6">
      <w:pPr>
        <w:spacing w:before="120" w:after="0" w:line="240" w:lineRule="auto"/>
        <w:ind w:firstLine="709"/>
        <w:jc w:val="both"/>
        <w:rPr>
          <w:rFonts w:ascii="Times New Roman" w:eastAsia="Calibri" w:hAnsi="Times New Roman" w:cs="Times New Roman"/>
          <w:sz w:val="24"/>
          <w:szCs w:val="24"/>
        </w:rPr>
      </w:pPr>
      <w:r w:rsidRPr="00CD20D6">
        <w:rPr>
          <w:rFonts w:ascii="Times New Roman" w:eastAsia="Calibri" w:hAnsi="Times New Roman" w:cs="Times New Roman"/>
          <w:sz w:val="24"/>
          <w:szCs w:val="24"/>
        </w:rPr>
        <w:t>Predložený návrh zákona má pozitívny vplyv na podnikateľské prostredie, nemá vplyv na rozpočet verejnej správy, sociálne vplyvy, vplyvy na životné prostredie, vplyvy na služby verejnej správy pre občana, vplyv na informatizáciu spoločnosti ani vplyvy na manželstvo, rodičovstvo a rodinu. Vyhodnotenie vybraných vplyvov je uvedené v doložke vybraných vplyvov.</w:t>
      </w:r>
    </w:p>
    <w:p w:rsidR="00CD20D6" w:rsidRPr="00CD20D6" w:rsidRDefault="00CD20D6" w:rsidP="00CD20D6">
      <w:pPr>
        <w:spacing w:before="120" w:after="0" w:line="240" w:lineRule="auto"/>
        <w:ind w:firstLine="709"/>
        <w:jc w:val="both"/>
        <w:rPr>
          <w:rFonts w:ascii="Times New Roman" w:eastAsia="Calibri" w:hAnsi="Times New Roman" w:cs="Times New Roman"/>
          <w:sz w:val="24"/>
          <w:szCs w:val="24"/>
        </w:rPr>
      </w:pPr>
      <w:r w:rsidRPr="00CD20D6">
        <w:rPr>
          <w:rFonts w:ascii="Times New Roman" w:eastAsia="Calibri" w:hAnsi="Times New Roman" w:cs="Times New Roman"/>
          <w:sz w:val="24"/>
          <w:szCs w:val="24"/>
        </w:rPr>
        <w: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rsidR="00CD20D6" w:rsidRPr="00CD20D6" w:rsidRDefault="00CD20D6" w:rsidP="00CD20D6">
      <w:pPr>
        <w:spacing w:before="120" w:after="0" w:line="240" w:lineRule="auto"/>
        <w:ind w:firstLine="709"/>
        <w:jc w:val="both"/>
        <w:rPr>
          <w:rFonts w:ascii="Times New Roman" w:eastAsia="Calibri" w:hAnsi="Times New Roman" w:cs="Times New Roman"/>
          <w:sz w:val="24"/>
          <w:szCs w:val="24"/>
        </w:rPr>
      </w:pPr>
      <w:r w:rsidRPr="00CD20D6">
        <w:rPr>
          <w:rFonts w:ascii="Times New Roman" w:eastAsia="Calibri" w:hAnsi="Times New Roman" w:cs="Times New Roman"/>
          <w:sz w:val="24"/>
          <w:szCs w:val="24"/>
        </w:rPr>
        <w:t xml:space="preserve">Návrh zákona nebude predmetom </w:t>
      </w:r>
      <w:proofErr w:type="spellStart"/>
      <w:r w:rsidRPr="00CD20D6">
        <w:rPr>
          <w:rFonts w:ascii="Times New Roman" w:eastAsia="Calibri" w:hAnsi="Times New Roman" w:cs="Times New Roman"/>
          <w:sz w:val="24"/>
          <w:szCs w:val="24"/>
        </w:rPr>
        <w:t>vnútrokomunitárneho</w:t>
      </w:r>
      <w:proofErr w:type="spellEnd"/>
      <w:r w:rsidRPr="00CD20D6">
        <w:rPr>
          <w:rFonts w:ascii="Times New Roman" w:eastAsia="Calibri" w:hAnsi="Times New Roman" w:cs="Times New Roman"/>
          <w:sz w:val="24"/>
          <w:szCs w:val="24"/>
        </w:rPr>
        <w:t xml:space="preserve"> pripomienkového konania.</w:t>
      </w:r>
    </w:p>
    <w:p w:rsidR="00CD20D6" w:rsidRPr="00CD20D6" w:rsidRDefault="00CD20D6" w:rsidP="00CD20D6">
      <w:pPr>
        <w:spacing w:before="120" w:after="0" w:line="240" w:lineRule="auto"/>
        <w:ind w:firstLine="709"/>
        <w:jc w:val="both"/>
        <w:rPr>
          <w:rFonts w:ascii="Times New Roman" w:eastAsia="Calibri" w:hAnsi="Times New Roman" w:cs="Times New Roman"/>
          <w:sz w:val="24"/>
          <w:szCs w:val="24"/>
        </w:rPr>
      </w:pPr>
      <w:r w:rsidRPr="00CD20D6">
        <w:rPr>
          <w:rFonts w:ascii="Times New Roman" w:eastAsia="Calibri" w:hAnsi="Times New Roman" w:cs="Times New Roman"/>
          <w:sz w:val="24"/>
          <w:szCs w:val="24"/>
        </w:rPr>
        <w:t>Dátum účinnosti návrhu zákona sa navrhuje od 31. decembra 2020 vzhľadom na dátum ukončenia prvej evidencie dotknutých vozidiel vyplývajúci z nariadenia (EÚ) 2017/1151.</w:t>
      </w:r>
    </w:p>
    <w:p w:rsidR="00CD20D6" w:rsidRPr="00CD20D6" w:rsidRDefault="00CD20D6" w:rsidP="00CD20D6">
      <w:pPr>
        <w:spacing w:after="0" w:line="240" w:lineRule="auto"/>
        <w:jc w:val="both"/>
        <w:rPr>
          <w:rFonts w:ascii="Times New Roman" w:eastAsia="Calibri" w:hAnsi="Times New Roman" w:cs="Times New Roman"/>
          <w:sz w:val="24"/>
          <w:szCs w:val="24"/>
        </w:rPr>
      </w:pPr>
    </w:p>
    <w:p w:rsidR="00CD20D6" w:rsidRPr="00CD20D6" w:rsidRDefault="00CD20D6" w:rsidP="00CD20D6">
      <w:pPr>
        <w:spacing w:after="0" w:line="240" w:lineRule="auto"/>
        <w:jc w:val="both"/>
        <w:rPr>
          <w:rFonts w:ascii="Times New Roman" w:eastAsia="Calibri" w:hAnsi="Times New Roman" w:cs="Times New Roman"/>
          <w:sz w:val="24"/>
          <w:szCs w:val="24"/>
        </w:rPr>
      </w:pPr>
    </w:p>
    <w:p w:rsidR="00CD20D6" w:rsidRPr="00CD20D6" w:rsidRDefault="00CD20D6" w:rsidP="00CD20D6">
      <w:pPr>
        <w:spacing w:after="0" w:line="240" w:lineRule="auto"/>
        <w:jc w:val="both"/>
        <w:rPr>
          <w:rFonts w:ascii="Times New Roman" w:eastAsia="Calibri" w:hAnsi="Times New Roman" w:cs="Times New Roman"/>
          <w:sz w:val="24"/>
          <w:szCs w:val="24"/>
        </w:rPr>
      </w:pPr>
    </w:p>
    <w:p w:rsidR="00CD20D6" w:rsidRPr="00CD20D6" w:rsidRDefault="00CD20D6" w:rsidP="00CD20D6">
      <w:pPr>
        <w:spacing w:after="0" w:line="240" w:lineRule="auto"/>
        <w:jc w:val="center"/>
        <w:rPr>
          <w:rFonts w:ascii="Times New Roman" w:eastAsia="Times New Roman" w:hAnsi="Times New Roman" w:cs="Times New Roman"/>
          <w:b/>
          <w:bCs/>
          <w:sz w:val="28"/>
          <w:szCs w:val="28"/>
          <w:lang w:eastAsia="sk-SK"/>
        </w:rPr>
      </w:pPr>
      <w:r w:rsidRPr="00CD20D6">
        <w:rPr>
          <w:rFonts w:ascii="Times New Roman" w:eastAsia="Times New Roman" w:hAnsi="Times New Roman" w:cs="Times New Roman"/>
          <w:b/>
          <w:bCs/>
          <w:sz w:val="28"/>
          <w:szCs w:val="28"/>
          <w:lang w:eastAsia="sk-SK"/>
        </w:rPr>
        <w:lastRenderedPageBreak/>
        <w:t>Doložka vybraných vplyvov</w:t>
      </w:r>
    </w:p>
    <w:p w:rsidR="00CD20D6" w:rsidRPr="00CD20D6" w:rsidRDefault="00CD20D6" w:rsidP="00CD20D6">
      <w:pPr>
        <w:spacing w:after="200" w:line="276" w:lineRule="auto"/>
        <w:ind w:left="426"/>
        <w:contextualSpacing/>
        <w:jc w:val="center"/>
        <w:rPr>
          <w:rFonts w:ascii="Times New Roman" w:eastAsia="Times New Roman" w:hAnsi="Times New Roman"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CD20D6" w:rsidRPr="00CD20D6" w:rsidTr="00CD20D6">
        <w:tc>
          <w:tcPr>
            <w:tcW w:w="9180" w:type="dxa"/>
            <w:gridSpan w:val="10"/>
            <w:tcBorders>
              <w:bottom w:val="single" w:sz="4" w:space="0" w:color="FFFFFF"/>
            </w:tcBorders>
            <w:shd w:val="clear" w:color="auto" w:fill="E2E2E2"/>
          </w:tcPr>
          <w:p w:rsidR="00CD20D6" w:rsidRPr="00CD20D6" w:rsidRDefault="00CD20D6" w:rsidP="00CD20D6">
            <w:pPr>
              <w:numPr>
                <w:ilvl w:val="0"/>
                <w:numId w:val="1"/>
              </w:numPr>
              <w:ind w:left="426"/>
              <w:contextualSpacing/>
              <w:rPr>
                <w:rFonts w:ascii="Times New Roman" w:hAnsi="Times New Roman"/>
                <w:b/>
              </w:rPr>
            </w:pPr>
            <w:r w:rsidRPr="00CD20D6">
              <w:rPr>
                <w:rFonts w:ascii="Times New Roman" w:hAnsi="Times New Roman"/>
                <w:b/>
              </w:rPr>
              <w:t>Základné údaje</w:t>
            </w:r>
          </w:p>
        </w:tc>
      </w:tr>
      <w:tr w:rsidR="00CD20D6" w:rsidRPr="00CD20D6" w:rsidTr="00CD20D6">
        <w:tc>
          <w:tcPr>
            <w:tcW w:w="9180" w:type="dxa"/>
            <w:gridSpan w:val="10"/>
            <w:tcBorders>
              <w:bottom w:val="single" w:sz="4" w:space="0" w:color="FFFFFF"/>
            </w:tcBorders>
            <w:shd w:val="clear" w:color="auto" w:fill="E2E2E2"/>
          </w:tcPr>
          <w:p w:rsidR="00CD20D6" w:rsidRPr="00CD20D6" w:rsidRDefault="00CD20D6" w:rsidP="00CD20D6">
            <w:pPr>
              <w:spacing w:line="276" w:lineRule="auto"/>
              <w:ind w:left="142"/>
              <w:contextualSpacing/>
              <w:rPr>
                <w:rFonts w:ascii="Times New Roman" w:hAnsi="Times New Roman"/>
                <w:b/>
              </w:rPr>
            </w:pPr>
            <w:r w:rsidRPr="00CD20D6">
              <w:rPr>
                <w:rFonts w:ascii="Times New Roman" w:hAnsi="Times New Roman"/>
                <w:b/>
              </w:rPr>
              <w:t>Názov materiálu</w:t>
            </w:r>
          </w:p>
        </w:tc>
      </w:tr>
      <w:tr w:rsidR="00CD20D6" w:rsidRPr="00CD20D6" w:rsidTr="00CD20D6">
        <w:tc>
          <w:tcPr>
            <w:tcW w:w="9180" w:type="dxa"/>
            <w:gridSpan w:val="10"/>
            <w:tcBorders>
              <w:top w:val="single" w:sz="4" w:space="0" w:color="FFFFFF"/>
            </w:tcBorders>
          </w:tcPr>
          <w:p w:rsidR="00CD20D6" w:rsidRPr="00CD20D6" w:rsidRDefault="00CD20D6" w:rsidP="00CD20D6">
            <w:pPr>
              <w:jc w:val="both"/>
              <w:rPr>
                <w:rFonts w:ascii="Times New Roman" w:hAnsi="Times New Roman"/>
                <w:highlight w:val="cyan"/>
                <w:lang w:eastAsia="sk-SK"/>
              </w:rPr>
            </w:pPr>
            <w:r w:rsidRPr="00CD20D6">
              <w:rPr>
                <w:rFonts w:ascii="Times New Roman" w:hAnsi="Times New Roman"/>
                <w:lang w:eastAsia="sk-SK"/>
              </w:rPr>
              <w:t>Návrh zákona, ktorým sa dopĺňa zákon č. 106/2018 Z. z. o prevádzke vozidiel v cestnej premávke a o zmene a doplnení niektorých zákonov v znení neskorších predpisov (ďalej len „návrh zákona“)</w:t>
            </w:r>
          </w:p>
        </w:tc>
      </w:tr>
      <w:tr w:rsidR="00CD20D6" w:rsidRPr="00CD20D6" w:rsidTr="00CD20D6">
        <w:trPr>
          <w:trHeight w:val="344"/>
        </w:trPr>
        <w:tc>
          <w:tcPr>
            <w:tcW w:w="9180" w:type="dxa"/>
            <w:gridSpan w:val="10"/>
            <w:tcBorders>
              <w:bottom w:val="single" w:sz="4" w:space="0" w:color="FFFFFF"/>
            </w:tcBorders>
            <w:shd w:val="clear" w:color="auto" w:fill="E2E2E2"/>
          </w:tcPr>
          <w:p w:rsidR="00CD20D6" w:rsidRPr="00CD20D6" w:rsidRDefault="00CD20D6" w:rsidP="00CD20D6">
            <w:pPr>
              <w:spacing w:line="276" w:lineRule="auto"/>
              <w:ind w:left="142"/>
              <w:contextualSpacing/>
              <w:rPr>
                <w:rFonts w:ascii="Times New Roman" w:hAnsi="Times New Roman"/>
                <w:b/>
              </w:rPr>
            </w:pPr>
            <w:r w:rsidRPr="00CD20D6">
              <w:rPr>
                <w:rFonts w:ascii="Times New Roman" w:hAnsi="Times New Roman"/>
                <w:b/>
              </w:rPr>
              <w:t>Predkladateľ (a spolupredkladateľ)</w:t>
            </w:r>
          </w:p>
        </w:tc>
      </w:tr>
      <w:tr w:rsidR="00CD20D6" w:rsidRPr="00CD20D6" w:rsidTr="00CD20D6">
        <w:tc>
          <w:tcPr>
            <w:tcW w:w="9180" w:type="dxa"/>
            <w:gridSpan w:val="10"/>
            <w:tcBorders>
              <w:top w:val="single" w:sz="4" w:space="0" w:color="FFFFFF"/>
            </w:tcBorders>
            <w:shd w:val="clear" w:color="auto" w:fill="FFFFFF"/>
          </w:tcPr>
          <w:p w:rsidR="00CD20D6" w:rsidRPr="00CD20D6" w:rsidRDefault="00CD20D6" w:rsidP="00CD20D6">
            <w:pPr>
              <w:rPr>
                <w:rFonts w:ascii="Times New Roman" w:hAnsi="Times New Roman"/>
                <w:lang w:eastAsia="sk-SK"/>
              </w:rPr>
            </w:pPr>
            <w:r w:rsidRPr="00CD20D6">
              <w:rPr>
                <w:rFonts w:ascii="Times New Roman" w:hAnsi="Times New Roman"/>
                <w:lang w:eastAsia="sk-SK"/>
              </w:rPr>
              <w:t xml:space="preserve">Ministerstvo dopravy a výstavby Slovenskej republiky </w:t>
            </w:r>
          </w:p>
        </w:tc>
      </w:tr>
      <w:tr w:rsidR="00CD20D6" w:rsidRPr="00CD20D6" w:rsidTr="00CD20D6">
        <w:tc>
          <w:tcPr>
            <w:tcW w:w="4212" w:type="dxa"/>
            <w:gridSpan w:val="2"/>
            <w:vMerge w:val="restart"/>
            <w:tcBorders>
              <w:bottom w:val="single" w:sz="4" w:space="0" w:color="FFFFFF"/>
            </w:tcBorders>
            <w:shd w:val="clear" w:color="auto" w:fill="E2E2E2"/>
            <w:vAlign w:val="center"/>
          </w:tcPr>
          <w:p w:rsidR="00CD20D6" w:rsidRPr="00CD20D6" w:rsidRDefault="00CD20D6" w:rsidP="00CD20D6">
            <w:pPr>
              <w:spacing w:after="200" w:line="276" w:lineRule="auto"/>
              <w:ind w:left="142"/>
              <w:contextualSpacing/>
              <w:rPr>
                <w:rFonts w:ascii="Times New Roman" w:hAnsi="Times New Roman"/>
                <w:b/>
              </w:rPr>
            </w:pPr>
            <w:r w:rsidRPr="00CD20D6">
              <w:rPr>
                <w:rFonts w:ascii="Times New Roman" w:hAnsi="Times New Roman"/>
                <w:b/>
              </w:rPr>
              <w:t>Charakter predkladaného materiálu</w:t>
            </w:r>
          </w:p>
        </w:tc>
        <w:tc>
          <w:tcPr>
            <w:tcW w:w="705" w:type="dxa"/>
            <w:gridSpan w:val="2"/>
            <w:tcBorders>
              <w:right w:val="nil"/>
            </w:tcBorders>
            <w:shd w:val="clear" w:color="auto" w:fill="FFFFFF"/>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4263" w:type="dxa"/>
            <w:gridSpan w:val="6"/>
            <w:tcBorders>
              <w:left w:val="nil"/>
            </w:tcBorders>
            <w:shd w:val="clear" w:color="auto" w:fill="FFFFFF"/>
          </w:tcPr>
          <w:p w:rsidR="00CD20D6" w:rsidRPr="00CD20D6" w:rsidRDefault="00CD20D6" w:rsidP="00CD20D6">
            <w:pPr>
              <w:rPr>
                <w:rFonts w:ascii="Times New Roman" w:hAnsi="Times New Roman"/>
                <w:lang w:eastAsia="sk-SK"/>
              </w:rPr>
            </w:pPr>
            <w:r w:rsidRPr="00CD20D6">
              <w:rPr>
                <w:rFonts w:ascii="Times New Roman" w:hAnsi="Times New Roman"/>
                <w:lang w:eastAsia="sk-SK"/>
              </w:rPr>
              <w:t>Materiál nelegislatívnej povahy</w:t>
            </w:r>
          </w:p>
        </w:tc>
      </w:tr>
      <w:tr w:rsidR="00CD20D6" w:rsidRPr="00CD20D6" w:rsidTr="00CD20D6">
        <w:tc>
          <w:tcPr>
            <w:tcW w:w="4212" w:type="dxa"/>
            <w:gridSpan w:val="2"/>
            <w:vMerge/>
            <w:tcBorders>
              <w:top w:val="nil"/>
              <w:bottom w:val="single" w:sz="4" w:space="0" w:color="FFFFFF"/>
            </w:tcBorders>
            <w:shd w:val="clear" w:color="auto" w:fill="E2E2E2"/>
          </w:tcPr>
          <w:p w:rsidR="00CD20D6" w:rsidRPr="00CD20D6" w:rsidRDefault="00CD20D6" w:rsidP="00CD20D6">
            <w:pPr>
              <w:rPr>
                <w:rFonts w:ascii="Times New Roman" w:hAnsi="Times New Roman"/>
                <w:lang w:eastAsia="sk-SK"/>
              </w:rPr>
            </w:pPr>
          </w:p>
        </w:tc>
        <w:tc>
          <w:tcPr>
            <w:tcW w:w="705" w:type="dxa"/>
            <w:gridSpan w:val="2"/>
            <w:tcBorders>
              <w:right w:val="nil"/>
            </w:tcBorders>
            <w:shd w:val="clear" w:color="auto" w:fill="FFFFFF"/>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4263" w:type="dxa"/>
            <w:gridSpan w:val="6"/>
            <w:tcBorders>
              <w:left w:val="nil"/>
            </w:tcBorders>
            <w:shd w:val="clear" w:color="auto" w:fill="FFFFFF"/>
          </w:tcPr>
          <w:p w:rsidR="00CD20D6" w:rsidRPr="00CD20D6" w:rsidRDefault="00CD20D6" w:rsidP="00CD20D6">
            <w:pPr>
              <w:ind w:left="175" w:hanging="175"/>
              <w:rPr>
                <w:rFonts w:ascii="Times New Roman" w:hAnsi="Times New Roman"/>
                <w:lang w:eastAsia="sk-SK"/>
              </w:rPr>
            </w:pPr>
            <w:r w:rsidRPr="00CD20D6">
              <w:rPr>
                <w:rFonts w:ascii="Times New Roman" w:hAnsi="Times New Roman"/>
                <w:lang w:eastAsia="sk-SK"/>
              </w:rPr>
              <w:t>Materiál legislatívnej povahy</w:t>
            </w:r>
          </w:p>
        </w:tc>
      </w:tr>
      <w:tr w:rsidR="00CD20D6" w:rsidRPr="00CD20D6" w:rsidTr="00CD20D6">
        <w:tc>
          <w:tcPr>
            <w:tcW w:w="4212" w:type="dxa"/>
            <w:gridSpan w:val="2"/>
            <w:vMerge/>
            <w:tcBorders>
              <w:top w:val="nil"/>
            </w:tcBorders>
            <w:shd w:val="clear" w:color="auto" w:fill="E2E2E2"/>
          </w:tcPr>
          <w:p w:rsidR="00CD20D6" w:rsidRPr="00CD20D6" w:rsidRDefault="00CD20D6" w:rsidP="00CD20D6">
            <w:pPr>
              <w:rPr>
                <w:rFonts w:ascii="Times New Roman" w:hAnsi="Times New Roman"/>
                <w:lang w:eastAsia="sk-SK"/>
              </w:rPr>
            </w:pPr>
          </w:p>
        </w:tc>
        <w:tc>
          <w:tcPr>
            <w:tcW w:w="705" w:type="dxa"/>
            <w:gridSpan w:val="2"/>
            <w:tcBorders>
              <w:right w:val="nil"/>
            </w:tcBorders>
            <w:shd w:val="clear" w:color="auto" w:fill="FFFFFF"/>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4263" w:type="dxa"/>
            <w:gridSpan w:val="6"/>
            <w:tcBorders>
              <w:left w:val="nil"/>
            </w:tcBorders>
            <w:shd w:val="clear" w:color="auto" w:fill="FFFFFF"/>
          </w:tcPr>
          <w:p w:rsidR="00CD20D6" w:rsidRPr="00CD20D6" w:rsidRDefault="00CD20D6" w:rsidP="00CD20D6">
            <w:pPr>
              <w:rPr>
                <w:rFonts w:ascii="Times New Roman" w:hAnsi="Times New Roman"/>
                <w:lang w:eastAsia="sk-SK"/>
              </w:rPr>
            </w:pPr>
            <w:r w:rsidRPr="00CD20D6">
              <w:rPr>
                <w:rFonts w:ascii="Times New Roman" w:hAnsi="Times New Roman"/>
                <w:lang w:eastAsia="sk-SK"/>
              </w:rPr>
              <w:t>Transpozícia práva EÚ</w:t>
            </w:r>
          </w:p>
        </w:tc>
      </w:tr>
      <w:tr w:rsidR="00CD20D6" w:rsidRPr="00CD20D6" w:rsidTr="00CD20D6">
        <w:tc>
          <w:tcPr>
            <w:tcW w:w="9180" w:type="dxa"/>
            <w:gridSpan w:val="10"/>
            <w:tcBorders>
              <w:bottom w:val="single" w:sz="4" w:space="0" w:color="FFFFFF"/>
            </w:tcBorders>
            <w:shd w:val="clear" w:color="auto" w:fill="FFFFFF"/>
          </w:tcPr>
          <w:p w:rsidR="00CD20D6" w:rsidRPr="00CD20D6" w:rsidRDefault="00CD20D6" w:rsidP="00CD20D6">
            <w:pPr>
              <w:jc w:val="both"/>
              <w:rPr>
                <w:rFonts w:ascii="Times New Roman" w:hAnsi="Times New Roman"/>
                <w:lang w:eastAsia="sk-SK"/>
              </w:rPr>
            </w:pPr>
            <w:r w:rsidRPr="00CD20D6">
              <w:rPr>
                <w:rFonts w:ascii="Times New Roman" w:hAnsi="Times New Roman"/>
                <w:lang w:eastAsia="sk-SK"/>
              </w:rPr>
              <w:t>Pôvodným zákonom č. 106/2018 Z. z. o prevádzke vozidiel v cestnej premávke a o zmene a doplnení niektorých zákonov (ďalej len „zákon o prevádzke vozidiel“) sa vykonala transpozícia nasledovných smerníc:</w:t>
            </w:r>
          </w:p>
          <w:p w:rsidR="00CD20D6" w:rsidRPr="00CD20D6" w:rsidRDefault="00CD20D6" w:rsidP="00CD20D6">
            <w:pPr>
              <w:numPr>
                <w:ilvl w:val="0"/>
                <w:numId w:val="2"/>
              </w:numPr>
              <w:ind w:left="284" w:hanging="295"/>
              <w:contextualSpacing/>
              <w:jc w:val="both"/>
              <w:rPr>
                <w:rFonts w:ascii="Times New Roman" w:hAnsi="Times New Roman"/>
              </w:rPr>
            </w:pPr>
            <w:r w:rsidRPr="00CD20D6">
              <w:rPr>
                <w:rFonts w:ascii="Times New Roman" w:hAnsi="Times New Roman"/>
              </w:rPr>
              <w:t>smernica Rady 89/459/EHS z 18. júla 1989 o aproximácii právnych predpisov členských štátov, ktoré sa týkajú hĺbky dezénu jazdnej plochy pneumatík určitých kategórií motorových vozidiel a ich prípojných vozidiel (Ú. v. ES L 226, 3.8.1989),</w:t>
            </w:r>
          </w:p>
          <w:p w:rsidR="00CD20D6" w:rsidRPr="00CD20D6" w:rsidRDefault="00CD20D6" w:rsidP="00CD20D6">
            <w:pPr>
              <w:numPr>
                <w:ilvl w:val="0"/>
                <w:numId w:val="2"/>
              </w:numPr>
              <w:ind w:left="284" w:hanging="295"/>
              <w:contextualSpacing/>
              <w:jc w:val="both"/>
              <w:rPr>
                <w:rFonts w:ascii="Times New Roman" w:hAnsi="Times New Roman"/>
              </w:rPr>
            </w:pPr>
            <w:r w:rsidRPr="00CD20D6">
              <w:rPr>
                <w:rFonts w:ascii="Times New Roman" w:hAnsi="Times New Roman"/>
              </w:rPr>
              <w:t>smernica Rady 96/53/ES z 25. júla 1996, ktorou sa v Spoločenstve stanovujú najväčšie prípustné rozmery niektorých vozidiel vo vnútroštátnej a medzinárodnej cestnej doprave a maximálna povolená hmotnosť v medzinárodnej cestnej doprave (Mimoriadne vydanie Ú. v. EÚ, kap. 7/zv. 2) v znení smernice Európskeho parlamentu a Rady 2002/7/ES z 18. februára 2002 (Mimoriadne vydanie Ú. v. EÚ, kap. 7/zv. 6), smernice Európskeho parlamentu a Rady (EÚ) 2015/719 z 29. apríla 2015 (Ú. v. EÚ L 115, 6. 5. 2015),</w:t>
            </w:r>
          </w:p>
          <w:p w:rsidR="00CD20D6" w:rsidRPr="00CD20D6" w:rsidRDefault="00CD20D6" w:rsidP="00CD20D6">
            <w:pPr>
              <w:numPr>
                <w:ilvl w:val="0"/>
                <w:numId w:val="2"/>
              </w:numPr>
              <w:ind w:left="284" w:hanging="295"/>
              <w:contextualSpacing/>
              <w:jc w:val="both"/>
              <w:rPr>
                <w:rFonts w:ascii="Times New Roman" w:hAnsi="Times New Roman"/>
              </w:rPr>
            </w:pPr>
            <w:r w:rsidRPr="00CD20D6">
              <w:rPr>
                <w:rFonts w:ascii="Times New Roman" w:hAnsi="Times New Roman"/>
              </w:rPr>
              <w:t>smernica Rady 1999/37/ES z 29. apríla 1999 o registračných dokumentoch pre vozidlá (Mimoriadne vydanie Ú. v. EÚ, kap. 7/zv. 4) v znení smernice Komisie 2003/127/ES z 23. decembra 2003 (Mimoriadne vydanie Ú. v. EÚ, kap. 7/zv. 7), smernice Rady 2006/103/ES z 20. novembra 2006 (Ú. v. EÚ L 363, 20. 12. 2006), smernice Rady 2013/22/EÚ z 13. mája 2013 (Ú. v. EÚ L 158, 10.6.2013), smernice Európskeho parlamentu a Rady 2014/46/EÚ z 3. apríla 2014 (Ú. v. EÚ L 127, 29. 4. 2014),</w:t>
            </w:r>
          </w:p>
          <w:p w:rsidR="00CD20D6" w:rsidRPr="00CD20D6" w:rsidRDefault="00CD20D6" w:rsidP="00CD20D6">
            <w:pPr>
              <w:numPr>
                <w:ilvl w:val="0"/>
                <w:numId w:val="2"/>
              </w:numPr>
              <w:ind w:left="284" w:hanging="295"/>
              <w:contextualSpacing/>
              <w:jc w:val="both"/>
              <w:rPr>
                <w:rFonts w:ascii="Times New Roman" w:hAnsi="Times New Roman"/>
              </w:rPr>
            </w:pPr>
            <w:r w:rsidRPr="00CD20D6">
              <w:rPr>
                <w:rFonts w:ascii="Times New Roman" w:hAnsi="Times New Roman"/>
              </w:rPr>
              <w:t>smernica Európskeho parlamentu a Rady 2014/45/EÚ z 3. apríla 2014 o pravidelnej kontrole technického stavu motorových vozidiel a ich prípojných vozidiel a o zrušení smernice 2009/40/ES (Ú. v. ES L 127, 29.4.2014),</w:t>
            </w:r>
          </w:p>
          <w:p w:rsidR="00CD20D6" w:rsidRPr="00CD20D6" w:rsidRDefault="00CD20D6" w:rsidP="00CD20D6">
            <w:pPr>
              <w:numPr>
                <w:ilvl w:val="0"/>
                <w:numId w:val="2"/>
              </w:numPr>
              <w:ind w:left="284" w:hanging="295"/>
              <w:contextualSpacing/>
              <w:jc w:val="both"/>
              <w:rPr>
                <w:rFonts w:ascii="Calibri" w:hAnsi="Calibri"/>
              </w:rPr>
            </w:pPr>
            <w:r w:rsidRPr="00CD20D6">
              <w:rPr>
                <w:rFonts w:ascii="Times New Roman" w:hAnsi="Times New Roman"/>
              </w:rPr>
              <w:t>smernica Európskeho parlamentu a Rady 2014/47/EÚ z 3. apríla 2014 o cestnej technickej kontrole úžitkových vozidiel prevádzkovaných v Únii a o zrušení smernice 2000/30/ES (Ú. v. EÚ L 127, 29.4.2014).</w:t>
            </w:r>
          </w:p>
          <w:p w:rsidR="00CD20D6" w:rsidRPr="00CD20D6" w:rsidRDefault="00CD20D6" w:rsidP="00CD20D6">
            <w:pPr>
              <w:jc w:val="both"/>
              <w:rPr>
                <w:rFonts w:ascii="Times New Roman" w:hAnsi="Times New Roman"/>
                <w:sz w:val="20"/>
                <w:szCs w:val="20"/>
                <w:lang w:eastAsia="sk-SK"/>
              </w:rPr>
            </w:pPr>
            <w:r w:rsidRPr="00CD20D6">
              <w:rPr>
                <w:rFonts w:ascii="Times New Roman" w:hAnsi="Times New Roman"/>
                <w:lang w:eastAsia="sk-SK"/>
              </w:rPr>
              <w:t>Týmto návrhom zákona nedochádza k zmene ustanovení, ktorými boli transponované vyššie uvedené smernice.</w:t>
            </w:r>
          </w:p>
        </w:tc>
      </w:tr>
      <w:tr w:rsidR="00CD20D6" w:rsidRPr="00CD20D6" w:rsidTr="00CD20D6">
        <w:trPr>
          <w:trHeight w:val="258"/>
        </w:trPr>
        <w:tc>
          <w:tcPr>
            <w:tcW w:w="5634" w:type="dxa"/>
            <w:gridSpan w:val="5"/>
            <w:tcBorders>
              <w:top w:val="single" w:sz="4" w:space="0" w:color="000000"/>
              <w:bottom w:val="single" w:sz="4" w:space="0" w:color="FFFFFF"/>
            </w:tcBorders>
            <w:shd w:val="clear" w:color="auto" w:fill="E2E2E2"/>
          </w:tcPr>
          <w:p w:rsidR="00CD20D6" w:rsidRPr="00CD20D6" w:rsidRDefault="00CD20D6" w:rsidP="00CD20D6">
            <w:pPr>
              <w:ind w:left="142"/>
              <w:contextualSpacing/>
              <w:rPr>
                <w:rFonts w:ascii="Times New Roman" w:hAnsi="Times New Roman"/>
                <w:b/>
              </w:rPr>
            </w:pPr>
            <w:r w:rsidRPr="00CD20D6">
              <w:rPr>
                <w:rFonts w:ascii="Times New Roman" w:hAnsi="Times New Roman"/>
                <w:b/>
              </w:rPr>
              <w:t>Termín začiatku a ukončenia PPK</w:t>
            </w:r>
          </w:p>
        </w:tc>
        <w:tc>
          <w:tcPr>
            <w:tcW w:w="3546" w:type="dxa"/>
            <w:gridSpan w:val="5"/>
            <w:tcBorders>
              <w:top w:val="single" w:sz="4" w:space="0" w:color="000000"/>
            </w:tcBorders>
          </w:tcPr>
          <w:p w:rsidR="00CD20D6" w:rsidRPr="00CD20D6" w:rsidRDefault="00CD20D6" w:rsidP="00CD20D6">
            <w:pPr>
              <w:rPr>
                <w:rFonts w:ascii="Times New Roman" w:hAnsi="Times New Roman"/>
                <w:i/>
                <w:lang w:eastAsia="sk-SK"/>
              </w:rPr>
            </w:pPr>
            <w:r w:rsidRPr="00CD20D6">
              <w:rPr>
                <w:rFonts w:ascii="Times New Roman" w:hAnsi="Times New Roman"/>
                <w:i/>
                <w:lang w:eastAsia="sk-SK"/>
              </w:rPr>
              <w:t>-</w:t>
            </w:r>
          </w:p>
        </w:tc>
      </w:tr>
      <w:tr w:rsidR="00CD20D6" w:rsidRPr="00CD20D6" w:rsidTr="00CD20D6">
        <w:tc>
          <w:tcPr>
            <w:tcW w:w="5634" w:type="dxa"/>
            <w:gridSpan w:val="5"/>
            <w:tcBorders>
              <w:bottom w:val="single" w:sz="4" w:space="0" w:color="FFFFFF"/>
            </w:tcBorders>
            <w:shd w:val="clear" w:color="auto" w:fill="E2E2E2"/>
          </w:tcPr>
          <w:p w:rsidR="00CD20D6" w:rsidRPr="00CD20D6" w:rsidRDefault="00CD20D6" w:rsidP="00CD20D6">
            <w:pPr>
              <w:ind w:left="142"/>
              <w:contextualSpacing/>
              <w:rPr>
                <w:rFonts w:ascii="Times New Roman" w:hAnsi="Times New Roman"/>
                <w:b/>
              </w:rPr>
            </w:pPr>
            <w:r w:rsidRPr="00CD20D6">
              <w:rPr>
                <w:rFonts w:ascii="Times New Roman" w:hAnsi="Times New Roman"/>
                <w:b/>
              </w:rPr>
              <w:t>Predpokladaný termín predloženia na MPK*</w:t>
            </w:r>
          </w:p>
        </w:tc>
        <w:tc>
          <w:tcPr>
            <w:tcW w:w="3546" w:type="dxa"/>
            <w:gridSpan w:val="5"/>
          </w:tcPr>
          <w:p w:rsidR="00CD20D6" w:rsidRPr="00CD20D6" w:rsidRDefault="00CD20D6" w:rsidP="00CD20D6">
            <w:pPr>
              <w:rPr>
                <w:rFonts w:ascii="Times New Roman" w:hAnsi="Times New Roman"/>
                <w:i/>
                <w:lang w:eastAsia="sk-SK"/>
              </w:rPr>
            </w:pPr>
            <w:r w:rsidRPr="00CD20D6">
              <w:rPr>
                <w:rFonts w:ascii="Times New Roman" w:hAnsi="Times New Roman"/>
                <w:i/>
                <w:iCs/>
              </w:rPr>
              <w:t>-</w:t>
            </w:r>
          </w:p>
        </w:tc>
      </w:tr>
      <w:tr w:rsidR="00CD20D6" w:rsidRPr="00CD20D6" w:rsidTr="00CD20D6">
        <w:trPr>
          <w:trHeight w:val="541"/>
        </w:trPr>
        <w:tc>
          <w:tcPr>
            <w:tcW w:w="5634" w:type="dxa"/>
            <w:gridSpan w:val="5"/>
            <w:tcBorders>
              <w:bottom w:val="single" w:sz="4" w:space="0" w:color="FFFFFF"/>
            </w:tcBorders>
            <w:shd w:val="clear" w:color="auto" w:fill="E2E2E2"/>
          </w:tcPr>
          <w:p w:rsidR="00CD20D6" w:rsidRPr="00CD20D6" w:rsidRDefault="00CD20D6" w:rsidP="00CD20D6">
            <w:pPr>
              <w:ind w:left="142"/>
              <w:contextualSpacing/>
              <w:rPr>
                <w:rFonts w:ascii="Times New Roman" w:hAnsi="Times New Roman"/>
                <w:b/>
              </w:rPr>
            </w:pPr>
            <w:r w:rsidRPr="00CD20D6">
              <w:rPr>
                <w:rFonts w:ascii="Times New Roman" w:hAnsi="Times New Roman"/>
                <w:b/>
              </w:rPr>
              <w:t>Predpokladaný termín predloženia na Rokovanie vlády SR*</w:t>
            </w:r>
          </w:p>
        </w:tc>
        <w:tc>
          <w:tcPr>
            <w:tcW w:w="3546" w:type="dxa"/>
            <w:gridSpan w:val="5"/>
          </w:tcPr>
          <w:p w:rsidR="00CD20D6" w:rsidRPr="00CD20D6" w:rsidRDefault="00CD20D6" w:rsidP="00CD20D6">
            <w:pPr>
              <w:rPr>
                <w:rFonts w:ascii="Times New Roman" w:hAnsi="Times New Roman"/>
                <w:i/>
                <w:lang w:eastAsia="sk-SK"/>
              </w:rPr>
            </w:pPr>
            <w:r w:rsidRPr="00CD20D6">
              <w:rPr>
                <w:rFonts w:ascii="Times New Roman" w:hAnsi="Times New Roman"/>
                <w:i/>
                <w:lang w:eastAsia="sk-SK"/>
              </w:rPr>
              <w:t>2. decembra 2020</w:t>
            </w:r>
          </w:p>
        </w:tc>
      </w:tr>
      <w:tr w:rsidR="00CD20D6" w:rsidRPr="00CD20D6" w:rsidTr="00CD20D6">
        <w:tc>
          <w:tcPr>
            <w:tcW w:w="9180" w:type="dxa"/>
            <w:gridSpan w:val="10"/>
            <w:tcBorders>
              <w:bottom w:val="single" w:sz="4" w:space="0" w:color="FFFFFF"/>
            </w:tcBorders>
            <w:shd w:val="clear" w:color="auto" w:fill="E2E2E2"/>
          </w:tcPr>
          <w:p w:rsidR="00CD20D6" w:rsidRPr="00CD20D6" w:rsidRDefault="00CD20D6" w:rsidP="00CD20D6">
            <w:pPr>
              <w:numPr>
                <w:ilvl w:val="0"/>
                <w:numId w:val="1"/>
              </w:numPr>
              <w:ind w:left="426"/>
              <w:contextualSpacing/>
              <w:rPr>
                <w:rFonts w:ascii="Times New Roman" w:hAnsi="Times New Roman"/>
                <w:b/>
              </w:rPr>
            </w:pPr>
            <w:r w:rsidRPr="00CD20D6">
              <w:rPr>
                <w:rFonts w:ascii="Times New Roman" w:hAnsi="Times New Roman"/>
                <w:b/>
              </w:rPr>
              <w:t>Definovanie problému</w:t>
            </w:r>
          </w:p>
        </w:tc>
      </w:tr>
      <w:tr w:rsidR="00CD20D6" w:rsidRPr="00CD20D6" w:rsidTr="00CD20D6">
        <w:trPr>
          <w:trHeight w:val="268"/>
        </w:trPr>
        <w:tc>
          <w:tcPr>
            <w:tcW w:w="9180" w:type="dxa"/>
            <w:gridSpan w:val="10"/>
            <w:tcBorders>
              <w:top w:val="single" w:sz="4" w:space="0" w:color="FFFFFF"/>
            </w:tcBorders>
            <w:shd w:val="clear" w:color="auto" w:fill="FFFFFF"/>
          </w:tcPr>
          <w:p w:rsidR="00CD20D6" w:rsidRPr="00CD20D6" w:rsidRDefault="00CD20D6" w:rsidP="00CD20D6">
            <w:pPr>
              <w:jc w:val="both"/>
              <w:rPr>
                <w:rFonts w:ascii="Times New Roman" w:hAnsi="Times New Roman"/>
                <w:lang w:eastAsia="sk-SK"/>
              </w:rPr>
            </w:pPr>
            <w:r w:rsidRPr="00CD20D6">
              <w:rPr>
                <w:rFonts w:ascii="Times New Roman" w:hAnsi="Times New Roman"/>
                <w:lang w:eastAsia="sk-SK"/>
              </w:rPr>
              <w:t>Podľa nariadenia Komisie (EÚ) 2017/1151 z 1. júna 2017,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(ES) č. 692/2008 (ďalej len „nariadenie (EÚ) 2017/1151“) je posledný dátum prvej evidencie 31. decembra 2020 pre nové vozidlá kategórie M1 a kategórie N1 triedy I, ktoré plnia emisné limity Euro 6d- TEMP- EVAP-ISC a Euro 6d-ISC označené písmenami DG a AM. Po  31. decembri 2020 sa stanú tieto vozidlá vozidlami ukončenej série, ktoré je možné prihlásiť do  evidencie vozidiel len na základe povolenia pre skladové zásoby tzv. povolenie dopredaja vozidiel, ktoré je limitované počtom vozidiel.</w:t>
            </w:r>
          </w:p>
          <w:p w:rsidR="00CD20D6" w:rsidRPr="00CD20D6" w:rsidRDefault="00CD20D6" w:rsidP="00CD20D6">
            <w:pPr>
              <w:jc w:val="both"/>
              <w:rPr>
                <w:rFonts w:ascii="Times New Roman" w:hAnsi="Times New Roman"/>
                <w:lang w:eastAsia="sk-SK"/>
              </w:rPr>
            </w:pPr>
            <w:r w:rsidRPr="00CD20D6">
              <w:rPr>
                <w:rFonts w:ascii="Times New Roman" w:hAnsi="Times New Roman"/>
                <w:lang w:eastAsia="sk-SK"/>
              </w:rPr>
              <w:lastRenderedPageBreak/>
              <w:t>Prvá plna pandémie spôsobila, že nové vozidlá s touto emisnou normou boli predajcom v Slovenskej republike dodané s oneskorím, zväčša až po letných prázdninách, kedy v Slovenskej republika začala druhá vlna pandémie, počas ktorej boli vládou Slovenskej republiky prijímané opatrenia na obmedzenie mobility občanov, ktoré vyvrcholili obmedzením slobody pohybu a pobytu zákazom vychádzania. Tieto opatrenia spôsobili, že došlo k poklesom predaja nových vozidiel, čo spôsobilo, že predajcom nových vozidiel zostane k 31. decembru 2020 na skladoch veľké množstvo vozidiel, ktorých počet prekročí limit vozidiel, ktoré môžu byť povolené pre skladové zásoby.</w:t>
            </w:r>
          </w:p>
        </w:tc>
      </w:tr>
      <w:tr w:rsidR="00CD20D6" w:rsidRPr="00CD20D6" w:rsidTr="00690AEC">
        <w:tc>
          <w:tcPr>
            <w:tcW w:w="9180" w:type="dxa"/>
            <w:gridSpan w:val="10"/>
            <w:tcBorders>
              <w:bottom w:val="nil"/>
            </w:tcBorders>
            <w:shd w:val="clear" w:color="auto" w:fill="E2E2E2"/>
          </w:tcPr>
          <w:p w:rsidR="00CD20D6" w:rsidRPr="00CD20D6" w:rsidRDefault="00CD20D6" w:rsidP="00CD20D6">
            <w:pPr>
              <w:numPr>
                <w:ilvl w:val="0"/>
                <w:numId w:val="1"/>
              </w:numPr>
              <w:ind w:left="426"/>
              <w:contextualSpacing/>
              <w:rPr>
                <w:rFonts w:ascii="Times New Roman" w:hAnsi="Times New Roman"/>
                <w:b/>
                <w:lang w:eastAsia="sk-SK"/>
              </w:rPr>
            </w:pPr>
            <w:r w:rsidRPr="00CD20D6">
              <w:rPr>
                <w:rFonts w:ascii="Times New Roman" w:hAnsi="Times New Roman"/>
                <w:b/>
                <w:lang w:eastAsia="sk-SK"/>
              </w:rPr>
              <w:lastRenderedPageBreak/>
              <w:t>Ciele a výsledný stav</w:t>
            </w:r>
          </w:p>
        </w:tc>
      </w:tr>
      <w:tr w:rsidR="00CD20D6" w:rsidRPr="00CD20D6" w:rsidTr="00CD20D6">
        <w:trPr>
          <w:trHeight w:val="278"/>
        </w:trPr>
        <w:tc>
          <w:tcPr>
            <w:tcW w:w="9180" w:type="dxa"/>
            <w:gridSpan w:val="10"/>
            <w:tcBorders>
              <w:top w:val="nil"/>
            </w:tcBorders>
            <w:shd w:val="clear" w:color="auto" w:fill="FFFFFF"/>
          </w:tcPr>
          <w:p w:rsidR="00CD20D6" w:rsidRPr="00CD20D6" w:rsidRDefault="00CD20D6" w:rsidP="00CD20D6">
            <w:pPr>
              <w:jc w:val="both"/>
              <w:rPr>
                <w:rFonts w:ascii="Times New Roman" w:hAnsi="Times New Roman"/>
                <w:lang w:eastAsia="sk-SK"/>
              </w:rPr>
            </w:pPr>
            <w:r w:rsidRPr="00CD20D6">
              <w:rPr>
                <w:rFonts w:ascii="Times New Roman" w:hAnsi="Times New Roman"/>
                <w:lang w:eastAsia="sk-SK"/>
              </w:rPr>
              <w:t>Cieľom návrhu zákona je umožniť, aby maximálny počet povolení vozidiel ukončenej série mohol byť dvojnásobný.</w:t>
            </w:r>
          </w:p>
        </w:tc>
      </w:tr>
      <w:tr w:rsidR="00CD20D6" w:rsidRPr="00CD20D6" w:rsidTr="00690AEC">
        <w:tc>
          <w:tcPr>
            <w:tcW w:w="9180" w:type="dxa"/>
            <w:gridSpan w:val="10"/>
            <w:tcBorders>
              <w:bottom w:val="nil"/>
            </w:tcBorders>
            <w:shd w:val="clear" w:color="auto" w:fill="E2E2E2"/>
          </w:tcPr>
          <w:p w:rsidR="00CD20D6" w:rsidRPr="00CD20D6" w:rsidRDefault="00CD20D6" w:rsidP="00CD20D6">
            <w:pPr>
              <w:numPr>
                <w:ilvl w:val="0"/>
                <w:numId w:val="1"/>
              </w:numPr>
              <w:ind w:left="426"/>
              <w:contextualSpacing/>
              <w:rPr>
                <w:rFonts w:ascii="Times New Roman" w:hAnsi="Times New Roman"/>
                <w:b/>
              </w:rPr>
            </w:pPr>
            <w:r w:rsidRPr="00CD20D6">
              <w:rPr>
                <w:rFonts w:ascii="Times New Roman" w:hAnsi="Times New Roman"/>
                <w:b/>
              </w:rPr>
              <w:t>Dotknuté subjekty</w:t>
            </w:r>
          </w:p>
        </w:tc>
      </w:tr>
      <w:tr w:rsidR="00CD20D6" w:rsidRPr="00CD20D6" w:rsidTr="00CD20D6">
        <w:tc>
          <w:tcPr>
            <w:tcW w:w="9180" w:type="dxa"/>
            <w:gridSpan w:val="10"/>
            <w:tcBorders>
              <w:top w:val="nil"/>
            </w:tcBorders>
            <w:shd w:val="clear" w:color="auto" w:fill="FFFFFF"/>
          </w:tcPr>
          <w:p w:rsidR="00CD20D6" w:rsidRPr="00CD20D6" w:rsidRDefault="00CD20D6" w:rsidP="00CD20D6">
            <w:pPr>
              <w:jc w:val="both"/>
              <w:rPr>
                <w:rFonts w:ascii="Times New Roman" w:hAnsi="Times New Roman"/>
                <w:sz w:val="20"/>
                <w:szCs w:val="20"/>
                <w:lang w:eastAsia="sk-SK"/>
              </w:rPr>
            </w:pPr>
            <w:r w:rsidRPr="00CD20D6">
              <w:rPr>
                <w:rFonts w:ascii="Times New Roman" w:hAnsi="Times New Roman"/>
                <w:lang w:eastAsia="sk-SK"/>
              </w:rPr>
              <w:t>Návrh zákona sa dotýka zástupcov výrobcov vozidiel a predajcov vozidiel.</w:t>
            </w:r>
          </w:p>
        </w:tc>
      </w:tr>
      <w:tr w:rsidR="00CD20D6" w:rsidRPr="00CD20D6" w:rsidTr="00690AEC">
        <w:tc>
          <w:tcPr>
            <w:tcW w:w="9180" w:type="dxa"/>
            <w:gridSpan w:val="10"/>
            <w:tcBorders>
              <w:bottom w:val="nil"/>
            </w:tcBorders>
            <w:shd w:val="clear" w:color="auto" w:fill="E2E2E2"/>
          </w:tcPr>
          <w:p w:rsidR="00CD20D6" w:rsidRPr="00CD20D6" w:rsidRDefault="00CD20D6" w:rsidP="00CD20D6">
            <w:pPr>
              <w:numPr>
                <w:ilvl w:val="0"/>
                <w:numId w:val="1"/>
              </w:numPr>
              <w:ind w:left="426"/>
              <w:contextualSpacing/>
              <w:rPr>
                <w:rFonts w:ascii="Times New Roman" w:hAnsi="Times New Roman"/>
                <w:b/>
              </w:rPr>
            </w:pPr>
            <w:r w:rsidRPr="00CD20D6">
              <w:rPr>
                <w:rFonts w:ascii="Times New Roman" w:hAnsi="Times New Roman"/>
                <w:b/>
              </w:rPr>
              <w:t>Alternatívne riešenia</w:t>
            </w:r>
          </w:p>
        </w:tc>
      </w:tr>
      <w:tr w:rsidR="00CD20D6" w:rsidRPr="00CD20D6" w:rsidTr="00CD20D6">
        <w:trPr>
          <w:trHeight w:val="709"/>
        </w:trPr>
        <w:tc>
          <w:tcPr>
            <w:tcW w:w="9180" w:type="dxa"/>
            <w:gridSpan w:val="10"/>
            <w:tcBorders>
              <w:top w:val="nil"/>
            </w:tcBorders>
            <w:shd w:val="clear" w:color="auto" w:fill="FFFFFF"/>
          </w:tcPr>
          <w:p w:rsidR="00CD20D6" w:rsidRPr="00CD20D6" w:rsidRDefault="00CD20D6" w:rsidP="00CD20D6">
            <w:pPr>
              <w:rPr>
                <w:rFonts w:ascii="Times New Roman" w:hAnsi="Times New Roman"/>
                <w:i/>
                <w:lang w:eastAsia="sk-SK"/>
              </w:rPr>
            </w:pPr>
            <w:r w:rsidRPr="00CD20D6">
              <w:rPr>
                <w:rFonts w:ascii="Times New Roman" w:hAnsi="Times New Roman"/>
                <w:i/>
                <w:lang w:eastAsia="sk-SK"/>
              </w:rPr>
              <w:t>Aké alternatívne riešenia boli posudzované?</w:t>
            </w:r>
          </w:p>
          <w:p w:rsidR="00CD20D6" w:rsidRPr="00CD20D6" w:rsidRDefault="00CD20D6" w:rsidP="00CD20D6">
            <w:pPr>
              <w:jc w:val="both"/>
              <w:rPr>
                <w:rFonts w:ascii="Times New Roman" w:hAnsi="Times New Roman"/>
                <w:i/>
                <w:lang w:eastAsia="sk-SK"/>
              </w:rPr>
            </w:pPr>
            <w:r w:rsidRPr="00CD20D6">
              <w:rPr>
                <w:rFonts w:ascii="Times New Roman" w:hAnsi="Times New Roman"/>
                <w:i/>
                <w:lang w:eastAsia="sk-SK"/>
              </w:rPr>
              <w:t>Uveďte, aké alternatívne spôsoby na odstránenie definovaného problému boli identifikované a posudzované.</w:t>
            </w:r>
          </w:p>
          <w:p w:rsidR="00CD20D6" w:rsidRPr="00CD20D6" w:rsidRDefault="00CD20D6" w:rsidP="00CD20D6">
            <w:pPr>
              <w:jc w:val="both"/>
              <w:rPr>
                <w:rFonts w:ascii="Times New Roman" w:hAnsi="Times New Roman"/>
                <w:lang w:eastAsia="sk-SK"/>
              </w:rPr>
            </w:pPr>
            <w:r w:rsidRPr="00CD20D6">
              <w:rPr>
                <w:rFonts w:ascii="Times New Roman" w:hAnsi="Times New Roman"/>
                <w:lang w:eastAsia="sk-SK"/>
              </w:rPr>
              <w:t>Alternatívne riešenia posudzované neboli, pretože neprijatie vnútroštátne opatrenia by spôsobilo predajcom vozidiel značné finančné škody.</w:t>
            </w:r>
          </w:p>
        </w:tc>
      </w:tr>
      <w:tr w:rsidR="00CD20D6" w:rsidRPr="00CD20D6" w:rsidTr="00CD20D6">
        <w:tc>
          <w:tcPr>
            <w:tcW w:w="9180" w:type="dxa"/>
            <w:gridSpan w:val="10"/>
            <w:tcBorders>
              <w:bottom w:val="single" w:sz="4" w:space="0" w:color="FFFFFF"/>
            </w:tcBorders>
            <w:shd w:val="clear" w:color="auto" w:fill="E2E2E2"/>
          </w:tcPr>
          <w:p w:rsidR="00CD20D6" w:rsidRPr="00CD20D6" w:rsidRDefault="00CD20D6" w:rsidP="00CD20D6">
            <w:pPr>
              <w:numPr>
                <w:ilvl w:val="0"/>
                <w:numId w:val="1"/>
              </w:numPr>
              <w:ind w:left="426"/>
              <w:contextualSpacing/>
              <w:rPr>
                <w:rFonts w:ascii="Times New Roman" w:hAnsi="Times New Roman"/>
                <w:b/>
              </w:rPr>
            </w:pPr>
            <w:r w:rsidRPr="00CD20D6">
              <w:rPr>
                <w:rFonts w:ascii="Times New Roman" w:hAnsi="Times New Roman"/>
                <w:b/>
              </w:rPr>
              <w:t>Vykonávacie predpisy</w:t>
            </w:r>
          </w:p>
        </w:tc>
      </w:tr>
      <w:tr w:rsidR="00CD20D6" w:rsidRPr="00CD20D6" w:rsidTr="00CD20D6">
        <w:tc>
          <w:tcPr>
            <w:tcW w:w="6203" w:type="dxa"/>
            <w:gridSpan w:val="6"/>
            <w:tcBorders>
              <w:top w:val="single" w:sz="4" w:space="0" w:color="FFFFFF"/>
              <w:bottom w:val="nil"/>
              <w:right w:val="nil"/>
            </w:tcBorders>
            <w:shd w:val="clear" w:color="auto" w:fill="FFFFFF"/>
          </w:tcPr>
          <w:p w:rsidR="00CD20D6" w:rsidRPr="00CD20D6" w:rsidRDefault="00CD20D6" w:rsidP="00CD20D6">
            <w:pPr>
              <w:rPr>
                <w:rFonts w:ascii="Times New Roman" w:hAnsi="Times New Roman"/>
                <w:i/>
                <w:lang w:eastAsia="sk-SK"/>
              </w:rPr>
            </w:pPr>
            <w:r w:rsidRPr="00CD20D6">
              <w:rPr>
                <w:rFonts w:ascii="Times New Roman" w:hAnsi="Times New Roman"/>
                <w:i/>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r w:rsidRPr="00CD20D6">
              <w:rPr>
                <w:rFonts w:ascii="Times New Roman" w:hAnsi="Times New Roman"/>
                <w:lang w:eastAsia="sk-SK"/>
              </w:rPr>
              <w:t xml:space="preserve">  Áno</w:t>
            </w:r>
          </w:p>
        </w:tc>
        <w:tc>
          <w:tcPr>
            <w:tcW w:w="1560" w:type="dxa"/>
            <w:gridSpan w:val="2"/>
            <w:tcBorders>
              <w:top w:val="single" w:sz="4" w:space="0" w:color="FFFFFF"/>
              <w:left w:val="nil"/>
              <w:bottom w:val="nil"/>
            </w:tcBorders>
            <w:shd w:val="clear" w:color="auto" w:fill="FFFFFF"/>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r w:rsidRPr="00CD20D6">
              <w:rPr>
                <w:rFonts w:ascii="Times New Roman" w:hAnsi="Times New Roman"/>
                <w:lang w:eastAsia="sk-SK"/>
              </w:rPr>
              <w:t xml:space="preserve">  Nie</w:t>
            </w:r>
          </w:p>
        </w:tc>
      </w:tr>
      <w:tr w:rsidR="00CD20D6" w:rsidRPr="00CD20D6" w:rsidTr="00CD20D6">
        <w:trPr>
          <w:trHeight w:val="846"/>
        </w:trPr>
        <w:tc>
          <w:tcPr>
            <w:tcW w:w="9180" w:type="dxa"/>
            <w:gridSpan w:val="10"/>
            <w:tcBorders>
              <w:top w:val="nil"/>
            </w:tcBorders>
            <w:shd w:val="clear" w:color="auto" w:fill="FFFFFF"/>
          </w:tcPr>
          <w:p w:rsidR="00CD20D6" w:rsidRPr="00CD20D6" w:rsidRDefault="00CD20D6" w:rsidP="00CD20D6">
            <w:pPr>
              <w:jc w:val="both"/>
              <w:rPr>
                <w:rFonts w:ascii="Times New Roman" w:hAnsi="Times New Roman"/>
                <w:i/>
                <w:lang w:eastAsia="sk-SK"/>
              </w:rPr>
            </w:pPr>
            <w:r w:rsidRPr="00CD20D6">
              <w:rPr>
                <w:rFonts w:ascii="Times New Roman" w:hAnsi="Times New Roman"/>
                <w:i/>
                <w:lang w:eastAsia="sk-SK"/>
              </w:rPr>
              <w:t>Ak áno, uveďte ktoré oblasti budú nimi upravené, resp. ktorých vykonávacích predpisov sa zmena dotkne:</w:t>
            </w:r>
          </w:p>
          <w:p w:rsidR="00CD20D6" w:rsidRPr="00CD20D6" w:rsidRDefault="00CD20D6" w:rsidP="00CD20D6">
            <w:pPr>
              <w:jc w:val="both"/>
              <w:rPr>
                <w:rFonts w:ascii="Times New Roman" w:hAnsi="Times New Roman"/>
                <w:sz w:val="20"/>
                <w:szCs w:val="20"/>
                <w:lang w:eastAsia="sk-SK"/>
              </w:rPr>
            </w:pPr>
            <w:r w:rsidRPr="00CD20D6">
              <w:rPr>
                <w:rFonts w:ascii="Times New Roman" w:hAnsi="Times New Roman"/>
                <w:lang w:eastAsia="sk-SK"/>
              </w:rPr>
              <w:t>Návrh zákona nevyvolá prijatie žiadnych vykonávacích právnych predpisov</w:t>
            </w:r>
            <w:r w:rsidRPr="00CD20D6">
              <w:rPr>
                <w:rFonts w:ascii="Times New Roman" w:hAnsi="Times New Roman"/>
                <w:sz w:val="20"/>
                <w:szCs w:val="20"/>
                <w:lang w:eastAsia="sk-SK"/>
              </w:rPr>
              <w:t>.</w:t>
            </w:r>
          </w:p>
        </w:tc>
      </w:tr>
      <w:tr w:rsidR="00CD20D6" w:rsidRPr="00CD20D6" w:rsidTr="00CD20D6">
        <w:tc>
          <w:tcPr>
            <w:tcW w:w="9180" w:type="dxa"/>
            <w:gridSpan w:val="10"/>
            <w:tcBorders>
              <w:bottom w:val="single" w:sz="4" w:space="0" w:color="FFFFFF"/>
            </w:tcBorders>
            <w:shd w:val="clear" w:color="auto" w:fill="E2E2E2"/>
          </w:tcPr>
          <w:p w:rsidR="00CD20D6" w:rsidRPr="00CD20D6" w:rsidRDefault="00CD20D6" w:rsidP="00CD20D6">
            <w:pPr>
              <w:numPr>
                <w:ilvl w:val="0"/>
                <w:numId w:val="1"/>
              </w:numPr>
              <w:ind w:left="426"/>
              <w:contextualSpacing/>
              <w:rPr>
                <w:rFonts w:ascii="Times New Roman" w:hAnsi="Times New Roman"/>
                <w:b/>
              </w:rPr>
            </w:pPr>
            <w:r w:rsidRPr="00CD20D6">
              <w:rPr>
                <w:rFonts w:ascii="Times New Roman" w:hAnsi="Times New Roman"/>
                <w:b/>
              </w:rPr>
              <w:t xml:space="preserve">Transpozícia práva EÚ </w:t>
            </w:r>
          </w:p>
        </w:tc>
      </w:tr>
      <w:tr w:rsidR="00CD20D6" w:rsidRPr="00CD20D6" w:rsidTr="00CD20D6">
        <w:trPr>
          <w:trHeight w:val="157"/>
        </w:trPr>
        <w:tc>
          <w:tcPr>
            <w:tcW w:w="9180" w:type="dxa"/>
            <w:gridSpan w:val="10"/>
            <w:tcBorders>
              <w:top w:val="nil"/>
              <w:left w:val="single" w:sz="4" w:space="0" w:color="000000"/>
              <w:bottom w:val="nil"/>
            </w:tcBorders>
            <w:shd w:val="clear" w:color="auto" w:fill="FFFFFF"/>
          </w:tcPr>
          <w:p w:rsidR="00CD20D6" w:rsidRPr="00CD20D6" w:rsidRDefault="00CD20D6" w:rsidP="00CD20D6">
            <w:pPr>
              <w:jc w:val="both"/>
              <w:rPr>
                <w:rFonts w:ascii="Times New Roman" w:hAnsi="Times New Roman"/>
                <w:i/>
                <w:lang w:eastAsia="sk-SK"/>
              </w:rPr>
            </w:pPr>
            <w:r w:rsidRPr="00CD20D6">
              <w:rPr>
                <w:rFonts w:ascii="Times New Roman" w:hAnsi="Times New Roman"/>
                <w:i/>
                <w:lang w:eastAsia="sk-SK"/>
              </w:rPr>
              <w:t>Uveďte, v ktorých ustanoveniach ide národná právna úprava nad rámec minimálnych požiadaviek EÚ spolu s odôvodnením.</w:t>
            </w:r>
          </w:p>
          <w:p w:rsidR="00CD20D6" w:rsidRPr="00CD20D6" w:rsidRDefault="00CD20D6" w:rsidP="00CD20D6">
            <w:pPr>
              <w:jc w:val="both"/>
              <w:rPr>
                <w:rFonts w:ascii="Times New Roman" w:hAnsi="Times New Roman"/>
                <w:lang w:eastAsia="sk-SK"/>
              </w:rPr>
            </w:pPr>
            <w:r w:rsidRPr="00CD20D6">
              <w:rPr>
                <w:rFonts w:ascii="Times New Roman" w:hAnsi="Times New Roman"/>
                <w:lang w:eastAsia="sk-SK"/>
              </w:rPr>
              <w:t>Návrhom zákona sa nevykonáva transpozícia práva Európskej únie.</w:t>
            </w:r>
          </w:p>
        </w:tc>
      </w:tr>
      <w:tr w:rsidR="00CD20D6" w:rsidRPr="00CD20D6" w:rsidTr="00CD20D6">
        <w:tc>
          <w:tcPr>
            <w:tcW w:w="9180" w:type="dxa"/>
            <w:gridSpan w:val="10"/>
            <w:tcBorders>
              <w:bottom w:val="single" w:sz="4" w:space="0" w:color="FFFFFF"/>
            </w:tcBorders>
            <w:shd w:val="clear" w:color="auto" w:fill="E2E2E2"/>
          </w:tcPr>
          <w:p w:rsidR="00CD20D6" w:rsidRPr="00CD20D6" w:rsidRDefault="00CD20D6" w:rsidP="00CD20D6">
            <w:pPr>
              <w:numPr>
                <w:ilvl w:val="0"/>
                <w:numId w:val="1"/>
              </w:numPr>
              <w:ind w:left="426"/>
              <w:contextualSpacing/>
              <w:rPr>
                <w:rFonts w:ascii="Times New Roman" w:hAnsi="Times New Roman"/>
                <w:b/>
              </w:rPr>
            </w:pPr>
            <w:r w:rsidRPr="00CD20D6">
              <w:rPr>
                <w:rFonts w:ascii="Times New Roman" w:hAnsi="Times New Roman"/>
                <w:b/>
              </w:rPr>
              <w:t>Preskúmanie účelnosti**</w:t>
            </w:r>
          </w:p>
        </w:tc>
      </w:tr>
      <w:tr w:rsidR="00CD20D6" w:rsidRPr="00CD20D6" w:rsidTr="00CD20D6">
        <w:tc>
          <w:tcPr>
            <w:tcW w:w="9180" w:type="dxa"/>
            <w:gridSpan w:val="10"/>
            <w:tcBorders>
              <w:top w:val="single" w:sz="4" w:space="0" w:color="FFFFFF"/>
            </w:tcBorders>
            <w:shd w:val="clear" w:color="auto" w:fill="FFFFFF"/>
          </w:tcPr>
          <w:p w:rsidR="00CD20D6" w:rsidRPr="00CD20D6" w:rsidRDefault="00CD20D6" w:rsidP="00CD20D6">
            <w:pPr>
              <w:rPr>
                <w:rFonts w:ascii="Times New Roman" w:hAnsi="Times New Roman"/>
                <w:i/>
                <w:lang w:eastAsia="sk-SK"/>
              </w:rPr>
            </w:pPr>
            <w:r w:rsidRPr="00CD20D6">
              <w:rPr>
                <w:rFonts w:ascii="Times New Roman" w:hAnsi="Times New Roman"/>
                <w:i/>
                <w:lang w:eastAsia="sk-SK"/>
              </w:rPr>
              <w:t>Uveďte termín, kedy by malo dôjsť k preskúmaniu účinnosti a účelnosti navrhovaného predpisu.</w:t>
            </w:r>
          </w:p>
          <w:p w:rsidR="00CD20D6" w:rsidRPr="00CD20D6" w:rsidRDefault="00CD20D6" w:rsidP="00CD20D6">
            <w:pPr>
              <w:rPr>
                <w:rFonts w:ascii="Times New Roman" w:hAnsi="Times New Roman"/>
                <w:i/>
                <w:lang w:eastAsia="sk-SK"/>
              </w:rPr>
            </w:pPr>
            <w:r w:rsidRPr="00CD20D6">
              <w:rPr>
                <w:rFonts w:ascii="Times New Roman" w:hAnsi="Times New Roman"/>
                <w:i/>
                <w:lang w:eastAsia="sk-SK"/>
              </w:rPr>
              <w:t>Uveďte kritériá, na základe ktorých bude preskúmanie vykonané.</w:t>
            </w:r>
          </w:p>
          <w:p w:rsidR="00CD20D6" w:rsidRPr="00CD20D6" w:rsidRDefault="00CD20D6" w:rsidP="00CD20D6">
            <w:pPr>
              <w:rPr>
                <w:rFonts w:ascii="Times New Roman" w:hAnsi="Times New Roman"/>
                <w:lang w:eastAsia="sk-SK"/>
              </w:rPr>
            </w:pPr>
            <w:r w:rsidRPr="00CD20D6">
              <w:rPr>
                <w:rFonts w:ascii="Times New Roman" w:hAnsi="Times New Roman"/>
                <w:lang w:eastAsia="sk-SK"/>
              </w:rPr>
              <w:t>Nepredpokladá sa preskúmanie účinnosti a účelnosti návrhu zákona.</w:t>
            </w:r>
          </w:p>
        </w:tc>
      </w:tr>
      <w:tr w:rsidR="00CD20D6" w:rsidRPr="00CD20D6" w:rsidTr="00CD20D6">
        <w:trPr>
          <w:trHeight w:val="715"/>
        </w:trPr>
        <w:tc>
          <w:tcPr>
            <w:tcW w:w="9180" w:type="dxa"/>
            <w:gridSpan w:val="10"/>
            <w:tcBorders>
              <w:left w:val="nil"/>
              <w:bottom w:val="nil"/>
              <w:right w:val="nil"/>
            </w:tcBorders>
            <w:shd w:val="clear" w:color="auto" w:fill="FFFFFF"/>
          </w:tcPr>
          <w:p w:rsidR="00CD20D6" w:rsidRPr="00CD20D6" w:rsidRDefault="00CD20D6" w:rsidP="00CD20D6">
            <w:pPr>
              <w:ind w:left="142" w:hanging="142"/>
              <w:jc w:val="both"/>
              <w:rPr>
                <w:rFonts w:ascii="Times New Roman" w:hAnsi="Times New Roman"/>
                <w:lang w:eastAsia="sk-SK"/>
              </w:rPr>
            </w:pPr>
            <w:r w:rsidRPr="00CD20D6">
              <w:rPr>
                <w:rFonts w:ascii="Times New Roman" w:hAnsi="Times New Roman"/>
                <w:lang w:eastAsia="sk-SK"/>
              </w:rPr>
              <w:t xml:space="preserve">* vyplniť iba v prípade, ak materiál nie je zahrnutý do Plánu práce vlády Slovenskej republiky alebo Plánu legislatívnych úloh vlády Slovenskej republiky. </w:t>
            </w:r>
          </w:p>
          <w:p w:rsidR="00CD20D6" w:rsidRPr="00CD20D6" w:rsidRDefault="00CD20D6" w:rsidP="00CD20D6">
            <w:pPr>
              <w:rPr>
                <w:rFonts w:ascii="Times New Roman" w:hAnsi="Times New Roman"/>
                <w:lang w:eastAsia="sk-SK"/>
              </w:rPr>
            </w:pPr>
            <w:r w:rsidRPr="00CD20D6">
              <w:rPr>
                <w:rFonts w:ascii="Times New Roman" w:hAnsi="Times New Roman"/>
                <w:lang w:eastAsia="sk-SK"/>
              </w:rPr>
              <w:t>** nepovinné</w:t>
            </w:r>
          </w:p>
        </w:tc>
      </w:tr>
      <w:tr w:rsidR="00CD20D6" w:rsidRPr="00CD20D6" w:rsidTr="00CD20D6">
        <w:trPr>
          <w:trHeight w:val="577"/>
        </w:trPr>
        <w:tc>
          <w:tcPr>
            <w:tcW w:w="9180" w:type="dxa"/>
            <w:gridSpan w:val="10"/>
            <w:tcBorders>
              <w:bottom w:val="single" w:sz="4" w:space="0" w:color="FFFFFF"/>
            </w:tcBorders>
            <w:shd w:val="clear" w:color="auto" w:fill="E2E2E2"/>
            <w:vAlign w:val="center"/>
          </w:tcPr>
          <w:p w:rsidR="00CD20D6" w:rsidRPr="00CD20D6" w:rsidRDefault="00CD20D6" w:rsidP="00CD20D6">
            <w:pPr>
              <w:numPr>
                <w:ilvl w:val="0"/>
                <w:numId w:val="1"/>
              </w:numPr>
              <w:ind w:left="426"/>
              <w:contextualSpacing/>
              <w:rPr>
                <w:rFonts w:ascii="Times New Roman" w:hAnsi="Times New Roman"/>
                <w:b/>
              </w:rPr>
            </w:pPr>
            <w:r w:rsidRPr="00CD20D6">
              <w:rPr>
                <w:rFonts w:ascii="Times New Roman" w:hAnsi="Times New Roman"/>
                <w:b/>
              </w:rPr>
              <w:t>Vplyvy navrhovaného materiálu</w:t>
            </w:r>
          </w:p>
        </w:tc>
      </w:tr>
      <w:tr w:rsidR="00CD20D6" w:rsidRPr="00CD20D6" w:rsidTr="00690AEC">
        <w:tc>
          <w:tcPr>
            <w:tcW w:w="3812" w:type="dxa"/>
            <w:tcBorders>
              <w:bottom w:val="nil"/>
            </w:tcBorders>
            <w:shd w:val="clear" w:color="auto" w:fill="E2E2E2"/>
          </w:tcPr>
          <w:p w:rsidR="00CD20D6" w:rsidRPr="00CD20D6" w:rsidRDefault="00CD20D6" w:rsidP="00CD20D6">
            <w:pPr>
              <w:rPr>
                <w:rFonts w:ascii="Times New Roman" w:hAnsi="Times New Roman"/>
                <w:b/>
                <w:lang w:eastAsia="sk-SK"/>
              </w:rPr>
            </w:pPr>
            <w:r w:rsidRPr="00CD20D6">
              <w:rPr>
                <w:rFonts w:ascii="Times New Roman" w:hAnsi="Times New Roman"/>
                <w:b/>
                <w:lang w:eastAsia="sk-SK"/>
              </w:rPr>
              <w:t>Vplyvy na rozpočet verejnej správy</w:t>
            </w:r>
          </w:p>
        </w:tc>
        <w:tc>
          <w:tcPr>
            <w:tcW w:w="541" w:type="dxa"/>
            <w:gridSpan w:val="2"/>
            <w:tcBorders>
              <w:right w:val="nil"/>
            </w:tcBorders>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1281" w:type="dxa"/>
            <w:gridSpan w:val="2"/>
            <w:tcBorders>
              <w:left w:val="nil"/>
              <w:right w:val="nil"/>
            </w:tcBorders>
          </w:tcPr>
          <w:p w:rsidR="00CD20D6" w:rsidRPr="00CD20D6" w:rsidRDefault="00CD20D6" w:rsidP="00CD20D6">
            <w:pPr>
              <w:rPr>
                <w:rFonts w:ascii="Times New Roman" w:hAnsi="Times New Roman"/>
                <w:lang w:eastAsia="sk-SK"/>
              </w:rPr>
            </w:pPr>
            <w:r w:rsidRPr="00CD20D6">
              <w:rPr>
                <w:rFonts w:ascii="Times New Roman" w:hAnsi="Times New Roman"/>
                <w:lang w:eastAsia="sk-SK"/>
              </w:rPr>
              <w:t>Pozitívne</w:t>
            </w:r>
          </w:p>
        </w:tc>
        <w:tc>
          <w:tcPr>
            <w:tcW w:w="569" w:type="dxa"/>
            <w:tcBorders>
              <w:left w:val="nil"/>
              <w:right w:val="nil"/>
            </w:tcBorders>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1133" w:type="dxa"/>
            <w:tcBorders>
              <w:left w:val="nil"/>
              <w:right w:val="nil"/>
            </w:tcBorders>
          </w:tcPr>
          <w:p w:rsidR="00CD20D6" w:rsidRPr="00CD20D6" w:rsidRDefault="00CD20D6" w:rsidP="00CD20D6">
            <w:pPr>
              <w:rPr>
                <w:rFonts w:ascii="Times New Roman" w:hAnsi="Times New Roman"/>
                <w:lang w:eastAsia="sk-SK"/>
              </w:rPr>
            </w:pPr>
            <w:r w:rsidRPr="00CD20D6">
              <w:rPr>
                <w:rFonts w:ascii="Times New Roman" w:hAnsi="Times New Roman"/>
                <w:lang w:eastAsia="sk-SK"/>
              </w:rPr>
              <w:t>Žiadne</w:t>
            </w:r>
          </w:p>
        </w:tc>
        <w:tc>
          <w:tcPr>
            <w:tcW w:w="547" w:type="dxa"/>
            <w:gridSpan w:val="2"/>
            <w:tcBorders>
              <w:left w:val="nil"/>
              <w:right w:val="nil"/>
            </w:tcBorders>
          </w:tcPr>
          <w:p w:rsidR="00CD20D6" w:rsidRPr="00CD20D6" w:rsidRDefault="00CD20D6" w:rsidP="00CD20D6">
            <w:pPr>
              <w:ind w:left="-107" w:right="-108"/>
              <w:jc w:val="center"/>
              <w:rPr>
                <w:rFonts w:ascii="Times New Roman" w:hAnsi="Times New Roman"/>
                <w:lang w:eastAsia="sk-SK"/>
              </w:rPr>
            </w:pPr>
            <w:r w:rsidRPr="00CD20D6">
              <w:rPr>
                <w:rFonts w:ascii="Segoe UI Symbol" w:eastAsia="MS Mincho" w:hAnsi="Segoe UI Symbol" w:cs="Segoe UI Symbol"/>
                <w:lang w:eastAsia="sk-SK"/>
              </w:rPr>
              <w:t>☐</w:t>
            </w:r>
          </w:p>
        </w:tc>
        <w:tc>
          <w:tcPr>
            <w:tcW w:w="1297" w:type="dxa"/>
            <w:tcBorders>
              <w:left w:val="nil"/>
            </w:tcBorders>
          </w:tcPr>
          <w:p w:rsidR="00CD20D6" w:rsidRPr="00CD20D6" w:rsidRDefault="00CD20D6" w:rsidP="00CD20D6">
            <w:pPr>
              <w:ind w:left="34"/>
              <w:rPr>
                <w:rFonts w:ascii="Times New Roman" w:hAnsi="Times New Roman"/>
                <w:lang w:eastAsia="sk-SK"/>
              </w:rPr>
            </w:pPr>
            <w:r w:rsidRPr="00CD20D6">
              <w:rPr>
                <w:rFonts w:ascii="Times New Roman" w:hAnsi="Times New Roman"/>
                <w:lang w:eastAsia="sk-SK"/>
              </w:rPr>
              <w:t>Negatívne</w:t>
            </w:r>
          </w:p>
        </w:tc>
      </w:tr>
      <w:tr w:rsidR="00CD20D6" w:rsidRPr="00CD20D6" w:rsidTr="00CD20D6">
        <w:tc>
          <w:tcPr>
            <w:tcW w:w="3812" w:type="dxa"/>
            <w:tcBorders>
              <w:top w:val="nil"/>
              <w:bottom w:val="single" w:sz="4" w:space="0" w:color="000000"/>
            </w:tcBorders>
            <w:shd w:val="clear" w:color="auto" w:fill="E2E2E2"/>
          </w:tcPr>
          <w:p w:rsidR="00CD20D6" w:rsidRPr="00CD20D6" w:rsidRDefault="00CD20D6" w:rsidP="00CD20D6">
            <w:pPr>
              <w:rPr>
                <w:rFonts w:ascii="Times New Roman" w:hAnsi="Times New Roman"/>
                <w:lang w:eastAsia="sk-SK"/>
              </w:rPr>
            </w:pPr>
            <w:r w:rsidRPr="00CD20D6">
              <w:rPr>
                <w:rFonts w:ascii="Times New Roman" w:hAnsi="Times New Roman"/>
                <w:lang w:eastAsia="sk-SK"/>
              </w:rPr>
              <w:t xml:space="preserve">    z toho rozpočtovo zabezpečené vplyvy</w:t>
            </w:r>
          </w:p>
        </w:tc>
        <w:tc>
          <w:tcPr>
            <w:tcW w:w="541" w:type="dxa"/>
            <w:gridSpan w:val="2"/>
            <w:tcBorders>
              <w:right w:val="nil"/>
            </w:tcBorders>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1281" w:type="dxa"/>
            <w:gridSpan w:val="2"/>
            <w:tcBorders>
              <w:left w:val="nil"/>
              <w:right w:val="nil"/>
            </w:tcBorders>
          </w:tcPr>
          <w:p w:rsidR="00CD20D6" w:rsidRPr="00CD20D6" w:rsidRDefault="00CD20D6" w:rsidP="00CD20D6">
            <w:pPr>
              <w:rPr>
                <w:rFonts w:ascii="Times New Roman" w:hAnsi="Times New Roman"/>
                <w:lang w:eastAsia="sk-SK"/>
              </w:rPr>
            </w:pPr>
            <w:r w:rsidRPr="00CD20D6">
              <w:rPr>
                <w:rFonts w:ascii="Times New Roman" w:hAnsi="Times New Roman"/>
                <w:lang w:eastAsia="sk-SK"/>
              </w:rPr>
              <w:t>Áno</w:t>
            </w:r>
          </w:p>
        </w:tc>
        <w:tc>
          <w:tcPr>
            <w:tcW w:w="569" w:type="dxa"/>
            <w:tcBorders>
              <w:left w:val="nil"/>
              <w:right w:val="nil"/>
            </w:tcBorders>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1133" w:type="dxa"/>
            <w:tcBorders>
              <w:left w:val="nil"/>
              <w:right w:val="nil"/>
            </w:tcBorders>
          </w:tcPr>
          <w:p w:rsidR="00CD20D6" w:rsidRPr="00CD20D6" w:rsidRDefault="00CD20D6" w:rsidP="00CD20D6">
            <w:pPr>
              <w:rPr>
                <w:rFonts w:ascii="Times New Roman" w:hAnsi="Times New Roman"/>
                <w:lang w:eastAsia="sk-SK"/>
              </w:rPr>
            </w:pPr>
            <w:r w:rsidRPr="00CD20D6">
              <w:rPr>
                <w:rFonts w:ascii="Times New Roman" w:hAnsi="Times New Roman"/>
                <w:lang w:eastAsia="sk-SK"/>
              </w:rPr>
              <w:t>Nie</w:t>
            </w:r>
          </w:p>
        </w:tc>
        <w:tc>
          <w:tcPr>
            <w:tcW w:w="547" w:type="dxa"/>
            <w:gridSpan w:val="2"/>
            <w:tcBorders>
              <w:left w:val="nil"/>
              <w:right w:val="nil"/>
            </w:tcBorders>
          </w:tcPr>
          <w:p w:rsidR="00CD20D6" w:rsidRPr="00CD20D6" w:rsidRDefault="00CD20D6" w:rsidP="00CD20D6">
            <w:pPr>
              <w:ind w:left="-107" w:right="-108"/>
              <w:jc w:val="center"/>
              <w:rPr>
                <w:rFonts w:ascii="Times New Roman" w:hAnsi="Times New Roman"/>
                <w:lang w:eastAsia="sk-SK"/>
              </w:rPr>
            </w:pPr>
            <w:r w:rsidRPr="00CD20D6">
              <w:rPr>
                <w:rFonts w:ascii="Segoe UI Symbol" w:eastAsia="MS Mincho" w:hAnsi="Segoe UI Symbol" w:cs="Segoe UI Symbol"/>
                <w:lang w:eastAsia="sk-SK"/>
              </w:rPr>
              <w:t>☐</w:t>
            </w:r>
          </w:p>
        </w:tc>
        <w:tc>
          <w:tcPr>
            <w:tcW w:w="1297" w:type="dxa"/>
            <w:tcBorders>
              <w:left w:val="nil"/>
            </w:tcBorders>
          </w:tcPr>
          <w:p w:rsidR="00CD20D6" w:rsidRPr="00CD20D6" w:rsidRDefault="00CD20D6" w:rsidP="00CD20D6">
            <w:pPr>
              <w:ind w:left="34"/>
              <w:rPr>
                <w:rFonts w:ascii="Times New Roman" w:hAnsi="Times New Roman"/>
                <w:lang w:eastAsia="sk-SK"/>
              </w:rPr>
            </w:pPr>
            <w:r w:rsidRPr="00CD20D6">
              <w:rPr>
                <w:rFonts w:ascii="Times New Roman" w:hAnsi="Times New Roman"/>
                <w:lang w:eastAsia="sk-SK"/>
              </w:rPr>
              <w:t>Čiastočne</w:t>
            </w:r>
          </w:p>
        </w:tc>
      </w:tr>
      <w:tr w:rsidR="00CD20D6" w:rsidRPr="00CD20D6" w:rsidTr="00CD20D6">
        <w:tc>
          <w:tcPr>
            <w:tcW w:w="3812" w:type="dxa"/>
            <w:tcBorders>
              <w:top w:val="single" w:sz="4" w:space="0" w:color="000000"/>
              <w:bottom w:val="nil"/>
            </w:tcBorders>
            <w:shd w:val="clear" w:color="auto" w:fill="E2E2E2"/>
          </w:tcPr>
          <w:p w:rsidR="00CD20D6" w:rsidRPr="00CD20D6" w:rsidRDefault="00CD20D6" w:rsidP="00CD20D6">
            <w:pPr>
              <w:rPr>
                <w:rFonts w:ascii="Times New Roman" w:hAnsi="Times New Roman"/>
                <w:b/>
                <w:lang w:eastAsia="sk-SK"/>
              </w:rPr>
            </w:pPr>
            <w:r w:rsidRPr="00CD20D6">
              <w:rPr>
                <w:rFonts w:ascii="Times New Roman" w:hAnsi="Times New Roman"/>
                <w:b/>
                <w:lang w:eastAsia="sk-SK"/>
              </w:rPr>
              <w:t>Vplyvy na podnikateľské prostredie</w:t>
            </w:r>
          </w:p>
        </w:tc>
        <w:tc>
          <w:tcPr>
            <w:tcW w:w="541" w:type="dxa"/>
            <w:gridSpan w:val="2"/>
            <w:tcBorders>
              <w:right w:val="nil"/>
            </w:tcBorders>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1281" w:type="dxa"/>
            <w:gridSpan w:val="2"/>
            <w:tcBorders>
              <w:left w:val="nil"/>
              <w:right w:val="nil"/>
            </w:tcBorders>
          </w:tcPr>
          <w:p w:rsidR="00CD20D6" w:rsidRPr="00CD20D6" w:rsidRDefault="00CD20D6" w:rsidP="00CD20D6">
            <w:pPr>
              <w:ind w:right="-108"/>
              <w:rPr>
                <w:rFonts w:ascii="Times New Roman" w:hAnsi="Times New Roman"/>
                <w:lang w:eastAsia="sk-SK"/>
              </w:rPr>
            </w:pPr>
            <w:r w:rsidRPr="00CD20D6">
              <w:rPr>
                <w:rFonts w:ascii="Times New Roman" w:hAnsi="Times New Roman"/>
                <w:lang w:eastAsia="sk-SK"/>
              </w:rPr>
              <w:t>Pozitívne</w:t>
            </w:r>
          </w:p>
        </w:tc>
        <w:tc>
          <w:tcPr>
            <w:tcW w:w="569" w:type="dxa"/>
            <w:tcBorders>
              <w:left w:val="nil"/>
              <w:right w:val="nil"/>
            </w:tcBorders>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1133" w:type="dxa"/>
            <w:tcBorders>
              <w:left w:val="nil"/>
              <w:right w:val="nil"/>
            </w:tcBorders>
          </w:tcPr>
          <w:p w:rsidR="00CD20D6" w:rsidRPr="00CD20D6" w:rsidRDefault="00CD20D6" w:rsidP="00CD20D6">
            <w:pPr>
              <w:rPr>
                <w:rFonts w:ascii="Times New Roman" w:hAnsi="Times New Roman"/>
                <w:lang w:eastAsia="sk-SK"/>
              </w:rPr>
            </w:pPr>
            <w:r w:rsidRPr="00CD20D6">
              <w:rPr>
                <w:rFonts w:ascii="Times New Roman" w:hAnsi="Times New Roman"/>
                <w:lang w:eastAsia="sk-SK"/>
              </w:rPr>
              <w:t>Žiadne</w:t>
            </w:r>
          </w:p>
        </w:tc>
        <w:tc>
          <w:tcPr>
            <w:tcW w:w="547" w:type="dxa"/>
            <w:gridSpan w:val="2"/>
            <w:tcBorders>
              <w:left w:val="nil"/>
              <w:right w:val="nil"/>
            </w:tcBorders>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1297" w:type="dxa"/>
            <w:tcBorders>
              <w:left w:val="nil"/>
            </w:tcBorders>
          </w:tcPr>
          <w:p w:rsidR="00CD20D6" w:rsidRPr="00CD20D6" w:rsidRDefault="00CD20D6" w:rsidP="00CD20D6">
            <w:pPr>
              <w:ind w:left="54"/>
              <w:rPr>
                <w:rFonts w:ascii="Times New Roman" w:hAnsi="Times New Roman"/>
                <w:lang w:eastAsia="sk-SK"/>
              </w:rPr>
            </w:pPr>
            <w:r w:rsidRPr="00CD20D6">
              <w:rPr>
                <w:rFonts w:ascii="Times New Roman" w:hAnsi="Times New Roman"/>
                <w:lang w:eastAsia="sk-SK"/>
              </w:rPr>
              <w:t>Negatívne</w:t>
            </w:r>
          </w:p>
        </w:tc>
      </w:tr>
      <w:tr w:rsidR="00CD20D6" w:rsidRPr="00CD20D6" w:rsidTr="00CD20D6">
        <w:tc>
          <w:tcPr>
            <w:tcW w:w="3812" w:type="dxa"/>
            <w:tcBorders>
              <w:top w:val="nil"/>
              <w:left w:val="single" w:sz="4" w:space="0" w:color="000000"/>
              <w:bottom w:val="single" w:sz="4" w:space="0" w:color="000000"/>
              <w:right w:val="single" w:sz="4" w:space="0" w:color="000000"/>
            </w:tcBorders>
            <w:shd w:val="clear" w:color="auto" w:fill="E2E2E2"/>
          </w:tcPr>
          <w:p w:rsidR="00CD20D6" w:rsidRPr="00CD20D6" w:rsidRDefault="00CD20D6" w:rsidP="00CD20D6">
            <w:pPr>
              <w:rPr>
                <w:rFonts w:ascii="Times New Roman" w:hAnsi="Times New Roman"/>
                <w:lang w:eastAsia="sk-SK"/>
              </w:rPr>
            </w:pPr>
            <w:r w:rsidRPr="00CD20D6">
              <w:rPr>
                <w:rFonts w:ascii="Times New Roman" w:hAnsi="Times New Roman"/>
                <w:lang w:eastAsia="sk-SK"/>
              </w:rPr>
              <w:t xml:space="preserve">    z toho vplyvy na MSP</w:t>
            </w:r>
          </w:p>
        </w:tc>
        <w:tc>
          <w:tcPr>
            <w:tcW w:w="541" w:type="dxa"/>
            <w:gridSpan w:val="2"/>
            <w:tcBorders>
              <w:left w:val="single" w:sz="4" w:space="0" w:color="000000"/>
              <w:right w:val="nil"/>
            </w:tcBorders>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1281" w:type="dxa"/>
            <w:gridSpan w:val="2"/>
            <w:tcBorders>
              <w:left w:val="nil"/>
              <w:right w:val="nil"/>
            </w:tcBorders>
          </w:tcPr>
          <w:p w:rsidR="00CD20D6" w:rsidRPr="00CD20D6" w:rsidRDefault="00CD20D6" w:rsidP="00CD20D6">
            <w:pPr>
              <w:ind w:right="-108"/>
              <w:rPr>
                <w:rFonts w:ascii="Times New Roman" w:hAnsi="Times New Roman"/>
                <w:lang w:eastAsia="sk-SK"/>
              </w:rPr>
            </w:pPr>
            <w:r w:rsidRPr="00CD20D6">
              <w:rPr>
                <w:rFonts w:ascii="Times New Roman" w:hAnsi="Times New Roman"/>
                <w:lang w:eastAsia="sk-SK"/>
              </w:rPr>
              <w:t>Pozitívne</w:t>
            </w:r>
          </w:p>
        </w:tc>
        <w:tc>
          <w:tcPr>
            <w:tcW w:w="569" w:type="dxa"/>
            <w:tcBorders>
              <w:left w:val="nil"/>
              <w:right w:val="nil"/>
            </w:tcBorders>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1133" w:type="dxa"/>
            <w:tcBorders>
              <w:left w:val="nil"/>
              <w:right w:val="nil"/>
            </w:tcBorders>
          </w:tcPr>
          <w:p w:rsidR="00CD20D6" w:rsidRPr="00CD20D6" w:rsidRDefault="00CD20D6" w:rsidP="00CD20D6">
            <w:pPr>
              <w:rPr>
                <w:rFonts w:ascii="Times New Roman" w:hAnsi="Times New Roman"/>
                <w:lang w:eastAsia="sk-SK"/>
              </w:rPr>
            </w:pPr>
            <w:r w:rsidRPr="00CD20D6">
              <w:rPr>
                <w:rFonts w:ascii="Times New Roman" w:hAnsi="Times New Roman"/>
                <w:lang w:eastAsia="sk-SK"/>
              </w:rPr>
              <w:t>Žiadne</w:t>
            </w:r>
          </w:p>
        </w:tc>
        <w:tc>
          <w:tcPr>
            <w:tcW w:w="547" w:type="dxa"/>
            <w:gridSpan w:val="2"/>
            <w:tcBorders>
              <w:left w:val="nil"/>
              <w:right w:val="nil"/>
            </w:tcBorders>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1297" w:type="dxa"/>
            <w:tcBorders>
              <w:left w:val="nil"/>
            </w:tcBorders>
          </w:tcPr>
          <w:p w:rsidR="00CD20D6" w:rsidRPr="00CD20D6" w:rsidRDefault="00CD20D6" w:rsidP="00CD20D6">
            <w:pPr>
              <w:ind w:left="54"/>
              <w:rPr>
                <w:rFonts w:ascii="Times New Roman" w:hAnsi="Times New Roman"/>
                <w:lang w:eastAsia="sk-SK"/>
              </w:rPr>
            </w:pPr>
            <w:r w:rsidRPr="00CD20D6">
              <w:rPr>
                <w:rFonts w:ascii="Times New Roman" w:hAnsi="Times New Roman"/>
                <w:lang w:eastAsia="sk-SK"/>
              </w:rPr>
              <w:t>Negatívne</w:t>
            </w:r>
          </w:p>
        </w:tc>
      </w:tr>
      <w:tr w:rsidR="00CD20D6" w:rsidRPr="00CD20D6" w:rsidTr="00CD20D6">
        <w:tc>
          <w:tcPr>
            <w:tcW w:w="3812" w:type="dxa"/>
            <w:tcBorders>
              <w:top w:val="single" w:sz="4" w:space="0" w:color="000000"/>
            </w:tcBorders>
            <w:shd w:val="clear" w:color="auto" w:fill="E2E2E2"/>
          </w:tcPr>
          <w:p w:rsidR="00CD20D6" w:rsidRPr="00CD20D6" w:rsidRDefault="00CD20D6" w:rsidP="00CD20D6">
            <w:pPr>
              <w:rPr>
                <w:rFonts w:ascii="Times New Roman" w:hAnsi="Times New Roman"/>
                <w:b/>
                <w:lang w:eastAsia="sk-SK"/>
              </w:rPr>
            </w:pPr>
            <w:r w:rsidRPr="00CD20D6">
              <w:rPr>
                <w:rFonts w:ascii="Times New Roman" w:hAnsi="Times New Roman"/>
                <w:b/>
                <w:lang w:eastAsia="sk-SK"/>
              </w:rPr>
              <w:t>Sociálne vplyvy</w:t>
            </w:r>
          </w:p>
        </w:tc>
        <w:tc>
          <w:tcPr>
            <w:tcW w:w="541" w:type="dxa"/>
            <w:gridSpan w:val="2"/>
            <w:tcBorders>
              <w:right w:val="nil"/>
            </w:tcBorders>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1281" w:type="dxa"/>
            <w:gridSpan w:val="2"/>
            <w:tcBorders>
              <w:left w:val="nil"/>
              <w:right w:val="nil"/>
            </w:tcBorders>
          </w:tcPr>
          <w:p w:rsidR="00CD20D6" w:rsidRPr="00CD20D6" w:rsidRDefault="00CD20D6" w:rsidP="00CD20D6">
            <w:pPr>
              <w:ind w:right="-108"/>
              <w:rPr>
                <w:rFonts w:ascii="Times New Roman" w:hAnsi="Times New Roman"/>
                <w:lang w:eastAsia="sk-SK"/>
              </w:rPr>
            </w:pPr>
            <w:r w:rsidRPr="00CD20D6">
              <w:rPr>
                <w:rFonts w:ascii="Times New Roman" w:hAnsi="Times New Roman"/>
                <w:lang w:eastAsia="sk-SK"/>
              </w:rPr>
              <w:t>Pozitívne</w:t>
            </w:r>
          </w:p>
        </w:tc>
        <w:tc>
          <w:tcPr>
            <w:tcW w:w="569" w:type="dxa"/>
            <w:tcBorders>
              <w:left w:val="nil"/>
              <w:right w:val="nil"/>
            </w:tcBorders>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1133" w:type="dxa"/>
            <w:tcBorders>
              <w:left w:val="nil"/>
              <w:right w:val="nil"/>
            </w:tcBorders>
          </w:tcPr>
          <w:p w:rsidR="00CD20D6" w:rsidRPr="00CD20D6" w:rsidRDefault="00CD20D6" w:rsidP="00CD20D6">
            <w:pPr>
              <w:rPr>
                <w:rFonts w:ascii="Times New Roman" w:hAnsi="Times New Roman"/>
                <w:lang w:eastAsia="sk-SK"/>
              </w:rPr>
            </w:pPr>
            <w:r w:rsidRPr="00CD20D6">
              <w:rPr>
                <w:rFonts w:ascii="Times New Roman" w:hAnsi="Times New Roman"/>
                <w:lang w:eastAsia="sk-SK"/>
              </w:rPr>
              <w:t>Žiadne</w:t>
            </w:r>
          </w:p>
        </w:tc>
        <w:tc>
          <w:tcPr>
            <w:tcW w:w="547" w:type="dxa"/>
            <w:gridSpan w:val="2"/>
            <w:tcBorders>
              <w:left w:val="nil"/>
              <w:right w:val="nil"/>
            </w:tcBorders>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1297" w:type="dxa"/>
            <w:tcBorders>
              <w:left w:val="nil"/>
            </w:tcBorders>
          </w:tcPr>
          <w:p w:rsidR="00CD20D6" w:rsidRPr="00CD20D6" w:rsidRDefault="00CD20D6" w:rsidP="00CD20D6">
            <w:pPr>
              <w:ind w:left="54"/>
              <w:rPr>
                <w:rFonts w:ascii="Times New Roman" w:hAnsi="Times New Roman"/>
                <w:lang w:eastAsia="sk-SK"/>
              </w:rPr>
            </w:pPr>
            <w:r w:rsidRPr="00CD20D6">
              <w:rPr>
                <w:rFonts w:ascii="Times New Roman" w:hAnsi="Times New Roman"/>
                <w:lang w:eastAsia="sk-SK"/>
              </w:rPr>
              <w:t>Negatívne</w:t>
            </w:r>
          </w:p>
        </w:tc>
      </w:tr>
      <w:tr w:rsidR="00CD20D6" w:rsidRPr="00CD20D6" w:rsidTr="00690AEC">
        <w:tc>
          <w:tcPr>
            <w:tcW w:w="3812" w:type="dxa"/>
            <w:shd w:val="clear" w:color="auto" w:fill="E2E2E2"/>
          </w:tcPr>
          <w:p w:rsidR="00CD20D6" w:rsidRPr="00CD20D6" w:rsidRDefault="00CD20D6" w:rsidP="00CD20D6">
            <w:pPr>
              <w:rPr>
                <w:rFonts w:ascii="Times New Roman" w:hAnsi="Times New Roman"/>
                <w:b/>
                <w:lang w:eastAsia="sk-SK"/>
              </w:rPr>
            </w:pPr>
            <w:r w:rsidRPr="00CD20D6">
              <w:rPr>
                <w:rFonts w:ascii="Times New Roman" w:hAnsi="Times New Roman"/>
                <w:b/>
                <w:lang w:eastAsia="sk-SK"/>
              </w:rPr>
              <w:t>Vplyvy na životné prostredie</w:t>
            </w:r>
          </w:p>
        </w:tc>
        <w:tc>
          <w:tcPr>
            <w:tcW w:w="541" w:type="dxa"/>
            <w:gridSpan w:val="2"/>
            <w:tcBorders>
              <w:right w:val="nil"/>
            </w:tcBorders>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1281" w:type="dxa"/>
            <w:gridSpan w:val="2"/>
            <w:tcBorders>
              <w:left w:val="nil"/>
              <w:right w:val="nil"/>
            </w:tcBorders>
          </w:tcPr>
          <w:p w:rsidR="00CD20D6" w:rsidRPr="00CD20D6" w:rsidRDefault="00CD20D6" w:rsidP="00CD20D6">
            <w:pPr>
              <w:ind w:right="-108"/>
              <w:rPr>
                <w:rFonts w:ascii="Times New Roman" w:hAnsi="Times New Roman"/>
                <w:lang w:eastAsia="sk-SK"/>
              </w:rPr>
            </w:pPr>
            <w:r w:rsidRPr="00CD20D6">
              <w:rPr>
                <w:rFonts w:ascii="Times New Roman" w:hAnsi="Times New Roman"/>
                <w:lang w:eastAsia="sk-SK"/>
              </w:rPr>
              <w:t>Pozitívne</w:t>
            </w:r>
          </w:p>
        </w:tc>
        <w:tc>
          <w:tcPr>
            <w:tcW w:w="569" w:type="dxa"/>
            <w:tcBorders>
              <w:left w:val="nil"/>
              <w:right w:val="nil"/>
            </w:tcBorders>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1133" w:type="dxa"/>
            <w:tcBorders>
              <w:left w:val="nil"/>
              <w:right w:val="nil"/>
            </w:tcBorders>
          </w:tcPr>
          <w:p w:rsidR="00CD20D6" w:rsidRPr="00CD20D6" w:rsidRDefault="00CD20D6" w:rsidP="00CD20D6">
            <w:pPr>
              <w:rPr>
                <w:rFonts w:ascii="Times New Roman" w:hAnsi="Times New Roman"/>
                <w:lang w:eastAsia="sk-SK"/>
              </w:rPr>
            </w:pPr>
            <w:r w:rsidRPr="00CD20D6">
              <w:rPr>
                <w:rFonts w:ascii="Times New Roman" w:hAnsi="Times New Roman"/>
                <w:lang w:eastAsia="sk-SK"/>
              </w:rPr>
              <w:t>Žiadne</w:t>
            </w:r>
          </w:p>
        </w:tc>
        <w:tc>
          <w:tcPr>
            <w:tcW w:w="547" w:type="dxa"/>
            <w:gridSpan w:val="2"/>
            <w:tcBorders>
              <w:left w:val="nil"/>
              <w:right w:val="nil"/>
            </w:tcBorders>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1297" w:type="dxa"/>
            <w:tcBorders>
              <w:left w:val="nil"/>
            </w:tcBorders>
          </w:tcPr>
          <w:p w:rsidR="00CD20D6" w:rsidRPr="00CD20D6" w:rsidRDefault="00CD20D6" w:rsidP="00CD20D6">
            <w:pPr>
              <w:ind w:left="54"/>
              <w:rPr>
                <w:rFonts w:ascii="Times New Roman" w:hAnsi="Times New Roman"/>
                <w:lang w:eastAsia="sk-SK"/>
              </w:rPr>
            </w:pPr>
            <w:r w:rsidRPr="00CD20D6">
              <w:rPr>
                <w:rFonts w:ascii="Times New Roman" w:hAnsi="Times New Roman"/>
                <w:lang w:eastAsia="sk-SK"/>
              </w:rPr>
              <w:t>Negatívne</w:t>
            </w:r>
          </w:p>
        </w:tc>
      </w:tr>
      <w:tr w:rsidR="00CD20D6" w:rsidRPr="00CD20D6" w:rsidTr="00690AEC">
        <w:tc>
          <w:tcPr>
            <w:tcW w:w="3812" w:type="dxa"/>
            <w:shd w:val="clear" w:color="auto" w:fill="E2E2E2"/>
          </w:tcPr>
          <w:p w:rsidR="00CD20D6" w:rsidRPr="00CD20D6" w:rsidRDefault="00CD20D6" w:rsidP="00CD20D6">
            <w:pPr>
              <w:rPr>
                <w:rFonts w:ascii="Times New Roman" w:hAnsi="Times New Roman"/>
                <w:b/>
                <w:lang w:eastAsia="sk-SK"/>
              </w:rPr>
            </w:pPr>
            <w:r w:rsidRPr="00CD20D6">
              <w:rPr>
                <w:rFonts w:ascii="Times New Roman" w:hAnsi="Times New Roman"/>
                <w:b/>
                <w:lang w:eastAsia="sk-SK"/>
              </w:rPr>
              <w:t>Vplyvy na informatizáciu</w:t>
            </w:r>
          </w:p>
        </w:tc>
        <w:tc>
          <w:tcPr>
            <w:tcW w:w="541" w:type="dxa"/>
            <w:gridSpan w:val="2"/>
            <w:tcBorders>
              <w:right w:val="nil"/>
            </w:tcBorders>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1281" w:type="dxa"/>
            <w:gridSpan w:val="2"/>
            <w:tcBorders>
              <w:left w:val="nil"/>
              <w:right w:val="nil"/>
            </w:tcBorders>
          </w:tcPr>
          <w:p w:rsidR="00CD20D6" w:rsidRPr="00CD20D6" w:rsidRDefault="00CD20D6" w:rsidP="00CD20D6">
            <w:pPr>
              <w:ind w:right="-108"/>
              <w:rPr>
                <w:rFonts w:ascii="Times New Roman" w:hAnsi="Times New Roman"/>
                <w:lang w:eastAsia="sk-SK"/>
              </w:rPr>
            </w:pPr>
            <w:r w:rsidRPr="00CD20D6">
              <w:rPr>
                <w:rFonts w:ascii="Times New Roman" w:hAnsi="Times New Roman"/>
                <w:lang w:eastAsia="sk-SK"/>
              </w:rPr>
              <w:t>Pozitívne</w:t>
            </w:r>
          </w:p>
        </w:tc>
        <w:tc>
          <w:tcPr>
            <w:tcW w:w="569" w:type="dxa"/>
            <w:tcBorders>
              <w:left w:val="nil"/>
              <w:right w:val="nil"/>
            </w:tcBorders>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1133" w:type="dxa"/>
            <w:tcBorders>
              <w:left w:val="nil"/>
              <w:right w:val="nil"/>
            </w:tcBorders>
          </w:tcPr>
          <w:p w:rsidR="00CD20D6" w:rsidRPr="00CD20D6" w:rsidRDefault="00CD20D6" w:rsidP="00CD20D6">
            <w:pPr>
              <w:rPr>
                <w:rFonts w:ascii="Times New Roman" w:hAnsi="Times New Roman"/>
                <w:lang w:eastAsia="sk-SK"/>
              </w:rPr>
            </w:pPr>
            <w:r w:rsidRPr="00CD20D6">
              <w:rPr>
                <w:rFonts w:ascii="Times New Roman" w:hAnsi="Times New Roman"/>
                <w:lang w:eastAsia="sk-SK"/>
              </w:rPr>
              <w:t>Žiadne</w:t>
            </w:r>
          </w:p>
        </w:tc>
        <w:tc>
          <w:tcPr>
            <w:tcW w:w="547" w:type="dxa"/>
            <w:gridSpan w:val="2"/>
            <w:tcBorders>
              <w:left w:val="nil"/>
              <w:right w:val="nil"/>
            </w:tcBorders>
          </w:tcPr>
          <w:p w:rsidR="00CD20D6" w:rsidRPr="00CD20D6" w:rsidRDefault="00CD20D6" w:rsidP="00CD20D6">
            <w:pPr>
              <w:jc w:val="center"/>
              <w:rPr>
                <w:rFonts w:ascii="Times New Roman" w:hAnsi="Times New Roman"/>
                <w:lang w:eastAsia="sk-SK"/>
              </w:rPr>
            </w:pPr>
            <w:r w:rsidRPr="00CD20D6">
              <w:rPr>
                <w:rFonts w:ascii="Segoe UI Symbol" w:eastAsia="MS Mincho" w:hAnsi="Segoe UI Symbol" w:cs="Segoe UI Symbol"/>
                <w:lang w:eastAsia="sk-SK"/>
              </w:rPr>
              <w:t>☐</w:t>
            </w:r>
          </w:p>
        </w:tc>
        <w:tc>
          <w:tcPr>
            <w:tcW w:w="1297" w:type="dxa"/>
            <w:tcBorders>
              <w:left w:val="nil"/>
            </w:tcBorders>
          </w:tcPr>
          <w:p w:rsidR="00CD20D6" w:rsidRPr="00CD20D6" w:rsidRDefault="00CD20D6" w:rsidP="00CD20D6">
            <w:pPr>
              <w:ind w:left="54"/>
              <w:rPr>
                <w:rFonts w:ascii="Times New Roman" w:hAnsi="Times New Roman"/>
                <w:lang w:eastAsia="sk-SK"/>
              </w:rPr>
            </w:pPr>
            <w:r w:rsidRPr="00CD20D6">
              <w:rPr>
                <w:rFonts w:ascii="Times New Roman" w:hAnsi="Times New Roman"/>
                <w:lang w:eastAsia="sk-SK"/>
              </w:rPr>
              <w:t>Negatívne</w:t>
            </w:r>
          </w:p>
        </w:tc>
      </w:tr>
    </w:tbl>
    <w:tbl>
      <w:tblPr>
        <w:tblW w:w="926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
        <w:gridCol w:w="3698"/>
        <w:gridCol w:w="96"/>
        <w:gridCol w:w="559"/>
        <w:gridCol w:w="1199"/>
        <w:gridCol w:w="82"/>
        <w:gridCol w:w="569"/>
        <w:gridCol w:w="1133"/>
        <w:gridCol w:w="34"/>
        <w:gridCol w:w="513"/>
        <w:gridCol w:w="1205"/>
        <w:gridCol w:w="92"/>
      </w:tblGrid>
      <w:tr w:rsidR="00CD20D6" w:rsidRPr="00CD20D6" w:rsidTr="00690AEC">
        <w:trPr>
          <w:gridBefore w:val="1"/>
          <w:wBefore w:w="84" w:type="dxa"/>
        </w:trPr>
        <w:tc>
          <w:tcPr>
            <w:tcW w:w="3794" w:type="dxa"/>
            <w:gridSpan w:val="2"/>
            <w:tcBorders>
              <w:bottom w:val="nil"/>
            </w:tcBorders>
            <w:shd w:val="clear" w:color="auto" w:fill="E2E2E2"/>
          </w:tcPr>
          <w:p w:rsidR="00CD20D6" w:rsidRPr="00CD20D6" w:rsidRDefault="00CD20D6" w:rsidP="00CD20D6">
            <w:pPr>
              <w:spacing w:after="0" w:line="240" w:lineRule="auto"/>
              <w:rPr>
                <w:rFonts w:ascii="Times New Roman" w:eastAsia="Times New Roman" w:hAnsi="Times New Roman" w:cs="Times New Roman"/>
                <w:b/>
                <w:lang w:eastAsia="sk-SK"/>
              </w:rPr>
            </w:pPr>
            <w:r w:rsidRPr="00CD20D6">
              <w:rPr>
                <w:rFonts w:ascii="Times New Roman" w:eastAsia="Times New Roman" w:hAnsi="Times New Roman" w:cs="Times New Roman"/>
                <w:b/>
              </w:rPr>
              <w:t xml:space="preserve">Vplyvy na služby verejnej správy pre občana, </w:t>
            </w:r>
            <w:r w:rsidRPr="00CD20D6">
              <w:rPr>
                <w:rFonts w:ascii="Times New Roman" w:eastAsia="Times New Roman" w:hAnsi="Times New Roman" w:cs="Times New Roman"/>
              </w:rPr>
              <w:t>z toho</w:t>
            </w:r>
          </w:p>
        </w:tc>
        <w:tc>
          <w:tcPr>
            <w:tcW w:w="559" w:type="dxa"/>
            <w:tcBorders>
              <w:bottom w:val="nil"/>
              <w:right w:val="nil"/>
            </w:tcBorders>
          </w:tcPr>
          <w:p w:rsidR="00CD20D6" w:rsidRPr="00CD20D6" w:rsidRDefault="00CD20D6" w:rsidP="00CD20D6">
            <w:pPr>
              <w:spacing w:after="0" w:line="240" w:lineRule="auto"/>
              <w:jc w:val="center"/>
              <w:rPr>
                <w:rFonts w:ascii="Times New Roman" w:eastAsia="MS Mincho" w:hAnsi="Times New Roman" w:cs="Times New Roman"/>
                <w:b/>
                <w:lang w:eastAsia="sk-SK"/>
              </w:rPr>
            </w:pPr>
          </w:p>
        </w:tc>
        <w:tc>
          <w:tcPr>
            <w:tcW w:w="1281" w:type="dxa"/>
            <w:gridSpan w:val="2"/>
            <w:tcBorders>
              <w:left w:val="nil"/>
              <w:bottom w:val="nil"/>
              <w:right w:val="nil"/>
            </w:tcBorders>
          </w:tcPr>
          <w:p w:rsidR="00CD20D6" w:rsidRPr="00CD20D6" w:rsidRDefault="00CD20D6" w:rsidP="00CD20D6">
            <w:pPr>
              <w:spacing w:after="0" w:line="240" w:lineRule="auto"/>
              <w:ind w:right="-108"/>
              <w:rPr>
                <w:rFonts w:ascii="Times New Roman" w:eastAsia="Times New Roman" w:hAnsi="Times New Roman" w:cs="Times New Roman"/>
                <w:b/>
                <w:lang w:eastAsia="sk-SK"/>
              </w:rPr>
            </w:pPr>
          </w:p>
        </w:tc>
        <w:tc>
          <w:tcPr>
            <w:tcW w:w="569" w:type="dxa"/>
            <w:tcBorders>
              <w:left w:val="nil"/>
              <w:bottom w:val="nil"/>
              <w:right w:val="nil"/>
            </w:tcBorders>
          </w:tcPr>
          <w:p w:rsidR="00CD20D6" w:rsidRPr="00CD20D6" w:rsidRDefault="00CD20D6" w:rsidP="00CD20D6">
            <w:pPr>
              <w:spacing w:after="0" w:line="240" w:lineRule="auto"/>
              <w:jc w:val="center"/>
              <w:rPr>
                <w:rFonts w:ascii="Times New Roman" w:eastAsia="MS Mincho" w:hAnsi="Times New Roman" w:cs="Times New Roman"/>
                <w:b/>
                <w:lang w:eastAsia="sk-SK"/>
              </w:rPr>
            </w:pPr>
          </w:p>
        </w:tc>
        <w:tc>
          <w:tcPr>
            <w:tcW w:w="1133" w:type="dxa"/>
            <w:tcBorders>
              <w:left w:val="nil"/>
              <w:bottom w:val="nil"/>
              <w:right w:val="nil"/>
            </w:tcBorders>
          </w:tcPr>
          <w:p w:rsidR="00CD20D6" w:rsidRPr="00CD20D6" w:rsidRDefault="00CD20D6" w:rsidP="00CD20D6">
            <w:pPr>
              <w:spacing w:after="0" w:line="240" w:lineRule="auto"/>
              <w:rPr>
                <w:rFonts w:ascii="Times New Roman" w:eastAsia="Times New Roman" w:hAnsi="Times New Roman" w:cs="Times New Roman"/>
                <w:b/>
                <w:lang w:eastAsia="sk-SK"/>
              </w:rPr>
            </w:pPr>
          </w:p>
        </w:tc>
        <w:tc>
          <w:tcPr>
            <w:tcW w:w="547" w:type="dxa"/>
            <w:gridSpan w:val="2"/>
            <w:tcBorders>
              <w:left w:val="nil"/>
              <w:bottom w:val="nil"/>
              <w:right w:val="nil"/>
            </w:tcBorders>
          </w:tcPr>
          <w:p w:rsidR="00CD20D6" w:rsidRPr="00CD20D6" w:rsidRDefault="00CD20D6" w:rsidP="00CD20D6">
            <w:pPr>
              <w:spacing w:after="0" w:line="240" w:lineRule="auto"/>
              <w:jc w:val="center"/>
              <w:rPr>
                <w:rFonts w:ascii="Times New Roman" w:eastAsia="MS Mincho" w:hAnsi="Times New Roman" w:cs="Times New Roman"/>
                <w:b/>
                <w:lang w:eastAsia="sk-SK"/>
              </w:rPr>
            </w:pPr>
          </w:p>
        </w:tc>
        <w:tc>
          <w:tcPr>
            <w:tcW w:w="1297" w:type="dxa"/>
            <w:gridSpan w:val="2"/>
            <w:tcBorders>
              <w:left w:val="nil"/>
              <w:bottom w:val="nil"/>
            </w:tcBorders>
          </w:tcPr>
          <w:p w:rsidR="00CD20D6" w:rsidRPr="00CD20D6" w:rsidRDefault="00CD20D6" w:rsidP="00CD20D6">
            <w:pPr>
              <w:spacing w:after="0" w:line="240" w:lineRule="auto"/>
              <w:ind w:left="54"/>
              <w:rPr>
                <w:rFonts w:ascii="Times New Roman" w:eastAsia="Times New Roman" w:hAnsi="Times New Roman" w:cs="Times New Roman"/>
                <w:b/>
                <w:lang w:eastAsia="sk-SK"/>
              </w:rPr>
            </w:pPr>
          </w:p>
        </w:tc>
      </w:tr>
      <w:tr w:rsidR="00CD20D6" w:rsidRPr="00CD20D6" w:rsidTr="00690AEC">
        <w:trPr>
          <w:gridBefore w:val="1"/>
          <w:wBefore w:w="84" w:type="dxa"/>
        </w:trPr>
        <w:tc>
          <w:tcPr>
            <w:tcW w:w="3794" w:type="dxa"/>
            <w:gridSpan w:val="2"/>
            <w:tcBorders>
              <w:top w:val="nil"/>
              <w:bottom w:val="nil"/>
            </w:tcBorders>
            <w:shd w:val="clear" w:color="auto" w:fill="E2E2E2"/>
          </w:tcPr>
          <w:p w:rsidR="00CD20D6" w:rsidRPr="00CD20D6" w:rsidRDefault="00CD20D6" w:rsidP="00CD20D6">
            <w:pPr>
              <w:spacing w:after="0" w:line="240" w:lineRule="auto"/>
              <w:ind w:left="196" w:hanging="196"/>
              <w:rPr>
                <w:rFonts w:ascii="Times New Roman" w:eastAsia="Times New Roman" w:hAnsi="Times New Roman" w:cs="Times New Roman"/>
              </w:rPr>
            </w:pPr>
            <w:r w:rsidRPr="00CD20D6">
              <w:rPr>
                <w:rFonts w:ascii="Times New Roman" w:eastAsia="Times New Roman" w:hAnsi="Times New Roman" w:cs="Times New Roman"/>
              </w:rPr>
              <w:t xml:space="preserve">    vplyvy služieb verejnej správy na občana</w:t>
            </w:r>
          </w:p>
        </w:tc>
        <w:tc>
          <w:tcPr>
            <w:tcW w:w="559" w:type="dxa"/>
            <w:tcBorders>
              <w:top w:val="nil"/>
              <w:bottom w:val="nil"/>
              <w:right w:val="nil"/>
            </w:tcBorders>
          </w:tcPr>
          <w:p w:rsidR="00CD20D6" w:rsidRPr="00CD20D6" w:rsidRDefault="00CD20D6" w:rsidP="00CD20D6">
            <w:pPr>
              <w:spacing w:after="0" w:line="240" w:lineRule="auto"/>
              <w:jc w:val="center"/>
              <w:rPr>
                <w:rFonts w:ascii="Times New Roman" w:eastAsia="Times New Roman" w:hAnsi="Times New Roman" w:cs="Times New Roman"/>
                <w:lang w:eastAsia="sk-SK"/>
              </w:rPr>
            </w:pPr>
            <w:r w:rsidRPr="00CD20D6">
              <w:rPr>
                <w:rFonts w:ascii="Segoe UI Symbol" w:eastAsia="MS Mincho" w:hAnsi="Segoe UI Symbol" w:cs="Segoe UI Symbol"/>
                <w:lang w:eastAsia="sk-SK"/>
              </w:rPr>
              <w:t>☐</w:t>
            </w:r>
          </w:p>
        </w:tc>
        <w:tc>
          <w:tcPr>
            <w:tcW w:w="1281" w:type="dxa"/>
            <w:gridSpan w:val="2"/>
            <w:tcBorders>
              <w:top w:val="nil"/>
              <w:left w:val="nil"/>
              <w:bottom w:val="nil"/>
              <w:right w:val="nil"/>
            </w:tcBorders>
          </w:tcPr>
          <w:p w:rsidR="00CD20D6" w:rsidRPr="00CD20D6" w:rsidRDefault="00CD20D6" w:rsidP="00CD20D6">
            <w:pPr>
              <w:spacing w:after="0" w:line="240" w:lineRule="auto"/>
              <w:ind w:right="-108"/>
              <w:rPr>
                <w:rFonts w:ascii="Times New Roman" w:eastAsia="Times New Roman" w:hAnsi="Times New Roman" w:cs="Times New Roman"/>
                <w:lang w:eastAsia="sk-SK"/>
              </w:rPr>
            </w:pPr>
            <w:r w:rsidRPr="00CD20D6">
              <w:rPr>
                <w:rFonts w:ascii="Times New Roman" w:eastAsia="Times New Roman" w:hAnsi="Times New Roman" w:cs="Times New Roman"/>
                <w:lang w:eastAsia="sk-SK"/>
              </w:rPr>
              <w:t>Pozitívne</w:t>
            </w:r>
          </w:p>
        </w:tc>
        <w:tc>
          <w:tcPr>
            <w:tcW w:w="569" w:type="dxa"/>
            <w:tcBorders>
              <w:top w:val="nil"/>
              <w:left w:val="nil"/>
              <w:bottom w:val="nil"/>
              <w:right w:val="nil"/>
            </w:tcBorders>
          </w:tcPr>
          <w:p w:rsidR="00CD20D6" w:rsidRPr="00CD20D6" w:rsidRDefault="00CD20D6" w:rsidP="00CD20D6">
            <w:pPr>
              <w:spacing w:after="0" w:line="240" w:lineRule="auto"/>
              <w:jc w:val="center"/>
              <w:rPr>
                <w:rFonts w:ascii="Times New Roman" w:eastAsia="Times New Roman" w:hAnsi="Times New Roman" w:cs="Times New Roman"/>
                <w:lang w:eastAsia="sk-SK"/>
              </w:rPr>
            </w:pPr>
            <w:r w:rsidRPr="00CD20D6">
              <w:rPr>
                <w:rFonts w:ascii="Segoe UI Symbol" w:eastAsia="MS Mincho" w:hAnsi="Segoe UI Symbol" w:cs="Segoe UI Symbol"/>
                <w:lang w:eastAsia="sk-SK"/>
              </w:rPr>
              <w:t>☒</w:t>
            </w:r>
          </w:p>
        </w:tc>
        <w:tc>
          <w:tcPr>
            <w:tcW w:w="1133" w:type="dxa"/>
            <w:tcBorders>
              <w:top w:val="nil"/>
              <w:left w:val="nil"/>
              <w:bottom w:val="nil"/>
              <w:right w:val="nil"/>
            </w:tcBorders>
          </w:tcPr>
          <w:p w:rsidR="00CD20D6" w:rsidRPr="00CD20D6" w:rsidRDefault="00CD20D6" w:rsidP="00CD20D6">
            <w:pPr>
              <w:spacing w:after="0" w:line="240" w:lineRule="auto"/>
              <w:rPr>
                <w:rFonts w:ascii="Times New Roman" w:eastAsia="Times New Roman" w:hAnsi="Times New Roman" w:cs="Times New Roman"/>
                <w:lang w:eastAsia="sk-SK"/>
              </w:rPr>
            </w:pPr>
            <w:r w:rsidRPr="00CD20D6">
              <w:rPr>
                <w:rFonts w:ascii="Times New Roman" w:eastAsia="Times New Roman" w:hAnsi="Times New Roman" w:cs="Times New Roman"/>
                <w:lang w:eastAsia="sk-SK"/>
              </w:rPr>
              <w:t>Žiadne</w:t>
            </w:r>
          </w:p>
        </w:tc>
        <w:tc>
          <w:tcPr>
            <w:tcW w:w="547" w:type="dxa"/>
            <w:gridSpan w:val="2"/>
            <w:tcBorders>
              <w:top w:val="nil"/>
              <w:left w:val="nil"/>
              <w:bottom w:val="nil"/>
              <w:right w:val="nil"/>
            </w:tcBorders>
          </w:tcPr>
          <w:p w:rsidR="00CD20D6" w:rsidRPr="00CD20D6" w:rsidRDefault="00CD20D6" w:rsidP="00CD20D6">
            <w:pPr>
              <w:spacing w:after="0" w:line="240" w:lineRule="auto"/>
              <w:jc w:val="center"/>
              <w:rPr>
                <w:rFonts w:ascii="Times New Roman" w:eastAsia="Times New Roman" w:hAnsi="Times New Roman" w:cs="Times New Roman"/>
                <w:lang w:eastAsia="sk-SK"/>
              </w:rPr>
            </w:pPr>
            <w:r w:rsidRPr="00CD20D6">
              <w:rPr>
                <w:rFonts w:ascii="Segoe UI Symbol" w:eastAsia="MS Mincho" w:hAnsi="Segoe UI Symbol" w:cs="Segoe UI Symbol"/>
                <w:lang w:eastAsia="sk-SK"/>
              </w:rPr>
              <w:t>☐</w:t>
            </w:r>
          </w:p>
        </w:tc>
        <w:tc>
          <w:tcPr>
            <w:tcW w:w="1297" w:type="dxa"/>
            <w:gridSpan w:val="2"/>
            <w:tcBorders>
              <w:top w:val="nil"/>
              <w:left w:val="nil"/>
              <w:bottom w:val="nil"/>
            </w:tcBorders>
          </w:tcPr>
          <w:p w:rsidR="00CD20D6" w:rsidRPr="00CD20D6" w:rsidRDefault="00CD20D6" w:rsidP="00CD20D6">
            <w:pPr>
              <w:spacing w:after="0" w:line="240" w:lineRule="auto"/>
              <w:ind w:left="54"/>
              <w:rPr>
                <w:rFonts w:ascii="Times New Roman" w:eastAsia="Times New Roman" w:hAnsi="Times New Roman" w:cs="Times New Roman"/>
                <w:lang w:eastAsia="sk-SK"/>
              </w:rPr>
            </w:pPr>
            <w:r w:rsidRPr="00CD20D6">
              <w:rPr>
                <w:rFonts w:ascii="Times New Roman" w:eastAsia="Times New Roman" w:hAnsi="Times New Roman" w:cs="Times New Roman"/>
                <w:lang w:eastAsia="sk-SK"/>
              </w:rPr>
              <w:t>Negatívne</w:t>
            </w:r>
          </w:p>
        </w:tc>
      </w:tr>
      <w:tr w:rsidR="00CD20D6" w:rsidRPr="00CD20D6" w:rsidTr="00690AEC">
        <w:trPr>
          <w:gridBefore w:val="1"/>
          <w:wBefore w:w="84" w:type="dxa"/>
        </w:trPr>
        <w:tc>
          <w:tcPr>
            <w:tcW w:w="3794" w:type="dxa"/>
            <w:gridSpan w:val="2"/>
            <w:tcBorders>
              <w:top w:val="nil"/>
            </w:tcBorders>
            <w:shd w:val="clear" w:color="auto" w:fill="E2E2E2"/>
          </w:tcPr>
          <w:p w:rsidR="00CD20D6" w:rsidRPr="00CD20D6" w:rsidRDefault="00CD20D6" w:rsidP="00CD20D6">
            <w:pPr>
              <w:spacing w:after="0" w:line="240" w:lineRule="auto"/>
              <w:ind w:left="168" w:hanging="168"/>
              <w:rPr>
                <w:rFonts w:ascii="Times New Roman" w:eastAsia="Times New Roman" w:hAnsi="Times New Roman" w:cs="Times New Roman"/>
              </w:rPr>
            </w:pPr>
            <w:r w:rsidRPr="00CD20D6">
              <w:rPr>
                <w:rFonts w:ascii="Times New Roman" w:eastAsia="Times New Roman" w:hAnsi="Times New Roman" w:cs="Times New Roman"/>
              </w:rPr>
              <w:t xml:space="preserve">    vplyvy na procesy služieb vo verejnej správe</w:t>
            </w:r>
          </w:p>
        </w:tc>
        <w:tc>
          <w:tcPr>
            <w:tcW w:w="559" w:type="dxa"/>
            <w:tcBorders>
              <w:top w:val="nil"/>
              <w:right w:val="nil"/>
            </w:tcBorders>
          </w:tcPr>
          <w:p w:rsidR="00CD20D6" w:rsidRPr="00CD20D6" w:rsidRDefault="00CD20D6" w:rsidP="00CD20D6">
            <w:pPr>
              <w:spacing w:after="0" w:line="240" w:lineRule="auto"/>
              <w:jc w:val="center"/>
              <w:rPr>
                <w:rFonts w:ascii="Times New Roman" w:eastAsia="Times New Roman" w:hAnsi="Times New Roman" w:cs="Times New Roman"/>
                <w:lang w:eastAsia="sk-SK"/>
              </w:rPr>
            </w:pPr>
            <w:r w:rsidRPr="00CD20D6">
              <w:rPr>
                <w:rFonts w:ascii="Segoe UI Symbol" w:eastAsia="MS Mincho" w:hAnsi="Segoe UI Symbol" w:cs="Segoe UI Symbol"/>
                <w:lang w:eastAsia="sk-SK"/>
              </w:rPr>
              <w:t>☐</w:t>
            </w:r>
          </w:p>
        </w:tc>
        <w:tc>
          <w:tcPr>
            <w:tcW w:w="1281" w:type="dxa"/>
            <w:gridSpan w:val="2"/>
            <w:tcBorders>
              <w:top w:val="nil"/>
              <w:left w:val="nil"/>
              <w:right w:val="nil"/>
            </w:tcBorders>
          </w:tcPr>
          <w:p w:rsidR="00CD20D6" w:rsidRPr="00CD20D6" w:rsidRDefault="00CD20D6" w:rsidP="00CD20D6">
            <w:pPr>
              <w:spacing w:after="0" w:line="240" w:lineRule="auto"/>
              <w:ind w:right="-108"/>
              <w:rPr>
                <w:rFonts w:ascii="Times New Roman" w:eastAsia="Times New Roman" w:hAnsi="Times New Roman" w:cs="Times New Roman"/>
                <w:lang w:eastAsia="sk-SK"/>
              </w:rPr>
            </w:pPr>
            <w:r w:rsidRPr="00CD20D6">
              <w:rPr>
                <w:rFonts w:ascii="Times New Roman" w:eastAsia="Times New Roman" w:hAnsi="Times New Roman" w:cs="Times New Roman"/>
                <w:lang w:eastAsia="sk-SK"/>
              </w:rPr>
              <w:t>Pozitívne</w:t>
            </w:r>
          </w:p>
        </w:tc>
        <w:tc>
          <w:tcPr>
            <w:tcW w:w="569" w:type="dxa"/>
            <w:tcBorders>
              <w:top w:val="nil"/>
              <w:left w:val="nil"/>
              <w:right w:val="nil"/>
            </w:tcBorders>
          </w:tcPr>
          <w:p w:rsidR="00CD20D6" w:rsidRPr="00CD20D6" w:rsidRDefault="00CD20D6" w:rsidP="00CD20D6">
            <w:pPr>
              <w:spacing w:after="0" w:line="240" w:lineRule="auto"/>
              <w:jc w:val="center"/>
              <w:rPr>
                <w:rFonts w:ascii="Times New Roman" w:eastAsia="Times New Roman" w:hAnsi="Times New Roman" w:cs="Times New Roman"/>
                <w:lang w:eastAsia="sk-SK"/>
              </w:rPr>
            </w:pPr>
            <w:r w:rsidRPr="00CD20D6">
              <w:rPr>
                <w:rFonts w:ascii="Segoe UI Symbol" w:eastAsia="MS Mincho" w:hAnsi="Segoe UI Symbol" w:cs="Segoe UI Symbol"/>
                <w:lang w:eastAsia="sk-SK"/>
              </w:rPr>
              <w:t>☒</w:t>
            </w:r>
          </w:p>
        </w:tc>
        <w:tc>
          <w:tcPr>
            <w:tcW w:w="1133" w:type="dxa"/>
            <w:tcBorders>
              <w:top w:val="nil"/>
              <w:left w:val="nil"/>
              <w:right w:val="nil"/>
            </w:tcBorders>
          </w:tcPr>
          <w:p w:rsidR="00CD20D6" w:rsidRPr="00CD20D6" w:rsidRDefault="00CD20D6" w:rsidP="00CD20D6">
            <w:pPr>
              <w:spacing w:after="0" w:line="240" w:lineRule="auto"/>
              <w:rPr>
                <w:rFonts w:ascii="Times New Roman" w:eastAsia="Times New Roman" w:hAnsi="Times New Roman" w:cs="Times New Roman"/>
                <w:lang w:eastAsia="sk-SK"/>
              </w:rPr>
            </w:pPr>
            <w:r w:rsidRPr="00CD20D6">
              <w:rPr>
                <w:rFonts w:ascii="Times New Roman" w:eastAsia="Times New Roman" w:hAnsi="Times New Roman" w:cs="Times New Roman"/>
                <w:lang w:eastAsia="sk-SK"/>
              </w:rPr>
              <w:t>Žiadne</w:t>
            </w:r>
          </w:p>
        </w:tc>
        <w:tc>
          <w:tcPr>
            <w:tcW w:w="547" w:type="dxa"/>
            <w:gridSpan w:val="2"/>
            <w:tcBorders>
              <w:top w:val="nil"/>
              <w:left w:val="nil"/>
              <w:right w:val="nil"/>
            </w:tcBorders>
          </w:tcPr>
          <w:p w:rsidR="00CD20D6" w:rsidRPr="00CD20D6" w:rsidRDefault="00CD20D6" w:rsidP="00CD20D6">
            <w:pPr>
              <w:spacing w:after="0" w:line="240" w:lineRule="auto"/>
              <w:jc w:val="center"/>
              <w:rPr>
                <w:rFonts w:ascii="Times New Roman" w:eastAsia="Times New Roman" w:hAnsi="Times New Roman" w:cs="Times New Roman"/>
                <w:lang w:eastAsia="sk-SK"/>
              </w:rPr>
            </w:pPr>
            <w:r w:rsidRPr="00CD20D6">
              <w:rPr>
                <w:rFonts w:ascii="Segoe UI Symbol" w:eastAsia="MS Mincho" w:hAnsi="Segoe UI Symbol" w:cs="Segoe UI Symbol"/>
                <w:lang w:eastAsia="sk-SK"/>
              </w:rPr>
              <w:t>☐</w:t>
            </w:r>
          </w:p>
        </w:tc>
        <w:tc>
          <w:tcPr>
            <w:tcW w:w="1297" w:type="dxa"/>
            <w:gridSpan w:val="2"/>
            <w:tcBorders>
              <w:top w:val="nil"/>
              <w:left w:val="nil"/>
            </w:tcBorders>
          </w:tcPr>
          <w:p w:rsidR="00CD20D6" w:rsidRPr="00CD20D6" w:rsidRDefault="00CD20D6" w:rsidP="00CD20D6">
            <w:pPr>
              <w:spacing w:after="0" w:line="240" w:lineRule="auto"/>
              <w:ind w:left="54"/>
              <w:rPr>
                <w:rFonts w:ascii="Times New Roman" w:eastAsia="Times New Roman" w:hAnsi="Times New Roman" w:cs="Times New Roman"/>
                <w:lang w:eastAsia="sk-SK"/>
              </w:rPr>
            </w:pPr>
            <w:r w:rsidRPr="00CD20D6">
              <w:rPr>
                <w:rFonts w:ascii="Times New Roman" w:eastAsia="Times New Roman" w:hAnsi="Times New Roman" w:cs="Times New Roman"/>
                <w:lang w:eastAsia="sk-SK"/>
              </w:rPr>
              <w:t>Negatívne</w:t>
            </w:r>
          </w:p>
        </w:tc>
      </w:tr>
      <w:tr w:rsidR="00CD20D6" w:rsidRPr="00CD20D6" w:rsidTr="00690AEC">
        <w:tblPrEx>
          <w:jc w:val="center"/>
          <w:tblInd w:w="0" w:type="dxa"/>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left w:w="0" w:type="dxa"/>
            <w:right w:w="0" w:type="dxa"/>
          </w:tblCellMar>
        </w:tblPrEx>
        <w:trPr>
          <w:gridAfter w:val="1"/>
          <w:wAfter w:w="92" w:type="dxa"/>
          <w:trHeight w:val="270"/>
          <w:jc w:val="center"/>
        </w:trPr>
        <w:tc>
          <w:tcPr>
            <w:tcW w:w="378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CD20D6" w:rsidRPr="00CD20D6" w:rsidRDefault="00CD20D6" w:rsidP="00CD20D6">
            <w:pPr>
              <w:spacing w:after="0" w:line="240" w:lineRule="auto"/>
              <w:ind w:left="90"/>
              <w:rPr>
                <w:rFonts w:ascii="Times New Roman" w:eastAsia="Times New Roman" w:hAnsi="Times New Roman" w:cs="Times New Roman"/>
                <w:sz w:val="20"/>
                <w:szCs w:val="20"/>
                <w:lang w:eastAsia="sk-SK"/>
              </w:rPr>
            </w:pPr>
            <w:r w:rsidRPr="00CD20D6">
              <w:rPr>
                <w:rFonts w:ascii="Times New Roman" w:eastAsia="Times New Roman" w:hAnsi="Times New Roman" w:cs="Times New Roman"/>
                <w:b/>
                <w:bCs/>
                <w:szCs w:val="20"/>
                <w:lang w:eastAsia="sk-SK"/>
              </w:rPr>
              <w:t xml:space="preserve">Vplyvy na manželstvo, rodičovstvo a rodinu </w:t>
            </w:r>
          </w:p>
        </w:tc>
        <w:tc>
          <w:tcPr>
            <w:tcW w:w="1854" w:type="dxa"/>
            <w:gridSpan w:val="3"/>
            <w:tcBorders>
              <w:top w:val="single" w:sz="4" w:space="0" w:color="auto"/>
              <w:left w:val="single" w:sz="4" w:space="0" w:color="auto"/>
              <w:bottom w:val="single" w:sz="4" w:space="0" w:color="auto"/>
              <w:right w:val="nil"/>
            </w:tcBorders>
            <w:vAlign w:val="center"/>
            <w:hideMark/>
          </w:tcPr>
          <w:p w:rsidR="00CD20D6" w:rsidRPr="00CD20D6" w:rsidRDefault="00CD20D6" w:rsidP="00CD20D6">
            <w:pPr>
              <w:spacing w:after="0" w:line="240" w:lineRule="auto"/>
              <w:rPr>
                <w:rFonts w:ascii="Times New Roman" w:eastAsia="Times New Roman" w:hAnsi="Times New Roman" w:cs="Times New Roman"/>
                <w:lang w:eastAsia="sk-SK"/>
              </w:rPr>
            </w:pPr>
            <w:r w:rsidRPr="00CD20D6">
              <w:rPr>
                <w:rFonts w:ascii="Times New Roman" w:eastAsia="Times New Roman" w:hAnsi="Times New Roman" w:cs="Times New Roman"/>
                <w:lang w:eastAsia="sk-SK"/>
              </w:rPr>
              <w:t xml:space="preserve">  </w:t>
            </w:r>
            <w:r w:rsidRPr="00CD20D6">
              <w:rPr>
                <w:rFonts w:ascii="Segoe UI Symbol" w:eastAsia="MS Mincho" w:hAnsi="Segoe UI Symbol" w:cs="Segoe UI Symbol"/>
                <w:lang w:eastAsia="sk-SK"/>
              </w:rPr>
              <w:t>☐</w:t>
            </w:r>
            <w:r w:rsidRPr="00CD20D6">
              <w:rPr>
                <w:rFonts w:ascii="Times New Roman" w:eastAsia="Times New Roman" w:hAnsi="Times New Roman" w:cs="Times New Roman"/>
                <w:lang w:eastAsia="sk-SK"/>
              </w:rPr>
              <w:t xml:space="preserve">     Pozitívne</w:t>
            </w:r>
          </w:p>
        </w:tc>
        <w:tc>
          <w:tcPr>
            <w:tcW w:w="1818" w:type="dxa"/>
            <w:gridSpan w:val="4"/>
            <w:tcBorders>
              <w:top w:val="single" w:sz="4" w:space="0" w:color="auto"/>
              <w:left w:val="nil"/>
              <w:bottom w:val="single" w:sz="4" w:space="0" w:color="auto"/>
              <w:right w:val="nil"/>
            </w:tcBorders>
            <w:vAlign w:val="center"/>
            <w:hideMark/>
          </w:tcPr>
          <w:p w:rsidR="00CD20D6" w:rsidRPr="00CD20D6" w:rsidRDefault="00CD20D6" w:rsidP="00CD20D6">
            <w:pPr>
              <w:spacing w:after="0" w:line="240" w:lineRule="auto"/>
              <w:rPr>
                <w:rFonts w:ascii="Times New Roman" w:eastAsia="Times New Roman" w:hAnsi="Times New Roman" w:cs="Times New Roman"/>
                <w:lang w:eastAsia="sk-SK"/>
              </w:rPr>
            </w:pPr>
            <w:r w:rsidRPr="00CD20D6">
              <w:rPr>
                <w:rFonts w:ascii="Times New Roman" w:eastAsia="Times New Roman" w:hAnsi="Times New Roman" w:cs="Times New Roman"/>
                <w:lang w:eastAsia="sk-SK"/>
              </w:rPr>
              <w:t xml:space="preserve">   </w:t>
            </w:r>
            <w:r w:rsidRPr="00CD20D6">
              <w:rPr>
                <w:rFonts w:ascii="Segoe UI Symbol" w:eastAsia="MS Mincho" w:hAnsi="Segoe UI Symbol" w:cs="Segoe UI Symbol"/>
                <w:lang w:eastAsia="sk-SK"/>
              </w:rPr>
              <w:t xml:space="preserve">☒    </w:t>
            </w:r>
            <w:r w:rsidRPr="00CD20D6">
              <w:rPr>
                <w:rFonts w:ascii="Times New Roman" w:eastAsia="Times New Roman" w:hAnsi="Times New Roman" w:cs="Times New Roman"/>
                <w:lang w:eastAsia="sk-SK"/>
              </w:rPr>
              <w:t>Žiadne</w:t>
            </w:r>
          </w:p>
        </w:tc>
        <w:tc>
          <w:tcPr>
            <w:tcW w:w="1718" w:type="dxa"/>
            <w:gridSpan w:val="2"/>
            <w:tcBorders>
              <w:top w:val="single" w:sz="4" w:space="0" w:color="auto"/>
              <w:left w:val="nil"/>
              <w:bottom w:val="single" w:sz="4" w:space="0" w:color="auto"/>
              <w:right w:val="single" w:sz="4" w:space="0" w:color="auto"/>
            </w:tcBorders>
            <w:vAlign w:val="center"/>
            <w:hideMark/>
          </w:tcPr>
          <w:p w:rsidR="00CD20D6" w:rsidRPr="00CD20D6" w:rsidRDefault="00CD20D6" w:rsidP="00CD20D6">
            <w:pPr>
              <w:spacing w:after="0" w:line="240" w:lineRule="auto"/>
              <w:rPr>
                <w:rFonts w:ascii="Times New Roman" w:eastAsia="Times New Roman" w:hAnsi="Times New Roman" w:cs="Times New Roman"/>
                <w:lang w:eastAsia="sk-SK"/>
              </w:rPr>
            </w:pPr>
            <w:r w:rsidRPr="00CD20D6">
              <w:rPr>
                <w:rFonts w:ascii="Times New Roman" w:eastAsia="Times New Roman" w:hAnsi="Times New Roman" w:cs="Times New Roman"/>
                <w:lang w:eastAsia="sk-SK"/>
              </w:rPr>
              <w:t> </w:t>
            </w:r>
            <w:r w:rsidRPr="00CD20D6">
              <w:rPr>
                <w:rFonts w:ascii="Segoe UI Symbol" w:eastAsia="MS Mincho" w:hAnsi="Segoe UI Symbol" w:cs="Segoe UI Symbol"/>
                <w:lang w:eastAsia="sk-SK"/>
              </w:rPr>
              <w:t>☐</w:t>
            </w:r>
            <w:r w:rsidRPr="00CD20D6">
              <w:rPr>
                <w:rFonts w:ascii="Times New Roman" w:eastAsia="Times New Roman" w:hAnsi="Times New Roman" w:cs="Times New Roman"/>
                <w:lang w:eastAsia="sk-SK"/>
              </w:rPr>
              <w:t>     Negatívne</w:t>
            </w:r>
          </w:p>
        </w:tc>
      </w:tr>
    </w:tbl>
    <w:p w:rsidR="00CD20D6" w:rsidRPr="00CD20D6" w:rsidRDefault="00CD20D6" w:rsidP="00CD20D6">
      <w:pPr>
        <w:spacing w:after="0" w:line="240" w:lineRule="auto"/>
        <w:ind w:right="141"/>
        <w:rPr>
          <w:rFonts w:ascii="Times New Roman" w:eastAsia="Times New Roman" w:hAnsi="Times New Roman" w:cs="Times New Roman"/>
          <w:b/>
          <w:highlight w:val="cyan"/>
          <w:lang w:eastAsia="sk-SK"/>
        </w:rPr>
      </w:pPr>
    </w:p>
    <w:tbl>
      <w:tblPr>
        <w:tblStyle w:val="Mriekatabuky1"/>
        <w:tblW w:w="9176" w:type="dxa"/>
        <w:tblLayout w:type="fixed"/>
        <w:tblLook w:val="04A0" w:firstRow="1" w:lastRow="0" w:firstColumn="1" w:lastColumn="0" w:noHBand="0" w:noVBand="1"/>
      </w:tblPr>
      <w:tblGrid>
        <w:gridCol w:w="9176"/>
      </w:tblGrid>
      <w:tr w:rsidR="00CD20D6" w:rsidRPr="00CD20D6" w:rsidTr="00690AEC">
        <w:tc>
          <w:tcPr>
            <w:tcW w:w="9176" w:type="dxa"/>
            <w:tcBorders>
              <w:bottom w:val="nil"/>
            </w:tcBorders>
            <w:shd w:val="clear" w:color="auto" w:fill="E2E2E2"/>
          </w:tcPr>
          <w:p w:rsidR="00CD20D6" w:rsidRPr="00CD20D6" w:rsidRDefault="00CD20D6" w:rsidP="00CD20D6">
            <w:pPr>
              <w:numPr>
                <w:ilvl w:val="0"/>
                <w:numId w:val="1"/>
              </w:numPr>
              <w:ind w:left="426"/>
              <w:contextualSpacing/>
              <w:rPr>
                <w:rFonts w:ascii="Times New Roman" w:hAnsi="Times New Roman"/>
                <w:b/>
              </w:rPr>
            </w:pPr>
            <w:r w:rsidRPr="00CD20D6">
              <w:rPr>
                <w:rFonts w:ascii="Times New Roman" w:hAnsi="Times New Roman"/>
                <w:b/>
              </w:rPr>
              <w:t>Poznámky</w:t>
            </w:r>
          </w:p>
        </w:tc>
      </w:tr>
      <w:tr w:rsidR="00CD20D6" w:rsidRPr="00CD20D6" w:rsidTr="00CD20D6">
        <w:trPr>
          <w:trHeight w:val="402"/>
        </w:trPr>
        <w:tc>
          <w:tcPr>
            <w:tcW w:w="9176" w:type="dxa"/>
            <w:tcBorders>
              <w:top w:val="nil"/>
              <w:bottom w:val="single" w:sz="4" w:space="0" w:color="FFFFFF"/>
            </w:tcBorders>
          </w:tcPr>
          <w:p w:rsidR="00CD20D6" w:rsidRPr="00CD20D6" w:rsidRDefault="00CD20D6" w:rsidP="00CD20D6">
            <w:pPr>
              <w:jc w:val="both"/>
              <w:rPr>
                <w:rFonts w:ascii="Times New Roman" w:hAnsi="Times New Roman"/>
                <w:lang w:eastAsia="sk-SK"/>
              </w:rPr>
            </w:pPr>
            <w:r w:rsidRPr="00CD20D6">
              <w:rPr>
                <w:rFonts w:ascii="Times New Roman" w:hAnsi="Times New Roman"/>
                <w:i/>
                <w:iCs/>
                <w:color w:val="000000"/>
                <w:lang w:eastAsia="sk-SK"/>
              </w:rPr>
              <w:t>V prípade potreby uveďte doplňujúce informácie k návrhu.</w:t>
            </w:r>
          </w:p>
          <w:p w:rsidR="00CD20D6" w:rsidRPr="00CD20D6" w:rsidRDefault="00CD20D6" w:rsidP="00CD20D6">
            <w:pPr>
              <w:jc w:val="both"/>
              <w:rPr>
                <w:rFonts w:ascii="Times New Roman" w:hAnsi="Times New Roman"/>
                <w:lang w:eastAsia="sk-SK"/>
              </w:rPr>
            </w:pPr>
            <w:r w:rsidRPr="00CD20D6">
              <w:rPr>
                <w:rFonts w:ascii="Times New Roman" w:hAnsi="Times New Roman"/>
                <w:lang w:eastAsia="sk-SK"/>
              </w:rPr>
              <w:t>-</w:t>
            </w:r>
          </w:p>
        </w:tc>
      </w:tr>
      <w:tr w:rsidR="00CD20D6" w:rsidRPr="00CD20D6" w:rsidTr="00CD20D6">
        <w:tc>
          <w:tcPr>
            <w:tcW w:w="9176" w:type="dxa"/>
            <w:tcBorders>
              <w:bottom w:val="single" w:sz="4" w:space="0" w:color="FFFFFF"/>
            </w:tcBorders>
            <w:shd w:val="clear" w:color="auto" w:fill="E2E2E2"/>
          </w:tcPr>
          <w:p w:rsidR="00CD20D6" w:rsidRPr="00CD20D6" w:rsidRDefault="00CD20D6" w:rsidP="00CD20D6">
            <w:pPr>
              <w:numPr>
                <w:ilvl w:val="0"/>
                <w:numId w:val="1"/>
              </w:numPr>
              <w:ind w:left="426"/>
              <w:contextualSpacing/>
              <w:rPr>
                <w:rFonts w:ascii="Times New Roman" w:hAnsi="Times New Roman"/>
                <w:b/>
              </w:rPr>
            </w:pPr>
            <w:r w:rsidRPr="00CD20D6">
              <w:rPr>
                <w:rFonts w:ascii="Times New Roman" w:hAnsi="Times New Roman"/>
                <w:b/>
              </w:rPr>
              <w:t>Kontakt na spracovateľa</w:t>
            </w:r>
          </w:p>
        </w:tc>
      </w:tr>
      <w:tr w:rsidR="00CD20D6" w:rsidRPr="00CD20D6" w:rsidTr="00CD20D6">
        <w:trPr>
          <w:trHeight w:val="586"/>
        </w:trPr>
        <w:tc>
          <w:tcPr>
            <w:tcW w:w="9176" w:type="dxa"/>
            <w:tcBorders>
              <w:top w:val="single" w:sz="4" w:space="0" w:color="FFFFFF"/>
            </w:tcBorders>
            <w:shd w:val="clear" w:color="auto" w:fill="FFFFFF"/>
          </w:tcPr>
          <w:p w:rsidR="00CD20D6" w:rsidRPr="00CD20D6" w:rsidRDefault="00CD20D6" w:rsidP="00CD20D6">
            <w:pPr>
              <w:jc w:val="both"/>
              <w:rPr>
                <w:rFonts w:ascii="Times New Roman" w:hAnsi="Times New Roman"/>
                <w:i/>
                <w:lang w:eastAsia="sk-SK"/>
              </w:rPr>
            </w:pPr>
            <w:r w:rsidRPr="00CD20D6">
              <w:rPr>
                <w:rFonts w:ascii="Times New Roman" w:hAnsi="Times New Roman"/>
                <w:i/>
                <w:lang w:eastAsia="sk-SK"/>
              </w:rPr>
              <w:t>Uveďte údaje na kontaktnú osobu, ktorú je možné kontaktovať v súvislosti s posúdením vybraných vplyvov</w:t>
            </w:r>
          </w:p>
          <w:p w:rsidR="00CD20D6" w:rsidRPr="00CD20D6" w:rsidRDefault="00CD20D6" w:rsidP="00CD20D6">
            <w:pPr>
              <w:rPr>
                <w:rFonts w:ascii="Times New Roman" w:hAnsi="Times New Roman"/>
                <w:lang w:eastAsia="sk-SK"/>
              </w:rPr>
            </w:pPr>
            <w:r w:rsidRPr="00CD20D6">
              <w:rPr>
                <w:rFonts w:ascii="Times New Roman" w:hAnsi="Times New Roman"/>
                <w:lang w:eastAsia="sk-SK"/>
              </w:rPr>
              <w:t>Ministerstvo dopravy a výstavby Slovenskej republiky</w:t>
            </w:r>
          </w:p>
          <w:p w:rsidR="00CD20D6" w:rsidRPr="00CD20D6" w:rsidRDefault="00CD20D6" w:rsidP="00CD20D6">
            <w:pPr>
              <w:rPr>
                <w:rFonts w:ascii="Times New Roman" w:hAnsi="Times New Roman"/>
                <w:lang w:eastAsia="sk-SK"/>
              </w:rPr>
            </w:pPr>
            <w:r w:rsidRPr="00CD20D6">
              <w:rPr>
                <w:rFonts w:ascii="Times New Roman" w:hAnsi="Times New Roman"/>
                <w:lang w:eastAsia="sk-SK"/>
              </w:rPr>
              <w:t>Sekcia cestnej dopravy a pozemných komunikácií</w:t>
            </w:r>
          </w:p>
          <w:p w:rsidR="00CD20D6" w:rsidRPr="00CD20D6" w:rsidRDefault="00CD20D6" w:rsidP="00CD20D6">
            <w:pPr>
              <w:rPr>
                <w:rFonts w:ascii="Times New Roman" w:hAnsi="Times New Roman"/>
                <w:lang w:eastAsia="sk-SK"/>
              </w:rPr>
            </w:pPr>
            <w:r w:rsidRPr="00CD20D6">
              <w:rPr>
                <w:rFonts w:ascii="Times New Roman" w:hAnsi="Times New Roman"/>
                <w:lang w:eastAsia="sk-SK"/>
              </w:rPr>
              <w:t>Štátny dopravný úrad</w:t>
            </w:r>
          </w:p>
          <w:p w:rsidR="00CD20D6" w:rsidRPr="00CD20D6" w:rsidRDefault="00CD20D6" w:rsidP="00CD20D6">
            <w:pPr>
              <w:rPr>
                <w:rFonts w:ascii="Times New Roman" w:hAnsi="Times New Roman"/>
                <w:lang w:eastAsia="sk-SK"/>
              </w:rPr>
            </w:pPr>
            <w:r w:rsidRPr="00CD20D6">
              <w:rPr>
                <w:rFonts w:ascii="Times New Roman" w:hAnsi="Times New Roman"/>
                <w:lang w:eastAsia="sk-SK"/>
              </w:rPr>
              <w:t xml:space="preserve">Ing. Ľubomír Moravčík, PhD. – </w:t>
            </w:r>
            <w:hyperlink r:id="rId5" w:history="1">
              <w:r w:rsidRPr="00CD20D6">
                <w:rPr>
                  <w:rFonts w:ascii="Times New Roman" w:hAnsi="Times New Roman"/>
                  <w:color w:val="0000FF"/>
                  <w:u w:val="single"/>
                  <w:lang w:eastAsia="sk-SK"/>
                </w:rPr>
                <w:t>lubomir.moravcik@mindop.sk</w:t>
              </w:r>
            </w:hyperlink>
          </w:p>
        </w:tc>
      </w:tr>
      <w:tr w:rsidR="00CD20D6" w:rsidRPr="00CD20D6" w:rsidTr="00CD20D6">
        <w:tc>
          <w:tcPr>
            <w:tcW w:w="9176" w:type="dxa"/>
            <w:tcBorders>
              <w:bottom w:val="single" w:sz="4" w:space="0" w:color="FFFFFF"/>
            </w:tcBorders>
            <w:shd w:val="clear" w:color="auto" w:fill="E2E2E2"/>
          </w:tcPr>
          <w:p w:rsidR="00CD20D6" w:rsidRPr="00CD20D6" w:rsidRDefault="00CD20D6" w:rsidP="00CD20D6">
            <w:pPr>
              <w:numPr>
                <w:ilvl w:val="0"/>
                <w:numId w:val="1"/>
              </w:numPr>
              <w:ind w:left="426"/>
              <w:contextualSpacing/>
              <w:rPr>
                <w:rFonts w:ascii="Times New Roman" w:hAnsi="Times New Roman"/>
                <w:b/>
              </w:rPr>
            </w:pPr>
            <w:r w:rsidRPr="00CD20D6">
              <w:rPr>
                <w:rFonts w:ascii="Times New Roman" w:hAnsi="Times New Roman"/>
                <w:b/>
              </w:rPr>
              <w:t>Zdroje</w:t>
            </w:r>
          </w:p>
        </w:tc>
      </w:tr>
      <w:tr w:rsidR="00CD20D6" w:rsidRPr="00CD20D6" w:rsidTr="00CD20D6">
        <w:trPr>
          <w:trHeight w:val="401"/>
        </w:trPr>
        <w:tc>
          <w:tcPr>
            <w:tcW w:w="9176" w:type="dxa"/>
            <w:tcBorders>
              <w:top w:val="single" w:sz="4" w:space="0" w:color="FFFFFF"/>
            </w:tcBorders>
            <w:shd w:val="clear" w:color="auto" w:fill="FFFFFF"/>
          </w:tcPr>
          <w:p w:rsidR="00CD20D6" w:rsidRPr="00CD20D6" w:rsidRDefault="00CD20D6" w:rsidP="00CD20D6">
            <w:pPr>
              <w:jc w:val="both"/>
              <w:rPr>
                <w:rFonts w:ascii="Times New Roman" w:hAnsi="Times New Roman"/>
                <w:b/>
                <w:lang w:eastAsia="sk-SK"/>
              </w:rPr>
            </w:pPr>
            <w:r w:rsidRPr="00CD20D6">
              <w:rPr>
                <w:rFonts w:ascii="Times New Roman" w:hAnsi="Times New Roman"/>
                <w:lang w:eastAsia="sk-SK"/>
              </w:rPr>
              <w:t>Zástupcovia výrobcov vozidiel, Zväz automobilového priemyslu Slovenskej republiky.</w:t>
            </w:r>
          </w:p>
        </w:tc>
      </w:tr>
      <w:tr w:rsidR="00CD20D6" w:rsidRPr="00CD20D6" w:rsidTr="00CD20D6">
        <w:tc>
          <w:tcPr>
            <w:tcW w:w="9176" w:type="dxa"/>
            <w:tcBorders>
              <w:bottom w:val="single" w:sz="4" w:space="0" w:color="FFFFFF"/>
            </w:tcBorders>
            <w:shd w:val="clear" w:color="auto" w:fill="E2E2E2"/>
          </w:tcPr>
          <w:p w:rsidR="00CD20D6" w:rsidRPr="00CD20D6" w:rsidRDefault="00CD20D6" w:rsidP="00CD20D6">
            <w:pPr>
              <w:numPr>
                <w:ilvl w:val="0"/>
                <w:numId w:val="1"/>
              </w:numPr>
              <w:ind w:left="426"/>
              <w:contextualSpacing/>
              <w:rPr>
                <w:rFonts w:ascii="Times New Roman" w:hAnsi="Times New Roman"/>
                <w:b/>
              </w:rPr>
            </w:pPr>
            <w:r w:rsidRPr="00CD20D6">
              <w:rPr>
                <w:rFonts w:ascii="Times New Roman" w:hAnsi="Times New Roman"/>
                <w:b/>
              </w:rPr>
              <w:t>Stanovisko Komisie pre posudzovanie vybraných vplyvov z PPK</w:t>
            </w:r>
          </w:p>
        </w:tc>
      </w:tr>
      <w:tr w:rsidR="00CD20D6" w:rsidRPr="00CD20D6" w:rsidTr="00CD20D6">
        <w:tc>
          <w:tcPr>
            <w:tcW w:w="9176" w:type="dxa"/>
            <w:tcBorders>
              <w:top w:val="single" w:sz="4" w:space="0" w:color="FFFFFF"/>
            </w:tcBorders>
            <w:shd w:val="clear" w:color="auto" w:fill="FFFFFF"/>
          </w:tcPr>
          <w:p w:rsidR="00CD20D6" w:rsidRPr="00CD20D6" w:rsidRDefault="00CD20D6" w:rsidP="00CD20D6">
            <w:pPr>
              <w:jc w:val="both"/>
              <w:rPr>
                <w:rFonts w:ascii="Times New Roman" w:hAnsi="Times New Roman"/>
                <w:i/>
                <w:lang w:eastAsia="sk-SK"/>
              </w:rPr>
            </w:pPr>
            <w:r w:rsidRPr="00CD20D6">
              <w:rPr>
                <w:rFonts w:ascii="Times New Roman" w:hAnsi="Times New Roman"/>
                <w:i/>
                <w:lang w:eastAsia="sk-SK"/>
              </w:rPr>
              <w:t>Uveďte stanovisko Komisie pre posudzovanie vybraných vplyvov, ktoré Vám bolo zaslané v rámci predbežného pripomienkového konania</w:t>
            </w:r>
          </w:p>
          <w:p w:rsidR="00CD20D6" w:rsidRPr="00CD20D6" w:rsidRDefault="00CD20D6" w:rsidP="00CD20D6">
            <w:pPr>
              <w:jc w:val="both"/>
              <w:rPr>
                <w:rFonts w:ascii="Times New Roman" w:hAnsi="Times New Roman"/>
                <w:lang w:eastAsia="sk-SK"/>
              </w:rPr>
            </w:pPr>
          </w:p>
          <w:p w:rsidR="00CD20D6" w:rsidRPr="00CD20D6" w:rsidRDefault="00CD20D6" w:rsidP="00CD20D6">
            <w:pPr>
              <w:jc w:val="both"/>
              <w:rPr>
                <w:rFonts w:ascii="Times New Roman" w:hAnsi="Times New Roman"/>
                <w:i/>
                <w:lang w:eastAsia="sk-SK"/>
              </w:rPr>
            </w:pPr>
            <w:r w:rsidRPr="00CD20D6">
              <w:rPr>
                <w:rFonts w:ascii="&amp;quot" w:hAnsi="&amp;quot"/>
                <w:color w:val="000000"/>
                <w:lang w:eastAsia="sk-SK"/>
              </w:rPr>
              <w:t>Podľa</w:t>
            </w:r>
            <w:r w:rsidRPr="00CD20D6">
              <w:rPr>
                <w:rFonts w:ascii="&amp;quot" w:hAnsi="&amp;quot"/>
                <w:color w:val="000000"/>
                <w:spacing w:val="70"/>
                <w:lang w:eastAsia="sk-SK"/>
              </w:rPr>
              <w:t xml:space="preserve"> </w:t>
            </w:r>
            <w:r w:rsidRPr="00CD20D6">
              <w:rPr>
                <w:rFonts w:ascii="&amp;quot" w:hAnsi="&amp;quot"/>
                <w:color w:val="000000"/>
                <w:lang w:eastAsia="sk-SK"/>
              </w:rPr>
              <w:t>bodu</w:t>
            </w:r>
            <w:r w:rsidRPr="00CD20D6">
              <w:rPr>
                <w:rFonts w:ascii="&amp;quot" w:hAnsi="&amp;quot"/>
                <w:color w:val="000000"/>
                <w:spacing w:val="70"/>
                <w:lang w:eastAsia="sk-SK"/>
              </w:rPr>
              <w:t xml:space="preserve"> </w:t>
            </w:r>
            <w:r w:rsidRPr="00CD20D6">
              <w:rPr>
                <w:rFonts w:ascii="&amp;quot" w:hAnsi="&amp;quot"/>
                <w:color w:val="000000"/>
                <w:lang w:eastAsia="sk-SK"/>
              </w:rPr>
              <w:t>2.5</w:t>
            </w:r>
            <w:r w:rsidRPr="00CD20D6">
              <w:rPr>
                <w:rFonts w:ascii="&amp;quot" w:hAnsi="&amp;quot"/>
                <w:color w:val="000000"/>
                <w:spacing w:val="70"/>
                <w:lang w:eastAsia="sk-SK"/>
              </w:rPr>
              <w:t xml:space="preserve"> </w:t>
            </w:r>
            <w:r w:rsidRPr="00CD20D6">
              <w:rPr>
                <w:rFonts w:ascii="&amp;quot" w:hAnsi="&amp;quot"/>
                <w:color w:val="000000"/>
                <w:lang w:eastAsia="sk-SK"/>
              </w:rPr>
              <w:t>Jednotnej</w:t>
            </w:r>
            <w:r w:rsidRPr="00CD20D6">
              <w:rPr>
                <w:rFonts w:ascii="&amp;quot" w:hAnsi="&amp;quot"/>
                <w:color w:val="000000"/>
                <w:spacing w:val="70"/>
                <w:lang w:eastAsia="sk-SK"/>
              </w:rPr>
              <w:t xml:space="preserve"> </w:t>
            </w:r>
            <w:r w:rsidRPr="00CD20D6">
              <w:rPr>
                <w:rFonts w:ascii="&amp;quot" w:hAnsi="&amp;quot"/>
                <w:color w:val="000000"/>
                <w:lang w:eastAsia="sk-SK"/>
              </w:rPr>
              <w:t>metodiky</w:t>
            </w:r>
            <w:r w:rsidRPr="00CD20D6">
              <w:rPr>
                <w:rFonts w:ascii="&amp;quot" w:hAnsi="&amp;quot"/>
                <w:color w:val="000000"/>
                <w:spacing w:val="70"/>
                <w:lang w:eastAsia="sk-SK"/>
              </w:rPr>
              <w:t xml:space="preserve"> </w:t>
            </w:r>
            <w:r w:rsidRPr="00CD20D6">
              <w:rPr>
                <w:rFonts w:ascii="&amp;quot" w:hAnsi="&amp;quot"/>
                <w:color w:val="000000"/>
                <w:lang w:eastAsia="sk-SK"/>
              </w:rPr>
              <w:t>na</w:t>
            </w:r>
            <w:r w:rsidRPr="00CD20D6">
              <w:rPr>
                <w:rFonts w:ascii="&amp;quot" w:hAnsi="&amp;quot"/>
                <w:color w:val="000000"/>
                <w:spacing w:val="70"/>
                <w:lang w:eastAsia="sk-SK"/>
              </w:rPr>
              <w:t xml:space="preserve"> </w:t>
            </w:r>
            <w:r w:rsidRPr="00CD20D6">
              <w:rPr>
                <w:rFonts w:ascii="&amp;quot" w:hAnsi="&amp;quot"/>
                <w:color w:val="000000"/>
                <w:lang w:eastAsia="sk-SK"/>
              </w:rPr>
              <w:t>posudzovanie</w:t>
            </w:r>
            <w:r w:rsidRPr="00CD20D6">
              <w:rPr>
                <w:rFonts w:ascii="&amp;quot" w:hAnsi="&amp;quot"/>
                <w:color w:val="000000"/>
                <w:spacing w:val="70"/>
                <w:lang w:eastAsia="sk-SK"/>
              </w:rPr>
              <w:t xml:space="preserve"> </w:t>
            </w:r>
            <w:r w:rsidRPr="00CD20D6">
              <w:rPr>
                <w:rFonts w:ascii="&amp;quot" w:hAnsi="&amp;quot"/>
                <w:color w:val="000000"/>
                <w:lang w:eastAsia="sk-SK"/>
              </w:rPr>
              <w:t>vybraných</w:t>
            </w:r>
            <w:r w:rsidRPr="00CD20D6">
              <w:rPr>
                <w:rFonts w:ascii="&amp;quot" w:hAnsi="&amp;quot"/>
                <w:color w:val="000000"/>
                <w:spacing w:val="70"/>
                <w:lang w:eastAsia="sk-SK"/>
              </w:rPr>
              <w:t xml:space="preserve"> </w:t>
            </w:r>
            <w:r w:rsidRPr="00CD20D6">
              <w:rPr>
                <w:rFonts w:ascii="&amp;quot" w:hAnsi="&amp;quot"/>
                <w:color w:val="000000"/>
                <w:lang w:eastAsia="sk-SK"/>
              </w:rPr>
              <w:t>vplyvov</w:t>
            </w:r>
            <w:r w:rsidRPr="00CD20D6">
              <w:rPr>
                <w:rFonts w:ascii="&amp;quot" w:hAnsi="&amp;quot"/>
                <w:color w:val="000000"/>
                <w:spacing w:val="70"/>
                <w:lang w:eastAsia="sk-SK"/>
              </w:rPr>
              <w:t xml:space="preserve"> </w:t>
            </w:r>
            <w:r w:rsidRPr="00CD20D6">
              <w:rPr>
                <w:rFonts w:ascii="&amp;quot" w:hAnsi="&amp;quot"/>
                <w:color w:val="000000"/>
                <w:lang w:eastAsia="sk-SK"/>
              </w:rPr>
              <w:t>sa</w:t>
            </w:r>
            <w:r w:rsidRPr="00CD20D6">
              <w:rPr>
                <w:rFonts w:ascii="&amp;quot" w:hAnsi="&amp;quot"/>
                <w:color w:val="000000"/>
                <w:spacing w:val="70"/>
                <w:lang w:eastAsia="sk-SK"/>
              </w:rPr>
              <w:t xml:space="preserve"> </w:t>
            </w:r>
            <w:r w:rsidRPr="00CD20D6">
              <w:rPr>
                <w:rFonts w:ascii="&amp;quot" w:hAnsi="&amp;quot"/>
                <w:color w:val="000000"/>
                <w:lang w:eastAsia="sk-SK"/>
              </w:rPr>
              <w:t>jednotná</w:t>
            </w:r>
            <w:r w:rsidRPr="00CD20D6">
              <w:rPr>
                <w:rFonts w:ascii="&amp;quot" w:hAnsi="&amp;quot"/>
                <w:color w:val="000000"/>
                <w:spacing w:val="70"/>
                <w:lang w:eastAsia="sk-SK"/>
              </w:rPr>
              <w:t xml:space="preserve"> </w:t>
            </w:r>
            <w:r w:rsidRPr="00CD20D6">
              <w:rPr>
                <w:rFonts w:ascii="&amp;quot" w:hAnsi="&amp;quot"/>
                <w:color w:val="000000"/>
                <w:lang w:eastAsia="sk-SK"/>
              </w:rPr>
              <w:t>metodika neuplatňuje na návrh zákona, ktorý má byť predmetom skráteného legislatívneho konania.</w:t>
            </w:r>
          </w:p>
        </w:tc>
      </w:tr>
    </w:tbl>
    <w:p w:rsidR="00CD20D6" w:rsidRPr="00CD20D6" w:rsidRDefault="00CD20D6" w:rsidP="00CD20D6">
      <w:pPr>
        <w:spacing w:after="0" w:line="240" w:lineRule="auto"/>
        <w:rPr>
          <w:rFonts w:ascii="Times New Roman" w:eastAsia="Times New Roman" w:hAnsi="Times New Roman" w:cs="Times New Roman"/>
          <w:lang w:eastAsia="sk-SK"/>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tbl>
      <w:tblPr>
        <w:tblStyle w:val="Mriekatabuky2"/>
        <w:tblW w:w="0" w:type="auto"/>
        <w:tblLook w:val="04A0" w:firstRow="1" w:lastRow="0" w:firstColumn="1" w:lastColumn="0" w:noHBand="0" w:noVBand="1"/>
      </w:tblPr>
      <w:tblGrid>
        <w:gridCol w:w="9060"/>
      </w:tblGrid>
      <w:tr w:rsidR="00CD20D6" w:rsidRPr="00CD20D6" w:rsidTr="00CD20D6">
        <w:trPr>
          <w:trHeight w:val="567"/>
        </w:trPr>
        <w:tc>
          <w:tcPr>
            <w:tcW w:w="9060" w:type="dxa"/>
            <w:shd w:val="clear" w:color="auto" w:fill="D9D9D9"/>
          </w:tcPr>
          <w:p w:rsidR="00CD20D6" w:rsidRPr="00CD20D6" w:rsidRDefault="00CD20D6" w:rsidP="00CD20D6">
            <w:pPr>
              <w:jc w:val="center"/>
              <w:rPr>
                <w:rFonts w:ascii="Times New Roman" w:hAnsi="Times New Roman"/>
                <w:b/>
                <w:sz w:val="24"/>
                <w:szCs w:val="20"/>
                <w:lang w:eastAsia="sk-SK"/>
              </w:rPr>
            </w:pPr>
            <w:r w:rsidRPr="00CD20D6">
              <w:rPr>
                <w:rFonts w:ascii="Times New Roman" w:hAnsi="Times New Roman"/>
                <w:b/>
                <w:sz w:val="28"/>
                <w:szCs w:val="20"/>
                <w:lang w:eastAsia="sk-SK"/>
              </w:rPr>
              <w:lastRenderedPageBreak/>
              <w:t>Analýza vplyvov na podnikateľské prostredie</w:t>
            </w:r>
          </w:p>
          <w:p w:rsidR="00CD20D6" w:rsidRPr="00CD20D6" w:rsidRDefault="00CD20D6" w:rsidP="00CD20D6">
            <w:pPr>
              <w:jc w:val="center"/>
              <w:rPr>
                <w:rFonts w:ascii="Times New Roman" w:hAnsi="Times New Roman"/>
                <w:b/>
                <w:sz w:val="20"/>
                <w:szCs w:val="20"/>
                <w:lang w:eastAsia="sk-SK"/>
              </w:rPr>
            </w:pPr>
            <w:r w:rsidRPr="00CD20D6">
              <w:rPr>
                <w:rFonts w:ascii="Times New Roman" w:hAnsi="Times New Roman"/>
                <w:b/>
                <w:sz w:val="24"/>
                <w:szCs w:val="20"/>
                <w:lang w:eastAsia="sk-SK"/>
              </w:rPr>
              <w:t>(vrátane testu MSP)</w:t>
            </w:r>
          </w:p>
        </w:tc>
      </w:tr>
      <w:tr w:rsidR="00CD20D6" w:rsidRPr="00CD20D6" w:rsidTr="00CD20D6">
        <w:trPr>
          <w:trHeight w:val="567"/>
        </w:trPr>
        <w:tc>
          <w:tcPr>
            <w:tcW w:w="9060" w:type="dxa"/>
            <w:shd w:val="clear" w:color="auto" w:fill="D9D9D9"/>
          </w:tcPr>
          <w:p w:rsidR="00CD20D6" w:rsidRPr="00CD20D6" w:rsidRDefault="00CD20D6" w:rsidP="00CD20D6">
            <w:pPr>
              <w:rPr>
                <w:rFonts w:ascii="Times New Roman" w:hAnsi="Times New Roman"/>
                <w:b/>
                <w:sz w:val="24"/>
                <w:szCs w:val="20"/>
                <w:lang w:eastAsia="sk-SK"/>
              </w:rPr>
            </w:pPr>
            <w:r w:rsidRPr="00CD20D6">
              <w:rPr>
                <w:rFonts w:ascii="Times New Roman" w:hAnsi="Times New Roman"/>
                <w:b/>
                <w:sz w:val="24"/>
                <w:szCs w:val="20"/>
                <w:lang w:eastAsia="sk-SK"/>
              </w:rPr>
              <w:t>Materiál bude mať vplyv s ohľadom na veľkostnú kategóriu podnikov:</w:t>
            </w:r>
          </w:p>
        </w:tc>
      </w:tr>
      <w:tr w:rsidR="00CD20D6" w:rsidRPr="00CD20D6" w:rsidTr="00CD20D6">
        <w:trPr>
          <w:trHeight w:val="567"/>
        </w:trPr>
        <w:tc>
          <w:tcPr>
            <w:tcW w:w="9060" w:type="dxa"/>
          </w:tcPr>
          <w:tbl>
            <w:tblPr>
              <w:tblStyle w:val="Mriekatabu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8"/>
            </w:tblGrid>
            <w:tr w:rsidR="00CD20D6" w:rsidRPr="00CD20D6" w:rsidTr="00690AEC">
              <w:tc>
                <w:tcPr>
                  <w:tcW w:w="436" w:type="dxa"/>
                  <w:tcBorders>
                    <w:top w:val="nil"/>
                    <w:left w:val="nil"/>
                    <w:bottom w:val="nil"/>
                    <w:right w:val="nil"/>
                  </w:tcBorders>
                </w:tcPr>
                <w:p w:rsidR="00CD20D6" w:rsidRPr="00CD20D6" w:rsidRDefault="00CD20D6" w:rsidP="00CD20D6">
                  <w:pPr>
                    <w:jc w:val="center"/>
                    <w:rPr>
                      <w:rFonts w:ascii="Times New Roman" w:hAnsi="Times New Roman"/>
                      <w:sz w:val="20"/>
                      <w:szCs w:val="20"/>
                      <w:lang w:eastAsia="sk-SK"/>
                    </w:rPr>
                  </w:pPr>
                  <w:r w:rsidRPr="00CD20D6">
                    <w:rPr>
                      <w:rFonts w:ascii="Segoe UI Symbol" w:eastAsia="MS Mincho" w:hAnsi="Segoe UI Symbol" w:cs="Segoe UI Symbol"/>
                      <w:sz w:val="20"/>
                      <w:szCs w:val="20"/>
                      <w:lang w:eastAsia="sk-SK"/>
                    </w:rPr>
                    <w:t>☐</w:t>
                  </w:r>
                </w:p>
              </w:tc>
              <w:tc>
                <w:tcPr>
                  <w:tcW w:w="8545" w:type="dxa"/>
                  <w:tcBorders>
                    <w:top w:val="nil"/>
                    <w:left w:val="nil"/>
                    <w:bottom w:val="nil"/>
                    <w:right w:val="nil"/>
                  </w:tcBorders>
                </w:tcPr>
                <w:p w:rsidR="00CD20D6" w:rsidRPr="00CD20D6" w:rsidRDefault="00CD20D6" w:rsidP="00CD20D6">
                  <w:pPr>
                    <w:rPr>
                      <w:rFonts w:ascii="Times New Roman" w:hAnsi="Times New Roman"/>
                      <w:b/>
                      <w:sz w:val="24"/>
                      <w:szCs w:val="24"/>
                      <w:lang w:eastAsia="sk-SK"/>
                    </w:rPr>
                  </w:pPr>
                  <w:r w:rsidRPr="00CD20D6">
                    <w:rPr>
                      <w:rFonts w:ascii="Times New Roman" w:hAnsi="Times New Roman"/>
                      <w:b/>
                      <w:sz w:val="24"/>
                      <w:szCs w:val="24"/>
                      <w:lang w:eastAsia="sk-SK"/>
                    </w:rPr>
                    <w:t xml:space="preserve">iba na MSP (0 - 249 zamestnancov) </w:t>
                  </w:r>
                </w:p>
              </w:tc>
            </w:tr>
            <w:tr w:rsidR="00CD20D6" w:rsidRPr="00CD20D6" w:rsidTr="00690AEC">
              <w:tc>
                <w:tcPr>
                  <w:tcW w:w="436" w:type="dxa"/>
                  <w:tcBorders>
                    <w:top w:val="nil"/>
                    <w:left w:val="nil"/>
                    <w:bottom w:val="nil"/>
                    <w:right w:val="nil"/>
                  </w:tcBorders>
                </w:tcPr>
                <w:p w:rsidR="00CD20D6" w:rsidRPr="00CD20D6" w:rsidRDefault="00CD20D6" w:rsidP="00CD20D6">
                  <w:pPr>
                    <w:jc w:val="center"/>
                    <w:rPr>
                      <w:rFonts w:ascii="Times New Roman" w:hAnsi="Times New Roman"/>
                      <w:sz w:val="20"/>
                      <w:szCs w:val="20"/>
                      <w:lang w:eastAsia="sk-SK"/>
                    </w:rPr>
                  </w:pPr>
                  <w:r w:rsidRPr="00CD20D6">
                    <w:rPr>
                      <w:rFonts w:ascii="Segoe UI Symbol" w:eastAsia="MS Mincho" w:hAnsi="Segoe UI Symbol" w:cs="Segoe UI Symbol"/>
                      <w:sz w:val="20"/>
                      <w:szCs w:val="20"/>
                      <w:lang w:eastAsia="sk-SK"/>
                    </w:rPr>
                    <w:t>☐</w:t>
                  </w:r>
                </w:p>
              </w:tc>
              <w:tc>
                <w:tcPr>
                  <w:tcW w:w="8545" w:type="dxa"/>
                  <w:tcBorders>
                    <w:top w:val="nil"/>
                    <w:left w:val="nil"/>
                    <w:bottom w:val="nil"/>
                    <w:right w:val="nil"/>
                  </w:tcBorders>
                </w:tcPr>
                <w:p w:rsidR="00CD20D6" w:rsidRPr="00CD20D6" w:rsidRDefault="00CD20D6" w:rsidP="00CD20D6">
                  <w:pPr>
                    <w:rPr>
                      <w:rFonts w:ascii="Times New Roman" w:hAnsi="Times New Roman"/>
                      <w:b/>
                      <w:sz w:val="24"/>
                      <w:szCs w:val="24"/>
                      <w:lang w:eastAsia="sk-SK"/>
                    </w:rPr>
                  </w:pPr>
                  <w:r w:rsidRPr="00CD20D6">
                    <w:rPr>
                      <w:rFonts w:ascii="Times New Roman" w:hAnsi="Times New Roman"/>
                      <w:b/>
                      <w:sz w:val="24"/>
                      <w:szCs w:val="24"/>
                      <w:lang w:eastAsia="sk-SK"/>
                    </w:rPr>
                    <w:t>iba na veľké podniky (250 a viac zamestnancov)</w:t>
                  </w:r>
                </w:p>
              </w:tc>
            </w:tr>
            <w:tr w:rsidR="00CD20D6" w:rsidRPr="00CD20D6" w:rsidTr="00690AEC">
              <w:tc>
                <w:tcPr>
                  <w:tcW w:w="436" w:type="dxa"/>
                  <w:tcBorders>
                    <w:top w:val="nil"/>
                    <w:left w:val="nil"/>
                    <w:bottom w:val="nil"/>
                    <w:right w:val="nil"/>
                  </w:tcBorders>
                </w:tcPr>
                <w:p w:rsidR="00CD20D6" w:rsidRPr="00CD20D6" w:rsidRDefault="00CD20D6" w:rsidP="00CD20D6">
                  <w:pPr>
                    <w:jc w:val="center"/>
                    <w:rPr>
                      <w:rFonts w:ascii="Times New Roman" w:hAnsi="Times New Roman"/>
                      <w:sz w:val="20"/>
                      <w:szCs w:val="20"/>
                      <w:lang w:eastAsia="sk-SK"/>
                    </w:rPr>
                  </w:pPr>
                  <w:r w:rsidRPr="00CD20D6">
                    <w:rPr>
                      <w:rFonts w:ascii="MS Gothic" w:eastAsia="MS Gothic" w:hAnsi="Times New Roman" w:hint="eastAsia"/>
                      <w:sz w:val="20"/>
                      <w:szCs w:val="20"/>
                      <w:lang w:eastAsia="sk-SK"/>
                    </w:rPr>
                    <w:t>☒</w:t>
                  </w:r>
                </w:p>
              </w:tc>
              <w:tc>
                <w:tcPr>
                  <w:tcW w:w="8545" w:type="dxa"/>
                  <w:tcBorders>
                    <w:top w:val="nil"/>
                    <w:left w:val="nil"/>
                    <w:bottom w:val="nil"/>
                    <w:right w:val="nil"/>
                  </w:tcBorders>
                </w:tcPr>
                <w:p w:rsidR="00CD20D6" w:rsidRPr="00CD20D6" w:rsidRDefault="00CD20D6" w:rsidP="00CD20D6">
                  <w:pPr>
                    <w:rPr>
                      <w:rFonts w:ascii="Times New Roman" w:hAnsi="Times New Roman"/>
                      <w:sz w:val="24"/>
                      <w:szCs w:val="24"/>
                      <w:lang w:eastAsia="sk-SK"/>
                    </w:rPr>
                  </w:pPr>
                  <w:r w:rsidRPr="00CD20D6">
                    <w:rPr>
                      <w:rFonts w:ascii="Times New Roman" w:hAnsi="Times New Roman"/>
                      <w:b/>
                      <w:sz w:val="24"/>
                      <w:szCs w:val="24"/>
                      <w:lang w:eastAsia="sk-SK"/>
                    </w:rPr>
                    <w:t>na všetky kategórie podnikov</w:t>
                  </w:r>
                </w:p>
              </w:tc>
            </w:tr>
          </w:tbl>
          <w:p w:rsidR="00CD20D6" w:rsidRPr="00CD20D6" w:rsidRDefault="00CD20D6" w:rsidP="00CD20D6">
            <w:pPr>
              <w:rPr>
                <w:rFonts w:ascii="Times New Roman" w:hAnsi="Times New Roman"/>
                <w:b/>
                <w:sz w:val="20"/>
                <w:szCs w:val="20"/>
                <w:lang w:eastAsia="sk-SK"/>
              </w:rPr>
            </w:pPr>
          </w:p>
        </w:tc>
      </w:tr>
      <w:tr w:rsidR="00CD20D6" w:rsidRPr="00CD20D6" w:rsidTr="00CD20D6">
        <w:tc>
          <w:tcPr>
            <w:tcW w:w="9060" w:type="dxa"/>
            <w:shd w:val="clear" w:color="auto" w:fill="D9D9D9"/>
          </w:tcPr>
          <w:p w:rsidR="00CD20D6" w:rsidRPr="00CD20D6" w:rsidRDefault="00CD20D6" w:rsidP="00CD20D6">
            <w:pPr>
              <w:rPr>
                <w:rFonts w:ascii="Times New Roman" w:hAnsi="Times New Roman"/>
                <w:b/>
                <w:sz w:val="24"/>
                <w:szCs w:val="20"/>
                <w:lang w:eastAsia="sk-SK"/>
              </w:rPr>
            </w:pPr>
            <w:r w:rsidRPr="00CD20D6">
              <w:rPr>
                <w:rFonts w:ascii="Times New Roman" w:hAnsi="Times New Roman"/>
                <w:b/>
                <w:sz w:val="24"/>
                <w:szCs w:val="20"/>
                <w:lang w:eastAsia="sk-SK"/>
              </w:rPr>
              <w:t>3.1 Dotknuté podnikateľské subjekty</w:t>
            </w:r>
          </w:p>
          <w:p w:rsidR="00CD20D6" w:rsidRPr="00CD20D6" w:rsidRDefault="00CD20D6" w:rsidP="00CD20D6">
            <w:pPr>
              <w:ind w:left="284"/>
              <w:rPr>
                <w:rFonts w:ascii="Times New Roman" w:hAnsi="Times New Roman"/>
                <w:b/>
                <w:sz w:val="20"/>
                <w:szCs w:val="20"/>
                <w:lang w:eastAsia="sk-SK"/>
              </w:rPr>
            </w:pPr>
            <w:r w:rsidRPr="00CD20D6">
              <w:rPr>
                <w:rFonts w:ascii="Times New Roman" w:hAnsi="Times New Roman"/>
                <w:sz w:val="24"/>
                <w:szCs w:val="20"/>
                <w:lang w:eastAsia="sk-SK"/>
              </w:rPr>
              <w:t xml:space="preserve"> - </w:t>
            </w:r>
            <w:r w:rsidRPr="00CD20D6">
              <w:rPr>
                <w:rFonts w:ascii="Times New Roman" w:hAnsi="Times New Roman"/>
                <w:b/>
                <w:sz w:val="24"/>
                <w:szCs w:val="20"/>
                <w:lang w:eastAsia="sk-SK"/>
              </w:rPr>
              <w:t>z toho MSP</w:t>
            </w:r>
          </w:p>
        </w:tc>
      </w:tr>
      <w:tr w:rsidR="00CD20D6" w:rsidRPr="00CD20D6" w:rsidTr="00CD20D6">
        <w:tc>
          <w:tcPr>
            <w:tcW w:w="9060" w:type="dxa"/>
          </w:tcPr>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Uveďte, aké podnikateľské subjekty budú predkladaným návrhom ovplyvnené.</w:t>
            </w:r>
          </w:p>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Aký je ich počet?</w:t>
            </w:r>
          </w:p>
        </w:tc>
      </w:tr>
      <w:tr w:rsidR="00CD20D6" w:rsidRPr="00CD20D6" w:rsidTr="00CD20D6">
        <w:trPr>
          <w:trHeight w:val="1440"/>
        </w:trPr>
        <w:tc>
          <w:tcPr>
            <w:tcW w:w="9060" w:type="dxa"/>
          </w:tcPr>
          <w:p w:rsidR="00CD20D6" w:rsidRPr="00CD20D6" w:rsidRDefault="00CD20D6" w:rsidP="00CD20D6">
            <w:pPr>
              <w:contextualSpacing/>
              <w:jc w:val="both"/>
              <w:rPr>
                <w:rFonts w:ascii="Times New Roman" w:hAnsi="Times New Roman"/>
              </w:rPr>
            </w:pPr>
            <w:r w:rsidRPr="00CD20D6">
              <w:rPr>
                <w:rFonts w:ascii="Times New Roman" w:hAnsi="Times New Roman"/>
                <w:lang w:eastAsia="sk-SK"/>
              </w:rPr>
              <w:t>Návrhom zákona budú dotknutý zástupcovia výrobcov vozidiel a predajcovia vozidiel, ktorí majú alebo budú mať na skladoch vozidlá ukončenej série. Presný počet subjektov nie je možné odhadnúť.</w:t>
            </w:r>
          </w:p>
        </w:tc>
      </w:tr>
      <w:tr w:rsidR="00CD20D6" w:rsidRPr="00CD20D6" w:rsidTr="00CD20D6">
        <w:trPr>
          <w:trHeight w:val="339"/>
        </w:trPr>
        <w:tc>
          <w:tcPr>
            <w:tcW w:w="9060" w:type="dxa"/>
            <w:shd w:val="clear" w:color="auto" w:fill="D9D9D9"/>
          </w:tcPr>
          <w:p w:rsidR="00CD20D6" w:rsidRPr="00CD20D6" w:rsidRDefault="00CD20D6" w:rsidP="00CD20D6">
            <w:pPr>
              <w:rPr>
                <w:rFonts w:ascii="Times New Roman" w:hAnsi="Times New Roman"/>
                <w:b/>
                <w:sz w:val="24"/>
                <w:szCs w:val="20"/>
                <w:lang w:eastAsia="sk-SK"/>
              </w:rPr>
            </w:pPr>
            <w:r w:rsidRPr="00CD20D6">
              <w:rPr>
                <w:rFonts w:ascii="Times New Roman" w:hAnsi="Times New Roman"/>
                <w:b/>
                <w:sz w:val="24"/>
                <w:szCs w:val="20"/>
                <w:lang w:eastAsia="sk-SK"/>
              </w:rPr>
              <w:t>3.2 Vyhodnotenie konzultácií</w:t>
            </w:r>
          </w:p>
          <w:p w:rsidR="00CD20D6" w:rsidRPr="00CD20D6" w:rsidRDefault="00CD20D6" w:rsidP="00CD20D6">
            <w:pPr>
              <w:rPr>
                <w:rFonts w:ascii="Times New Roman" w:hAnsi="Times New Roman"/>
                <w:b/>
                <w:sz w:val="20"/>
                <w:szCs w:val="20"/>
                <w:lang w:eastAsia="sk-SK"/>
              </w:rPr>
            </w:pPr>
            <w:r w:rsidRPr="00CD20D6">
              <w:rPr>
                <w:rFonts w:ascii="Times New Roman" w:hAnsi="Times New Roman"/>
                <w:sz w:val="24"/>
                <w:szCs w:val="20"/>
                <w:lang w:eastAsia="sk-SK"/>
              </w:rPr>
              <w:t xml:space="preserve">       - </w:t>
            </w:r>
            <w:r w:rsidRPr="00CD20D6">
              <w:rPr>
                <w:rFonts w:ascii="Times New Roman" w:hAnsi="Times New Roman"/>
                <w:b/>
                <w:sz w:val="24"/>
                <w:szCs w:val="20"/>
                <w:lang w:eastAsia="sk-SK"/>
              </w:rPr>
              <w:t>z toho MSP</w:t>
            </w:r>
          </w:p>
        </w:tc>
      </w:tr>
      <w:tr w:rsidR="00CD20D6" w:rsidRPr="00CD20D6" w:rsidTr="00CD20D6">
        <w:trPr>
          <w:trHeight w:val="557"/>
        </w:trPr>
        <w:tc>
          <w:tcPr>
            <w:tcW w:w="9060" w:type="dxa"/>
          </w:tcPr>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Uveďte, akou formou (verejné alebo cielené konzultácie a prečo) a s kým bol návrh konzultovaný.</w:t>
            </w:r>
          </w:p>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Ako dlho trvali konzultácie?</w:t>
            </w:r>
          </w:p>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Uveďte hlavné body konzultácií a výsledky konzultácií.</w:t>
            </w:r>
          </w:p>
        </w:tc>
      </w:tr>
      <w:tr w:rsidR="00CD20D6" w:rsidRPr="00CD20D6" w:rsidTr="00CD20D6">
        <w:trPr>
          <w:trHeight w:val="1440"/>
        </w:trPr>
        <w:tc>
          <w:tcPr>
            <w:tcW w:w="9060" w:type="dxa"/>
          </w:tcPr>
          <w:p w:rsidR="00CD20D6" w:rsidRPr="00CD20D6" w:rsidRDefault="00CD20D6" w:rsidP="00CD20D6">
            <w:pPr>
              <w:jc w:val="both"/>
              <w:rPr>
                <w:rFonts w:ascii="Times New Roman" w:hAnsi="Times New Roman"/>
                <w:lang w:eastAsia="sk-SK"/>
              </w:rPr>
            </w:pPr>
            <w:r w:rsidRPr="00CD20D6">
              <w:rPr>
                <w:rFonts w:ascii="Times New Roman" w:hAnsi="Times New Roman"/>
                <w:lang w:eastAsia="sk-SK"/>
              </w:rPr>
              <w:t>Konzultácie boli vykonávané s vybranými zástupcami výrobcov a so Zväzom automobilového priemyslu Slovenskej republiky priebežne.</w:t>
            </w:r>
          </w:p>
          <w:p w:rsidR="00CD20D6" w:rsidRPr="00CD20D6" w:rsidRDefault="00CD20D6" w:rsidP="00CD20D6">
            <w:pPr>
              <w:jc w:val="both"/>
              <w:rPr>
                <w:rFonts w:ascii="Times New Roman" w:hAnsi="Times New Roman"/>
                <w:sz w:val="24"/>
                <w:szCs w:val="24"/>
                <w:lang w:eastAsia="sk-SK"/>
              </w:rPr>
            </w:pPr>
            <w:r w:rsidRPr="00CD20D6">
              <w:rPr>
                <w:rFonts w:ascii="Times New Roman" w:hAnsi="Times New Roman"/>
                <w:lang w:eastAsia="sk-SK"/>
              </w:rPr>
              <w:t>Tieto konzultácie splnili svoj účel a cieľ pre vypracovanie návrhu zákona.</w:t>
            </w:r>
          </w:p>
        </w:tc>
      </w:tr>
      <w:tr w:rsidR="00CD20D6" w:rsidRPr="00CD20D6" w:rsidTr="00CD20D6">
        <w:tc>
          <w:tcPr>
            <w:tcW w:w="9060" w:type="dxa"/>
            <w:shd w:val="clear" w:color="auto" w:fill="D9D9D9"/>
          </w:tcPr>
          <w:p w:rsidR="00CD20D6" w:rsidRPr="00CD20D6" w:rsidRDefault="00CD20D6" w:rsidP="00CD20D6">
            <w:pPr>
              <w:rPr>
                <w:rFonts w:ascii="Times New Roman" w:hAnsi="Times New Roman"/>
                <w:b/>
                <w:sz w:val="24"/>
                <w:szCs w:val="20"/>
                <w:lang w:eastAsia="sk-SK"/>
              </w:rPr>
            </w:pPr>
            <w:r w:rsidRPr="00CD20D6">
              <w:rPr>
                <w:rFonts w:ascii="Times New Roman" w:hAnsi="Times New Roman"/>
                <w:b/>
                <w:sz w:val="24"/>
                <w:szCs w:val="20"/>
                <w:lang w:eastAsia="sk-SK"/>
              </w:rPr>
              <w:t>3.3 Náklady regulácie</w:t>
            </w:r>
          </w:p>
          <w:p w:rsidR="00CD20D6" w:rsidRPr="00CD20D6" w:rsidRDefault="00CD20D6" w:rsidP="00CD20D6">
            <w:pPr>
              <w:rPr>
                <w:rFonts w:ascii="Times New Roman" w:hAnsi="Times New Roman"/>
                <w:b/>
                <w:sz w:val="20"/>
                <w:szCs w:val="20"/>
                <w:lang w:eastAsia="sk-SK"/>
              </w:rPr>
            </w:pPr>
            <w:r w:rsidRPr="00CD20D6">
              <w:rPr>
                <w:rFonts w:ascii="Times New Roman" w:hAnsi="Times New Roman"/>
                <w:sz w:val="24"/>
                <w:szCs w:val="20"/>
                <w:lang w:eastAsia="sk-SK"/>
              </w:rPr>
              <w:t xml:space="preserve">      - </w:t>
            </w:r>
            <w:r w:rsidRPr="00CD20D6">
              <w:rPr>
                <w:rFonts w:ascii="Times New Roman" w:hAnsi="Times New Roman"/>
                <w:b/>
                <w:sz w:val="24"/>
                <w:szCs w:val="20"/>
                <w:lang w:eastAsia="sk-SK"/>
              </w:rPr>
              <w:t>z toho MSP</w:t>
            </w:r>
          </w:p>
        </w:tc>
      </w:tr>
      <w:tr w:rsidR="00CD20D6" w:rsidRPr="00CD20D6" w:rsidTr="00CD20D6">
        <w:tc>
          <w:tcPr>
            <w:tcW w:w="9060" w:type="dxa"/>
          </w:tcPr>
          <w:p w:rsidR="00CD20D6" w:rsidRPr="00CD20D6" w:rsidRDefault="00CD20D6" w:rsidP="00CD20D6">
            <w:pPr>
              <w:rPr>
                <w:rFonts w:ascii="Times New Roman" w:hAnsi="Times New Roman"/>
                <w:b/>
                <w:i/>
                <w:sz w:val="20"/>
                <w:szCs w:val="20"/>
                <w:lang w:eastAsia="sk-SK"/>
              </w:rPr>
            </w:pPr>
            <w:r w:rsidRPr="00CD20D6">
              <w:rPr>
                <w:rFonts w:ascii="Times New Roman" w:hAnsi="Times New Roman"/>
                <w:b/>
                <w:i/>
                <w:sz w:val="20"/>
                <w:szCs w:val="20"/>
                <w:lang w:eastAsia="sk-SK"/>
              </w:rPr>
              <w:t>3.3.1 Priame finančné náklady</w:t>
            </w:r>
          </w:p>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Dochádza k zvýšeniu/zníženiu priamych finančných nákladov (poplatky, odvody, dane clá...)? Ak áno, popíšte a vyčíslite ich. Uveďte tiež spôsob ich výpočtu</w:t>
            </w:r>
          </w:p>
        </w:tc>
      </w:tr>
      <w:tr w:rsidR="00CD20D6" w:rsidRPr="00CD20D6" w:rsidTr="00CD20D6">
        <w:trPr>
          <w:trHeight w:val="715"/>
        </w:trPr>
        <w:tc>
          <w:tcPr>
            <w:tcW w:w="9060" w:type="dxa"/>
          </w:tcPr>
          <w:p w:rsidR="00CD20D6" w:rsidRPr="00CD20D6" w:rsidRDefault="00CD20D6" w:rsidP="00CD20D6">
            <w:pPr>
              <w:jc w:val="both"/>
              <w:rPr>
                <w:rFonts w:ascii="Times New Roman" w:hAnsi="Times New Roman"/>
                <w:lang w:eastAsia="sk-SK"/>
              </w:rPr>
            </w:pPr>
            <w:r w:rsidRPr="00CD20D6">
              <w:rPr>
                <w:rFonts w:ascii="Times New Roman" w:hAnsi="Times New Roman"/>
                <w:lang w:eastAsia="sk-SK"/>
              </w:rPr>
              <w:t>Návrh zákona nevytvára priame finančné náklady pre podnikateľské subjekty.</w:t>
            </w:r>
          </w:p>
        </w:tc>
      </w:tr>
      <w:tr w:rsidR="00CD20D6" w:rsidRPr="00CD20D6" w:rsidTr="00CD20D6">
        <w:tc>
          <w:tcPr>
            <w:tcW w:w="9060" w:type="dxa"/>
          </w:tcPr>
          <w:p w:rsidR="00CD20D6" w:rsidRPr="00CD20D6" w:rsidRDefault="00CD20D6" w:rsidP="00CD20D6">
            <w:pPr>
              <w:rPr>
                <w:rFonts w:ascii="Times New Roman" w:hAnsi="Times New Roman"/>
                <w:b/>
                <w:i/>
                <w:sz w:val="20"/>
                <w:szCs w:val="20"/>
                <w:lang w:eastAsia="sk-SK"/>
              </w:rPr>
            </w:pPr>
            <w:r w:rsidRPr="00CD20D6">
              <w:rPr>
                <w:rFonts w:ascii="Times New Roman" w:hAnsi="Times New Roman"/>
                <w:b/>
                <w:i/>
                <w:sz w:val="20"/>
                <w:szCs w:val="20"/>
                <w:lang w:eastAsia="sk-SK"/>
              </w:rPr>
              <w:t>3.3.2 Nepriame finančné náklady</w:t>
            </w:r>
          </w:p>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Vyžaduje si predkladaný návrh dodatočné náklady na nákup tovarov alebo služieb? Zvyšuje predkladaný návrh náklady súvisiace so zamestnávaním? Ak áno, popíšte a vyčíslite ich. Uveďte tiež spôsob ich výpočtu.</w:t>
            </w:r>
          </w:p>
        </w:tc>
      </w:tr>
      <w:tr w:rsidR="00CD20D6" w:rsidRPr="00CD20D6" w:rsidTr="00CD20D6">
        <w:trPr>
          <w:trHeight w:val="721"/>
        </w:trPr>
        <w:tc>
          <w:tcPr>
            <w:tcW w:w="9060" w:type="dxa"/>
          </w:tcPr>
          <w:p w:rsidR="00CD20D6" w:rsidRPr="00CD20D6" w:rsidRDefault="00CD20D6" w:rsidP="00CD20D6">
            <w:pPr>
              <w:jc w:val="both"/>
              <w:rPr>
                <w:rFonts w:ascii="Times New Roman" w:hAnsi="Times New Roman"/>
                <w:sz w:val="24"/>
                <w:szCs w:val="24"/>
                <w:lang w:eastAsia="sk-SK"/>
              </w:rPr>
            </w:pPr>
            <w:r w:rsidRPr="00CD20D6">
              <w:rPr>
                <w:rFonts w:ascii="Times New Roman" w:hAnsi="Times New Roman"/>
                <w:lang w:eastAsia="sk-SK"/>
              </w:rPr>
              <w:t>Návrh zákona nevytvára nepriame finančné náklady pre podnikateľské subjekty.</w:t>
            </w:r>
          </w:p>
        </w:tc>
      </w:tr>
      <w:tr w:rsidR="00CD20D6" w:rsidRPr="00CD20D6" w:rsidTr="00CD20D6">
        <w:tc>
          <w:tcPr>
            <w:tcW w:w="9060" w:type="dxa"/>
          </w:tcPr>
          <w:p w:rsidR="00CD20D6" w:rsidRPr="00CD20D6" w:rsidRDefault="00CD20D6" w:rsidP="00CD20D6">
            <w:pPr>
              <w:rPr>
                <w:rFonts w:ascii="Times New Roman" w:hAnsi="Times New Roman"/>
                <w:b/>
                <w:i/>
                <w:sz w:val="20"/>
                <w:szCs w:val="20"/>
                <w:lang w:eastAsia="sk-SK"/>
              </w:rPr>
            </w:pPr>
            <w:r w:rsidRPr="00CD20D6">
              <w:rPr>
                <w:rFonts w:ascii="Times New Roman" w:hAnsi="Times New Roman"/>
                <w:b/>
                <w:i/>
                <w:sz w:val="20"/>
                <w:szCs w:val="20"/>
                <w:lang w:eastAsia="sk-SK"/>
              </w:rPr>
              <w:t>3.3.3 Administratívne náklady</w:t>
            </w:r>
          </w:p>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CD20D6" w:rsidRPr="00CD20D6" w:rsidTr="00CD20D6">
        <w:trPr>
          <w:trHeight w:val="1124"/>
        </w:trPr>
        <w:tc>
          <w:tcPr>
            <w:tcW w:w="9060" w:type="dxa"/>
          </w:tcPr>
          <w:p w:rsidR="00CD20D6" w:rsidRPr="00CD20D6" w:rsidRDefault="00CD20D6" w:rsidP="00CD20D6">
            <w:pPr>
              <w:jc w:val="both"/>
              <w:rPr>
                <w:rFonts w:ascii="Times New Roman" w:hAnsi="Times New Roman"/>
                <w:i/>
                <w:iCs/>
                <w:sz w:val="24"/>
                <w:szCs w:val="24"/>
                <w:lang w:eastAsia="sk-SK"/>
              </w:rPr>
            </w:pPr>
            <w:r w:rsidRPr="00CD20D6">
              <w:rPr>
                <w:rFonts w:ascii="Times New Roman" w:hAnsi="Times New Roman"/>
                <w:lang w:eastAsia="sk-SK"/>
              </w:rPr>
              <w:t>Návrh zákona nevytvára administratívne náklady pre podnikateľské subjekty.</w:t>
            </w:r>
          </w:p>
        </w:tc>
      </w:tr>
      <w:tr w:rsidR="00CD20D6" w:rsidRPr="00CD20D6" w:rsidTr="00CD20D6">
        <w:trPr>
          <w:trHeight w:val="2318"/>
        </w:trPr>
        <w:tc>
          <w:tcPr>
            <w:tcW w:w="9060" w:type="dxa"/>
          </w:tcPr>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b/>
                <w:i/>
                <w:sz w:val="20"/>
                <w:szCs w:val="20"/>
                <w:lang w:eastAsia="sk-SK"/>
              </w:rPr>
              <w:lastRenderedPageBreak/>
              <w:t>3.3.4 Súhrnná tabuľka nákladov regulácie</w:t>
            </w:r>
          </w:p>
          <w:p w:rsidR="00CD20D6" w:rsidRPr="00CD20D6" w:rsidRDefault="00CD20D6" w:rsidP="00CD20D6">
            <w:pPr>
              <w:rPr>
                <w:rFonts w:ascii="Times New Roman" w:hAnsi="Times New Roman"/>
                <w:i/>
                <w:sz w:val="20"/>
                <w:szCs w:val="20"/>
                <w:lang w:eastAsia="sk-SK"/>
              </w:rPr>
            </w:pPr>
          </w:p>
          <w:tbl>
            <w:tblPr>
              <w:tblStyle w:val="Mriekatabuky2"/>
              <w:tblW w:w="0" w:type="auto"/>
              <w:tblLook w:val="04A0" w:firstRow="1" w:lastRow="0" w:firstColumn="1" w:lastColumn="0" w:noHBand="0" w:noVBand="1"/>
            </w:tblPr>
            <w:tblGrid>
              <w:gridCol w:w="2949"/>
              <w:gridCol w:w="2940"/>
              <w:gridCol w:w="2945"/>
            </w:tblGrid>
            <w:tr w:rsidR="00CD20D6" w:rsidRPr="00CD20D6" w:rsidTr="00690AEC">
              <w:tc>
                <w:tcPr>
                  <w:tcW w:w="2949" w:type="dxa"/>
                  <w:tcBorders>
                    <w:top w:val="single" w:sz="4" w:space="0" w:color="auto"/>
                    <w:left w:val="single" w:sz="4" w:space="0" w:color="auto"/>
                    <w:bottom w:val="single" w:sz="4" w:space="0" w:color="auto"/>
                    <w:right w:val="single" w:sz="4" w:space="0" w:color="auto"/>
                  </w:tcBorders>
                </w:tcPr>
                <w:p w:rsidR="00CD20D6" w:rsidRPr="00CD20D6" w:rsidRDefault="00CD20D6" w:rsidP="00CD20D6">
                  <w:pPr>
                    <w:rPr>
                      <w:rFonts w:ascii="Times New Roman" w:hAnsi="Times New Roman"/>
                      <w:i/>
                      <w:sz w:val="20"/>
                      <w:szCs w:val="20"/>
                      <w:lang w:eastAsia="sk-SK"/>
                    </w:rPr>
                  </w:pPr>
                </w:p>
              </w:tc>
              <w:tc>
                <w:tcPr>
                  <w:tcW w:w="2941" w:type="dxa"/>
                  <w:tcBorders>
                    <w:top w:val="single" w:sz="4" w:space="0" w:color="auto"/>
                    <w:left w:val="single" w:sz="4" w:space="0" w:color="auto"/>
                    <w:bottom w:val="single" w:sz="4" w:space="0" w:color="auto"/>
                    <w:right w:val="single" w:sz="4" w:space="0" w:color="auto"/>
                  </w:tcBorders>
                </w:tcPr>
                <w:p w:rsidR="00CD20D6" w:rsidRPr="00CD20D6" w:rsidRDefault="00CD20D6" w:rsidP="00CD20D6">
                  <w:pPr>
                    <w:jc w:val="center"/>
                    <w:rPr>
                      <w:rFonts w:ascii="Times New Roman" w:hAnsi="Times New Roman"/>
                      <w:i/>
                      <w:sz w:val="20"/>
                      <w:szCs w:val="20"/>
                      <w:lang w:eastAsia="sk-SK"/>
                    </w:rPr>
                  </w:pPr>
                  <w:r w:rsidRPr="00CD20D6">
                    <w:rPr>
                      <w:rFonts w:ascii="Times New Roman" w:hAnsi="Times New Roman"/>
                      <w:i/>
                      <w:sz w:val="20"/>
                      <w:szCs w:val="20"/>
                      <w:lang w:eastAsia="sk-SK"/>
                    </w:rPr>
                    <w:t>Náklady na 1 podnikateľa</w:t>
                  </w:r>
                </w:p>
              </w:tc>
              <w:tc>
                <w:tcPr>
                  <w:tcW w:w="2946" w:type="dxa"/>
                  <w:tcBorders>
                    <w:top w:val="single" w:sz="4" w:space="0" w:color="auto"/>
                    <w:left w:val="single" w:sz="4" w:space="0" w:color="auto"/>
                    <w:bottom w:val="single" w:sz="4" w:space="0" w:color="auto"/>
                    <w:right w:val="single" w:sz="4" w:space="0" w:color="auto"/>
                  </w:tcBorders>
                </w:tcPr>
                <w:p w:rsidR="00CD20D6" w:rsidRPr="00CD20D6" w:rsidRDefault="00CD20D6" w:rsidP="00CD20D6">
                  <w:pPr>
                    <w:jc w:val="center"/>
                    <w:rPr>
                      <w:rFonts w:ascii="Times New Roman" w:hAnsi="Times New Roman"/>
                      <w:i/>
                      <w:sz w:val="20"/>
                      <w:szCs w:val="20"/>
                      <w:lang w:eastAsia="sk-SK"/>
                    </w:rPr>
                  </w:pPr>
                  <w:r w:rsidRPr="00CD20D6">
                    <w:rPr>
                      <w:rFonts w:ascii="Times New Roman" w:hAnsi="Times New Roman"/>
                      <w:i/>
                      <w:sz w:val="20"/>
                      <w:szCs w:val="20"/>
                      <w:lang w:eastAsia="sk-SK"/>
                    </w:rPr>
                    <w:t>Náklady na celé podnikateľské prostredie</w:t>
                  </w:r>
                </w:p>
              </w:tc>
            </w:tr>
            <w:tr w:rsidR="00CD20D6" w:rsidRPr="00CD20D6" w:rsidTr="00690AEC">
              <w:tc>
                <w:tcPr>
                  <w:tcW w:w="2949" w:type="dxa"/>
                  <w:tcBorders>
                    <w:top w:val="single" w:sz="4" w:space="0" w:color="auto"/>
                    <w:left w:val="single" w:sz="4" w:space="0" w:color="auto"/>
                    <w:bottom w:val="single" w:sz="4" w:space="0" w:color="auto"/>
                    <w:right w:val="single" w:sz="4" w:space="0" w:color="auto"/>
                  </w:tcBorders>
                </w:tcPr>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Priame finančné náklady</w:t>
                  </w:r>
                </w:p>
              </w:tc>
              <w:tc>
                <w:tcPr>
                  <w:tcW w:w="2941" w:type="dxa"/>
                  <w:tcBorders>
                    <w:top w:val="single" w:sz="4" w:space="0" w:color="auto"/>
                    <w:left w:val="single" w:sz="4" w:space="0" w:color="auto"/>
                    <w:bottom w:val="single" w:sz="4" w:space="0" w:color="auto"/>
                    <w:right w:val="single" w:sz="4" w:space="0" w:color="auto"/>
                  </w:tcBorders>
                </w:tcPr>
                <w:p w:rsidR="00CD20D6" w:rsidRPr="00CD20D6" w:rsidRDefault="00CD20D6" w:rsidP="00CD20D6">
                  <w:pPr>
                    <w:jc w:val="center"/>
                    <w:rPr>
                      <w:rFonts w:ascii="Times New Roman" w:hAnsi="Times New Roman"/>
                      <w:i/>
                      <w:sz w:val="20"/>
                      <w:szCs w:val="20"/>
                      <w:lang w:eastAsia="sk-SK"/>
                    </w:rPr>
                  </w:pPr>
                </w:p>
              </w:tc>
              <w:tc>
                <w:tcPr>
                  <w:tcW w:w="2946" w:type="dxa"/>
                  <w:tcBorders>
                    <w:top w:val="single" w:sz="4" w:space="0" w:color="auto"/>
                    <w:left w:val="single" w:sz="4" w:space="0" w:color="auto"/>
                    <w:bottom w:val="single" w:sz="4" w:space="0" w:color="auto"/>
                    <w:right w:val="single" w:sz="4" w:space="0" w:color="auto"/>
                  </w:tcBorders>
                </w:tcPr>
                <w:p w:rsidR="00CD20D6" w:rsidRPr="00CD20D6" w:rsidRDefault="00CD20D6" w:rsidP="00CD20D6">
                  <w:pPr>
                    <w:jc w:val="center"/>
                    <w:rPr>
                      <w:rFonts w:ascii="Times New Roman" w:hAnsi="Times New Roman"/>
                      <w:i/>
                      <w:sz w:val="20"/>
                      <w:szCs w:val="20"/>
                      <w:lang w:eastAsia="sk-SK"/>
                    </w:rPr>
                  </w:pPr>
                </w:p>
              </w:tc>
            </w:tr>
            <w:tr w:rsidR="00CD20D6" w:rsidRPr="00CD20D6" w:rsidTr="00690AEC">
              <w:tc>
                <w:tcPr>
                  <w:tcW w:w="2949" w:type="dxa"/>
                  <w:tcBorders>
                    <w:top w:val="single" w:sz="4" w:space="0" w:color="auto"/>
                    <w:left w:val="single" w:sz="4" w:space="0" w:color="auto"/>
                    <w:bottom w:val="single" w:sz="4" w:space="0" w:color="auto"/>
                    <w:right w:val="single" w:sz="4" w:space="0" w:color="auto"/>
                  </w:tcBorders>
                </w:tcPr>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 xml:space="preserve">Nepriame finančné náklady </w:t>
                  </w:r>
                </w:p>
              </w:tc>
              <w:tc>
                <w:tcPr>
                  <w:tcW w:w="2941" w:type="dxa"/>
                  <w:tcBorders>
                    <w:top w:val="single" w:sz="4" w:space="0" w:color="auto"/>
                    <w:left w:val="single" w:sz="4" w:space="0" w:color="auto"/>
                    <w:bottom w:val="single" w:sz="4" w:space="0" w:color="auto"/>
                    <w:right w:val="single" w:sz="4" w:space="0" w:color="auto"/>
                  </w:tcBorders>
                </w:tcPr>
                <w:p w:rsidR="00CD20D6" w:rsidRPr="00CD20D6" w:rsidRDefault="00CD20D6" w:rsidP="00CD20D6">
                  <w:pPr>
                    <w:jc w:val="center"/>
                    <w:rPr>
                      <w:rFonts w:ascii="Times New Roman" w:hAnsi="Times New Roman"/>
                      <w:i/>
                      <w:sz w:val="20"/>
                      <w:szCs w:val="20"/>
                      <w:lang w:eastAsia="sk-SK"/>
                    </w:rPr>
                  </w:pPr>
                </w:p>
              </w:tc>
              <w:tc>
                <w:tcPr>
                  <w:tcW w:w="2946" w:type="dxa"/>
                  <w:tcBorders>
                    <w:top w:val="single" w:sz="4" w:space="0" w:color="auto"/>
                    <w:left w:val="single" w:sz="4" w:space="0" w:color="auto"/>
                    <w:bottom w:val="single" w:sz="4" w:space="0" w:color="auto"/>
                    <w:right w:val="single" w:sz="4" w:space="0" w:color="auto"/>
                  </w:tcBorders>
                </w:tcPr>
                <w:p w:rsidR="00CD20D6" w:rsidRPr="00CD20D6" w:rsidRDefault="00CD20D6" w:rsidP="00CD20D6">
                  <w:pPr>
                    <w:jc w:val="center"/>
                    <w:rPr>
                      <w:rFonts w:ascii="Times New Roman" w:hAnsi="Times New Roman"/>
                      <w:i/>
                      <w:sz w:val="20"/>
                      <w:szCs w:val="20"/>
                      <w:lang w:eastAsia="sk-SK"/>
                    </w:rPr>
                  </w:pPr>
                </w:p>
              </w:tc>
            </w:tr>
            <w:tr w:rsidR="00CD20D6" w:rsidRPr="00CD20D6" w:rsidTr="00690AEC">
              <w:tc>
                <w:tcPr>
                  <w:tcW w:w="2949" w:type="dxa"/>
                  <w:tcBorders>
                    <w:top w:val="single" w:sz="4" w:space="0" w:color="auto"/>
                    <w:left w:val="single" w:sz="4" w:space="0" w:color="auto"/>
                    <w:bottom w:val="single" w:sz="4" w:space="0" w:color="auto"/>
                    <w:right w:val="single" w:sz="4" w:space="0" w:color="auto"/>
                  </w:tcBorders>
                </w:tcPr>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Administratívne náklady</w:t>
                  </w:r>
                </w:p>
              </w:tc>
              <w:tc>
                <w:tcPr>
                  <w:tcW w:w="2941" w:type="dxa"/>
                  <w:tcBorders>
                    <w:top w:val="single" w:sz="4" w:space="0" w:color="auto"/>
                    <w:left w:val="single" w:sz="4" w:space="0" w:color="auto"/>
                    <w:bottom w:val="single" w:sz="4" w:space="0" w:color="auto"/>
                    <w:right w:val="single" w:sz="4" w:space="0" w:color="auto"/>
                  </w:tcBorders>
                </w:tcPr>
                <w:p w:rsidR="00CD20D6" w:rsidRPr="00CD20D6" w:rsidRDefault="00CD20D6" w:rsidP="00CD20D6">
                  <w:pPr>
                    <w:jc w:val="center"/>
                    <w:rPr>
                      <w:rFonts w:ascii="Times New Roman" w:hAnsi="Times New Roman"/>
                      <w:i/>
                      <w:sz w:val="20"/>
                      <w:szCs w:val="20"/>
                      <w:lang w:eastAsia="sk-SK"/>
                    </w:rPr>
                  </w:pPr>
                </w:p>
              </w:tc>
              <w:tc>
                <w:tcPr>
                  <w:tcW w:w="2946" w:type="dxa"/>
                  <w:tcBorders>
                    <w:top w:val="single" w:sz="4" w:space="0" w:color="auto"/>
                    <w:left w:val="single" w:sz="4" w:space="0" w:color="auto"/>
                    <w:bottom w:val="single" w:sz="4" w:space="0" w:color="auto"/>
                    <w:right w:val="single" w:sz="4" w:space="0" w:color="auto"/>
                  </w:tcBorders>
                </w:tcPr>
                <w:p w:rsidR="00CD20D6" w:rsidRPr="00CD20D6" w:rsidRDefault="00CD20D6" w:rsidP="00CD20D6">
                  <w:pPr>
                    <w:jc w:val="center"/>
                    <w:rPr>
                      <w:rFonts w:ascii="Times New Roman" w:hAnsi="Times New Roman"/>
                      <w:i/>
                      <w:sz w:val="20"/>
                      <w:szCs w:val="20"/>
                      <w:lang w:eastAsia="sk-SK"/>
                    </w:rPr>
                  </w:pPr>
                </w:p>
              </w:tc>
            </w:tr>
            <w:tr w:rsidR="00CD20D6" w:rsidRPr="00CD20D6" w:rsidTr="00690AEC">
              <w:tc>
                <w:tcPr>
                  <w:tcW w:w="2949" w:type="dxa"/>
                  <w:tcBorders>
                    <w:top w:val="single" w:sz="4" w:space="0" w:color="auto"/>
                    <w:left w:val="single" w:sz="4" w:space="0" w:color="auto"/>
                    <w:bottom w:val="single" w:sz="4" w:space="0" w:color="auto"/>
                    <w:right w:val="single" w:sz="4" w:space="0" w:color="auto"/>
                  </w:tcBorders>
                </w:tcPr>
                <w:p w:rsidR="00CD20D6" w:rsidRPr="00CD20D6" w:rsidRDefault="00CD20D6" w:rsidP="00CD20D6">
                  <w:pPr>
                    <w:jc w:val="both"/>
                    <w:rPr>
                      <w:rFonts w:ascii="Times New Roman" w:hAnsi="Times New Roman"/>
                      <w:b/>
                      <w:i/>
                      <w:sz w:val="20"/>
                      <w:szCs w:val="20"/>
                      <w:lang w:eastAsia="sk-SK"/>
                    </w:rPr>
                  </w:pPr>
                  <w:r w:rsidRPr="00CD20D6">
                    <w:rPr>
                      <w:rFonts w:ascii="Times New Roman" w:hAnsi="Times New Roman"/>
                      <w:b/>
                      <w:i/>
                      <w:sz w:val="20"/>
                      <w:szCs w:val="20"/>
                      <w:lang w:eastAsia="sk-SK"/>
                    </w:rPr>
                    <w:t>Celkové náklady regulácie</w:t>
                  </w:r>
                </w:p>
              </w:tc>
              <w:tc>
                <w:tcPr>
                  <w:tcW w:w="2941" w:type="dxa"/>
                  <w:tcBorders>
                    <w:top w:val="single" w:sz="4" w:space="0" w:color="auto"/>
                    <w:left w:val="single" w:sz="4" w:space="0" w:color="auto"/>
                    <w:bottom w:val="single" w:sz="4" w:space="0" w:color="auto"/>
                    <w:right w:val="single" w:sz="4" w:space="0" w:color="auto"/>
                  </w:tcBorders>
                </w:tcPr>
                <w:p w:rsidR="00CD20D6" w:rsidRPr="00CD20D6" w:rsidRDefault="00CD20D6" w:rsidP="00CD20D6">
                  <w:pPr>
                    <w:jc w:val="center"/>
                    <w:rPr>
                      <w:rFonts w:ascii="Times New Roman" w:hAnsi="Times New Roman"/>
                      <w:b/>
                      <w:i/>
                      <w:sz w:val="20"/>
                      <w:szCs w:val="20"/>
                      <w:lang w:eastAsia="sk-SK"/>
                    </w:rPr>
                  </w:pPr>
                </w:p>
              </w:tc>
              <w:tc>
                <w:tcPr>
                  <w:tcW w:w="2946" w:type="dxa"/>
                  <w:tcBorders>
                    <w:top w:val="single" w:sz="4" w:space="0" w:color="auto"/>
                    <w:left w:val="single" w:sz="4" w:space="0" w:color="auto"/>
                    <w:bottom w:val="single" w:sz="4" w:space="0" w:color="auto"/>
                    <w:right w:val="single" w:sz="4" w:space="0" w:color="auto"/>
                  </w:tcBorders>
                </w:tcPr>
                <w:p w:rsidR="00CD20D6" w:rsidRPr="00CD20D6" w:rsidRDefault="00CD20D6" w:rsidP="00CD20D6">
                  <w:pPr>
                    <w:jc w:val="center"/>
                    <w:rPr>
                      <w:rFonts w:ascii="Times New Roman" w:hAnsi="Times New Roman"/>
                      <w:b/>
                      <w:i/>
                      <w:sz w:val="20"/>
                      <w:szCs w:val="20"/>
                      <w:lang w:eastAsia="sk-SK"/>
                    </w:rPr>
                  </w:pPr>
                </w:p>
              </w:tc>
            </w:tr>
          </w:tbl>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lang w:eastAsia="sk-SK"/>
              </w:rPr>
              <w:t xml:space="preserve">Vyššie uvedené finančné dopady sú orientačného charakteru. Ceny sú uvedené bez DPH. </w:t>
            </w:r>
          </w:p>
        </w:tc>
      </w:tr>
      <w:tr w:rsidR="00CD20D6" w:rsidRPr="00CD20D6" w:rsidTr="00CD20D6">
        <w:tc>
          <w:tcPr>
            <w:tcW w:w="9060" w:type="dxa"/>
            <w:shd w:val="clear" w:color="auto" w:fill="D9D9D9"/>
          </w:tcPr>
          <w:p w:rsidR="00CD20D6" w:rsidRPr="00CD20D6" w:rsidRDefault="00CD20D6" w:rsidP="00CD20D6">
            <w:pPr>
              <w:rPr>
                <w:rFonts w:ascii="Times New Roman" w:hAnsi="Times New Roman"/>
                <w:b/>
                <w:sz w:val="24"/>
                <w:szCs w:val="20"/>
                <w:lang w:eastAsia="sk-SK"/>
              </w:rPr>
            </w:pPr>
            <w:r w:rsidRPr="00CD20D6">
              <w:rPr>
                <w:rFonts w:ascii="Times New Roman" w:hAnsi="Times New Roman"/>
                <w:b/>
                <w:sz w:val="24"/>
                <w:szCs w:val="20"/>
                <w:lang w:eastAsia="sk-SK"/>
              </w:rPr>
              <w:t>3.4 Konkurencieschopnosť a správanie sa podnikov na trhu</w:t>
            </w:r>
          </w:p>
          <w:p w:rsidR="00CD20D6" w:rsidRPr="00CD20D6" w:rsidRDefault="00CD20D6" w:rsidP="00CD20D6">
            <w:pPr>
              <w:rPr>
                <w:rFonts w:ascii="Times New Roman" w:hAnsi="Times New Roman"/>
                <w:sz w:val="20"/>
                <w:szCs w:val="20"/>
                <w:lang w:eastAsia="sk-SK"/>
              </w:rPr>
            </w:pPr>
            <w:r w:rsidRPr="00CD20D6">
              <w:rPr>
                <w:rFonts w:ascii="Times New Roman" w:hAnsi="Times New Roman"/>
                <w:b/>
                <w:sz w:val="24"/>
                <w:szCs w:val="20"/>
                <w:lang w:eastAsia="sk-SK"/>
              </w:rPr>
              <w:t xml:space="preserve">       </w:t>
            </w:r>
            <w:r w:rsidRPr="00CD20D6">
              <w:rPr>
                <w:rFonts w:ascii="Times New Roman" w:hAnsi="Times New Roman"/>
                <w:sz w:val="24"/>
                <w:szCs w:val="20"/>
                <w:lang w:eastAsia="sk-SK"/>
              </w:rPr>
              <w:t xml:space="preserve">- </w:t>
            </w:r>
            <w:r w:rsidRPr="00CD20D6">
              <w:rPr>
                <w:rFonts w:ascii="Times New Roman" w:hAnsi="Times New Roman"/>
                <w:b/>
                <w:sz w:val="24"/>
                <w:szCs w:val="20"/>
                <w:lang w:eastAsia="sk-SK"/>
              </w:rPr>
              <w:t>z toho MSP</w:t>
            </w:r>
          </w:p>
        </w:tc>
      </w:tr>
      <w:tr w:rsidR="00CD20D6" w:rsidRPr="00CD20D6" w:rsidTr="00CD20D6">
        <w:tc>
          <w:tcPr>
            <w:tcW w:w="9060" w:type="dxa"/>
          </w:tcPr>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CD20D6">
              <w:rPr>
                <w:rFonts w:ascii="Times New Roman" w:hAnsi="Times New Roman"/>
                <w:i/>
                <w:sz w:val="20"/>
                <w:szCs w:val="20"/>
                <w:lang w:eastAsia="sk-SK"/>
              </w:rPr>
              <w:t>mikro</w:t>
            </w:r>
            <w:proofErr w:type="spellEnd"/>
            <w:r w:rsidRPr="00CD20D6">
              <w:rPr>
                <w:rFonts w:ascii="Times New Roman" w:hAnsi="Times New Roman"/>
                <w:i/>
                <w:sz w:val="20"/>
                <w:szCs w:val="20"/>
                <w:lang w:eastAsia="sk-SK"/>
              </w:rPr>
              <w:t>, malé a stredné podniky tzv. MSP)? Ak áno, popíšte.</w:t>
            </w:r>
          </w:p>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Ako ovplyvní cenu alebo dostupnosť základných zdrojov (suroviny, mechanizmy, pracovná sila, energie atď.)?</w:t>
            </w:r>
          </w:p>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Ovplyvňuje prístup k financiám? Ak áno, ako?</w:t>
            </w:r>
          </w:p>
        </w:tc>
      </w:tr>
      <w:tr w:rsidR="00CD20D6" w:rsidRPr="00CD20D6" w:rsidTr="00CD20D6">
        <w:trPr>
          <w:trHeight w:val="2253"/>
        </w:trPr>
        <w:tc>
          <w:tcPr>
            <w:tcW w:w="9060" w:type="dxa"/>
          </w:tcPr>
          <w:p w:rsidR="00CD20D6" w:rsidRPr="00CD20D6" w:rsidRDefault="00CD20D6" w:rsidP="00CD20D6">
            <w:pPr>
              <w:jc w:val="both"/>
              <w:rPr>
                <w:rFonts w:ascii="Times New Roman" w:hAnsi="Times New Roman"/>
                <w:lang w:eastAsia="sk-SK"/>
              </w:rPr>
            </w:pPr>
            <w:r w:rsidRPr="00CD20D6">
              <w:rPr>
                <w:rFonts w:ascii="Times New Roman" w:hAnsi="Times New Roman"/>
                <w:lang w:eastAsia="sk-SK"/>
              </w:rPr>
              <w:t>Návrhom zákona sa umožňuje, aby maximálny počet povolení vozidiel ukončenej série mohol byť dvojnásobný.</w:t>
            </w:r>
          </w:p>
          <w:p w:rsidR="00CD20D6" w:rsidRPr="00CD20D6" w:rsidRDefault="00CD20D6" w:rsidP="00CD20D6">
            <w:pPr>
              <w:jc w:val="both"/>
              <w:rPr>
                <w:rFonts w:ascii="Times New Roman" w:hAnsi="Times New Roman"/>
                <w:lang w:eastAsia="sk-SK"/>
              </w:rPr>
            </w:pPr>
            <w:r w:rsidRPr="00CD20D6">
              <w:rPr>
                <w:rFonts w:ascii="Times New Roman" w:hAnsi="Times New Roman"/>
                <w:lang w:eastAsia="sk-SK"/>
              </w:rPr>
              <w:t>Týmto opatrením nevzniknú zástupcom výrobcom vozidiel a predajcom vozidiel priame škody, ktoré by boli spôsobené tým, že vozidlá nebudú môcť predať a zaregistrovať.</w:t>
            </w:r>
          </w:p>
          <w:p w:rsidR="00CD20D6" w:rsidRPr="00CD20D6" w:rsidRDefault="00CD20D6" w:rsidP="00CD20D6">
            <w:pPr>
              <w:jc w:val="both"/>
              <w:rPr>
                <w:rFonts w:ascii="Times New Roman" w:hAnsi="Times New Roman"/>
                <w:lang w:eastAsia="sk-SK"/>
              </w:rPr>
            </w:pPr>
            <w:r w:rsidRPr="00CD20D6">
              <w:rPr>
                <w:rFonts w:ascii="Times New Roman" w:hAnsi="Times New Roman"/>
                <w:lang w:eastAsia="sk-SK"/>
              </w:rPr>
              <w:t>Tieto opatrenia budú mať pozitívny vplyv pre zástupcov výrobcov vozidiel a predajcov vozidiel.</w:t>
            </w:r>
          </w:p>
        </w:tc>
      </w:tr>
      <w:tr w:rsidR="00CD20D6" w:rsidRPr="00CD20D6" w:rsidTr="00CD20D6">
        <w:tc>
          <w:tcPr>
            <w:tcW w:w="9060" w:type="dxa"/>
            <w:shd w:val="clear" w:color="auto" w:fill="D9D9D9"/>
          </w:tcPr>
          <w:p w:rsidR="00CD20D6" w:rsidRPr="00CD20D6" w:rsidRDefault="00CD20D6" w:rsidP="00CD20D6">
            <w:pPr>
              <w:rPr>
                <w:rFonts w:ascii="Times New Roman" w:hAnsi="Times New Roman"/>
                <w:b/>
                <w:sz w:val="24"/>
                <w:szCs w:val="20"/>
                <w:lang w:eastAsia="sk-SK"/>
              </w:rPr>
            </w:pPr>
            <w:r w:rsidRPr="00CD20D6">
              <w:rPr>
                <w:rFonts w:ascii="Times New Roman" w:hAnsi="Times New Roman"/>
                <w:b/>
                <w:sz w:val="24"/>
                <w:szCs w:val="20"/>
                <w:lang w:eastAsia="sk-SK"/>
              </w:rPr>
              <w:t xml:space="preserve">3.5 Inovácie </w:t>
            </w:r>
          </w:p>
          <w:p w:rsidR="00CD20D6" w:rsidRPr="00CD20D6" w:rsidRDefault="00CD20D6" w:rsidP="00CD20D6">
            <w:pPr>
              <w:rPr>
                <w:rFonts w:ascii="Times New Roman" w:hAnsi="Times New Roman"/>
                <w:b/>
                <w:sz w:val="20"/>
                <w:szCs w:val="20"/>
                <w:lang w:eastAsia="sk-SK"/>
              </w:rPr>
            </w:pPr>
            <w:r w:rsidRPr="00CD20D6">
              <w:rPr>
                <w:rFonts w:ascii="Times New Roman" w:hAnsi="Times New Roman"/>
                <w:sz w:val="24"/>
                <w:szCs w:val="20"/>
                <w:lang w:eastAsia="sk-SK"/>
              </w:rPr>
              <w:t xml:space="preserve">       - </w:t>
            </w:r>
            <w:r w:rsidRPr="00CD20D6">
              <w:rPr>
                <w:rFonts w:ascii="Times New Roman" w:hAnsi="Times New Roman"/>
                <w:b/>
                <w:sz w:val="24"/>
                <w:szCs w:val="20"/>
                <w:lang w:eastAsia="sk-SK"/>
              </w:rPr>
              <w:t>z toho MSP</w:t>
            </w:r>
          </w:p>
        </w:tc>
      </w:tr>
      <w:tr w:rsidR="00CD20D6" w:rsidRPr="00CD20D6" w:rsidTr="00CD20D6">
        <w:tc>
          <w:tcPr>
            <w:tcW w:w="9060" w:type="dxa"/>
          </w:tcPr>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Uveďte, ako podporuje navrhovaná zmena inovácie.</w:t>
            </w:r>
          </w:p>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Zjednodušuje uvedenie alebo rozšírenie nových výrobných metód, technológií a výrobkov na trh?</w:t>
            </w:r>
          </w:p>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Uveďte, ako vplýva navrhovaná zmena na jednotlivé práva duševného vlastníctva (napr. patenty, ochranné známky, autorské práva, vlastníctvo know-how).</w:t>
            </w:r>
          </w:p>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Podporuje vyššiu efektivitu výroby/využívania zdrojov? Ak áno, ako?</w:t>
            </w:r>
          </w:p>
          <w:p w:rsidR="00CD20D6" w:rsidRPr="00CD20D6" w:rsidRDefault="00CD20D6" w:rsidP="00CD20D6">
            <w:pPr>
              <w:jc w:val="both"/>
              <w:rPr>
                <w:rFonts w:ascii="Times New Roman" w:hAnsi="Times New Roman"/>
                <w:i/>
                <w:sz w:val="20"/>
                <w:szCs w:val="20"/>
                <w:lang w:eastAsia="sk-SK"/>
              </w:rPr>
            </w:pPr>
            <w:r w:rsidRPr="00CD20D6">
              <w:rPr>
                <w:rFonts w:ascii="Times New Roman" w:hAnsi="Times New Roman"/>
                <w:i/>
                <w:sz w:val="20"/>
                <w:szCs w:val="20"/>
                <w:lang w:eastAsia="sk-SK"/>
              </w:rPr>
              <w:t>Vytvorí zmena nové pracovné miesta pre zamestnancov výskumu a vývoja v SR?</w:t>
            </w:r>
          </w:p>
        </w:tc>
      </w:tr>
      <w:tr w:rsidR="00CD20D6" w:rsidRPr="00CD20D6" w:rsidTr="00CD20D6">
        <w:trPr>
          <w:trHeight w:val="800"/>
        </w:trPr>
        <w:tc>
          <w:tcPr>
            <w:tcW w:w="9060" w:type="dxa"/>
          </w:tcPr>
          <w:p w:rsidR="00CD20D6" w:rsidRPr="00CD20D6" w:rsidRDefault="00CD20D6" w:rsidP="00CD20D6">
            <w:pPr>
              <w:jc w:val="both"/>
              <w:rPr>
                <w:rFonts w:ascii="Times New Roman" w:hAnsi="Times New Roman"/>
                <w:lang w:eastAsia="sk-SK"/>
              </w:rPr>
            </w:pPr>
            <w:r w:rsidRPr="00CD20D6">
              <w:rPr>
                <w:rFonts w:ascii="Times New Roman" w:hAnsi="Times New Roman"/>
                <w:lang w:eastAsia="sk-SK"/>
              </w:rPr>
              <w:t>Návrh zákona nemá vplyv na inovácie podnikateľov.</w:t>
            </w:r>
          </w:p>
        </w:tc>
      </w:tr>
    </w:tbl>
    <w:p w:rsidR="00CD20D6" w:rsidRPr="00CD20D6" w:rsidRDefault="00CD20D6" w:rsidP="00CD20D6">
      <w:pPr>
        <w:spacing w:after="0" w:line="240" w:lineRule="auto"/>
        <w:jc w:val="both"/>
        <w:rPr>
          <w:rFonts w:ascii="Times New Roman" w:eastAsia="Times New Roman" w:hAnsi="Times New Roman" w:cs="Times New Roman"/>
          <w:sz w:val="20"/>
          <w:szCs w:val="20"/>
          <w:lang w:eastAsia="sk-SK"/>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Pr="00CD20D6" w:rsidRDefault="00CD20D6" w:rsidP="00CD20D6">
      <w:pPr>
        <w:tabs>
          <w:tab w:val="left" w:pos="567"/>
        </w:tabs>
        <w:spacing w:after="0" w:line="240" w:lineRule="auto"/>
        <w:jc w:val="center"/>
        <w:rPr>
          <w:rFonts w:ascii="Times New Roman" w:eastAsia="Times New Roman" w:hAnsi="Times New Roman" w:cs="Times New Roman"/>
          <w:b/>
          <w:caps/>
          <w:sz w:val="24"/>
          <w:szCs w:val="24"/>
          <w:lang w:eastAsia="cs-CZ"/>
        </w:rPr>
      </w:pPr>
      <w:r w:rsidRPr="00CD20D6">
        <w:rPr>
          <w:rFonts w:ascii="Times New Roman" w:eastAsia="Times New Roman" w:hAnsi="Times New Roman" w:cs="Times New Roman"/>
          <w:b/>
          <w:caps/>
          <w:sz w:val="24"/>
          <w:szCs w:val="24"/>
          <w:lang w:eastAsia="cs-CZ"/>
        </w:rPr>
        <w:lastRenderedPageBreak/>
        <w:t>Doložka zlučiteľnosti</w:t>
      </w:r>
    </w:p>
    <w:p w:rsidR="00CD20D6" w:rsidRPr="00CD20D6" w:rsidRDefault="00CD20D6" w:rsidP="00CD20D6">
      <w:pPr>
        <w:tabs>
          <w:tab w:val="left" w:pos="567"/>
        </w:tabs>
        <w:spacing w:after="120" w:line="240" w:lineRule="auto"/>
        <w:jc w:val="center"/>
        <w:rPr>
          <w:rFonts w:ascii="Times New Roman" w:eastAsia="Times New Roman" w:hAnsi="Times New Roman" w:cs="Times New Roman"/>
          <w:b/>
          <w:sz w:val="24"/>
          <w:szCs w:val="24"/>
          <w:lang w:eastAsia="cs-CZ"/>
        </w:rPr>
      </w:pPr>
      <w:r w:rsidRPr="00CD20D6">
        <w:rPr>
          <w:rFonts w:ascii="Times New Roman" w:eastAsia="Times New Roman" w:hAnsi="Times New Roman" w:cs="Times New Roman"/>
          <w:b/>
          <w:bCs/>
          <w:sz w:val="24"/>
          <w:szCs w:val="24"/>
          <w:lang w:eastAsia="cs-CZ"/>
        </w:rPr>
        <w:t xml:space="preserve">návrhu </w:t>
      </w:r>
      <w:r w:rsidRPr="00CD20D6">
        <w:rPr>
          <w:rFonts w:ascii="Times New Roman" w:eastAsia="Times New Roman" w:hAnsi="Times New Roman" w:cs="Times New Roman"/>
          <w:b/>
          <w:sz w:val="24"/>
          <w:szCs w:val="24"/>
          <w:lang w:eastAsia="cs-CZ"/>
        </w:rPr>
        <w:t>zákona</w:t>
      </w:r>
      <w:r w:rsidRPr="00CD20D6">
        <w:rPr>
          <w:rFonts w:ascii="Times New Roman" w:eastAsia="Times New Roman" w:hAnsi="Times New Roman" w:cs="Times New Roman"/>
          <w:b/>
          <w:bCs/>
          <w:sz w:val="24"/>
          <w:szCs w:val="24"/>
          <w:lang w:eastAsia="cs-CZ"/>
        </w:rPr>
        <w:t xml:space="preserve"> s právom Európskej únie</w:t>
      </w:r>
    </w:p>
    <w:p w:rsidR="00CD20D6" w:rsidRPr="00CD20D6" w:rsidRDefault="00CD20D6" w:rsidP="00CD20D6">
      <w:pPr>
        <w:tabs>
          <w:tab w:val="left" w:pos="567"/>
        </w:tabs>
        <w:spacing w:after="0" w:line="240" w:lineRule="auto"/>
        <w:rPr>
          <w:rFonts w:ascii="Times New Roman" w:eastAsia="Times New Roman" w:hAnsi="Times New Roman" w:cs="Times New Roman"/>
          <w:b/>
          <w:sz w:val="24"/>
          <w:szCs w:val="24"/>
          <w:lang w:eastAsia="cs-CZ"/>
        </w:rPr>
      </w:pPr>
    </w:p>
    <w:p w:rsidR="00CD20D6" w:rsidRPr="00CD20D6" w:rsidRDefault="00CD20D6" w:rsidP="00CD20D6">
      <w:pPr>
        <w:numPr>
          <w:ilvl w:val="0"/>
          <w:numId w:val="5"/>
        </w:numPr>
        <w:spacing w:after="0" w:line="240" w:lineRule="auto"/>
        <w:jc w:val="both"/>
        <w:rPr>
          <w:rFonts w:ascii="Times New Roman" w:eastAsia="Times New Roman" w:hAnsi="Times New Roman" w:cs="Times New Roman"/>
          <w:b/>
          <w:sz w:val="24"/>
          <w:szCs w:val="24"/>
          <w:lang w:eastAsia="cs-CZ"/>
        </w:rPr>
      </w:pPr>
      <w:r w:rsidRPr="00CD20D6">
        <w:rPr>
          <w:rFonts w:ascii="Times New Roman" w:eastAsia="Times New Roman" w:hAnsi="Times New Roman" w:cs="Times New Roman"/>
          <w:b/>
          <w:sz w:val="24"/>
          <w:szCs w:val="24"/>
          <w:lang w:eastAsia="cs-CZ"/>
        </w:rPr>
        <w:t xml:space="preserve">Navrhovateľ návrhu zákona: </w:t>
      </w:r>
    </w:p>
    <w:p w:rsidR="00CD20D6" w:rsidRPr="00CD20D6" w:rsidRDefault="00CD20D6" w:rsidP="00CD20D6">
      <w:pPr>
        <w:spacing w:before="120" w:after="0" w:line="240" w:lineRule="auto"/>
        <w:ind w:firstLine="567"/>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Ministerstvo dopravy a výstavby Slovenskej republiky</w:t>
      </w:r>
    </w:p>
    <w:p w:rsidR="00CD20D6" w:rsidRPr="00CD20D6" w:rsidRDefault="00CD20D6" w:rsidP="00CD20D6">
      <w:pPr>
        <w:spacing w:after="0" w:line="240" w:lineRule="auto"/>
        <w:jc w:val="both"/>
        <w:rPr>
          <w:rFonts w:ascii="Times New Roman" w:eastAsia="Times New Roman" w:hAnsi="Times New Roman" w:cs="Times New Roman"/>
          <w:sz w:val="24"/>
          <w:szCs w:val="24"/>
          <w:lang w:eastAsia="cs-CZ"/>
        </w:rPr>
      </w:pPr>
    </w:p>
    <w:p w:rsidR="00CD20D6" w:rsidRPr="00CD20D6" w:rsidRDefault="00CD20D6" w:rsidP="00CD20D6">
      <w:pPr>
        <w:numPr>
          <w:ilvl w:val="0"/>
          <w:numId w:val="5"/>
        </w:numPr>
        <w:spacing w:after="0" w:line="240" w:lineRule="auto"/>
        <w:jc w:val="both"/>
        <w:rPr>
          <w:rFonts w:ascii="Times New Roman" w:eastAsia="Times New Roman" w:hAnsi="Times New Roman" w:cs="Times New Roman"/>
          <w:b/>
          <w:sz w:val="24"/>
          <w:szCs w:val="24"/>
          <w:lang w:eastAsia="cs-CZ"/>
        </w:rPr>
      </w:pPr>
      <w:r w:rsidRPr="00CD20D6">
        <w:rPr>
          <w:rFonts w:ascii="Times New Roman" w:eastAsia="Times New Roman" w:hAnsi="Times New Roman" w:cs="Times New Roman"/>
          <w:b/>
          <w:sz w:val="24"/>
          <w:szCs w:val="24"/>
          <w:lang w:eastAsia="cs-CZ"/>
        </w:rPr>
        <w:t>Názov návrhu zákona:</w:t>
      </w:r>
    </w:p>
    <w:p w:rsidR="00CD20D6" w:rsidRPr="00CD20D6" w:rsidRDefault="00CD20D6" w:rsidP="00CD20D6">
      <w:pPr>
        <w:spacing w:before="120" w:after="0" w:line="240" w:lineRule="auto"/>
        <w:ind w:left="567"/>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Návrh zákona ktorým sa mení a dopĺňa zákon č. 106/2018 Z. z. o prevádzke vozidiel v cestnej premávke a o zmene a doplnení niektorých zákonov a ktorým sa menia a dopĺňajú niektoré zákony</w:t>
      </w:r>
    </w:p>
    <w:p w:rsidR="00CD20D6" w:rsidRPr="00CD20D6" w:rsidRDefault="00CD20D6" w:rsidP="00CD20D6">
      <w:pPr>
        <w:spacing w:after="0" w:line="240" w:lineRule="auto"/>
        <w:jc w:val="both"/>
        <w:rPr>
          <w:rFonts w:ascii="Times New Roman" w:eastAsia="Times New Roman" w:hAnsi="Times New Roman" w:cs="Times New Roman"/>
          <w:b/>
          <w:sz w:val="24"/>
          <w:szCs w:val="24"/>
          <w:lang w:eastAsia="cs-CZ"/>
        </w:rPr>
      </w:pPr>
    </w:p>
    <w:p w:rsidR="00CD20D6" w:rsidRPr="00CD20D6" w:rsidRDefault="00CD20D6" w:rsidP="00CD20D6">
      <w:pPr>
        <w:numPr>
          <w:ilvl w:val="0"/>
          <w:numId w:val="5"/>
        </w:numPr>
        <w:spacing w:after="0" w:line="240" w:lineRule="auto"/>
        <w:jc w:val="both"/>
        <w:rPr>
          <w:rFonts w:ascii="Times New Roman" w:eastAsia="Times New Roman" w:hAnsi="Times New Roman" w:cs="Times New Roman"/>
          <w:b/>
          <w:sz w:val="24"/>
          <w:szCs w:val="24"/>
          <w:lang w:eastAsia="cs-CZ"/>
        </w:rPr>
      </w:pPr>
      <w:r w:rsidRPr="00CD20D6">
        <w:rPr>
          <w:rFonts w:ascii="Times New Roman" w:eastAsia="Times New Roman" w:hAnsi="Times New Roman" w:cs="Times New Roman"/>
          <w:b/>
          <w:sz w:val="24"/>
          <w:szCs w:val="24"/>
          <w:lang w:eastAsia="cs-CZ"/>
        </w:rPr>
        <w:t xml:space="preserve">Predmet návrhu zákona je upravený v práve Európskej únie: </w:t>
      </w:r>
    </w:p>
    <w:p w:rsidR="00CD20D6" w:rsidRPr="00CD20D6" w:rsidRDefault="00CD20D6" w:rsidP="00CD20D6">
      <w:pPr>
        <w:numPr>
          <w:ilvl w:val="0"/>
          <w:numId w:val="3"/>
        </w:numPr>
        <w:spacing w:before="120" w:after="0" w:line="240" w:lineRule="auto"/>
        <w:ind w:left="714" w:hanging="357"/>
        <w:jc w:val="both"/>
        <w:rPr>
          <w:rFonts w:ascii="Times New Roman" w:eastAsia="Times New Roman" w:hAnsi="Times New Roman" w:cs="Times New Roman"/>
          <w:sz w:val="24"/>
          <w:szCs w:val="24"/>
          <w:lang w:eastAsia="sk-SK"/>
        </w:rPr>
      </w:pPr>
      <w:r w:rsidRPr="00CD20D6">
        <w:rPr>
          <w:rFonts w:ascii="Times New Roman" w:eastAsia="Times New Roman" w:hAnsi="Times New Roman" w:cs="Times New Roman"/>
          <w:sz w:val="24"/>
          <w:szCs w:val="24"/>
          <w:lang w:eastAsia="sk-SK"/>
        </w:rPr>
        <w:t xml:space="preserve">v primárnom práve (uviesť názov zmluvy a číslo článku) </w:t>
      </w:r>
    </w:p>
    <w:p w:rsidR="00CD20D6" w:rsidRPr="00CD20D6" w:rsidRDefault="00CD20D6" w:rsidP="00CD20D6">
      <w:pPr>
        <w:spacing w:after="0" w:line="240" w:lineRule="auto"/>
        <w:ind w:left="709"/>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Čl. 28-37 Hlava II (Voľný pohyb tovaru), čl. 90-100 Hlava VI (Doprava), čl. 114-118 (Aproximácia práva) a čl. 191-193 Hlava XX (Životné prostredie) Zmluvy o fungovaní Európskej únie, 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 6. 2018),</w:t>
      </w:r>
    </w:p>
    <w:p w:rsidR="00CD20D6" w:rsidRPr="00CD20D6" w:rsidRDefault="00CD20D6" w:rsidP="00CD20D6">
      <w:pPr>
        <w:numPr>
          <w:ilvl w:val="0"/>
          <w:numId w:val="3"/>
        </w:numPr>
        <w:spacing w:before="120" w:after="0" w:line="240" w:lineRule="auto"/>
        <w:ind w:left="714" w:hanging="357"/>
        <w:jc w:val="both"/>
        <w:rPr>
          <w:rFonts w:ascii="Times New Roman" w:eastAsia="Times New Roman" w:hAnsi="Times New Roman" w:cs="Times New Roman"/>
          <w:sz w:val="24"/>
          <w:szCs w:val="24"/>
          <w:lang w:eastAsia="sk-SK"/>
        </w:rPr>
      </w:pPr>
      <w:r w:rsidRPr="00CD20D6">
        <w:rPr>
          <w:rFonts w:ascii="Times New Roman" w:eastAsia="Times New Roman" w:hAnsi="Times New Roman" w:cs="Times New Roman"/>
          <w:sz w:val="24"/>
          <w:szCs w:val="24"/>
          <w:lang w:eastAsia="sk-SK"/>
        </w:rPr>
        <w:t xml:space="preserve">v sekundárnom práve (uviesť druh, inštitúciu, číslo, názov a dátum vydania právneho aktu vzťahujúceho sa na upravovanú problematiku, vrátane jeho gestora) </w:t>
      </w:r>
    </w:p>
    <w:p w:rsidR="00CD20D6" w:rsidRPr="00CD20D6" w:rsidRDefault="00CD20D6" w:rsidP="00CD20D6">
      <w:pPr>
        <w:numPr>
          <w:ilvl w:val="0"/>
          <w:numId w:val="8"/>
        </w:numPr>
        <w:spacing w:after="0" w:line="240" w:lineRule="auto"/>
        <w:jc w:val="both"/>
        <w:rPr>
          <w:rFonts w:ascii="Times New Roman" w:eastAsia="Times New Roman" w:hAnsi="Times New Roman" w:cs="Times New Roman"/>
          <w:sz w:val="24"/>
          <w:szCs w:val="24"/>
          <w:lang w:eastAsia="sk-SK"/>
        </w:rPr>
      </w:pPr>
      <w:r w:rsidRPr="00CD20D6">
        <w:rPr>
          <w:rFonts w:ascii="Times New Roman" w:eastAsia="Times New Roman" w:hAnsi="Times New Roman" w:cs="Times New Roman"/>
          <w:sz w:val="24"/>
          <w:szCs w:val="24"/>
          <w:lang w:eastAsia="sk-SK"/>
        </w:rPr>
        <w:t>smernica Rady 89/459/EHS z 18. júla 1989 o aproximácii právnych predpisov členských štátov, ktoré sa týkajú hĺbky dezénu jazdnej plochy pneumatík určitých kategórií motorových vozidiel a ich prípojných vozidiel (Mimoriadne vydanie Ú. v. EÚ kap. 13, zv. 10; Ú. v. ES L 226, 3. 8. 1989), ktorej gestorom je Ministerstvo dopravy a výstavby Slovenskej republiky,</w:t>
      </w:r>
    </w:p>
    <w:p w:rsidR="00CD20D6" w:rsidRPr="00CD20D6" w:rsidRDefault="00CD20D6" w:rsidP="00CD20D6">
      <w:pPr>
        <w:numPr>
          <w:ilvl w:val="0"/>
          <w:numId w:val="8"/>
        </w:numPr>
        <w:spacing w:after="0" w:line="240" w:lineRule="auto"/>
        <w:jc w:val="both"/>
        <w:rPr>
          <w:rFonts w:ascii="Times New Roman" w:eastAsia="Times New Roman" w:hAnsi="Times New Roman" w:cs="Times New Roman"/>
          <w:sz w:val="24"/>
          <w:szCs w:val="24"/>
          <w:lang w:eastAsia="sk-SK"/>
        </w:rPr>
      </w:pPr>
      <w:r w:rsidRPr="00CD20D6">
        <w:rPr>
          <w:rFonts w:ascii="Times New Roman" w:eastAsia="Times New Roman" w:hAnsi="Times New Roman" w:cs="Times New Roman"/>
          <w:sz w:val="24"/>
          <w:szCs w:val="24"/>
          <w:lang w:eastAsia="sk-SK"/>
        </w:rPr>
        <w:t>smernica Rady 96/53/ES z 25. júla 1996, ktorou sa v Spoločenstve stanovujú najväčšie prípustné rozmery niektorých vozidiel vo vnútroštátnej a medzinárodnej cestnej doprave a maximálna povolená hmotnosť v medzinárodnej cestnej doprave (Mimoriadne vydanie Ú. v. EÚ, kap. 7/zv. 2; Ú. v. EÚ L 235, 17.9.1996) v platnom znení, ktorej gestorom je Ministerstvo dopravy a výstavby Slovenskej republiky,</w:t>
      </w:r>
    </w:p>
    <w:p w:rsidR="00CD20D6" w:rsidRPr="00CD20D6" w:rsidRDefault="00CD20D6" w:rsidP="00CD20D6">
      <w:pPr>
        <w:numPr>
          <w:ilvl w:val="0"/>
          <w:numId w:val="8"/>
        </w:numPr>
        <w:spacing w:after="0" w:line="240" w:lineRule="auto"/>
        <w:jc w:val="both"/>
        <w:rPr>
          <w:rFonts w:ascii="Times New Roman" w:eastAsia="Times New Roman" w:hAnsi="Times New Roman" w:cs="Times New Roman"/>
          <w:sz w:val="24"/>
          <w:szCs w:val="24"/>
          <w:lang w:eastAsia="sk-SK"/>
        </w:rPr>
      </w:pPr>
      <w:r w:rsidRPr="00CD20D6">
        <w:rPr>
          <w:rFonts w:ascii="Times New Roman" w:eastAsia="Times New Roman" w:hAnsi="Times New Roman" w:cs="Times New Roman"/>
          <w:sz w:val="24"/>
          <w:szCs w:val="24"/>
          <w:lang w:eastAsia="sk-SK"/>
        </w:rPr>
        <w:t>smernica Rady 1999/37/ES z 29. apríla 1999 o registračných dokumentoch pre vozidlá (Mimoriadne vydanie Ú . v. EÚ, 7/zv. 4; Ú. v. ES L 138, 1. 6. 1999) v platnom znení, ktorej gestorom je Ministerstvo dopravy a výstavby Slovenskej republiky a Ministerstvo vnútra Slovenskej republiky,</w:t>
      </w:r>
    </w:p>
    <w:p w:rsidR="00CD20D6" w:rsidRPr="00CD20D6" w:rsidRDefault="00CD20D6" w:rsidP="00CD20D6">
      <w:pPr>
        <w:numPr>
          <w:ilvl w:val="0"/>
          <w:numId w:val="8"/>
        </w:numPr>
        <w:spacing w:after="0" w:line="240" w:lineRule="auto"/>
        <w:jc w:val="both"/>
        <w:rPr>
          <w:rFonts w:ascii="Times New Roman" w:eastAsia="Times New Roman" w:hAnsi="Times New Roman" w:cs="Times New Roman"/>
          <w:sz w:val="24"/>
          <w:szCs w:val="24"/>
          <w:lang w:eastAsia="sk-SK"/>
        </w:rPr>
      </w:pPr>
      <w:r w:rsidRPr="00CD20D6">
        <w:rPr>
          <w:rFonts w:ascii="Times New Roman" w:eastAsia="Times New Roman" w:hAnsi="Times New Roman" w:cs="Times New Roman"/>
          <w:sz w:val="24"/>
          <w:szCs w:val="24"/>
          <w:lang w:eastAsia="sk-SK"/>
        </w:rPr>
        <w:t>smernica Európskeho parlamentu a Rady 2014/45/EÚ z 3. apríla 2014 o pravidelnej kontrole technického stavu motorových vozidiel a ich prípojných vozidiel a o zrušení smernice 2009/40/ES (Ú. v. ES L 127, 29.4.2014), ktorej gestorom je Ministerstvo dopravy a výstavby Slovenskej republiky,</w:t>
      </w:r>
    </w:p>
    <w:p w:rsidR="00CD20D6" w:rsidRPr="00CD20D6" w:rsidRDefault="00CD20D6" w:rsidP="00CD20D6">
      <w:pPr>
        <w:numPr>
          <w:ilvl w:val="0"/>
          <w:numId w:val="8"/>
        </w:numPr>
        <w:spacing w:after="0" w:line="240" w:lineRule="auto"/>
        <w:jc w:val="both"/>
        <w:rPr>
          <w:rFonts w:ascii="Times New Roman" w:eastAsia="Times New Roman" w:hAnsi="Times New Roman" w:cs="Times New Roman"/>
          <w:sz w:val="24"/>
          <w:szCs w:val="24"/>
          <w:lang w:eastAsia="sk-SK"/>
        </w:rPr>
      </w:pPr>
      <w:r w:rsidRPr="00CD20D6">
        <w:rPr>
          <w:rFonts w:ascii="Times New Roman" w:eastAsia="Times New Roman" w:hAnsi="Times New Roman" w:cs="Times New Roman"/>
          <w:sz w:val="24"/>
          <w:szCs w:val="24"/>
          <w:lang w:eastAsia="sk-SK"/>
        </w:rPr>
        <w:t>smernica Európskeho parlamentu a Rady 2014/47/EÚ z 3. apríla 2014 o cestnej technickej kontrole úžitkových vozidiel prevádzkovaných v Únii a o zrušení smernice 2000/30/ES (Ú. v. ES L 127, 29.4.2014), ktorej gestorom je Ministerstvo dopravy a výstavby Slovenskej republiky a Ministerstvo vnútra Slovenskej republiky,</w:t>
      </w:r>
    </w:p>
    <w:p w:rsidR="00CD20D6" w:rsidRPr="00CD20D6" w:rsidRDefault="00CD20D6" w:rsidP="00CD20D6">
      <w:pPr>
        <w:numPr>
          <w:ilvl w:val="0"/>
          <w:numId w:val="3"/>
        </w:numPr>
        <w:spacing w:before="120" w:after="0" w:line="240" w:lineRule="auto"/>
        <w:ind w:left="714" w:hanging="357"/>
        <w:jc w:val="both"/>
        <w:rPr>
          <w:rFonts w:ascii="Times New Roman" w:eastAsia="Times New Roman" w:hAnsi="Times New Roman" w:cs="Times New Roman"/>
          <w:sz w:val="24"/>
          <w:szCs w:val="24"/>
          <w:lang w:eastAsia="sk-SK"/>
        </w:rPr>
      </w:pPr>
      <w:r w:rsidRPr="00CD20D6">
        <w:rPr>
          <w:rFonts w:ascii="Times New Roman" w:eastAsia="Times New Roman" w:hAnsi="Times New Roman" w:cs="Times New Roman"/>
          <w:sz w:val="24"/>
          <w:szCs w:val="24"/>
          <w:lang w:eastAsia="sk-SK"/>
        </w:rPr>
        <w:t xml:space="preserve">v judikatúre Súdneho dvora Európskej únie (uviesť číslo a označenie relevantného rozhodnutia a stručne jeho výrok alebo relevantné právne vety) </w:t>
      </w:r>
    </w:p>
    <w:p w:rsidR="00CD20D6" w:rsidRPr="00CD20D6" w:rsidRDefault="00CD20D6" w:rsidP="00CD20D6">
      <w:pPr>
        <w:numPr>
          <w:ilvl w:val="0"/>
          <w:numId w:val="13"/>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CD20D6">
        <w:rPr>
          <w:rFonts w:ascii="Times New Roman" w:eastAsia="Times New Roman" w:hAnsi="Times New Roman" w:cs="Times New Roman"/>
          <w:sz w:val="24"/>
          <w:szCs w:val="24"/>
          <w:u w:val="single"/>
          <w:lang w:eastAsia="cs-CZ"/>
        </w:rPr>
        <w:t>zákaz registrácie určitých vozidiel:</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lastRenderedPageBreak/>
        <w:t xml:space="preserve">rozhodnutie Súdneho dvora Európskych spoločenstiev vo veci 8/74, </w:t>
      </w:r>
      <w:proofErr w:type="spellStart"/>
      <w:r w:rsidRPr="00CD20D6">
        <w:rPr>
          <w:rFonts w:ascii="Times New Roman" w:eastAsia="Times New Roman" w:hAnsi="Times New Roman" w:cs="Times New Roman"/>
          <w:sz w:val="24"/>
          <w:szCs w:val="24"/>
          <w:lang w:eastAsia="cs-CZ"/>
        </w:rPr>
        <w:t>Procureur</w:t>
      </w:r>
      <w:proofErr w:type="spellEnd"/>
      <w:r w:rsidRPr="00CD20D6">
        <w:rPr>
          <w:rFonts w:ascii="Times New Roman" w:eastAsia="Times New Roman" w:hAnsi="Times New Roman" w:cs="Times New Roman"/>
          <w:sz w:val="24"/>
          <w:szCs w:val="24"/>
          <w:lang w:eastAsia="cs-CZ"/>
        </w:rPr>
        <w:t xml:space="preserve"> </w:t>
      </w:r>
      <w:proofErr w:type="spellStart"/>
      <w:r w:rsidRPr="00CD20D6">
        <w:rPr>
          <w:rFonts w:ascii="Times New Roman" w:eastAsia="Times New Roman" w:hAnsi="Times New Roman" w:cs="Times New Roman"/>
          <w:sz w:val="24"/>
          <w:szCs w:val="24"/>
          <w:lang w:eastAsia="cs-CZ"/>
        </w:rPr>
        <w:t>du</w:t>
      </w:r>
      <w:proofErr w:type="spellEnd"/>
      <w:r w:rsidRPr="00CD20D6">
        <w:rPr>
          <w:rFonts w:ascii="Times New Roman" w:eastAsia="Times New Roman" w:hAnsi="Times New Roman" w:cs="Times New Roman"/>
          <w:sz w:val="24"/>
          <w:szCs w:val="24"/>
          <w:lang w:eastAsia="cs-CZ"/>
        </w:rPr>
        <w:t xml:space="preserve"> </w:t>
      </w:r>
      <w:proofErr w:type="spellStart"/>
      <w:r w:rsidRPr="00CD20D6">
        <w:rPr>
          <w:rFonts w:ascii="Times New Roman" w:eastAsia="Times New Roman" w:hAnsi="Times New Roman" w:cs="Times New Roman"/>
          <w:sz w:val="24"/>
          <w:szCs w:val="24"/>
          <w:lang w:eastAsia="cs-CZ"/>
        </w:rPr>
        <w:t>Roi</w:t>
      </w:r>
      <w:proofErr w:type="spellEnd"/>
      <w:r w:rsidRPr="00CD20D6">
        <w:rPr>
          <w:rFonts w:ascii="Times New Roman" w:eastAsia="Times New Roman" w:hAnsi="Times New Roman" w:cs="Times New Roman"/>
          <w:sz w:val="24"/>
          <w:szCs w:val="24"/>
          <w:lang w:eastAsia="cs-CZ"/>
        </w:rPr>
        <w:t>/</w:t>
      </w:r>
      <w:proofErr w:type="spellStart"/>
      <w:r w:rsidRPr="00CD20D6">
        <w:rPr>
          <w:rFonts w:ascii="Times New Roman" w:eastAsia="Times New Roman" w:hAnsi="Times New Roman" w:cs="Times New Roman"/>
          <w:sz w:val="24"/>
          <w:szCs w:val="24"/>
          <w:lang w:eastAsia="cs-CZ"/>
        </w:rPr>
        <w:t>Dassonville</w:t>
      </w:r>
      <w:proofErr w:type="spellEnd"/>
      <w:r w:rsidRPr="00CD20D6">
        <w:rPr>
          <w:rFonts w:ascii="Times New Roman" w:eastAsia="Times New Roman" w:hAnsi="Times New Roman" w:cs="Times New Roman"/>
          <w:sz w:val="24"/>
          <w:szCs w:val="24"/>
          <w:lang w:eastAsia="cs-CZ"/>
        </w:rPr>
        <w:t>,</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 xml:space="preserve">rozhodnutie Súdneho dvora Európskych spoločenstiev vo veci 50/83, Komisia/Taliansko, </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 xml:space="preserve">rozhodnutie Súdneho dvora Európskych spoločenstiev vo veci C-302/86, Komisia/Dánsko, </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 xml:space="preserve">rozhodnutie Súdneho dvora Európskych spoločenstiev vo veci 113/80, Komisia/Írsko, </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 xml:space="preserve">rozhodnutie Súdneho dvora Európskych spoločenstiev vo veci C-314/98, </w:t>
      </w:r>
      <w:proofErr w:type="spellStart"/>
      <w:r w:rsidRPr="00CD20D6">
        <w:rPr>
          <w:rFonts w:ascii="Times New Roman" w:eastAsia="Times New Roman" w:hAnsi="Times New Roman" w:cs="Times New Roman"/>
          <w:sz w:val="24"/>
          <w:szCs w:val="24"/>
          <w:lang w:eastAsia="cs-CZ"/>
        </w:rPr>
        <w:t>Snellers</w:t>
      </w:r>
      <w:proofErr w:type="spellEnd"/>
      <w:r w:rsidRPr="00CD20D6">
        <w:rPr>
          <w:rFonts w:ascii="Times New Roman" w:eastAsia="Times New Roman" w:hAnsi="Times New Roman" w:cs="Times New Roman"/>
          <w:sz w:val="24"/>
          <w:szCs w:val="24"/>
          <w:lang w:eastAsia="cs-CZ"/>
        </w:rPr>
        <w:t xml:space="preserve">, </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 xml:space="preserve">v rozhodnutí Súdneho dvora Európskych spoločenstiev vo veci C-55/93, van </w:t>
      </w:r>
      <w:proofErr w:type="spellStart"/>
      <w:r w:rsidRPr="00CD20D6">
        <w:rPr>
          <w:rFonts w:ascii="Times New Roman" w:eastAsia="Times New Roman" w:hAnsi="Times New Roman" w:cs="Times New Roman"/>
          <w:sz w:val="24"/>
          <w:szCs w:val="24"/>
          <w:lang w:eastAsia="cs-CZ"/>
        </w:rPr>
        <w:t>Schaik</w:t>
      </w:r>
      <w:proofErr w:type="spellEnd"/>
      <w:r w:rsidRPr="00CD20D6">
        <w:rPr>
          <w:rFonts w:ascii="Times New Roman" w:eastAsia="Times New Roman" w:hAnsi="Times New Roman" w:cs="Times New Roman"/>
          <w:sz w:val="24"/>
          <w:szCs w:val="24"/>
          <w:lang w:eastAsia="cs-CZ"/>
        </w:rPr>
        <w:t xml:space="preserve">, </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 xml:space="preserve">rozhodnutie Súdneho dvora Európskych spoločenstiev vo veci C-50/85, </w:t>
      </w:r>
      <w:proofErr w:type="spellStart"/>
      <w:r w:rsidRPr="00CD20D6">
        <w:rPr>
          <w:rFonts w:ascii="Times New Roman" w:eastAsia="Times New Roman" w:hAnsi="Times New Roman" w:cs="Times New Roman"/>
          <w:sz w:val="24"/>
          <w:szCs w:val="24"/>
          <w:lang w:eastAsia="cs-CZ"/>
        </w:rPr>
        <w:t>Schloh</w:t>
      </w:r>
      <w:proofErr w:type="spellEnd"/>
      <w:r w:rsidRPr="00CD20D6">
        <w:rPr>
          <w:rFonts w:ascii="Times New Roman" w:eastAsia="Times New Roman" w:hAnsi="Times New Roman" w:cs="Times New Roman"/>
          <w:sz w:val="24"/>
          <w:szCs w:val="24"/>
          <w:lang w:eastAsia="cs-CZ"/>
        </w:rPr>
        <w:t xml:space="preserve">, </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 xml:space="preserve">rozhodnutie Súdneho dvora Európskych spoločenstiev vo veci C-420/1, Komisia/Taliansko, </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rozhodnutie Súdneho dvora Európskych spoločenstiev vo veci 104-75, De </w:t>
      </w:r>
      <w:proofErr w:type="spellStart"/>
      <w:r w:rsidRPr="00CD20D6">
        <w:rPr>
          <w:rFonts w:ascii="Times New Roman" w:eastAsia="Times New Roman" w:hAnsi="Times New Roman" w:cs="Times New Roman"/>
          <w:sz w:val="24"/>
          <w:szCs w:val="24"/>
          <w:lang w:eastAsia="cs-CZ"/>
        </w:rPr>
        <w:t>Peijper</w:t>
      </w:r>
      <w:proofErr w:type="spellEnd"/>
      <w:r w:rsidRPr="00CD20D6">
        <w:rPr>
          <w:rFonts w:ascii="Times New Roman" w:eastAsia="Times New Roman" w:hAnsi="Times New Roman" w:cs="Times New Roman"/>
          <w:sz w:val="24"/>
          <w:szCs w:val="24"/>
          <w:lang w:eastAsia="cs-CZ"/>
        </w:rPr>
        <w:t xml:space="preserve">, </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 xml:space="preserve">rozhodnutie Súdneho dvora Európskych spoločenstiev vo veci C-293/94, </w:t>
      </w:r>
      <w:proofErr w:type="spellStart"/>
      <w:r w:rsidRPr="00CD20D6">
        <w:rPr>
          <w:rFonts w:ascii="Times New Roman" w:eastAsia="Times New Roman" w:hAnsi="Times New Roman" w:cs="Times New Roman"/>
          <w:sz w:val="24"/>
          <w:szCs w:val="24"/>
          <w:lang w:eastAsia="cs-CZ"/>
        </w:rPr>
        <w:t>Brandsma</w:t>
      </w:r>
      <w:proofErr w:type="spellEnd"/>
      <w:r w:rsidRPr="00CD20D6">
        <w:rPr>
          <w:rFonts w:ascii="Times New Roman" w:eastAsia="Times New Roman" w:hAnsi="Times New Roman" w:cs="Times New Roman"/>
          <w:sz w:val="24"/>
          <w:szCs w:val="24"/>
          <w:lang w:eastAsia="cs-CZ"/>
        </w:rPr>
        <w:t xml:space="preserve">, </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rozsudok Súdneho dvora (druhá komora) zo 6. septembra 2012 vo veci C-150/11, Európska komisia proti Belgickému kráľovstvu,</w:t>
      </w:r>
    </w:p>
    <w:p w:rsidR="00CD20D6" w:rsidRPr="00CD20D6" w:rsidRDefault="00CD20D6" w:rsidP="00CD20D6">
      <w:pPr>
        <w:numPr>
          <w:ilvl w:val="0"/>
          <w:numId w:val="13"/>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CD20D6">
        <w:rPr>
          <w:rFonts w:ascii="Times New Roman" w:eastAsia="Times New Roman" w:hAnsi="Times New Roman" w:cs="Times New Roman"/>
          <w:sz w:val="24"/>
          <w:szCs w:val="24"/>
          <w:u w:val="single"/>
          <w:lang w:eastAsia="cs-CZ"/>
        </w:rPr>
        <w:t>dodatočné technické kontroly:</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 xml:space="preserve">rozhodnutie Súdneho dvora Európskych spoločenstiev vo veci C-50/85, </w:t>
      </w:r>
      <w:proofErr w:type="spellStart"/>
      <w:r w:rsidRPr="00CD20D6">
        <w:rPr>
          <w:rFonts w:ascii="Times New Roman" w:eastAsia="Times New Roman" w:hAnsi="Times New Roman" w:cs="Times New Roman"/>
          <w:sz w:val="24"/>
          <w:szCs w:val="24"/>
          <w:lang w:eastAsia="cs-CZ"/>
        </w:rPr>
        <w:t>Schloh</w:t>
      </w:r>
      <w:proofErr w:type="spellEnd"/>
      <w:r w:rsidRPr="00CD20D6">
        <w:rPr>
          <w:rFonts w:ascii="Times New Roman" w:eastAsia="Times New Roman" w:hAnsi="Times New Roman" w:cs="Times New Roman"/>
          <w:sz w:val="24"/>
          <w:szCs w:val="24"/>
          <w:lang w:eastAsia="cs-CZ"/>
        </w:rPr>
        <w:t xml:space="preserve">, </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 xml:space="preserve">rozhodnutie Súdneho dvora Európskych spoločenstiev vo veci 272/80, </w:t>
      </w:r>
      <w:proofErr w:type="spellStart"/>
      <w:r w:rsidRPr="00CD20D6">
        <w:rPr>
          <w:rFonts w:ascii="Times New Roman" w:eastAsia="Times New Roman" w:hAnsi="Times New Roman" w:cs="Times New Roman"/>
          <w:sz w:val="24"/>
          <w:szCs w:val="24"/>
          <w:lang w:eastAsia="cs-CZ"/>
        </w:rPr>
        <w:t>Frans-Nederlandse</w:t>
      </w:r>
      <w:proofErr w:type="spellEnd"/>
      <w:r w:rsidRPr="00CD20D6">
        <w:rPr>
          <w:rFonts w:ascii="Times New Roman" w:eastAsia="Times New Roman" w:hAnsi="Times New Roman" w:cs="Times New Roman"/>
          <w:sz w:val="24"/>
          <w:szCs w:val="24"/>
          <w:lang w:eastAsia="cs-CZ"/>
        </w:rPr>
        <w:t xml:space="preserve"> </w:t>
      </w:r>
      <w:proofErr w:type="spellStart"/>
      <w:r w:rsidRPr="00CD20D6">
        <w:rPr>
          <w:rFonts w:ascii="Times New Roman" w:eastAsia="Times New Roman" w:hAnsi="Times New Roman" w:cs="Times New Roman"/>
          <w:sz w:val="24"/>
          <w:szCs w:val="24"/>
          <w:lang w:eastAsia="cs-CZ"/>
        </w:rPr>
        <w:t>Maatschappoj</w:t>
      </w:r>
      <w:proofErr w:type="spellEnd"/>
      <w:r w:rsidRPr="00CD20D6">
        <w:rPr>
          <w:rFonts w:ascii="Times New Roman" w:eastAsia="Times New Roman" w:hAnsi="Times New Roman" w:cs="Times New Roman"/>
          <w:sz w:val="24"/>
          <w:szCs w:val="24"/>
          <w:lang w:eastAsia="cs-CZ"/>
        </w:rPr>
        <w:t xml:space="preserve"> </w:t>
      </w:r>
      <w:proofErr w:type="spellStart"/>
      <w:r w:rsidRPr="00CD20D6">
        <w:rPr>
          <w:rFonts w:ascii="Times New Roman" w:eastAsia="Times New Roman" w:hAnsi="Times New Roman" w:cs="Times New Roman"/>
          <w:sz w:val="24"/>
          <w:szCs w:val="24"/>
          <w:lang w:eastAsia="cs-CZ"/>
        </w:rPr>
        <w:t>voor</w:t>
      </w:r>
      <w:proofErr w:type="spellEnd"/>
      <w:r w:rsidRPr="00CD20D6">
        <w:rPr>
          <w:rFonts w:ascii="Times New Roman" w:eastAsia="Times New Roman" w:hAnsi="Times New Roman" w:cs="Times New Roman"/>
          <w:sz w:val="24"/>
          <w:szCs w:val="24"/>
          <w:lang w:eastAsia="cs-CZ"/>
        </w:rPr>
        <w:t xml:space="preserve"> </w:t>
      </w:r>
      <w:proofErr w:type="spellStart"/>
      <w:r w:rsidRPr="00CD20D6">
        <w:rPr>
          <w:rFonts w:ascii="Times New Roman" w:eastAsia="Times New Roman" w:hAnsi="Times New Roman" w:cs="Times New Roman"/>
          <w:sz w:val="24"/>
          <w:szCs w:val="24"/>
          <w:lang w:eastAsia="cs-CZ"/>
        </w:rPr>
        <w:t>Biologiche</w:t>
      </w:r>
      <w:proofErr w:type="spellEnd"/>
      <w:r w:rsidRPr="00CD20D6">
        <w:rPr>
          <w:rFonts w:ascii="Times New Roman" w:eastAsia="Times New Roman" w:hAnsi="Times New Roman" w:cs="Times New Roman"/>
          <w:sz w:val="24"/>
          <w:szCs w:val="24"/>
          <w:lang w:eastAsia="cs-CZ"/>
        </w:rPr>
        <w:t xml:space="preserve"> </w:t>
      </w:r>
      <w:proofErr w:type="spellStart"/>
      <w:r w:rsidRPr="00CD20D6">
        <w:rPr>
          <w:rFonts w:ascii="Times New Roman" w:eastAsia="Times New Roman" w:hAnsi="Times New Roman" w:cs="Times New Roman"/>
          <w:sz w:val="24"/>
          <w:szCs w:val="24"/>
          <w:lang w:eastAsia="cs-CZ"/>
        </w:rPr>
        <w:t>Producten</w:t>
      </w:r>
      <w:proofErr w:type="spellEnd"/>
      <w:r w:rsidRPr="00CD20D6">
        <w:rPr>
          <w:rFonts w:ascii="Times New Roman" w:eastAsia="Times New Roman" w:hAnsi="Times New Roman" w:cs="Times New Roman"/>
          <w:sz w:val="24"/>
          <w:szCs w:val="24"/>
          <w:lang w:eastAsia="cs-CZ"/>
        </w:rPr>
        <w:t xml:space="preserve">, </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 xml:space="preserve">rozhodnutie Súdneho dvora Európskych spoločenstiev vo veci C-293/94, </w:t>
      </w:r>
      <w:proofErr w:type="spellStart"/>
      <w:r w:rsidRPr="00CD20D6">
        <w:rPr>
          <w:rFonts w:ascii="Times New Roman" w:eastAsia="Times New Roman" w:hAnsi="Times New Roman" w:cs="Times New Roman"/>
          <w:sz w:val="24"/>
          <w:szCs w:val="24"/>
          <w:lang w:eastAsia="cs-CZ"/>
        </w:rPr>
        <w:t>Brandsma</w:t>
      </w:r>
      <w:proofErr w:type="spellEnd"/>
      <w:r w:rsidRPr="00CD20D6">
        <w:rPr>
          <w:rFonts w:ascii="Times New Roman" w:eastAsia="Times New Roman" w:hAnsi="Times New Roman" w:cs="Times New Roman"/>
          <w:sz w:val="24"/>
          <w:szCs w:val="24"/>
          <w:lang w:eastAsia="cs-CZ"/>
        </w:rPr>
        <w:t xml:space="preserve">, </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 xml:space="preserve">rozhodnutie Súdneho dvora Európskych spoločenstiev vo veci C-400/96, </w:t>
      </w:r>
      <w:proofErr w:type="spellStart"/>
      <w:r w:rsidRPr="00CD20D6">
        <w:rPr>
          <w:rFonts w:ascii="Times New Roman" w:eastAsia="Times New Roman" w:hAnsi="Times New Roman" w:cs="Times New Roman"/>
          <w:sz w:val="24"/>
          <w:szCs w:val="24"/>
          <w:lang w:eastAsia="cs-CZ"/>
        </w:rPr>
        <w:t>Harpegnies</w:t>
      </w:r>
      <w:proofErr w:type="spellEnd"/>
      <w:r w:rsidRPr="00CD20D6">
        <w:rPr>
          <w:rFonts w:ascii="Times New Roman" w:eastAsia="Times New Roman" w:hAnsi="Times New Roman" w:cs="Times New Roman"/>
          <w:sz w:val="24"/>
          <w:szCs w:val="24"/>
          <w:lang w:eastAsia="cs-CZ"/>
        </w:rPr>
        <w:t xml:space="preserve">, </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rozsudok Súdneho dvora (prvá komora) z 5. júna 2008 vo veci C-170/07, Komisia Európska komisia proti Poľskej republike,</w:t>
      </w:r>
    </w:p>
    <w:p w:rsidR="00CD20D6" w:rsidRPr="00CD20D6" w:rsidRDefault="00CD20D6" w:rsidP="00CD20D6">
      <w:pPr>
        <w:numPr>
          <w:ilvl w:val="0"/>
          <w:numId w:val="13"/>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CD20D6">
        <w:rPr>
          <w:rFonts w:ascii="Times New Roman" w:eastAsia="Times New Roman" w:hAnsi="Times New Roman" w:cs="Times New Roman"/>
          <w:sz w:val="24"/>
          <w:szCs w:val="24"/>
          <w:u w:val="single"/>
          <w:lang w:eastAsia="cs-CZ"/>
        </w:rPr>
        <w:t>preregistrácia vozidiel s pravostranným riadením</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rozsudok Súdneho dvora (piata komora) z 20. marca 2014 vo veci C-639/11 Európska komisia proti Poľskej republike,</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rozsudok Súdneho dvora (piata komora) z 20. marca 2014 vo veci C-61/12 Európska komisia proti Litovskej republike,</w:t>
      </w:r>
    </w:p>
    <w:p w:rsidR="00CD20D6" w:rsidRPr="00CD20D6" w:rsidRDefault="00CD20D6" w:rsidP="00CD20D6">
      <w:pPr>
        <w:numPr>
          <w:ilvl w:val="0"/>
          <w:numId w:val="13"/>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CD20D6">
        <w:rPr>
          <w:rFonts w:ascii="Times New Roman" w:eastAsia="Times New Roman" w:hAnsi="Times New Roman" w:cs="Times New Roman"/>
          <w:sz w:val="24"/>
          <w:szCs w:val="24"/>
          <w:u w:val="single"/>
          <w:lang w:eastAsia="cs-CZ"/>
        </w:rPr>
        <w:t>zriaďovanie staníc technickej kontroly</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rozsudok Súdneho dvora (štvrtá komora) z 22. októbra 2009 vo veci C-438/08, Európska komisia proti Portugalskej republike,</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 xml:space="preserve">rozsudok Súdneho dvora (druhá komora) z 15. októbra 2015 vo veci C-168/14 </w:t>
      </w:r>
      <w:proofErr w:type="spellStart"/>
      <w:r w:rsidRPr="00CD20D6">
        <w:rPr>
          <w:rFonts w:ascii="Times New Roman" w:eastAsia="Times New Roman" w:hAnsi="Times New Roman" w:cs="Times New Roman"/>
          <w:sz w:val="24"/>
          <w:szCs w:val="24"/>
          <w:lang w:eastAsia="cs-CZ"/>
        </w:rPr>
        <w:t>Grupo</w:t>
      </w:r>
      <w:proofErr w:type="spellEnd"/>
      <w:r w:rsidRPr="00CD20D6">
        <w:rPr>
          <w:rFonts w:ascii="Times New Roman" w:eastAsia="Times New Roman" w:hAnsi="Times New Roman" w:cs="Times New Roman"/>
          <w:sz w:val="24"/>
          <w:szCs w:val="24"/>
          <w:lang w:eastAsia="cs-CZ"/>
        </w:rPr>
        <w:t xml:space="preserve"> </w:t>
      </w:r>
      <w:proofErr w:type="spellStart"/>
      <w:r w:rsidRPr="00CD20D6">
        <w:rPr>
          <w:rFonts w:ascii="Times New Roman" w:eastAsia="Times New Roman" w:hAnsi="Times New Roman" w:cs="Times New Roman"/>
          <w:sz w:val="24"/>
          <w:szCs w:val="24"/>
          <w:lang w:eastAsia="cs-CZ"/>
        </w:rPr>
        <w:t>Itevelesa</w:t>
      </w:r>
      <w:proofErr w:type="spellEnd"/>
      <w:r w:rsidRPr="00CD20D6">
        <w:rPr>
          <w:rFonts w:ascii="Times New Roman" w:eastAsia="Times New Roman" w:hAnsi="Times New Roman" w:cs="Times New Roman"/>
          <w:sz w:val="24"/>
          <w:szCs w:val="24"/>
          <w:lang w:eastAsia="cs-CZ"/>
        </w:rPr>
        <w:t xml:space="preserve"> SL a i. proti Oca </w:t>
      </w:r>
      <w:proofErr w:type="spellStart"/>
      <w:r w:rsidRPr="00CD20D6">
        <w:rPr>
          <w:rFonts w:ascii="Times New Roman" w:eastAsia="Times New Roman" w:hAnsi="Times New Roman" w:cs="Times New Roman"/>
          <w:sz w:val="24"/>
          <w:szCs w:val="24"/>
          <w:lang w:eastAsia="cs-CZ"/>
        </w:rPr>
        <w:t>Inspección</w:t>
      </w:r>
      <w:proofErr w:type="spellEnd"/>
      <w:r w:rsidRPr="00CD20D6">
        <w:rPr>
          <w:rFonts w:ascii="Times New Roman" w:eastAsia="Times New Roman" w:hAnsi="Times New Roman" w:cs="Times New Roman"/>
          <w:sz w:val="24"/>
          <w:szCs w:val="24"/>
          <w:lang w:eastAsia="cs-CZ"/>
        </w:rPr>
        <w:t xml:space="preserve"> </w:t>
      </w:r>
      <w:proofErr w:type="spellStart"/>
      <w:r w:rsidRPr="00CD20D6">
        <w:rPr>
          <w:rFonts w:ascii="Times New Roman" w:eastAsia="Times New Roman" w:hAnsi="Times New Roman" w:cs="Times New Roman"/>
          <w:sz w:val="24"/>
          <w:szCs w:val="24"/>
          <w:lang w:eastAsia="cs-CZ"/>
        </w:rPr>
        <w:t>Técnica</w:t>
      </w:r>
      <w:proofErr w:type="spellEnd"/>
      <w:r w:rsidRPr="00CD20D6">
        <w:rPr>
          <w:rFonts w:ascii="Times New Roman" w:eastAsia="Times New Roman" w:hAnsi="Times New Roman" w:cs="Times New Roman"/>
          <w:sz w:val="24"/>
          <w:szCs w:val="24"/>
          <w:lang w:eastAsia="cs-CZ"/>
        </w:rPr>
        <w:t xml:space="preserve"> de </w:t>
      </w:r>
      <w:proofErr w:type="spellStart"/>
      <w:r w:rsidRPr="00CD20D6">
        <w:rPr>
          <w:rFonts w:ascii="Times New Roman" w:eastAsia="Times New Roman" w:hAnsi="Times New Roman" w:cs="Times New Roman"/>
          <w:sz w:val="24"/>
          <w:szCs w:val="24"/>
          <w:lang w:eastAsia="cs-CZ"/>
        </w:rPr>
        <w:t>Vehículos</w:t>
      </w:r>
      <w:proofErr w:type="spellEnd"/>
      <w:r w:rsidRPr="00CD20D6">
        <w:rPr>
          <w:rFonts w:ascii="Times New Roman" w:eastAsia="Times New Roman" w:hAnsi="Times New Roman" w:cs="Times New Roman"/>
          <w:sz w:val="24"/>
          <w:szCs w:val="24"/>
          <w:lang w:eastAsia="cs-CZ"/>
        </w:rPr>
        <w:t xml:space="preserve"> SA a </w:t>
      </w:r>
      <w:proofErr w:type="spellStart"/>
      <w:r w:rsidRPr="00CD20D6">
        <w:rPr>
          <w:rFonts w:ascii="Times New Roman" w:eastAsia="Times New Roman" w:hAnsi="Times New Roman" w:cs="Times New Roman"/>
          <w:sz w:val="24"/>
          <w:szCs w:val="24"/>
          <w:lang w:eastAsia="cs-CZ"/>
        </w:rPr>
        <w:t>Generalidad</w:t>
      </w:r>
      <w:proofErr w:type="spellEnd"/>
      <w:r w:rsidRPr="00CD20D6">
        <w:rPr>
          <w:rFonts w:ascii="Times New Roman" w:eastAsia="Times New Roman" w:hAnsi="Times New Roman" w:cs="Times New Roman"/>
          <w:sz w:val="24"/>
          <w:szCs w:val="24"/>
          <w:lang w:eastAsia="cs-CZ"/>
        </w:rPr>
        <w:t xml:space="preserve"> de </w:t>
      </w:r>
      <w:proofErr w:type="spellStart"/>
      <w:r w:rsidRPr="00CD20D6">
        <w:rPr>
          <w:rFonts w:ascii="Times New Roman" w:eastAsia="Times New Roman" w:hAnsi="Times New Roman" w:cs="Times New Roman"/>
          <w:sz w:val="24"/>
          <w:szCs w:val="24"/>
          <w:lang w:eastAsia="cs-CZ"/>
        </w:rPr>
        <w:t>Cataluña</w:t>
      </w:r>
      <w:proofErr w:type="spellEnd"/>
      <w:r w:rsidRPr="00CD20D6">
        <w:rPr>
          <w:rFonts w:ascii="Times New Roman" w:eastAsia="Times New Roman" w:hAnsi="Times New Roman" w:cs="Times New Roman"/>
          <w:sz w:val="24"/>
          <w:szCs w:val="24"/>
          <w:lang w:eastAsia="cs-CZ"/>
        </w:rPr>
        <w:t>,</w:t>
      </w:r>
    </w:p>
    <w:p w:rsidR="00CD20D6" w:rsidRPr="00CD20D6" w:rsidRDefault="00CD20D6" w:rsidP="00CD20D6">
      <w:pPr>
        <w:numPr>
          <w:ilvl w:val="0"/>
          <w:numId w:val="13"/>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CD20D6">
        <w:rPr>
          <w:rFonts w:ascii="Times New Roman" w:eastAsia="Times New Roman" w:hAnsi="Times New Roman" w:cs="Times New Roman"/>
          <w:sz w:val="24"/>
          <w:szCs w:val="24"/>
          <w:u w:val="single"/>
          <w:lang w:eastAsia="cs-CZ"/>
        </w:rPr>
        <w:t>uvedenie ojazdených alebo použitých vozidiel dovezených z tretej krajiny na trh a ich registrácia v Európskej únii</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rozsudok Súdneho dvora (piata komora) z 15. júna 2017 vo veci C</w:t>
      </w:r>
      <w:r w:rsidRPr="00CD20D6">
        <w:rPr>
          <w:rFonts w:ascii="Times New Roman" w:eastAsia="Times New Roman" w:hAnsi="Times New Roman" w:cs="Times New Roman"/>
          <w:sz w:val="24"/>
          <w:szCs w:val="24"/>
          <w:lang w:eastAsia="cs-CZ"/>
        </w:rPr>
        <w:noBreakHyphen/>
        <w:t>513/15, „</w:t>
      </w:r>
      <w:proofErr w:type="spellStart"/>
      <w:r w:rsidRPr="00CD20D6">
        <w:rPr>
          <w:rFonts w:ascii="Times New Roman" w:eastAsia="Times New Roman" w:hAnsi="Times New Roman" w:cs="Times New Roman"/>
          <w:sz w:val="24"/>
          <w:szCs w:val="24"/>
          <w:lang w:eastAsia="cs-CZ"/>
        </w:rPr>
        <w:t>Agrodetalė</w:t>
      </w:r>
      <w:proofErr w:type="spellEnd"/>
      <w:r w:rsidRPr="00CD20D6">
        <w:rPr>
          <w:rFonts w:ascii="Times New Roman" w:eastAsia="Times New Roman" w:hAnsi="Times New Roman" w:cs="Times New Roman"/>
          <w:sz w:val="24"/>
          <w:szCs w:val="24"/>
          <w:lang w:eastAsia="cs-CZ"/>
        </w:rPr>
        <w:t>“ UAB,</w:t>
      </w:r>
    </w:p>
    <w:p w:rsidR="00CD20D6" w:rsidRPr="00CD20D6" w:rsidRDefault="00CD20D6" w:rsidP="00CD20D6">
      <w:pPr>
        <w:numPr>
          <w:ilvl w:val="0"/>
          <w:numId w:val="13"/>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CD20D6">
        <w:rPr>
          <w:rFonts w:ascii="Times New Roman" w:eastAsia="Times New Roman" w:hAnsi="Times New Roman" w:cs="Times New Roman"/>
          <w:sz w:val="24"/>
          <w:szCs w:val="24"/>
          <w:u w:val="single"/>
          <w:lang w:eastAsia="cs-CZ"/>
        </w:rPr>
        <w:t>preregistrácia vozidiel medzi členskými štátmi</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lastRenderedPageBreak/>
        <w:t>rozsudok Súdneho dvora (štvrtá komora) z 24. januára 2019 vo veci C</w:t>
      </w:r>
      <w:r w:rsidRPr="00CD20D6">
        <w:rPr>
          <w:rFonts w:ascii="Times New Roman" w:eastAsia="Times New Roman" w:hAnsi="Times New Roman" w:cs="Times New Roman"/>
          <w:sz w:val="24"/>
          <w:szCs w:val="24"/>
          <w:lang w:eastAsia="cs-CZ"/>
        </w:rPr>
        <w:noBreakHyphen/>
        <w:t xml:space="preserve">326/17, prejudiciálne konanie podané rozhodnutím </w:t>
      </w:r>
      <w:proofErr w:type="spellStart"/>
      <w:r w:rsidRPr="00CD20D6">
        <w:rPr>
          <w:rFonts w:ascii="Times New Roman" w:eastAsia="Times New Roman" w:hAnsi="Times New Roman" w:cs="Times New Roman"/>
          <w:sz w:val="24"/>
          <w:szCs w:val="24"/>
          <w:lang w:eastAsia="cs-CZ"/>
        </w:rPr>
        <w:t>Raad</w:t>
      </w:r>
      <w:proofErr w:type="spellEnd"/>
      <w:r w:rsidRPr="00CD20D6">
        <w:rPr>
          <w:rFonts w:ascii="Times New Roman" w:eastAsia="Times New Roman" w:hAnsi="Times New Roman" w:cs="Times New Roman"/>
          <w:sz w:val="24"/>
          <w:szCs w:val="24"/>
          <w:lang w:eastAsia="cs-CZ"/>
        </w:rPr>
        <w:t xml:space="preserve"> van State (Štátna rada, Holandsko), ktoré súvisí s konaním </w:t>
      </w:r>
      <w:proofErr w:type="spellStart"/>
      <w:r w:rsidRPr="00CD20D6">
        <w:rPr>
          <w:rFonts w:ascii="Times New Roman" w:eastAsia="Times New Roman" w:hAnsi="Times New Roman" w:cs="Times New Roman"/>
          <w:sz w:val="24"/>
          <w:szCs w:val="24"/>
          <w:lang w:eastAsia="cs-CZ"/>
        </w:rPr>
        <w:t>Directie</w:t>
      </w:r>
      <w:proofErr w:type="spellEnd"/>
      <w:r w:rsidRPr="00CD20D6">
        <w:rPr>
          <w:rFonts w:ascii="Times New Roman" w:eastAsia="Times New Roman" w:hAnsi="Times New Roman" w:cs="Times New Roman"/>
          <w:sz w:val="24"/>
          <w:szCs w:val="24"/>
          <w:lang w:eastAsia="cs-CZ"/>
        </w:rPr>
        <w:t xml:space="preserve"> van de </w:t>
      </w:r>
      <w:proofErr w:type="spellStart"/>
      <w:r w:rsidRPr="00CD20D6">
        <w:rPr>
          <w:rFonts w:ascii="Times New Roman" w:eastAsia="Times New Roman" w:hAnsi="Times New Roman" w:cs="Times New Roman"/>
          <w:sz w:val="24"/>
          <w:szCs w:val="24"/>
          <w:lang w:eastAsia="cs-CZ"/>
        </w:rPr>
        <w:t>Dienst</w:t>
      </w:r>
      <w:proofErr w:type="spellEnd"/>
      <w:r w:rsidRPr="00CD20D6">
        <w:rPr>
          <w:rFonts w:ascii="Times New Roman" w:eastAsia="Times New Roman" w:hAnsi="Times New Roman" w:cs="Times New Roman"/>
          <w:sz w:val="24"/>
          <w:szCs w:val="24"/>
          <w:lang w:eastAsia="cs-CZ"/>
        </w:rPr>
        <w:t xml:space="preserve"> </w:t>
      </w:r>
      <w:proofErr w:type="spellStart"/>
      <w:r w:rsidRPr="00CD20D6">
        <w:rPr>
          <w:rFonts w:ascii="Times New Roman" w:eastAsia="Times New Roman" w:hAnsi="Times New Roman" w:cs="Times New Roman"/>
          <w:sz w:val="24"/>
          <w:szCs w:val="24"/>
          <w:lang w:eastAsia="cs-CZ"/>
        </w:rPr>
        <w:t>Wegverkeer</w:t>
      </w:r>
      <w:proofErr w:type="spellEnd"/>
      <w:r w:rsidRPr="00CD20D6">
        <w:rPr>
          <w:rFonts w:ascii="Times New Roman" w:eastAsia="Times New Roman" w:hAnsi="Times New Roman" w:cs="Times New Roman"/>
          <w:sz w:val="24"/>
          <w:szCs w:val="24"/>
          <w:lang w:eastAsia="cs-CZ"/>
        </w:rPr>
        <w:t xml:space="preserve"> (RDW),</w:t>
      </w:r>
    </w:p>
    <w:p w:rsidR="00CD20D6" w:rsidRPr="00CD20D6" w:rsidRDefault="00CD20D6" w:rsidP="00CD20D6">
      <w:pPr>
        <w:numPr>
          <w:ilvl w:val="0"/>
          <w:numId w:val="13"/>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CD20D6">
        <w:rPr>
          <w:rFonts w:ascii="Times New Roman" w:eastAsia="Times New Roman" w:hAnsi="Times New Roman" w:cs="Times New Roman"/>
          <w:sz w:val="24"/>
          <w:szCs w:val="24"/>
          <w:u w:val="single"/>
          <w:lang w:eastAsia="cs-CZ"/>
        </w:rPr>
        <w:t>povinná identifikácia a technická kontrola predchádzajúca registrácii vozidiel v členskom štáte</w:t>
      </w:r>
    </w:p>
    <w:p w:rsidR="00CD20D6" w:rsidRPr="00CD20D6" w:rsidRDefault="00CD20D6" w:rsidP="00CD20D6">
      <w:pPr>
        <w:numPr>
          <w:ilvl w:val="0"/>
          <w:numId w:val="9"/>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rozsudok Súdneho dvora (prvá komora) z 20. septembra 2007 vo veci C</w:t>
      </w:r>
      <w:r w:rsidRPr="00CD20D6">
        <w:rPr>
          <w:rFonts w:ascii="Times New Roman" w:eastAsia="Times New Roman" w:hAnsi="Times New Roman" w:cs="Times New Roman"/>
          <w:sz w:val="24"/>
          <w:szCs w:val="24"/>
          <w:lang w:eastAsia="cs-CZ"/>
        </w:rPr>
        <w:noBreakHyphen/>
        <w:t>297/05, Európska komisia proti Holandskému kráľovstvu.</w:t>
      </w:r>
    </w:p>
    <w:p w:rsidR="00CD20D6" w:rsidRPr="00CD20D6" w:rsidRDefault="00CD20D6" w:rsidP="00CD20D6">
      <w:pPr>
        <w:spacing w:after="0" w:line="240" w:lineRule="auto"/>
        <w:jc w:val="both"/>
        <w:rPr>
          <w:rFonts w:ascii="Times New Roman" w:eastAsia="Times New Roman" w:hAnsi="Times New Roman" w:cs="Times New Roman"/>
          <w:sz w:val="24"/>
          <w:szCs w:val="24"/>
          <w:highlight w:val="cyan"/>
          <w:lang w:eastAsia="cs-CZ"/>
        </w:rPr>
      </w:pPr>
    </w:p>
    <w:p w:rsidR="00CD20D6" w:rsidRPr="00CD20D6" w:rsidRDefault="00CD20D6" w:rsidP="00CD20D6">
      <w:pPr>
        <w:numPr>
          <w:ilvl w:val="0"/>
          <w:numId w:val="5"/>
        </w:numPr>
        <w:spacing w:after="0" w:line="240" w:lineRule="auto"/>
        <w:jc w:val="both"/>
        <w:rPr>
          <w:rFonts w:ascii="Times New Roman" w:eastAsia="Times New Roman" w:hAnsi="Times New Roman" w:cs="Times New Roman"/>
          <w:b/>
          <w:sz w:val="24"/>
          <w:szCs w:val="24"/>
          <w:lang w:eastAsia="cs-CZ"/>
        </w:rPr>
      </w:pPr>
      <w:r w:rsidRPr="00CD20D6">
        <w:rPr>
          <w:rFonts w:ascii="Times New Roman" w:eastAsia="Times New Roman" w:hAnsi="Times New Roman" w:cs="Times New Roman"/>
          <w:b/>
          <w:sz w:val="24"/>
          <w:szCs w:val="24"/>
          <w:lang w:eastAsia="cs-CZ"/>
        </w:rPr>
        <w:t>Záväzky Slovenskej republiky vo vzťahu k Európskej únii:</w:t>
      </w:r>
    </w:p>
    <w:p w:rsidR="00CD20D6" w:rsidRPr="00CD20D6" w:rsidRDefault="00CD20D6" w:rsidP="00CD20D6">
      <w:pPr>
        <w:numPr>
          <w:ilvl w:val="0"/>
          <w:numId w:val="6"/>
        </w:numPr>
        <w:spacing w:before="120" w:after="0" w:line="240" w:lineRule="auto"/>
        <w:ind w:left="714" w:hanging="357"/>
        <w:jc w:val="both"/>
        <w:rPr>
          <w:rFonts w:ascii="Times New Roman" w:eastAsia="Times New Roman" w:hAnsi="Times New Roman" w:cs="Times New Roman"/>
          <w:sz w:val="24"/>
          <w:szCs w:val="24"/>
          <w:lang w:eastAsia="sk-SK"/>
        </w:rPr>
      </w:pPr>
      <w:r w:rsidRPr="00CD20D6">
        <w:rPr>
          <w:rFonts w:ascii="Times New Roman" w:eastAsia="Times New Roman" w:hAnsi="Times New Roman" w:cs="Times New Roman"/>
          <w:sz w:val="24"/>
          <w:szCs w:val="24"/>
          <w:lang w:eastAsia="sk-SK"/>
        </w:rPr>
        <w:t xml:space="preserve">uviesť lehotu na prebranie príslušného právneho aktu Európskej únie, príp. aj osobitnú lehotu účinnosti jeho ustanovení </w:t>
      </w:r>
    </w:p>
    <w:p w:rsidR="00CD20D6" w:rsidRPr="00CD20D6" w:rsidRDefault="00CD20D6" w:rsidP="00CD20D6">
      <w:pPr>
        <w:numPr>
          <w:ilvl w:val="0"/>
          <w:numId w:val="12"/>
        </w:numPr>
        <w:spacing w:after="0" w:line="240" w:lineRule="auto"/>
        <w:contextualSpacing/>
        <w:jc w:val="both"/>
        <w:rPr>
          <w:rFonts w:ascii="Times New Roman" w:eastAsia="Times New Roman" w:hAnsi="Times New Roman" w:cs="Times New Roman"/>
          <w:bCs/>
          <w:sz w:val="24"/>
          <w:szCs w:val="24"/>
          <w:lang w:eastAsia="cs-CZ"/>
        </w:rPr>
      </w:pPr>
      <w:r w:rsidRPr="00CD20D6">
        <w:rPr>
          <w:rFonts w:ascii="Times New Roman" w:eastAsia="Times New Roman" w:hAnsi="Times New Roman" w:cs="Times New Roman"/>
          <w:sz w:val="24"/>
          <w:szCs w:val="24"/>
          <w:lang w:eastAsia="cs-CZ"/>
        </w:rPr>
        <w:t>Smernica Rady 89/459/EHS</w:t>
      </w:r>
    </w:p>
    <w:p w:rsidR="00CD20D6" w:rsidRPr="00CD20D6" w:rsidRDefault="00CD20D6" w:rsidP="00CD20D6">
      <w:pPr>
        <w:numPr>
          <w:ilvl w:val="0"/>
          <w:numId w:val="9"/>
        </w:numPr>
        <w:spacing w:after="0" w:line="240" w:lineRule="auto"/>
        <w:ind w:left="1418"/>
        <w:contextualSpacing/>
        <w:jc w:val="both"/>
        <w:rPr>
          <w:rFonts w:ascii="Times New Roman" w:eastAsia="Times New Roman" w:hAnsi="Times New Roman" w:cs="Times New Roman"/>
          <w:bCs/>
          <w:sz w:val="24"/>
          <w:szCs w:val="24"/>
          <w:lang w:eastAsia="cs-CZ"/>
        </w:rPr>
      </w:pPr>
      <w:r w:rsidRPr="00CD20D6">
        <w:rPr>
          <w:rFonts w:ascii="Times New Roman" w:eastAsia="Times New Roman" w:hAnsi="Times New Roman" w:cs="Times New Roman"/>
          <w:sz w:val="24"/>
          <w:szCs w:val="24"/>
          <w:lang w:eastAsia="cs-CZ"/>
        </w:rPr>
        <w:t>do 1. mája 2004 pre smernicu Rady 89/459/EHS,</w:t>
      </w:r>
    </w:p>
    <w:p w:rsidR="00CD20D6" w:rsidRPr="00CD20D6" w:rsidRDefault="00CD20D6" w:rsidP="00CD20D6">
      <w:pPr>
        <w:numPr>
          <w:ilvl w:val="0"/>
          <w:numId w:val="12"/>
        </w:numPr>
        <w:spacing w:after="0" w:line="240" w:lineRule="auto"/>
        <w:contextualSpacing/>
        <w:jc w:val="both"/>
        <w:rPr>
          <w:rFonts w:ascii="Times New Roman" w:eastAsia="Times New Roman" w:hAnsi="Times New Roman" w:cs="Times New Roman"/>
          <w:bCs/>
          <w:sz w:val="24"/>
          <w:szCs w:val="24"/>
          <w:lang w:eastAsia="cs-CZ"/>
        </w:rPr>
      </w:pPr>
      <w:r w:rsidRPr="00CD20D6">
        <w:rPr>
          <w:rFonts w:ascii="Times New Roman" w:eastAsia="Times New Roman" w:hAnsi="Times New Roman" w:cs="Times New Roman"/>
          <w:sz w:val="24"/>
          <w:szCs w:val="24"/>
          <w:lang w:eastAsia="cs-CZ"/>
        </w:rPr>
        <w:t>Smernica Rady 96/53/ES v platnom znení</w:t>
      </w:r>
    </w:p>
    <w:p w:rsidR="00CD20D6" w:rsidRPr="00CD20D6" w:rsidRDefault="00CD20D6" w:rsidP="00CD20D6">
      <w:pPr>
        <w:numPr>
          <w:ilvl w:val="0"/>
          <w:numId w:val="9"/>
        </w:numPr>
        <w:spacing w:after="0" w:line="240" w:lineRule="auto"/>
        <w:ind w:left="1418"/>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do 1 mája 2004 pre smernicu Rady 96/53/ES v znení smernice Európskeho parlamentu a Rady 2002/7/ES,</w:t>
      </w:r>
    </w:p>
    <w:p w:rsidR="00CD20D6" w:rsidRPr="00CD20D6" w:rsidRDefault="00CD20D6" w:rsidP="00CD20D6">
      <w:pPr>
        <w:numPr>
          <w:ilvl w:val="0"/>
          <w:numId w:val="9"/>
        </w:numPr>
        <w:spacing w:after="0" w:line="240" w:lineRule="auto"/>
        <w:ind w:left="1418"/>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do 7. mája 2017 pre smernicu Európskeho parlamentu a Rady (EÚ) 2015/719,</w:t>
      </w:r>
    </w:p>
    <w:p w:rsidR="00CD20D6" w:rsidRPr="00CD20D6" w:rsidRDefault="00CD20D6" w:rsidP="00CD20D6">
      <w:pPr>
        <w:numPr>
          <w:ilvl w:val="0"/>
          <w:numId w:val="12"/>
        </w:numPr>
        <w:spacing w:after="0" w:line="240" w:lineRule="auto"/>
        <w:contextualSpacing/>
        <w:jc w:val="both"/>
        <w:rPr>
          <w:rFonts w:ascii="Times New Roman" w:eastAsia="Times New Roman" w:hAnsi="Times New Roman" w:cs="Times New Roman"/>
          <w:bCs/>
          <w:sz w:val="24"/>
          <w:szCs w:val="24"/>
          <w:lang w:eastAsia="cs-CZ"/>
        </w:rPr>
      </w:pPr>
      <w:r w:rsidRPr="00CD20D6">
        <w:rPr>
          <w:rFonts w:ascii="Times New Roman" w:eastAsia="Times New Roman" w:hAnsi="Times New Roman" w:cs="Times New Roman"/>
          <w:sz w:val="24"/>
          <w:szCs w:val="24"/>
          <w:lang w:eastAsia="cs-CZ"/>
        </w:rPr>
        <w:t>Smernica Rady 1999/37/ES v platnom znení</w:t>
      </w:r>
    </w:p>
    <w:p w:rsidR="00CD20D6" w:rsidRPr="00CD20D6" w:rsidRDefault="00CD20D6" w:rsidP="00CD20D6">
      <w:pPr>
        <w:numPr>
          <w:ilvl w:val="0"/>
          <w:numId w:val="9"/>
        </w:numPr>
        <w:spacing w:after="0" w:line="240" w:lineRule="auto"/>
        <w:ind w:left="1418"/>
        <w:contextualSpacing/>
        <w:jc w:val="both"/>
        <w:rPr>
          <w:rFonts w:ascii="Times New Roman" w:eastAsia="Times New Roman" w:hAnsi="Times New Roman" w:cs="Times New Roman"/>
          <w:bCs/>
          <w:sz w:val="24"/>
          <w:szCs w:val="24"/>
          <w:lang w:eastAsia="cs-CZ"/>
        </w:rPr>
      </w:pPr>
      <w:r w:rsidRPr="00CD20D6">
        <w:rPr>
          <w:rFonts w:ascii="Times New Roman" w:eastAsia="Times New Roman" w:hAnsi="Times New Roman" w:cs="Times New Roman"/>
          <w:bCs/>
          <w:sz w:val="24"/>
          <w:szCs w:val="24"/>
          <w:lang w:eastAsia="cs-CZ"/>
        </w:rPr>
        <w:t xml:space="preserve">do </w:t>
      </w:r>
      <w:r w:rsidRPr="00CD20D6">
        <w:rPr>
          <w:rFonts w:ascii="Times New Roman" w:eastAsia="Times New Roman" w:hAnsi="Times New Roman" w:cs="Times New Roman"/>
          <w:sz w:val="24"/>
          <w:szCs w:val="24"/>
          <w:lang w:eastAsia="cs-CZ"/>
        </w:rPr>
        <w:t>1 mája 2004 pre smernicu Rady 1999/37/ES,</w:t>
      </w:r>
    </w:p>
    <w:p w:rsidR="00CD20D6" w:rsidRPr="00CD20D6" w:rsidRDefault="00CD20D6" w:rsidP="00CD20D6">
      <w:pPr>
        <w:numPr>
          <w:ilvl w:val="0"/>
          <w:numId w:val="9"/>
        </w:numPr>
        <w:spacing w:after="0" w:line="240" w:lineRule="auto"/>
        <w:ind w:left="1418"/>
        <w:contextualSpacing/>
        <w:jc w:val="both"/>
        <w:rPr>
          <w:rFonts w:ascii="Times New Roman" w:eastAsia="Times New Roman" w:hAnsi="Times New Roman" w:cs="Times New Roman"/>
          <w:bCs/>
          <w:sz w:val="24"/>
          <w:szCs w:val="24"/>
          <w:lang w:eastAsia="cs-CZ"/>
        </w:rPr>
      </w:pPr>
      <w:r w:rsidRPr="00CD20D6">
        <w:rPr>
          <w:rFonts w:ascii="Times New Roman" w:eastAsia="Times New Roman" w:hAnsi="Times New Roman" w:cs="Times New Roman"/>
          <w:sz w:val="24"/>
          <w:szCs w:val="24"/>
          <w:lang w:eastAsia="cs-CZ"/>
        </w:rPr>
        <w:t>do 15. januára 2005 pre smernicu Komisie 2003/127/ES,</w:t>
      </w:r>
    </w:p>
    <w:p w:rsidR="00CD20D6" w:rsidRPr="00CD20D6" w:rsidRDefault="00CD20D6" w:rsidP="00CD20D6">
      <w:pPr>
        <w:numPr>
          <w:ilvl w:val="0"/>
          <w:numId w:val="9"/>
        </w:numPr>
        <w:spacing w:after="0" w:line="240" w:lineRule="auto"/>
        <w:ind w:left="1418"/>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do 1. januára 2007 pre smernicu Rady 2006/103/ES,</w:t>
      </w:r>
    </w:p>
    <w:p w:rsidR="00CD20D6" w:rsidRPr="00CD20D6" w:rsidRDefault="00CD20D6" w:rsidP="00CD20D6">
      <w:pPr>
        <w:numPr>
          <w:ilvl w:val="0"/>
          <w:numId w:val="9"/>
        </w:numPr>
        <w:spacing w:after="0" w:line="240" w:lineRule="auto"/>
        <w:ind w:left="1418"/>
        <w:contextualSpacing/>
        <w:jc w:val="both"/>
        <w:rPr>
          <w:rFonts w:ascii="Times New Roman" w:eastAsia="Times New Roman" w:hAnsi="Times New Roman" w:cs="Times New Roman"/>
          <w:bCs/>
          <w:sz w:val="24"/>
          <w:szCs w:val="24"/>
          <w:lang w:eastAsia="cs-CZ"/>
        </w:rPr>
      </w:pPr>
      <w:r w:rsidRPr="00CD20D6">
        <w:rPr>
          <w:rFonts w:ascii="Times New Roman" w:eastAsia="Times New Roman" w:hAnsi="Times New Roman" w:cs="Times New Roman"/>
          <w:sz w:val="24"/>
          <w:szCs w:val="24"/>
          <w:lang w:eastAsia="cs-CZ"/>
        </w:rPr>
        <w:t>do 20. mája 2017 pre smernicu Európskeho parlamentu a Rady 2014/46/EÚ,</w:t>
      </w:r>
    </w:p>
    <w:p w:rsidR="00CD20D6" w:rsidRPr="00CD20D6" w:rsidRDefault="00CD20D6" w:rsidP="00CD20D6">
      <w:pPr>
        <w:numPr>
          <w:ilvl w:val="0"/>
          <w:numId w:val="12"/>
        </w:numPr>
        <w:spacing w:after="0" w:line="240" w:lineRule="auto"/>
        <w:contextualSpacing/>
        <w:jc w:val="both"/>
        <w:rPr>
          <w:rFonts w:ascii="Times New Roman" w:eastAsia="Times New Roman" w:hAnsi="Times New Roman" w:cs="Times New Roman"/>
          <w:bCs/>
          <w:sz w:val="24"/>
          <w:szCs w:val="24"/>
          <w:lang w:eastAsia="cs-CZ"/>
        </w:rPr>
      </w:pPr>
      <w:r w:rsidRPr="00CD20D6">
        <w:rPr>
          <w:rFonts w:ascii="Times New Roman" w:eastAsia="Times New Roman" w:hAnsi="Times New Roman" w:cs="Times New Roman"/>
          <w:sz w:val="24"/>
          <w:szCs w:val="24"/>
          <w:lang w:eastAsia="cs-CZ"/>
        </w:rPr>
        <w:t>Smernica Európskeho parlamentu a Rady 2014/45/EÚ</w:t>
      </w:r>
    </w:p>
    <w:p w:rsidR="00CD20D6" w:rsidRPr="00CD20D6" w:rsidRDefault="00CD20D6" w:rsidP="00CD20D6">
      <w:pPr>
        <w:numPr>
          <w:ilvl w:val="0"/>
          <w:numId w:val="9"/>
        </w:numPr>
        <w:spacing w:after="0" w:line="240" w:lineRule="auto"/>
        <w:ind w:left="1418"/>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do 20. mája 2017 pre smernicu Európskeho parlamentu a Rady 2014/45/EÚ,</w:t>
      </w:r>
    </w:p>
    <w:p w:rsidR="00CD20D6" w:rsidRPr="00CD20D6" w:rsidRDefault="00CD20D6" w:rsidP="00CD20D6">
      <w:pPr>
        <w:numPr>
          <w:ilvl w:val="0"/>
          <w:numId w:val="12"/>
        </w:numPr>
        <w:spacing w:after="0" w:line="240" w:lineRule="auto"/>
        <w:contextualSpacing/>
        <w:jc w:val="both"/>
        <w:rPr>
          <w:rFonts w:ascii="Times New Roman" w:eastAsia="Times New Roman" w:hAnsi="Times New Roman" w:cs="Times New Roman"/>
          <w:bCs/>
          <w:sz w:val="24"/>
          <w:szCs w:val="24"/>
          <w:lang w:eastAsia="cs-CZ"/>
        </w:rPr>
      </w:pPr>
      <w:r w:rsidRPr="00CD20D6">
        <w:rPr>
          <w:rFonts w:ascii="Times New Roman" w:eastAsia="Times New Roman" w:hAnsi="Times New Roman" w:cs="Times New Roman"/>
          <w:sz w:val="24"/>
          <w:szCs w:val="24"/>
          <w:lang w:eastAsia="cs-CZ"/>
        </w:rPr>
        <w:t>Smernica Európskeho parlamentu a Rady 2014/47/EÚ</w:t>
      </w:r>
    </w:p>
    <w:p w:rsidR="00CD20D6" w:rsidRPr="00CD20D6" w:rsidRDefault="00CD20D6" w:rsidP="00CD20D6">
      <w:pPr>
        <w:numPr>
          <w:ilvl w:val="0"/>
          <w:numId w:val="9"/>
        </w:numPr>
        <w:spacing w:after="0" w:line="240" w:lineRule="auto"/>
        <w:ind w:left="1418"/>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do 20. mája 2017 pre smernicu Európskeho parlamentu a Rady 2014/47/EÚ,</w:t>
      </w:r>
    </w:p>
    <w:p w:rsidR="00CD20D6" w:rsidRPr="00CD20D6" w:rsidRDefault="00CD20D6" w:rsidP="00CD20D6">
      <w:pPr>
        <w:numPr>
          <w:ilvl w:val="0"/>
          <w:numId w:val="6"/>
        </w:numPr>
        <w:spacing w:before="120" w:after="0" w:line="240" w:lineRule="auto"/>
        <w:ind w:left="714" w:hanging="357"/>
        <w:jc w:val="both"/>
        <w:rPr>
          <w:rFonts w:ascii="Times New Roman" w:eastAsia="Times New Roman" w:hAnsi="Times New Roman" w:cs="Times New Roman"/>
          <w:sz w:val="24"/>
          <w:szCs w:val="24"/>
          <w:lang w:eastAsia="sk-SK"/>
        </w:rPr>
      </w:pPr>
      <w:r w:rsidRPr="00CD20D6">
        <w:rPr>
          <w:rFonts w:ascii="Times New Roman" w:eastAsia="Times New Roman" w:hAnsi="Times New Roman" w:cs="Times New Roman"/>
          <w:sz w:val="24"/>
          <w:szCs w:val="24"/>
          <w:lang w:eastAsia="sk-SK"/>
        </w:rPr>
        <w:t xml:space="preserve">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rsidR="00CD20D6" w:rsidRPr="00CD20D6" w:rsidRDefault="00CD20D6" w:rsidP="00CD20D6">
      <w:pPr>
        <w:numPr>
          <w:ilvl w:val="0"/>
          <w:numId w:val="4"/>
        </w:numPr>
        <w:spacing w:after="0" w:line="240" w:lineRule="auto"/>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v danej oblasti nie je proti Slovenskej republike začaté konanie,</w:t>
      </w:r>
    </w:p>
    <w:p w:rsidR="00CD20D6" w:rsidRPr="00CD20D6" w:rsidRDefault="00CD20D6" w:rsidP="00CD20D6">
      <w:pPr>
        <w:numPr>
          <w:ilvl w:val="0"/>
          <w:numId w:val="6"/>
        </w:numPr>
        <w:spacing w:before="120" w:after="0" w:line="240" w:lineRule="auto"/>
        <w:ind w:left="714" w:hanging="357"/>
        <w:jc w:val="both"/>
        <w:rPr>
          <w:rFonts w:ascii="Times New Roman" w:eastAsia="Times New Roman" w:hAnsi="Times New Roman" w:cs="Times New Roman"/>
          <w:sz w:val="24"/>
          <w:szCs w:val="24"/>
          <w:lang w:eastAsia="sk-SK"/>
        </w:rPr>
      </w:pPr>
      <w:r w:rsidRPr="00CD20D6">
        <w:rPr>
          <w:rFonts w:ascii="Times New Roman" w:eastAsia="Times New Roman" w:hAnsi="Times New Roman" w:cs="Times New Roman"/>
          <w:sz w:val="24"/>
          <w:szCs w:val="24"/>
          <w:lang w:eastAsia="sk-SK"/>
        </w:rPr>
        <w:t xml:space="preserve">uviesť informáciu o právnych predpisoch, v ktorých sú uvádzané právne akty Európskej únie už prebrané, spolu s uvedením rozsahu ich prebrania, príp. potreby prijatia ďalších úprav </w:t>
      </w:r>
    </w:p>
    <w:p w:rsidR="00CD20D6" w:rsidRPr="00CD20D6" w:rsidRDefault="00CD20D6" w:rsidP="00CD20D6">
      <w:pPr>
        <w:numPr>
          <w:ilvl w:val="1"/>
          <w:numId w:val="10"/>
        </w:numPr>
        <w:tabs>
          <w:tab w:val="num" w:pos="993"/>
        </w:tabs>
        <w:spacing w:after="0" w:line="240" w:lineRule="auto"/>
        <w:ind w:left="993" w:hanging="284"/>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 xml:space="preserve">Smernica Rady 89/459/EHS je prebratá </w:t>
      </w:r>
    </w:p>
    <w:p w:rsidR="00CD20D6" w:rsidRPr="00CD20D6" w:rsidRDefault="00CD20D6" w:rsidP="00CD20D6">
      <w:pPr>
        <w:numPr>
          <w:ilvl w:val="2"/>
          <w:numId w:val="11"/>
        </w:numPr>
        <w:spacing w:after="0" w:line="240" w:lineRule="auto"/>
        <w:ind w:left="1276" w:hanging="283"/>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v zákone č. 106/2018 Z. z. o prevádzke vozidiel v cestnej premávke a o zmene a doplnení niektorých zákonov,</w:t>
      </w:r>
    </w:p>
    <w:p w:rsidR="00CD20D6" w:rsidRPr="00CD20D6" w:rsidRDefault="00CD20D6" w:rsidP="00CD20D6">
      <w:pPr>
        <w:numPr>
          <w:ilvl w:val="2"/>
          <w:numId w:val="11"/>
        </w:numPr>
        <w:spacing w:after="0" w:line="240" w:lineRule="auto"/>
        <w:ind w:left="1276" w:hanging="283"/>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vo vyhláške Ministerstva dopravy a výstavby Slovenskej republiky č. 134/2018 Z. z., ktorou sa ustanovujú podrobnosti o prevádzke vozidiel v cestnej premávke,</w:t>
      </w:r>
    </w:p>
    <w:p w:rsidR="00CD20D6" w:rsidRPr="00CD20D6" w:rsidRDefault="00CD20D6" w:rsidP="00CD20D6">
      <w:pPr>
        <w:numPr>
          <w:ilvl w:val="1"/>
          <w:numId w:val="10"/>
        </w:numPr>
        <w:tabs>
          <w:tab w:val="num" w:pos="993"/>
        </w:tabs>
        <w:spacing w:after="0" w:line="240" w:lineRule="auto"/>
        <w:ind w:left="993" w:hanging="284"/>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Smernica Rady 96/53/ES v platnom znení je prebratá</w:t>
      </w:r>
    </w:p>
    <w:p w:rsidR="00CD20D6" w:rsidRPr="00CD20D6" w:rsidRDefault="00CD20D6" w:rsidP="00CD20D6">
      <w:pPr>
        <w:numPr>
          <w:ilvl w:val="2"/>
          <w:numId w:val="11"/>
        </w:numPr>
        <w:spacing w:after="0" w:line="240" w:lineRule="auto"/>
        <w:ind w:left="1276" w:hanging="283"/>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v zákone č. 135/1961 Zb. o pozemných komunikáciách (cestný zákon) v znení neskorších predpisov,</w:t>
      </w:r>
    </w:p>
    <w:p w:rsidR="00CD20D6" w:rsidRPr="00CD20D6" w:rsidRDefault="00CD20D6" w:rsidP="00CD20D6">
      <w:pPr>
        <w:numPr>
          <w:ilvl w:val="2"/>
          <w:numId w:val="11"/>
        </w:numPr>
        <w:spacing w:after="0" w:line="240" w:lineRule="auto"/>
        <w:ind w:left="1276" w:hanging="283"/>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v zákone č. 106/2018 Z. z. o prevádzke vozidiel v cestnej premávke a o zmene a doplnení niektorých zákonov,</w:t>
      </w:r>
    </w:p>
    <w:p w:rsidR="00CD20D6" w:rsidRPr="00CD20D6" w:rsidRDefault="00CD20D6" w:rsidP="00CD20D6">
      <w:pPr>
        <w:numPr>
          <w:ilvl w:val="2"/>
          <w:numId w:val="11"/>
        </w:numPr>
        <w:spacing w:after="0" w:line="240" w:lineRule="auto"/>
        <w:ind w:left="1276" w:hanging="283"/>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lastRenderedPageBreak/>
        <w:t>vo vyhláške Ministerstva dopravy a výstavby Slovenskej republiky č. 134/2018 Z. z., ktorou sa ustanovujú podrobnosti o prevádzke vozidiel v cestnej premávke,</w:t>
      </w:r>
    </w:p>
    <w:p w:rsidR="00CD20D6" w:rsidRPr="00CD20D6" w:rsidRDefault="00CD20D6" w:rsidP="00CD20D6">
      <w:pPr>
        <w:numPr>
          <w:ilvl w:val="1"/>
          <w:numId w:val="10"/>
        </w:numPr>
        <w:tabs>
          <w:tab w:val="num" w:pos="993"/>
        </w:tabs>
        <w:spacing w:after="0" w:line="240" w:lineRule="auto"/>
        <w:ind w:left="993" w:hanging="284"/>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 xml:space="preserve">Smernica Rady 1999/37/ES v platnom znení je prebraná </w:t>
      </w:r>
    </w:p>
    <w:p w:rsidR="00CD20D6" w:rsidRPr="00CD20D6" w:rsidRDefault="00CD20D6" w:rsidP="00CD20D6">
      <w:pPr>
        <w:numPr>
          <w:ilvl w:val="2"/>
          <w:numId w:val="11"/>
        </w:numPr>
        <w:spacing w:after="0" w:line="240" w:lineRule="auto"/>
        <w:ind w:left="1276" w:hanging="283"/>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v zákone č. 8/2009 Z. z. o cestnej premávke a o zmene a doplnení niektorých zákonov v znení neskorších predpisov,</w:t>
      </w:r>
    </w:p>
    <w:p w:rsidR="00CD20D6" w:rsidRPr="00CD20D6" w:rsidRDefault="00CD20D6" w:rsidP="00CD20D6">
      <w:pPr>
        <w:numPr>
          <w:ilvl w:val="2"/>
          <w:numId w:val="11"/>
        </w:numPr>
        <w:spacing w:after="0" w:line="240" w:lineRule="auto"/>
        <w:ind w:left="1276" w:hanging="283"/>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v zákone č. 106/2018 Z. z. o prevádzke vozidiel v cestnej premávke a o zmene a doplnení niektorých zákonov,</w:t>
      </w:r>
    </w:p>
    <w:p w:rsidR="00CD20D6" w:rsidRPr="00CD20D6" w:rsidRDefault="00CD20D6" w:rsidP="00CD20D6">
      <w:pPr>
        <w:numPr>
          <w:ilvl w:val="2"/>
          <w:numId w:val="11"/>
        </w:numPr>
        <w:spacing w:after="0" w:line="240" w:lineRule="auto"/>
        <w:ind w:left="1276" w:hanging="283"/>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vo vyhláške Ministerstva dopravy a výstavby Slovenskej republiky č. 133/2018 Z. z., ktorou sa ustanovujú podrobnosti o dokladoch vozidla,</w:t>
      </w:r>
    </w:p>
    <w:p w:rsidR="00CD20D6" w:rsidRPr="00CD20D6" w:rsidRDefault="00CD20D6" w:rsidP="00CD20D6">
      <w:pPr>
        <w:numPr>
          <w:ilvl w:val="1"/>
          <w:numId w:val="10"/>
        </w:numPr>
        <w:tabs>
          <w:tab w:val="num" w:pos="993"/>
        </w:tabs>
        <w:spacing w:after="0" w:line="240" w:lineRule="auto"/>
        <w:ind w:left="993" w:hanging="284"/>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Smernica Európskeho parlamentu a Rady 2014/45/EÚ</w:t>
      </w:r>
    </w:p>
    <w:p w:rsidR="00CD20D6" w:rsidRPr="00CD20D6" w:rsidRDefault="00CD20D6" w:rsidP="00CD20D6">
      <w:pPr>
        <w:numPr>
          <w:ilvl w:val="2"/>
          <w:numId w:val="11"/>
        </w:numPr>
        <w:spacing w:after="0" w:line="240" w:lineRule="auto"/>
        <w:ind w:left="1276" w:hanging="283"/>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v zákone č. 106/2018 Z. z. o prevádzke vozidiel v cestnej premávke a o zmene a doplnení niektorých zákonov,</w:t>
      </w:r>
    </w:p>
    <w:p w:rsidR="00CD20D6" w:rsidRPr="00CD20D6" w:rsidRDefault="00CD20D6" w:rsidP="00CD20D6">
      <w:pPr>
        <w:numPr>
          <w:ilvl w:val="2"/>
          <w:numId w:val="11"/>
        </w:numPr>
        <w:spacing w:after="0" w:line="240" w:lineRule="auto"/>
        <w:ind w:left="1276" w:hanging="283"/>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vo vyhláške Ministerstva dopravy a výstavby Slovenskej republiky č. 137/2018 Z. z., ktorou sa ustanovujú podrobnosti v oblasti technickej kontroly,</w:t>
      </w:r>
    </w:p>
    <w:p w:rsidR="00CD20D6" w:rsidRPr="00CD20D6" w:rsidRDefault="00CD20D6" w:rsidP="00CD20D6">
      <w:pPr>
        <w:numPr>
          <w:ilvl w:val="2"/>
          <w:numId w:val="11"/>
        </w:numPr>
        <w:spacing w:after="0" w:line="240" w:lineRule="auto"/>
        <w:ind w:left="1276" w:hanging="283"/>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vo vyhláške Ministerstva dopravy a výstavby Slovenskej republiky č. 138/2018 Z. z., ktorou sa ustanovujú podrobnosti v oblasti emisnej kontroly,</w:t>
      </w:r>
    </w:p>
    <w:p w:rsidR="00CD20D6" w:rsidRPr="00CD20D6" w:rsidRDefault="00CD20D6" w:rsidP="00CD20D6">
      <w:pPr>
        <w:numPr>
          <w:ilvl w:val="1"/>
          <w:numId w:val="10"/>
        </w:numPr>
        <w:tabs>
          <w:tab w:val="num" w:pos="993"/>
        </w:tabs>
        <w:spacing w:after="0" w:line="240" w:lineRule="auto"/>
        <w:ind w:left="993" w:hanging="284"/>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Smernica Európskeho parlamentu a Rady 2014/47/EÚ</w:t>
      </w:r>
    </w:p>
    <w:p w:rsidR="00CD20D6" w:rsidRPr="00CD20D6" w:rsidRDefault="00CD20D6" w:rsidP="00CD20D6">
      <w:pPr>
        <w:numPr>
          <w:ilvl w:val="2"/>
          <w:numId w:val="11"/>
        </w:numPr>
        <w:spacing w:after="0" w:line="240" w:lineRule="auto"/>
        <w:ind w:left="1276" w:hanging="283"/>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v zákone č. 106/2018 Z. z. o prevádzke vozidiel v cestnej premávke a o zmene a doplnení niektorých zákonov,</w:t>
      </w:r>
    </w:p>
    <w:p w:rsidR="00CD20D6" w:rsidRPr="00CD20D6" w:rsidRDefault="00CD20D6" w:rsidP="00CD20D6">
      <w:pPr>
        <w:numPr>
          <w:ilvl w:val="2"/>
          <w:numId w:val="11"/>
        </w:numPr>
        <w:spacing w:after="0" w:line="240" w:lineRule="auto"/>
        <w:ind w:left="1276" w:hanging="283"/>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vo vyhláške Ministerstva dopravy a výstavby Slovenskej republiky č. 135/2018 Z. z., ktorou sa ustanovujú podrobnosti v oblasti cestnej technickej kontroly.</w:t>
      </w:r>
    </w:p>
    <w:p w:rsidR="00CD20D6" w:rsidRPr="00CD20D6" w:rsidRDefault="00CD20D6" w:rsidP="00CD20D6">
      <w:pPr>
        <w:spacing w:after="0" w:line="240" w:lineRule="auto"/>
        <w:jc w:val="both"/>
        <w:rPr>
          <w:rFonts w:ascii="Times New Roman" w:eastAsia="Times New Roman" w:hAnsi="Times New Roman" w:cs="Times New Roman"/>
          <w:b/>
          <w:bCs/>
          <w:sz w:val="24"/>
          <w:szCs w:val="24"/>
          <w:lang w:eastAsia="cs-CZ"/>
        </w:rPr>
      </w:pPr>
    </w:p>
    <w:p w:rsidR="00CD20D6" w:rsidRPr="00CD20D6" w:rsidRDefault="00CD20D6" w:rsidP="00CD20D6">
      <w:pPr>
        <w:numPr>
          <w:ilvl w:val="0"/>
          <w:numId w:val="5"/>
        </w:numPr>
        <w:spacing w:after="0" w:line="240" w:lineRule="auto"/>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b/>
          <w:bCs/>
          <w:sz w:val="24"/>
          <w:szCs w:val="24"/>
          <w:lang w:eastAsia="cs-CZ"/>
        </w:rPr>
        <w:t xml:space="preserve">Návrh </w:t>
      </w:r>
      <w:r w:rsidRPr="00CD20D6">
        <w:rPr>
          <w:rFonts w:ascii="Times New Roman" w:eastAsia="Times New Roman" w:hAnsi="Times New Roman" w:cs="Times New Roman"/>
          <w:b/>
          <w:sz w:val="24"/>
          <w:szCs w:val="24"/>
          <w:lang w:eastAsia="cs-CZ"/>
        </w:rPr>
        <w:t>zákona</w:t>
      </w:r>
      <w:r w:rsidRPr="00CD20D6">
        <w:rPr>
          <w:rFonts w:ascii="Times New Roman" w:eastAsia="Times New Roman" w:hAnsi="Times New Roman" w:cs="Times New Roman"/>
          <w:b/>
          <w:bCs/>
          <w:sz w:val="24"/>
          <w:szCs w:val="24"/>
          <w:lang w:eastAsia="cs-CZ"/>
        </w:rPr>
        <w:t xml:space="preserve"> je zlučiteľný s právom Európskej únie</w:t>
      </w:r>
      <w:r w:rsidRPr="00CD20D6">
        <w:rPr>
          <w:rFonts w:ascii="Times New Roman" w:eastAsia="Times New Roman" w:hAnsi="Times New Roman" w:cs="Times New Roman"/>
          <w:b/>
          <w:sz w:val="24"/>
          <w:szCs w:val="24"/>
          <w:lang w:eastAsia="cs-CZ"/>
        </w:rPr>
        <w:t>:</w:t>
      </w:r>
    </w:p>
    <w:p w:rsidR="00CD20D6" w:rsidRPr="00CD20D6" w:rsidRDefault="00CD20D6" w:rsidP="00CD20D6">
      <w:pPr>
        <w:numPr>
          <w:ilvl w:val="0"/>
          <w:numId w:val="7"/>
        </w:numPr>
        <w:spacing w:before="120" w:after="0" w:line="240" w:lineRule="auto"/>
        <w:ind w:left="924" w:hanging="357"/>
        <w:contextualSpacing/>
        <w:jc w:val="both"/>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úplne.</w:t>
      </w:r>
    </w:p>
    <w:p w:rsidR="00CD20D6" w:rsidRPr="00CD20D6" w:rsidRDefault="00CD20D6" w:rsidP="00CD20D6">
      <w:pPr>
        <w:spacing w:after="0" w:line="240" w:lineRule="auto"/>
        <w:rPr>
          <w:rFonts w:ascii="Times New Roman" w:eastAsia="Times New Roman" w:hAnsi="Times New Roman" w:cs="Times New Roman"/>
          <w:sz w:val="24"/>
          <w:szCs w:val="24"/>
          <w:lang w:eastAsia="cs-CZ"/>
        </w:rPr>
      </w:pPr>
      <w:r w:rsidRPr="00CD20D6">
        <w:rPr>
          <w:rFonts w:ascii="Times New Roman" w:eastAsia="Times New Roman" w:hAnsi="Times New Roman" w:cs="Times New Roman"/>
          <w:sz w:val="24"/>
          <w:szCs w:val="24"/>
          <w:lang w:eastAsia="cs-CZ"/>
        </w:rPr>
        <w:t xml:space="preserve"> </w:t>
      </w: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Default="00CD20D6" w:rsidP="00CD20D6">
      <w:pPr>
        <w:spacing w:after="0" w:line="240" w:lineRule="auto"/>
        <w:jc w:val="both"/>
        <w:rPr>
          <w:rFonts w:ascii="Times New Roman" w:eastAsia="Calibri" w:hAnsi="Times New Roman" w:cs="Times New Roman"/>
          <w:b/>
          <w:sz w:val="24"/>
          <w:szCs w:val="24"/>
        </w:rPr>
      </w:pPr>
    </w:p>
    <w:p w:rsidR="00CD20D6" w:rsidRPr="00CD20D6" w:rsidRDefault="00CD20D6" w:rsidP="00CD20D6">
      <w:pPr>
        <w:spacing w:after="0" w:line="240" w:lineRule="auto"/>
        <w:jc w:val="both"/>
        <w:rPr>
          <w:rFonts w:ascii="Times New Roman" w:eastAsia="Calibri" w:hAnsi="Times New Roman" w:cs="Times New Roman"/>
          <w:b/>
          <w:sz w:val="24"/>
          <w:szCs w:val="24"/>
        </w:rPr>
      </w:pPr>
      <w:r w:rsidRPr="00CD20D6">
        <w:rPr>
          <w:rFonts w:ascii="Times New Roman" w:eastAsia="Calibri" w:hAnsi="Times New Roman" w:cs="Times New Roman"/>
          <w:b/>
          <w:sz w:val="24"/>
          <w:szCs w:val="24"/>
        </w:rPr>
        <w:lastRenderedPageBreak/>
        <w:t>B. Osobitná časť</w:t>
      </w:r>
    </w:p>
    <w:p w:rsidR="00CD20D6" w:rsidRPr="00CD20D6" w:rsidRDefault="00CD20D6" w:rsidP="00CD20D6">
      <w:pPr>
        <w:spacing w:after="0" w:line="240" w:lineRule="auto"/>
        <w:jc w:val="both"/>
        <w:rPr>
          <w:rFonts w:ascii="Times New Roman" w:eastAsia="Calibri" w:hAnsi="Times New Roman" w:cs="Times New Roman"/>
          <w:b/>
          <w:sz w:val="24"/>
          <w:szCs w:val="24"/>
        </w:rPr>
      </w:pPr>
    </w:p>
    <w:p w:rsidR="00CD20D6" w:rsidRPr="00CD20D6" w:rsidRDefault="00CD20D6" w:rsidP="00CD20D6">
      <w:pPr>
        <w:spacing w:after="0" w:line="240" w:lineRule="auto"/>
        <w:jc w:val="both"/>
        <w:rPr>
          <w:rFonts w:ascii="Times New Roman" w:eastAsia="Calibri" w:hAnsi="Times New Roman" w:cs="Times New Roman"/>
          <w:sz w:val="24"/>
          <w:szCs w:val="24"/>
        </w:rPr>
      </w:pPr>
      <w:r w:rsidRPr="00CD20D6">
        <w:rPr>
          <w:rFonts w:ascii="Times New Roman" w:eastAsia="Calibri" w:hAnsi="Times New Roman" w:cs="Times New Roman"/>
          <w:b/>
          <w:sz w:val="24"/>
          <w:szCs w:val="24"/>
        </w:rPr>
        <w:t xml:space="preserve">K čl. I </w:t>
      </w:r>
      <w:r w:rsidRPr="00CD20D6">
        <w:rPr>
          <w:rFonts w:ascii="Times New Roman" w:eastAsia="Calibri" w:hAnsi="Times New Roman" w:cs="Times New Roman"/>
          <w:sz w:val="24"/>
          <w:szCs w:val="24"/>
        </w:rPr>
        <w:t>[§ 170b ods. 12]</w:t>
      </w:r>
    </w:p>
    <w:p w:rsidR="00CD20D6" w:rsidRPr="00CD20D6" w:rsidRDefault="00CD20D6" w:rsidP="00CD20D6">
      <w:pPr>
        <w:spacing w:before="120" w:after="0" w:line="240" w:lineRule="auto"/>
        <w:ind w:firstLine="708"/>
        <w:jc w:val="both"/>
        <w:rPr>
          <w:rFonts w:ascii="Times New Roman" w:eastAsia="Calibri" w:hAnsi="Times New Roman" w:cs="Times New Roman"/>
          <w:sz w:val="24"/>
          <w:szCs w:val="24"/>
        </w:rPr>
      </w:pPr>
      <w:r w:rsidRPr="00CD20D6">
        <w:rPr>
          <w:rFonts w:ascii="Times New Roman" w:eastAsia="Calibri" w:hAnsi="Times New Roman" w:cs="Times New Roman"/>
          <w:sz w:val="24"/>
          <w:szCs w:val="24"/>
        </w:rPr>
        <w:t>Vozidlám kategórie M1 a kategórie N1 triedy I sa navrhuje, aby v roku 2021 mohol byť maximálny počet povolení vozidiel ukončenej série vydaných podľa § 14 zákona dvojnásobný.</w:t>
      </w:r>
    </w:p>
    <w:p w:rsidR="00CD20D6" w:rsidRPr="00CD20D6" w:rsidRDefault="00CD20D6" w:rsidP="00CD20D6">
      <w:pPr>
        <w:spacing w:after="0" w:line="240" w:lineRule="auto"/>
        <w:jc w:val="both"/>
        <w:rPr>
          <w:rFonts w:ascii="Times New Roman" w:eastAsia="Calibri" w:hAnsi="Times New Roman" w:cs="Times New Roman"/>
          <w:sz w:val="24"/>
          <w:szCs w:val="24"/>
        </w:rPr>
      </w:pPr>
    </w:p>
    <w:p w:rsidR="00CD20D6" w:rsidRPr="00CD20D6" w:rsidRDefault="00CD20D6" w:rsidP="00CD20D6">
      <w:pPr>
        <w:spacing w:after="0" w:line="240" w:lineRule="auto"/>
        <w:jc w:val="both"/>
        <w:rPr>
          <w:rFonts w:ascii="Times New Roman" w:eastAsia="Calibri" w:hAnsi="Times New Roman" w:cs="Times New Roman"/>
          <w:sz w:val="24"/>
          <w:szCs w:val="24"/>
        </w:rPr>
      </w:pPr>
      <w:r w:rsidRPr="00CD20D6">
        <w:rPr>
          <w:rFonts w:ascii="Times New Roman" w:eastAsia="Calibri" w:hAnsi="Times New Roman" w:cs="Times New Roman"/>
          <w:b/>
          <w:sz w:val="24"/>
          <w:szCs w:val="24"/>
        </w:rPr>
        <w:t>K čl. II</w:t>
      </w:r>
      <w:r w:rsidRPr="00CD20D6">
        <w:rPr>
          <w:rFonts w:ascii="Times New Roman" w:eastAsia="Calibri" w:hAnsi="Times New Roman" w:cs="Times New Roman"/>
          <w:sz w:val="24"/>
          <w:szCs w:val="24"/>
        </w:rPr>
        <w:t xml:space="preserve"> </w:t>
      </w:r>
    </w:p>
    <w:p w:rsidR="00CD20D6" w:rsidRPr="00CD20D6" w:rsidRDefault="00CD20D6" w:rsidP="00CD20D6">
      <w:pPr>
        <w:spacing w:before="120" w:after="0" w:line="240" w:lineRule="auto"/>
        <w:ind w:firstLine="708"/>
        <w:jc w:val="both"/>
        <w:rPr>
          <w:rFonts w:ascii="Times New Roman" w:eastAsia="Calibri" w:hAnsi="Times New Roman" w:cs="Times New Roman"/>
          <w:sz w:val="24"/>
          <w:szCs w:val="24"/>
        </w:rPr>
      </w:pPr>
      <w:r w:rsidRPr="00CD20D6">
        <w:rPr>
          <w:rFonts w:ascii="Times New Roman" w:eastAsia="Calibri" w:hAnsi="Times New Roman" w:cs="Times New Roman"/>
          <w:sz w:val="24"/>
          <w:szCs w:val="24"/>
        </w:rPr>
        <w:t>Účinnosť návrhu zákona sa navrhuje od 31. decembra 2020 vzhľadom na dátum ukončenia prvej evidencie dotknutých vozidiel vyplývajúci z nariadenia (EÚ) 2017/1151 a z dôvodu predídenia negatívnym následkom na predajcov vozidiel.</w:t>
      </w:r>
    </w:p>
    <w:p w:rsidR="00453026" w:rsidRDefault="00453026"/>
    <w:p w:rsidR="00ED1F88" w:rsidRPr="00ED1F88" w:rsidRDefault="00ED1F88" w:rsidP="00ED1F88">
      <w:pPr>
        <w:spacing w:after="0" w:line="240" w:lineRule="auto"/>
        <w:rPr>
          <w:rFonts w:ascii="Times New Roman" w:eastAsia="Times New Roman" w:hAnsi="Times New Roman" w:cs="Times New Roman"/>
          <w:sz w:val="24"/>
          <w:szCs w:val="24"/>
          <w:lang w:eastAsia="sk-SK"/>
        </w:rPr>
      </w:pPr>
      <w:r w:rsidRPr="00ED1F88">
        <w:rPr>
          <w:rFonts w:ascii="Times New Roman" w:eastAsia="Times New Roman" w:hAnsi="Times New Roman" w:cs="Times New Roman"/>
          <w:color w:val="000000"/>
          <w:sz w:val="24"/>
          <w:szCs w:val="24"/>
          <w:lang w:eastAsia="sk-SK"/>
        </w:rPr>
        <w:t xml:space="preserve">Bratislava </w:t>
      </w:r>
      <w:r>
        <w:rPr>
          <w:rFonts w:ascii="Times New Roman" w:eastAsia="Times New Roman" w:hAnsi="Times New Roman" w:cs="Times New Roman"/>
          <w:color w:val="000000"/>
          <w:sz w:val="24"/>
          <w:szCs w:val="24"/>
          <w:lang w:eastAsia="sk-SK"/>
        </w:rPr>
        <w:t>02</w:t>
      </w:r>
      <w:r w:rsidRPr="00ED1F88">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december</w:t>
      </w:r>
      <w:bookmarkStart w:id="0" w:name="_GoBack"/>
      <w:bookmarkEnd w:id="0"/>
      <w:r w:rsidRPr="00ED1F88">
        <w:rPr>
          <w:rFonts w:ascii="Times New Roman" w:eastAsia="Times New Roman" w:hAnsi="Times New Roman" w:cs="Times New Roman"/>
          <w:color w:val="000000"/>
          <w:sz w:val="24"/>
          <w:szCs w:val="24"/>
          <w:lang w:eastAsia="sk-SK"/>
        </w:rPr>
        <w:t xml:space="preserve"> 2020.</w:t>
      </w:r>
    </w:p>
    <w:p w:rsidR="00ED1F88" w:rsidRPr="00ED1F88" w:rsidRDefault="00ED1F88" w:rsidP="00ED1F88">
      <w:pPr>
        <w:spacing w:after="0" w:line="240" w:lineRule="auto"/>
        <w:rPr>
          <w:rFonts w:ascii="Times New Roman" w:eastAsia="Times New Roman" w:hAnsi="Times New Roman" w:cs="Times New Roman"/>
          <w:color w:val="000000"/>
          <w:sz w:val="24"/>
          <w:szCs w:val="24"/>
          <w:lang w:eastAsia="sk-SK"/>
        </w:rPr>
      </w:pPr>
    </w:p>
    <w:p w:rsidR="00ED1F88" w:rsidRPr="00ED1F88" w:rsidRDefault="00ED1F88" w:rsidP="00ED1F88">
      <w:pPr>
        <w:spacing w:after="0" w:line="240" w:lineRule="auto"/>
        <w:rPr>
          <w:rFonts w:ascii="Times New Roman" w:eastAsia="Times New Roman" w:hAnsi="Times New Roman" w:cs="Times New Roman"/>
          <w:color w:val="000000"/>
          <w:sz w:val="24"/>
          <w:szCs w:val="24"/>
          <w:lang w:eastAsia="sk-SK"/>
        </w:rPr>
      </w:pPr>
    </w:p>
    <w:p w:rsidR="00ED1F88" w:rsidRPr="00ED1F88" w:rsidRDefault="00ED1F88" w:rsidP="00ED1F88">
      <w:pPr>
        <w:spacing w:after="0" w:line="240" w:lineRule="auto"/>
        <w:jc w:val="center"/>
        <w:rPr>
          <w:rFonts w:ascii="Times New Roman" w:eastAsia="Times New Roman" w:hAnsi="Times New Roman" w:cs="Times New Roman"/>
          <w:color w:val="000000"/>
          <w:sz w:val="24"/>
          <w:szCs w:val="24"/>
          <w:lang w:eastAsia="sk-SK"/>
        </w:rPr>
      </w:pPr>
    </w:p>
    <w:p w:rsidR="00ED1F88" w:rsidRPr="00ED1F88" w:rsidRDefault="00ED1F88" w:rsidP="00ED1F88">
      <w:pPr>
        <w:spacing w:after="0" w:line="240" w:lineRule="auto"/>
        <w:jc w:val="center"/>
        <w:rPr>
          <w:rFonts w:ascii="Times New Roman" w:eastAsia="Times New Roman" w:hAnsi="Times New Roman" w:cs="Times New Roman"/>
          <w:sz w:val="24"/>
          <w:szCs w:val="24"/>
          <w:lang w:eastAsia="sk-SK"/>
        </w:rPr>
      </w:pPr>
    </w:p>
    <w:p w:rsidR="00ED1F88" w:rsidRPr="00ED1F88" w:rsidRDefault="00ED1F88" w:rsidP="00ED1F88">
      <w:pPr>
        <w:spacing w:after="0" w:line="240" w:lineRule="auto"/>
        <w:jc w:val="center"/>
        <w:rPr>
          <w:rFonts w:ascii="Times New Roman" w:eastAsia="Times New Roman" w:hAnsi="Times New Roman" w:cs="Times New Roman"/>
          <w:sz w:val="24"/>
          <w:szCs w:val="24"/>
          <w:lang w:eastAsia="sk-SK"/>
        </w:rPr>
      </w:pPr>
    </w:p>
    <w:p w:rsidR="00ED1F88" w:rsidRPr="00ED1F88" w:rsidRDefault="00ED1F88" w:rsidP="00ED1F88">
      <w:pPr>
        <w:spacing w:after="0" w:line="240" w:lineRule="auto"/>
        <w:jc w:val="center"/>
        <w:rPr>
          <w:rFonts w:ascii="Times New Roman" w:eastAsia="Times New Roman" w:hAnsi="Times New Roman" w:cs="Times New Roman"/>
          <w:sz w:val="24"/>
          <w:szCs w:val="24"/>
          <w:lang w:eastAsia="sk-SK"/>
        </w:rPr>
      </w:pPr>
      <w:r w:rsidRPr="00ED1F88">
        <w:rPr>
          <w:rFonts w:ascii="Times New Roman" w:eastAsia="Times New Roman" w:hAnsi="Times New Roman" w:cs="Times New Roman"/>
          <w:sz w:val="24"/>
          <w:szCs w:val="24"/>
          <w:lang w:eastAsia="sk-SK"/>
        </w:rPr>
        <w:t>Igor Matovič, v. r.</w:t>
      </w:r>
    </w:p>
    <w:p w:rsidR="00ED1F88" w:rsidRPr="00ED1F88" w:rsidRDefault="00ED1F88" w:rsidP="00ED1F88">
      <w:pPr>
        <w:spacing w:after="0" w:line="240" w:lineRule="auto"/>
        <w:jc w:val="center"/>
        <w:rPr>
          <w:rFonts w:ascii="Times New Roman" w:eastAsia="Times New Roman" w:hAnsi="Times New Roman" w:cs="Times New Roman"/>
          <w:sz w:val="24"/>
          <w:szCs w:val="24"/>
          <w:lang w:eastAsia="sk-SK"/>
        </w:rPr>
      </w:pPr>
      <w:r w:rsidRPr="00ED1F88">
        <w:rPr>
          <w:rFonts w:ascii="Times New Roman" w:eastAsia="Times New Roman" w:hAnsi="Times New Roman" w:cs="Times New Roman"/>
          <w:sz w:val="24"/>
          <w:szCs w:val="24"/>
          <w:lang w:eastAsia="sk-SK"/>
        </w:rPr>
        <w:t>predseda vlády</w:t>
      </w:r>
    </w:p>
    <w:p w:rsidR="00ED1F88" w:rsidRPr="00ED1F88" w:rsidRDefault="00ED1F88" w:rsidP="00ED1F88">
      <w:pPr>
        <w:spacing w:after="0" w:line="240" w:lineRule="auto"/>
        <w:jc w:val="center"/>
        <w:rPr>
          <w:rFonts w:ascii="Times New Roman" w:eastAsia="Times New Roman" w:hAnsi="Times New Roman" w:cs="Times New Roman"/>
          <w:sz w:val="24"/>
          <w:szCs w:val="24"/>
          <w:lang w:eastAsia="sk-SK"/>
        </w:rPr>
      </w:pPr>
      <w:r w:rsidRPr="00ED1F88">
        <w:rPr>
          <w:rFonts w:ascii="Times New Roman" w:eastAsia="Times New Roman" w:hAnsi="Times New Roman" w:cs="Times New Roman"/>
          <w:sz w:val="24"/>
          <w:szCs w:val="24"/>
          <w:lang w:eastAsia="sk-SK"/>
        </w:rPr>
        <w:t>Slovenskej republiky</w:t>
      </w:r>
    </w:p>
    <w:p w:rsidR="00ED1F88" w:rsidRPr="00ED1F88" w:rsidRDefault="00ED1F88" w:rsidP="00ED1F88">
      <w:pPr>
        <w:spacing w:after="0" w:line="240" w:lineRule="auto"/>
        <w:jc w:val="center"/>
        <w:rPr>
          <w:rFonts w:ascii="Times New Roman" w:eastAsia="Times New Roman" w:hAnsi="Times New Roman" w:cs="Times New Roman"/>
          <w:sz w:val="24"/>
          <w:szCs w:val="24"/>
          <w:lang w:eastAsia="sk-SK"/>
        </w:rPr>
      </w:pPr>
    </w:p>
    <w:p w:rsidR="00ED1F88" w:rsidRPr="00ED1F88" w:rsidRDefault="00ED1F88" w:rsidP="00ED1F88">
      <w:pPr>
        <w:spacing w:after="0" w:line="240" w:lineRule="auto"/>
        <w:jc w:val="center"/>
        <w:rPr>
          <w:rFonts w:ascii="Times New Roman" w:eastAsia="Times New Roman" w:hAnsi="Times New Roman" w:cs="Times New Roman"/>
          <w:sz w:val="24"/>
          <w:szCs w:val="24"/>
          <w:lang w:eastAsia="sk-SK"/>
        </w:rPr>
      </w:pPr>
    </w:p>
    <w:p w:rsidR="00ED1F88" w:rsidRPr="00ED1F88" w:rsidRDefault="00ED1F88" w:rsidP="00ED1F88">
      <w:pPr>
        <w:spacing w:after="0" w:line="240" w:lineRule="auto"/>
        <w:jc w:val="center"/>
        <w:rPr>
          <w:rFonts w:ascii="Times New Roman" w:eastAsia="Times New Roman" w:hAnsi="Times New Roman" w:cs="Times New Roman"/>
          <w:sz w:val="24"/>
          <w:szCs w:val="24"/>
          <w:lang w:eastAsia="sk-SK"/>
        </w:rPr>
      </w:pPr>
    </w:p>
    <w:p w:rsidR="00ED1F88" w:rsidRPr="00ED1F88" w:rsidRDefault="00ED1F88" w:rsidP="00ED1F88">
      <w:pPr>
        <w:spacing w:after="0" w:line="240" w:lineRule="auto"/>
        <w:jc w:val="center"/>
        <w:rPr>
          <w:rFonts w:ascii="Times New Roman" w:eastAsia="Times New Roman" w:hAnsi="Times New Roman" w:cs="Times New Roman"/>
          <w:sz w:val="24"/>
          <w:szCs w:val="24"/>
          <w:lang w:eastAsia="sk-SK"/>
        </w:rPr>
      </w:pPr>
    </w:p>
    <w:p w:rsidR="00ED1F88" w:rsidRPr="00ED1F88" w:rsidRDefault="00ED1F88" w:rsidP="00ED1F88">
      <w:pPr>
        <w:spacing w:after="0" w:line="240" w:lineRule="auto"/>
        <w:jc w:val="center"/>
        <w:rPr>
          <w:rFonts w:ascii="Times New Roman" w:eastAsia="Times New Roman" w:hAnsi="Times New Roman" w:cs="Times New Roman"/>
          <w:sz w:val="24"/>
          <w:szCs w:val="24"/>
          <w:lang w:eastAsia="sk-SK"/>
        </w:rPr>
      </w:pPr>
      <w:r w:rsidRPr="00ED1F88">
        <w:rPr>
          <w:rFonts w:ascii="Times New Roman" w:eastAsia="Times New Roman" w:hAnsi="Times New Roman" w:cs="Times New Roman"/>
          <w:sz w:val="24"/>
          <w:szCs w:val="24"/>
          <w:lang w:eastAsia="sk-SK"/>
        </w:rPr>
        <w:t>Andrej Doležal, v. r.</w:t>
      </w:r>
    </w:p>
    <w:p w:rsidR="00ED1F88" w:rsidRPr="00ED1F88" w:rsidRDefault="00ED1F88" w:rsidP="00ED1F88">
      <w:pPr>
        <w:spacing w:after="0" w:line="240" w:lineRule="auto"/>
        <w:jc w:val="center"/>
        <w:rPr>
          <w:rFonts w:ascii="Times New Roman" w:eastAsia="Times New Roman" w:hAnsi="Times New Roman" w:cs="Times New Roman"/>
          <w:sz w:val="24"/>
          <w:szCs w:val="24"/>
          <w:lang w:eastAsia="sk-SK"/>
        </w:rPr>
      </w:pPr>
      <w:r w:rsidRPr="00ED1F88">
        <w:rPr>
          <w:rFonts w:ascii="Times New Roman" w:eastAsia="Times New Roman" w:hAnsi="Times New Roman" w:cs="Times New Roman"/>
          <w:color w:val="000000"/>
          <w:sz w:val="24"/>
          <w:szCs w:val="24"/>
          <w:lang w:eastAsia="sk-SK"/>
        </w:rPr>
        <w:t>minister dopravy a výstavby</w:t>
      </w:r>
    </w:p>
    <w:p w:rsidR="00ED1F88" w:rsidRPr="00ED1F88" w:rsidRDefault="00ED1F88" w:rsidP="00ED1F88">
      <w:pPr>
        <w:spacing w:after="0" w:line="240" w:lineRule="auto"/>
        <w:jc w:val="center"/>
        <w:rPr>
          <w:rFonts w:ascii="Times New Roman" w:eastAsia="Times New Roman" w:hAnsi="Times New Roman" w:cs="Times New Roman"/>
          <w:sz w:val="24"/>
          <w:szCs w:val="24"/>
          <w:lang w:eastAsia="sk-SK"/>
        </w:rPr>
      </w:pPr>
      <w:r w:rsidRPr="00ED1F88">
        <w:rPr>
          <w:rFonts w:ascii="Times New Roman" w:eastAsia="Times New Roman" w:hAnsi="Times New Roman" w:cs="Times New Roman"/>
          <w:color w:val="000000"/>
          <w:sz w:val="24"/>
          <w:szCs w:val="24"/>
          <w:lang w:eastAsia="sk-SK"/>
        </w:rPr>
        <w:t>Slovenskej republiky</w:t>
      </w:r>
    </w:p>
    <w:p w:rsidR="00ED1F88" w:rsidRDefault="00ED1F88"/>
    <w:sectPr w:rsidR="00ED1F88" w:rsidSect="00782F27">
      <w:footerReference w:type="default" r:id="rId6"/>
      <w:footerReference w:type="first" r:id="rId7"/>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528685"/>
      <w:docPartObj>
        <w:docPartGallery w:val="Page Numbers (Bottom of Page)"/>
        <w:docPartUnique/>
      </w:docPartObj>
    </w:sdtPr>
    <w:sdtEndPr>
      <w:rPr>
        <w:rFonts w:ascii="Times New Roman" w:hAnsi="Times New Roman" w:cs="Times New Roman"/>
      </w:rPr>
    </w:sdtEndPr>
    <w:sdtContent>
      <w:p w:rsidR="00965A44" w:rsidRPr="007573AD" w:rsidRDefault="00ED1F88" w:rsidP="000B7881">
        <w:pPr>
          <w:pStyle w:val="Pta1"/>
          <w:jc w:val="center"/>
          <w:rPr>
            <w:rFonts w:ascii="Times New Roman" w:hAnsi="Times New Roman" w:cs="Times New Roman"/>
          </w:rPr>
        </w:pPr>
        <w:r w:rsidRPr="007573AD">
          <w:rPr>
            <w:rFonts w:ascii="Times New Roman" w:hAnsi="Times New Roman" w:cs="Times New Roman"/>
          </w:rPr>
          <w:fldChar w:fldCharType="begin"/>
        </w:r>
        <w:r w:rsidRPr="007573AD">
          <w:rPr>
            <w:rFonts w:ascii="Times New Roman" w:hAnsi="Times New Roman" w:cs="Times New Roman"/>
          </w:rPr>
          <w:instrText>PAGE   \* MERGEFORMAT</w:instrText>
        </w:r>
        <w:r w:rsidRPr="007573AD">
          <w:rPr>
            <w:rFonts w:ascii="Times New Roman" w:hAnsi="Times New Roman" w:cs="Times New Roman"/>
          </w:rPr>
          <w:fldChar w:fldCharType="separate"/>
        </w:r>
        <w:r>
          <w:rPr>
            <w:rFonts w:ascii="Times New Roman" w:hAnsi="Times New Roman" w:cs="Times New Roman"/>
            <w:noProof/>
          </w:rPr>
          <w:t>10</w:t>
        </w:r>
        <w:r w:rsidRPr="007573AD">
          <w:rPr>
            <w:rFonts w:ascii="Times New Roman" w:hAnsi="Times New Roman" w:cs="Times New Roman"/>
          </w:rPr>
          <w:fldChar w:fldCharType="end"/>
        </w:r>
      </w:p>
    </w:sdtContent>
  </w:sdt>
  <w:p w:rsidR="00965A44" w:rsidRDefault="00ED1F88">
    <w:pPr>
      <w:pStyle w:val="Pta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71006"/>
      <w:docPartObj>
        <w:docPartGallery w:val="Page Numbers (Bottom of Page)"/>
        <w:docPartUnique/>
      </w:docPartObj>
    </w:sdtPr>
    <w:sdtEndPr>
      <w:rPr>
        <w:rFonts w:ascii="Times New Roman" w:hAnsi="Times New Roman" w:cs="Times New Roman"/>
      </w:rPr>
    </w:sdtEndPr>
    <w:sdtContent>
      <w:p w:rsidR="00B624FA" w:rsidRPr="00B624FA" w:rsidRDefault="00ED1F88">
        <w:pPr>
          <w:pStyle w:val="Pta1"/>
          <w:jc w:val="center"/>
          <w:rPr>
            <w:rFonts w:ascii="Times New Roman" w:hAnsi="Times New Roman" w:cs="Times New Roman"/>
          </w:rPr>
        </w:pPr>
        <w:r w:rsidRPr="00B624FA">
          <w:rPr>
            <w:rFonts w:ascii="Times New Roman" w:hAnsi="Times New Roman" w:cs="Times New Roman"/>
          </w:rPr>
          <w:fldChar w:fldCharType="begin"/>
        </w:r>
        <w:r w:rsidRPr="00B624FA">
          <w:rPr>
            <w:rFonts w:ascii="Times New Roman" w:hAnsi="Times New Roman" w:cs="Times New Roman"/>
          </w:rPr>
          <w:instrText>PAGE   \* MERGEFORMAT</w:instrText>
        </w:r>
        <w:r w:rsidRPr="00B624FA">
          <w:rPr>
            <w:rFonts w:ascii="Times New Roman" w:hAnsi="Times New Roman" w:cs="Times New Roman"/>
          </w:rPr>
          <w:fldChar w:fldCharType="separate"/>
        </w:r>
        <w:r w:rsidR="00CD20D6">
          <w:rPr>
            <w:rFonts w:ascii="Times New Roman" w:hAnsi="Times New Roman" w:cs="Times New Roman"/>
            <w:noProof/>
          </w:rPr>
          <w:t>1</w:t>
        </w:r>
        <w:r w:rsidRPr="00B624FA">
          <w:rPr>
            <w:rFonts w:ascii="Times New Roman" w:hAnsi="Times New Roman" w:cs="Times New Roman"/>
          </w:rPr>
          <w:fldChar w:fldCharType="end"/>
        </w:r>
      </w:p>
    </w:sdtContent>
  </w:sdt>
  <w:p w:rsidR="00965A44" w:rsidRDefault="00ED1F88">
    <w:pPr>
      <w:pStyle w:val="Pta1"/>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087"/>
    <w:multiLevelType w:val="hybridMultilevel"/>
    <w:tmpl w:val="6DC6CA6E"/>
    <w:lvl w:ilvl="0" w:tplc="2C007456">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 w15:restartNumberingAfterBreak="0">
    <w:nsid w:val="0B8519DB"/>
    <w:multiLevelType w:val="hybridMultilevel"/>
    <w:tmpl w:val="62363998"/>
    <w:lvl w:ilvl="0" w:tplc="C43A8C2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379C090B"/>
    <w:multiLevelType w:val="hybridMultilevel"/>
    <w:tmpl w:val="CCA80808"/>
    <w:lvl w:ilvl="0" w:tplc="8C16A5A8">
      <w:start w:val="1"/>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44CA36D8"/>
    <w:multiLevelType w:val="hybridMultilevel"/>
    <w:tmpl w:val="3DEE2414"/>
    <w:lvl w:ilvl="0" w:tplc="5512F164">
      <w:start w:val="4"/>
      <w:numFmt w:val="bullet"/>
      <w:lvlText w:val="-"/>
      <w:lvlJc w:val="left"/>
      <w:pPr>
        <w:ind w:left="1931" w:hanging="360"/>
      </w:pPr>
      <w:rPr>
        <w:rFonts w:ascii="Times New Roman" w:eastAsia="Times New Roman" w:hAnsi="Times New Roman" w:hint="default"/>
      </w:rPr>
    </w:lvl>
    <w:lvl w:ilvl="1" w:tplc="041B0003" w:tentative="1">
      <w:start w:val="1"/>
      <w:numFmt w:val="bullet"/>
      <w:lvlText w:val="o"/>
      <w:lvlJc w:val="left"/>
      <w:pPr>
        <w:ind w:left="2651" w:hanging="360"/>
      </w:pPr>
      <w:rPr>
        <w:rFonts w:ascii="Courier New" w:hAnsi="Courier New" w:hint="default"/>
      </w:rPr>
    </w:lvl>
    <w:lvl w:ilvl="2" w:tplc="5512F164">
      <w:start w:val="4"/>
      <w:numFmt w:val="bullet"/>
      <w:lvlText w:val="-"/>
      <w:lvlJc w:val="left"/>
      <w:pPr>
        <w:ind w:left="3371" w:hanging="360"/>
      </w:pPr>
      <w:rPr>
        <w:rFonts w:ascii="Times New Roman" w:eastAsia="Times New Roman" w:hAnsi="Times New Roman"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4" w15:restartNumberingAfterBreak="0">
    <w:nsid w:val="459518FD"/>
    <w:multiLevelType w:val="singleLevel"/>
    <w:tmpl w:val="9E2450A6"/>
    <w:lvl w:ilvl="0">
      <w:start w:val="1"/>
      <w:numFmt w:val="lowerLetter"/>
      <w:lvlText w:val="%1)"/>
      <w:lvlJc w:val="left"/>
      <w:pPr>
        <w:tabs>
          <w:tab w:val="num" w:pos="720"/>
        </w:tabs>
        <w:ind w:left="720" w:hanging="360"/>
      </w:pPr>
      <w:rPr>
        <w:rFonts w:cs="Times New Roman" w:hint="default"/>
      </w:rPr>
    </w:lvl>
  </w:abstractNum>
  <w:abstractNum w:abstractNumId="5" w15:restartNumberingAfterBreak="0">
    <w:nsid w:val="62FB7511"/>
    <w:multiLevelType w:val="hybridMultilevel"/>
    <w:tmpl w:val="9AF65242"/>
    <w:lvl w:ilvl="0" w:tplc="43D470E0">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AB6E16"/>
    <w:multiLevelType w:val="hybridMultilevel"/>
    <w:tmpl w:val="06F689C2"/>
    <w:lvl w:ilvl="0" w:tplc="427E6A4E">
      <w:start w:val="1"/>
      <w:numFmt w:val="lowerLetter"/>
      <w:lvlText w:val="%1)"/>
      <w:lvlJc w:val="left"/>
      <w:pPr>
        <w:tabs>
          <w:tab w:val="num" w:pos="680"/>
        </w:tabs>
        <w:ind w:left="680" w:hanging="34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7" w15:restartNumberingAfterBreak="0">
    <w:nsid w:val="67003015"/>
    <w:multiLevelType w:val="singleLevel"/>
    <w:tmpl w:val="9E2450A6"/>
    <w:lvl w:ilvl="0">
      <w:start w:val="1"/>
      <w:numFmt w:val="lowerLetter"/>
      <w:lvlText w:val="%1)"/>
      <w:lvlJc w:val="left"/>
      <w:pPr>
        <w:tabs>
          <w:tab w:val="num" w:pos="720"/>
        </w:tabs>
        <w:ind w:left="720" w:hanging="360"/>
      </w:pPr>
      <w:rPr>
        <w:rFonts w:cs="Times New Roman" w:hint="default"/>
      </w:rPr>
    </w:lvl>
  </w:abstractNum>
  <w:abstractNum w:abstractNumId="8" w15:restartNumberingAfterBreak="0">
    <w:nsid w:val="6A31210E"/>
    <w:multiLevelType w:val="hybridMultilevel"/>
    <w:tmpl w:val="3E98AC60"/>
    <w:lvl w:ilvl="0" w:tplc="80C21BA6">
      <w:start w:val="1"/>
      <w:numFmt w:val="decimal"/>
      <w:lvlText w:val="%1."/>
      <w:lvlJc w:val="left"/>
      <w:pPr>
        <w:tabs>
          <w:tab w:val="num" w:pos="567"/>
        </w:tabs>
        <w:ind w:left="567" w:hanging="510"/>
      </w:pPr>
      <w:rPr>
        <w:rFonts w:cs="Times New Roman" w:hint="default"/>
        <w:b/>
        <w:color w:val="auto"/>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BA52CDD"/>
    <w:multiLevelType w:val="multilevel"/>
    <w:tmpl w:val="1C4C114A"/>
    <w:lvl w:ilvl="0">
      <w:start w:val="1"/>
      <w:numFmt w:val="bullet"/>
      <w:lvlText w:val="-"/>
      <w:lvlJc w:val="left"/>
      <w:pPr>
        <w:tabs>
          <w:tab w:val="num" w:pos="1069"/>
        </w:tabs>
        <w:ind w:left="1069" w:hanging="360"/>
      </w:pPr>
      <w:rPr>
        <w:rFonts w:ascii="Times New Roman" w:hAnsi="Times New Roman" w:hint="default"/>
      </w:rPr>
    </w:lvl>
    <w:lvl w:ilvl="1">
      <w:start w:val="1"/>
      <w:numFmt w:val="bullet"/>
      <w:lvlText w:val=""/>
      <w:lvlJc w:val="left"/>
      <w:pPr>
        <w:tabs>
          <w:tab w:val="num" w:pos="1789"/>
        </w:tabs>
        <w:ind w:left="1789" w:hanging="360"/>
      </w:pPr>
      <w:rPr>
        <w:rFonts w:ascii="Symbol" w:hAnsi="Symbol"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1" w15:restartNumberingAfterBreak="0">
    <w:nsid w:val="7F122E5A"/>
    <w:multiLevelType w:val="hybridMultilevel"/>
    <w:tmpl w:val="4C5CBC5C"/>
    <w:lvl w:ilvl="0" w:tplc="96CCB462">
      <w:start w:val="1"/>
      <w:numFmt w:val="decimal"/>
      <w:lvlText w:val="%1."/>
      <w:lvlJc w:val="left"/>
      <w:pPr>
        <w:ind w:left="1080" w:hanging="360"/>
      </w:pPr>
      <w:rPr>
        <w:rFonts w:hint="default"/>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7FEA0DCB"/>
    <w:multiLevelType w:val="hybridMultilevel"/>
    <w:tmpl w:val="B406DC40"/>
    <w:lvl w:ilvl="0" w:tplc="5512F164">
      <w:start w:val="4"/>
      <w:numFmt w:val="bullet"/>
      <w:lvlText w:val="-"/>
      <w:lvlJc w:val="left"/>
      <w:pPr>
        <w:tabs>
          <w:tab w:val="num" w:pos="737"/>
        </w:tabs>
        <w:ind w:left="737" w:hanging="340"/>
      </w:pPr>
      <w:rPr>
        <w:rFonts w:ascii="Times New Roman" w:eastAsia="Times New Roman" w:hAnsi="Times New Roman" w:hint="default"/>
      </w:rPr>
    </w:lvl>
    <w:lvl w:ilvl="1" w:tplc="00000001">
      <w:start w:val="1"/>
      <w:numFmt w:val="bullet"/>
      <w:lvlText w:val="o"/>
      <w:lvlJc w:val="left"/>
      <w:pPr>
        <w:tabs>
          <w:tab w:val="num" w:pos="1837"/>
        </w:tabs>
        <w:ind w:left="1837" w:hanging="360"/>
      </w:pPr>
      <w:rPr>
        <w:rFonts w:ascii="Courier New" w:hAnsi="Courier New"/>
      </w:rPr>
    </w:lvl>
    <w:lvl w:ilvl="2" w:tplc="00000002">
      <w:start w:val="1"/>
      <w:numFmt w:val="bullet"/>
      <w:lvlText w:val=""/>
      <w:lvlJc w:val="left"/>
      <w:pPr>
        <w:tabs>
          <w:tab w:val="num" w:pos="2557"/>
        </w:tabs>
        <w:ind w:left="2557" w:hanging="360"/>
      </w:pPr>
      <w:rPr>
        <w:rFonts w:ascii="Wingdings" w:hAnsi="Wingdings"/>
      </w:rPr>
    </w:lvl>
    <w:lvl w:ilvl="3" w:tplc="00000003">
      <w:start w:val="1"/>
      <w:numFmt w:val="bullet"/>
      <w:lvlText w:val=""/>
      <w:lvlJc w:val="left"/>
      <w:pPr>
        <w:tabs>
          <w:tab w:val="num" w:pos="3277"/>
        </w:tabs>
        <w:ind w:left="3277" w:hanging="360"/>
      </w:pPr>
      <w:rPr>
        <w:rFonts w:ascii="Symbol" w:hAnsi="Symbol"/>
      </w:rPr>
    </w:lvl>
    <w:lvl w:ilvl="4" w:tplc="00000004">
      <w:start w:val="1"/>
      <w:numFmt w:val="bullet"/>
      <w:lvlText w:val="o"/>
      <w:lvlJc w:val="left"/>
      <w:pPr>
        <w:tabs>
          <w:tab w:val="num" w:pos="3997"/>
        </w:tabs>
        <w:ind w:left="3997" w:hanging="360"/>
      </w:pPr>
      <w:rPr>
        <w:rFonts w:ascii="Courier New" w:hAnsi="Courier New"/>
      </w:rPr>
    </w:lvl>
    <w:lvl w:ilvl="5" w:tplc="00000005">
      <w:start w:val="1"/>
      <w:numFmt w:val="bullet"/>
      <w:lvlText w:val=""/>
      <w:lvlJc w:val="left"/>
      <w:pPr>
        <w:tabs>
          <w:tab w:val="num" w:pos="4717"/>
        </w:tabs>
        <w:ind w:left="4717" w:hanging="360"/>
      </w:pPr>
      <w:rPr>
        <w:rFonts w:ascii="Wingdings" w:hAnsi="Wingdings"/>
      </w:rPr>
    </w:lvl>
    <w:lvl w:ilvl="6" w:tplc="00000006">
      <w:start w:val="1"/>
      <w:numFmt w:val="bullet"/>
      <w:lvlText w:val=""/>
      <w:lvlJc w:val="left"/>
      <w:pPr>
        <w:tabs>
          <w:tab w:val="num" w:pos="5437"/>
        </w:tabs>
        <w:ind w:left="5437" w:hanging="360"/>
      </w:pPr>
      <w:rPr>
        <w:rFonts w:ascii="Symbol" w:hAnsi="Symbol"/>
      </w:rPr>
    </w:lvl>
    <w:lvl w:ilvl="7" w:tplc="00000007">
      <w:start w:val="1"/>
      <w:numFmt w:val="bullet"/>
      <w:lvlText w:val="o"/>
      <w:lvlJc w:val="left"/>
      <w:pPr>
        <w:tabs>
          <w:tab w:val="num" w:pos="6157"/>
        </w:tabs>
        <w:ind w:left="6157" w:hanging="360"/>
      </w:pPr>
      <w:rPr>
        <w:rFonts w:ascii="Courier New" w:hAnsi="Courier New"/>
      </w:rPr>
    </w:lvl>
    <w:lvl w:ilvl="8" w:tplc="00000008">
      <w:start w:val="1"/>
      <w:numFmt w:val="bullet"/>
      <w:lvlText w:val=""/>
      <w:lvlJc w:val="left"/>
      <w:pPr>
        <w:tabs>
          <w:tab w:val="num" w:pos="6877"/>
        </w:tabs>
        <w:ind w:left="6877" w:hanging="360"/>
      </w:pPr>
      <w:rPr>
        <w:rFonts w:ascii="Wingdings" w:hAnsi="Wingdings"/>
      </w:rPr>
    </w:lvl>
  </w:abstractNum>
  <w:num w:numId="1">
    <w:abstractNumId w:val="10"/>
  </w:num>
  <w:num w:numId="2">
    <w:abstractNumId w:val="5"/>
  </w:num>
  <w:num w:numId="3">
    <w:abstractNumId w:val="7"/>
    <w:lvlOverride w:ilvl="0">
      <w:startOverride w:val="1"/>
    </w:lvlOverride>
  </w:num>
  <w:num w:numId="4">
    <w:abstractNumId w:val="9"/>
  </w:num>
  <w:num w:numId="5">
    <w:abstractNumId w:val="8"/>
  </w:num>
  <w:num w:numId="6">
    <w:abstractNumId w:val="4"/>
  </w:num>
  <w:num w:numId="7">
    <w:abstractNumId w:val="0"/>
  </w:num>
  <w:num w:numId="8">
    <w:abstractNumId w:val="1"/>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06"/>
    <w:rsid w:val="0018250E"/>
    <w:rsid w:val="00214E06"/>
    <w:rsid w:val="00453026"/>
    <w:rsid w:val="00CD20D6"/>
    <w:rsid w:val="00E17856"/>
    <w:rsid w:val="00ED1F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2AB1"/>
  <w15:chartTrackingRefBased/>
  <w15:docId w15:val="{DFB5D76A-408A-40A4-8A49-E269073F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ta1">
    <w:name w:val="Päta1"/>
    <w:basedOn w:val="Normlny"/>
    <w:next w:val="Pta"/>
    <w:link w:val="PtaChar"/>
    <w:uiPriority w:val="99"/>
    <w:unhideWhenUsed/>
    <w:rsid w:val="00CD20D6"/>
    <w:pPr>
      <w:tabs>
        <w:tab w:val="center" w:pos="4536"/>
        <w:tab w:val="right" w:pos="9072"/>
      </w:tabs>
      <w:spacing w:after="0" w:line="240" w:lineRule="auto"/>
    </w:pPr>
  </w:style>
  <w:style w:type="character" w:customStyle="1" w:styleId="PtaChar">
    <w:name w:val="Päta Char"/>
    <w:basedOn w:val="Predvolenpsmoodseku"/>
    <w:link w:val="Pta1"/>
    <w:uiPriority w:val="99"/>
    <w:rsid w:val="00CD20D6"/>
  </w:style>
  <w:style w:type="paragraph" w:styleId="Pta">
    <w:name w:val="footer"/>
    <w:basedOn w:val="Normlny"/>
    <w:link w:val="PtaChar1"/>
    <w:uiPriority w:val="99"/>
    <w:semiHidden/>
    <w:unhideWhenUsed/>
    <w:rsid w:val="00CD20D6"/>
    <w:pPr>
      <w:tabs>
        <w:tab w:val="center" w:pos="4536"/>
        <w:tab w:val="right" w:pos="9072"/>
      </w:tabs>
      <w:spacing w:after="0" w:line="240" w:lineRule="auto"/>
    </w:pPr>
  </w:style>
  <w:style w:type="character" w:customStyle="1" w:styleId="PtaChar1">
    <w:name w:val="Päta Char1"/>
    <w:basedOn w:val="Predvolenpsmoodseku"/>
    <w:link w:val="Pta"/>
    <w:uiPriority w:val="99"/>
    <w:semiHidden/>
    <w:rsid w:val="00CD20D6"/>
  </w:style>
  <w:style w:type="table" w:customStyle="1" w:styleId="Mriekatabuky1">
    <w:name w:val="Mriežka tabuľky1"/>
    <w:basedOn w:val="Normlnatabuka"/>
    <w:next w:val="Mriekatabuky"/>
    <w:uiPriority w:val="59"/>
    <w:rsid w:val="00CD20D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2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D20D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lubomir.moravcik@mindop.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3702</Words>
  <Characters>21105</Characters>
  <Application>Microsoft Office Word</Application>
  <DocSecurity>0</DocSecurity>
  <Lines>175</Lines>
  <Paragraphs>49</Paragraphs>
  <ScaleCrop>false</ScaleCrop>
  <Company/>
  <LinksUpToDate>false</LinksUpToDate>
  <CharactersWithSpaces>24758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Krausová, Katarína</cp:lastModifiedBy>
  <cp:revision>3</cp:revision>
  <dcterms:created xsi:type="dcterms:W3CDTF">2020-12-02T07:47:00Z</dcterms:created>
  <dcterms:modified xsi:type="dcterms:W3CDTF">2020-12-02T07:50:00Z</dcterms:modified>
</cp:coreProperties>
</file>