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717"/>
        <w:gridCol w:w="569"/>
        <w:gridCol w:w="1417"/>
        <w:gridCol w:w="1560"/>
      </w:tblGrid>
      <w:tr w:rsidR="003501A1" w:rsidRPr="00A179AE" w:rsidTr="003501A1">
        <w:tc>
          <w:tcPr>
            <w:tcW w:w="9180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4A46E7" w:rsidP="0058582A">
            <w:pPr>
              <w:jc w:val="both"/>
            </w:pPr>
            <w:r>
              <w:t xml:space="preserve">Návrh </w:t>
            </w:r>
            <w:r w:rsidR="00526400">
              <w:t xml:space="preserve">zákona, ktorým sa </w:t>
            </w:r>
            <w:r w:rsidR="00C4510D">
              <w:t xml:space="preserve">mení a </w:t>
            </w:r>
            <w:r w:rsidR="00526400">
              <w:t>dopĺňa zákon č. 71/2013 Z. z. o poskytovaní dotácií v pôsobnosti Ministerstva hospodárstva Slovenskej republiky v znení neskorších predpisov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4A46E7" w:rsidP="007B71A4">
            <w:r>
              <w:t xml:space="preserve">Ministerstvo hospodárstva </w:t>
            </w:r>
            <w:r w:rsidR="0029401A">
              <w:t>Slovenskej republiky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52640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52640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9C1976" w:rsidP="009C1976">
            <w:pPr>
              <w:rPr>
                <w:i/>
              </w:rPr>
            </w:pPr>
            <w:r>
              <w:rPr>
                <w:i/>
              </w:rPr>
              <w:t>november</w:t>
            </w:r>
            <w:r w:rsidR="00BA7C7F">
              <w:rPr>
                <w:i/>
              </w:rPr>
              <w:t xml:space="preserve"> 2020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01A" w:rsidRDefault="003501A1" w:rsidP="00526400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697C5D" w:rsidRDefault="009C1976" w:rsidP="009C1976">
            <w:pPr>
              <w:jc w:val="both"/>
            </w:pPr>
            <w:r>
              <w:t>V súvislosti vypuknutím nebezpečnej nákazlivej ľudskej choroby COVID-19 boli prijímané opatrenia, ktorých cieľom bolo zníženie šírenia pandémie v spoločnosti. Prijaté opatrenia na druhej strane mali významné negatívne ekonomické vplyvy</w:t>
            </w:r>
            <w:r w:rsidR="00352EF3">
              <w:t>,</w:t>
            </w:r>
            <w:r>
              <w:t xml:space="preserve"> ako napr. hospodárske straty a zníženie tržieb podnikateľských subjektov, nemožnosť vykonávať podnikateľsk</w:t>
            </w:r>
            <w:r w:rsidR="00697C5D">
              <w:t>ú</w:t>
            </w:r>
            <w:r w:rsidR="00352EF3">
              <w:t xml:space="preserve"> činnosť</w:t>
            </w:r>
            <w:r w:rsidR="00697C5D">
              <w:t xml:space="preserve">. </w:t>
            </w:r>
          </w:p>
          <w:p w:rsidR="00697C5D" w:rsidRDefault="00697C5D" w:rsidP="00697C5D">
            <w:pPr>
              <w:jc w:val="both"/>
            </w:pPr>
            <w:r>
              <w:t xml:space="preserve">V dôsledku tzv. 2. vlny pandémie maloobchodné prevádzky a prevádzky poskytujúce služby boli opätovne obmedzené primárne zákazom prítomnosti verejnosti, ako aj povinným zatvorením a </w:t>
            </w:r>
            <w:r w:rsidR="00DA6F9D">
              <w:t xml:space="preserve">nie sú </w:t>
            </w:r>
            <w:r w:rsidR="00526400" w:rsidRPr="0029401A">
              <w:t>sch</w:t>
            </w:r>
            <w:r w:rsidR="0029401A">
              <w:t>opné vyplácať zmluvné ná</w:t>
            </w:r>
            <w:r w:rsidR="00411778">
              <w:t xml:space="preserve">jomné. </w:t>
            </w:r>
          </w:p>
          <w:p w:rsidR="00526400" w:rsidRPr="0029401A" w:rsidRDefault="00697C5D" w:rsidP="00ED7117">
            <w:pPr>
              <w:jc w:val="both"/>
            </w:pPr>
            <w:r>
              <w:t xml:space="preserve">Negatívne vplyvy prijatých opatrení, ako je vyššie uvedené, však majú oveľa širší rozsah ekonomických vplyvov na rozličné </w:t>
            </w:r>
            <w:r w:rsidR="00025809">
              <w:t>podnikateľské subjekty, odlišujúce sa typom činnosti, ako aj veľkosťou podniku a inými špecifikami.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423BE0">
        <w:trPr>
          <w:trHeight w:val="284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423BE0" w:rsidRDefault="00423BE0" w:rsidP="0058582A">
            <w:pPr>
              <w:jc w:val="both"/>
            </w:pPr>
            <w:r>
              <w:t>Predkladaný návrh novely zákona rozširuje poskytovanie dotácií na úhradu nájomného pre zmiernenie negatívnych ekonomických vplyvov tzv. druhou vlnou pandémie COVID-19 a súčasne vytvára priestor pre vytvorenie d</w:t>
            </w:r>
            <w:r w:rsidRPr="00423BE0">
              <w:t>otácií na kompenzáciu škôd, ktoré vznikli ako priame následky alebo nepriame následky opatrení prijatých na zmiernenie negatívnych následkov mimoriadnej situácie,</w:t>
            </w:r>
            <w:r>
              <w:t xml:space="preserve"> </w:t>
            </w:r>
            <w:r w:rsidRPr="00423BE0">
              <w:t>núdzového stavu alebo výnimočného stavu</w:t>
            </w:r>
            <w:r>
              <w:t>.</w:t>
            </w:r>
          </w:p>
          <w:p w:rsidR="00423BE0" w:rsidRPr="00A179AE" w:rsidRDefault="00DA6F9D" w:rsidP="005C6EF6">
            <w:pPr>
              <w:jc w:val="both"/>
            </w:pPr>
            <w:r w:rsidRPr="00DA6F9D">
              <w:t xml:space="preserve">Návrhom zákona sa rozširuje možnosť pre žiadateľov, ktorých právo užívať predmet nájmu, na základe nájomnej zmluvy, alebo obdobnej zmluvy podľa právneho </w:t>
            </w:r>
            <w:r w:rsidR="00411778">
              <w:t>poriadku iného štátu zakladajúcej</w:t>
            </w:r>
            <w:r w:rsidRPr="00DA6F9D">
              <w:t xml:space="preserve"> právny vzťah, začal najneskôr od 1. augusta 2020 pre žiadosti predkladané v prípade vyhlásenia výziev po 1.</w:t>
            </w:r>
            <w:r>
              <w:t xml:space="preserve"> decembri </w:t>
            </w:r>
            <w:r w:rsidRPr="00DA6F9D">
              <w:t>2020.</w:t>
            </w:r>
            <w:r w:rsidR="00423BE0">
              <w:t xml:space="preserve"> 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526400" w:rsidRPr="00423BE0" w:rsidRDefault="0029401A" w:rsidP="0058582A">
            <w:pPr>
              <w:jc w:val="both"/>
            </w:pPr>
            <w:r w:rsidRPr="0029401A">
              <w:t>Fyzické osoby</w:t>
            </w:r>
            <w:r w:rsidR="00352EF3">
              <w:t xml:space="preserve"> – </w:t>
            </w:r>
            <w:r w:rsidRPr="0029401A">
              <w:t>nepodnikateľ, Fyzické osoby</w:t>
            </w:r>
            <w:r w:rsidR="00352EF3">
              <w:t xml:space="preserve"> – </w:t>
            </w:r>
            <w:r w:rsidRPr="0029401A">
              <w:t>podnikateľ, Právnické osoby, mestá, obce, VÚC, štátne organizácie a verejnoprávne inštitúcie v </w:t>
            </w:r>
            <w:r w:rsidR="00352EF3" w:rsidRPr="0029401A">
              <w:t>pozíci</w:t>
            </w:r>
            <w:r w:rsidR="00352EF3">
              <w:t>i</w:t>
            </w:r>
            <w:r w:rsidR="00352EF3" w:rsidRPr="0029401A">
              <w:t xml:space="preserve"> </w:t>
            </w:r>
            <w:r w:rsidRPr="0029401A">
              <w:t>prenajímateľa.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E6329D" w:rsidRPr="0029401A" w:rsidRDefault="00E6329D" w:rsidP="007B71A4">
            <w:r w:rsidRPr="0029401A">
              <w:t xml:space="preserve">0 – </w:t>
            </w:r>
            <w:r w:rsidR="00423BE0">
              <w:t>ponechanie súčasného znenia</w:t>
            </w:r>
            <w:r w:rsidR="00352EF3">
              <w:t>, ktoré však nereflektuje pokračujúci negatívny stav</w:t>
            </w:r>
          </w:p>
          <w:p w:rsidR="00E6329D" w:rsidRPr="0029401A" w:rsidRDefault="00E6329D" w:rsidP="00282574">
            <w:pPr>
              <w:jc w:val="both"/>
            </w:pPr>
            <w:r w:rsidRPr="0029401A">
              <w:t xml:space="preserve">1 – </w:t>
            </w:r>
            <w:r w:rsidR="00423BE0">
              <w:t>zmena podmienok pre dotáciu na úhradu nájomného a vytvorenie novej oblasti poskytovania dotácií v gescii ministerstva hospodárstva SR</w:t>
            </w:r>
          </w:p>
          <w:p w:rsidR="00E6329D" w:rsidRDefault="00E6329D" w:rsidP="00423BE0">
            <w:pPr>
              <w:jc w:val="both"/>
            </w:pPr>
            <w:r w:rsidRPr="00342115">
              <w:t>V p</w:t>
            </w:r>
            <w:r w:rsidR="00423BE0">
              <w:t>rípade ak by nedošlo k zmenám podmienok pre poskytovanie dotácie na úhradu nájomného</w:t>
            </w:r>
            <w:r w:rsidR="00352EF3">
              <w:t>,</w:t>
            </w:r>
            <w:r w:rsidR="00423BE0">
              <w:t xml:space="preserve"> ako je napr. </w:t>
            </w:r>
            <w:r w:rsidR="00423BE0">
              <w:lastRenderedPageBreak/>
              <w:t>účinnosť nájomnej zmluvy mnohé subjekty, ktorých zasiahla aj tzv. 2. vlna pandémie by nemali nárok na</w:t>
            </w:r>
            <w:r w:rsidR="00352EF3">
              <w:t> </w:t>
            </w:r>
            <w:r w:rsidR="00423BE0">
              <w:t xml:space="preserve">dotáciu a došlo by k negatívnym ekonomickým dopadom na ich činnosť. </w:t>
            </w:r>
          </w:p>
          <w:p w:rsidR="00423BE0" w:rsidRPr="00342115" w:rsidRDefault="00423BE0" w:rsidP="00ED7117">
            <w:pPr>
              <w:jc w:val="both"/>
            </w:pPr>
            <w:r>
              <w:t>Na základe vyššie uvedeného bola vybraná alternatíva 1</w:t>
            </w:r>
            <w:r w:rsidR="00352EF3">
              <w:t xml:space="preserve">, </w:t>
            </w:r>
            <w:r>
              <w:t xml:space="preserve">ktorou </w:t>
            </w:r>
            <w:r w:rsidR="007A4914">
              <w:t>s</w:t>
            </w:r>
            <w:r>
              <w:t>a novelizuje zákon o dotáciách v pôsobnosti ministerstva hospodárstva SR</w:t>
            </w:r>
            <w:r w:rsidR="00ED7117">
              <w:t>.</w:t>
            </w:r>
            <w:r>
              <w:t xml:space="preserve"> 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D5586B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D5586B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43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29401A" w:rsidRDefault="00E6329D" w:rsidP="00E6329D">
            <w:pPr>
              <w:rPr>
                <w:highlight w:val="yellow"/>
              </w:rPr>
            </w:pPr>
            <w:r w:rsidRPr="00DA6F9D">
              <w:t>Zo strany MH SR a MF SR preskúmanie účelnosti vynaložených fin</w:t>
            </w:r>
            <w:r w:rsidR="0029401A" w:rsidRPr="00DA6F9D">
              <w:t>ančných prostriedkov v roku 2021</w:t>
            </w: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</w:tbl>
    <w:p w:rsidR="003501A1" w:rsidRDefault="003501A1" w:rsidP="003501A1">
      <w:pPr>
        <w:ind w:right="141"/>
        <w:rPr>
          <w:b/>
        </w:rPr>
      </w:pPr>
    </w:p>
    <w:tbl>
      <w:tblPr>
        <w:tblW w:w="922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7"/>
        <w:gridCol w:w="1818"/>
        <w:gridCol w:w="1818"/>
        <w:gridCol w:w="1819"/>
      </w:tblGrid>
      <w:tr w:rsidR="00411778" w:rsidTr="00411778">
        <w:trPr>
          <w:trHeight w:val="450"/>
          <w:jc w:val="center"/>
        </w:trPr>
        <w:tc>
          <w:tcPr>
            <w:tcW w:w="92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11778" w:rsidRDefault="00411778" w:rsidP="007015F3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9.   Vplyvy navrhovaného materiálu</w:t>
            </w:r>
          </w:p>
        </w:tc>
      </w:tr>
      <w:tr w:rsidR="00411778" w:rsidTr="00411778">
        <w:trPr>
          <w:trHeight w:val="270"/>
          <w:jc w:val="center"/>
        </w:trPr>
        <w:tc>
          <w:tcPr>
            <w:tcW w:w="37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rozpočet verejnej správy</w:t>
            </w:r>
            <w:r>
              <w:rPr>
                <w:rFonts w:ascii="Times" w:hAnsi="Times" w:cs="Times"/>
              </w:rPr>
              <w:br/>
              <w:t>    z toho rozpočtovo zabezpečené vplyvy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F67894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</w:t>
            </w:r>
            <w:r w:rsidR="00411778">
              <w:rPr>
                <w:rFonts w:ascii="Times" w:hAnsi="Times" w:cs="Times"/>
              </w:rPr>
              <w:t xml:space="preserve">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F67894" w:rsidP="00F67894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</w:t>
            </w:r>
            <w:r w:rsidR="00411778">
              <w:rPr>
                <w:rFonts w:ascii="Times" w:hAnsi="Times" w:cs="Times"/>
              </w:rPr>
              <w:t>Negatívne</w:t>
            </w:r>
          </w:p>
        </w:tc>
      </w:tr>
      <w:tr w:rsidR="00411778" w:rsidTr="00411778">
        <w:trPr>
          <w:trHeight w:val="270"/>
          <w:jc w:val="center"/>
        </w:trPr>
        <w:tc>
          <w:tcPr>
            <w:tcW w:w="37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    Áno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F67894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411778">
              <w:rPr>
                <w:rFonts w:ascii="Times" w:hAnsi="Times" w:cs="Times"/>
              </w:rPr>
              <w:t xml:space="preserve">     Nie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F67894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 w:rsidR="00411778">
              <w:rPr>
                <w:rFonts w:ascii="Times" w:hAnsi="Times" w:cs="Times"/>
              </w:rPr>
              <w:t xml:space="preserve">   Čiastočne</w:t>
            </w:r>
          </w:p>
        </w:tc>
      </w:tr>
      <w:tr w:rsidR="00411778" w:rsidTr="00411778">
        <w:trPr>
          <w:trHeight w:val="270"/>
          <w:jc w:val="center"/>
        </w:trPr>
        <w:tc>
          <w:tcPr>
            <w:tcW w:w="37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podnikateľské prostredie</w:t>
            </w:r>
            <w:r>
              <w:rPr>
                <w:rFonts w:ascii="Times" w:hAnsi="Times" w:cs="Times"/>
              </w:rPr>
              <w:br/>
              <w:t>    z toho vplyvy na MSP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F67894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</w:t>
            </w:r>
            <w:r w:rsidR="00411778">
              <w:rPr>
                <w:rFonts w:ascii="Times" w:hAnsi="Times" w:cs="Times"/>
              </w:rPr>
              <w:t xml:space="preserve">    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F67894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411778">
              <w:rPr>
                <w:rFonts w:ascii="Times" w:hAnsi="Times" w:cs="Times"/>
              </w:rPr>
              <w:t>  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  Negatívne</w:t>
            </w:r>
          </w:p>
        </w:tc>
      </w:tr>
      <w:tr w:rsidR="00411778" w:rsidTr="00411778">
        <w:trPr>
          <w:trHeight w:val="270"/>
          <w:jc w:val="center"/>
        </w:trPr>
        <w:tc>
          <w:tcPr>
            <w:tcW w:w="37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F67894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</w:t>
            </w:r>
            <w:r w:rsidR="00411778"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5C6EF6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411778" w:rsidTr="00411778">
        <w:trPr>
          <w:trHeight w:val="270"/>
          <w:jc w:val="center"/>
        </w:trPr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Sociálne vplyvy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</w:rPr>
              <w:t>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  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Negatívne</w:t>
            </w:r>
          </w:p>
        </w:tc>
      </w:tr>
      <w:tr w:rsidR="00411778" w:rsidTr="00411778">
        <w:trPr>
          <w:trHeight w:val="270"/>
          <w:jc w:val="center"/>
        </w:trPr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životné prostredie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411778" w:rsidTr="00411778">
        <w:trPr>
          <w:trHeight w:val="270"/>
          <w:jc w:val="center"/>
        </w:trPr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informatizáciu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411778" w:rsidTr="00411778">
        <w:trPr>
          <w:trHeight w:val="675"/>
          <w:jc w:val="center"/>
        </w:trPr>
        <w:tc>
          <w:tcPr>
            <w:tcW w:w="37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služby pre občana z toho</w:t>
            </w:r>
            <w:r>
              <w:rPr>
                <w:rFonts w:ascii="Times" w:hAnsi="Times" w:cs="Times"/>
              </w:rPr>
              <w:br/>
              <w:t>    vplyvy služieb verejnej správy na občana</w:t>
            </w:r>
            <w:r>
              <w:rPr>
                <w:rFonts w:ascii="Times" w:hAnsi="Times" w:cs="Times"/>
              </w:rPr>
              <w:br/>
              <w:t>    vplyvy na procesy služieb vo verejnej</w:t>
            </w:r>
            <w:r>
              <w:rPr>
                <w:rFonts w:ascii="Times" w:hAnsi="Times" w:cs="Times"/>
              </w:rPr>
              <w:br/>
              <w:t>    správe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411778" w:rsidTr="00411778">
        <w:trPr>
          <w:trHeight w:val="150"/>
          <w:jc w:val="center"/>
        </w:trPr>
        <w:tc>
          <w:tcPr>
            <w:tcW w:w="37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411778" w:rsidTr="00411778">
        <w:trPr>
          <w:trHeight w:val="150"/>
          <w:jc w:val="center"/>
        </w:trPr>
        <w:tc>
          <w:tcPr>
            <w:tcW w:w="3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411778" w:rsidRPr="0043422E" w:rsidRDefault="00411778" w:rsidP="007015F3">
            <w:pPr>
              <w:rPr>
                <w:rFonts w:ascii="Times" w:hAnsi="Times" w:cs="Times"/>
                <w:b/>
              </w:rPr>
            </w:pPr>
            <w:r w:rsidRPr="0043422E">
              <w:rPr>
                <w:rFonts w:ascii="Times" w:hAnsi="Times" w:cs="Times"/>
                <w:b/>
              </w:rPr>
              <w:t>Vplyvy na manželstvo, rodičovstvo a rodinu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778" w:rsidRDefault="00411778" w:rsidP="007015F3">
            <w:pPr>
              <w:rPr>
                <w:rFonts w:ascii="Times" w:hAnsi="Times" w:cs="Times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</w:tbl>
    <w:p w:rsidR="00411778" w:rsidRDefault="00411778" w:rsidP="003501A1">
      <w:pPr>
        <w:ind w:right="141"/>
        <w:rPr>
          <w:b/>
        </w:rPr>
      </w:pPr>
    </w:p>
    <w:p w:rsidR="0058582A" w:rsidRPr="00A179AE" w:rsidRDefault="0058582A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58582A" w:rsidRDefault="0058582A" w:rsidP="0058582A">
            <w:pPr>
              <w:rPr>
                <w:b/>
                <w:sz w:val="22"/>
                <w:szCs w:val="22"/>
              </w:rPr>
            </w:pPr>
            <w:r w:rsidRPr="0058582A">
              <w:rPr>
                <w:b/>
                <w:sz w:val="22"/>
                <w:szCs w:val="22"/>
              </w:rPr>
              <w:t xml:space="preserve">10. </w:t>
            </w:r>
            <w:r w:rsidR="004F6F1F" w:rsidRPr="0058582A">
              <w:rPr>
                <w:b/>
                <w:sz w:val="22"/>
                <w:szCs w:val="22"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07BC0" w:rsidRPr="00907BC0" w:rsidRDefault="00ED7117" w:rsidP="00ED7117">
            <w:pPr>
              <w:jc w:val="both"/>
            </w:pPr>
            <w:r>
              <w:t>Návrh novelizácie</w:t>
            </w:r>
            <w:r w:rsidR="007A4914">
              <w:t xml:space="preserve"> zákona vytvára negatívny </w:t>
            </w:r>
            <w:r w:rsidR="007A4914" w:rsidRPr="00907BC0">
              <w:t>vplyv na rozpočet verejnej správy a pozitívny vplyv na podnikateľsk</w:t>
            </w:r>
            <w:r w:rsidR="007A4914">
              <w:t>é prostredie, z toho aj na MSP, avšak v súčasnosti</w:t>
            </w:r>
            <w:r w:rsidR="00F67894" w:rsidRPr="00907BC0">
              <w:t xml:space="preserve"> nie je možné konkrétne kvantifikovanie</w:t>
            </w:r>
            <w:r w:rsidR="00907BC0" w:rsidRPr="00907BC0">
              <w:t xml:space="preserve"> vplyvov. </w:t>
            </w:r>
          </w:p>
          <w:p w:rsidR="00907BC0" w:rsidRPr="00ED7117" w:rsidRDefault="00907BC0" w:rsidP="00ED7117">
            <w:pPr>
              <w:jc w:val="both"/>
            </w:pPr>
            <w:r w:rsidRPr="00907BC0">
              <w:t xml:space="preserve">Prijatím zákona o dotáciách v pôsobnosti rezortu hospodárstva sa očakáva pokračovanie v poskytovaní dotácie na úhradu nájomného pre podnikateľské subjekty v nájmoch, ktoré boli zasiahnuté prijatými opatreniami pre zmiernenie šírenia tzv. 2. vlny pandémie COVID-19. Dotácia bude financovaná zo zostatku finančných prostriedkov, ktoré boli poskytnuté už pre prvé kolo dotácií. Na rok 2020 bola rezortu hospodárstva pridelená rozpočtovým opatrením suma 200 mil. eur z čoho došlo k financovaniu prvej výzvy na úhradu nájomného a výzva na podporu segmentu osobitnej pravidelnej dopravy a príležitostnej dopravy. </w:t>
            </w:r>
          </w:p>
          <w:p w:rsidR="009833AF" w:rsidRDefault="0029401A" w:rsidP="009833AF">
            <w:pPr>
              <w:jc w:val="both"/>
            </w:pPr>
            <w:r>
              <w:t>Materiál predpokladá pozitívny vplyv na podnikateľské prostredie</w:t>
            </w:r>
            <w:r w:rsidR="00411778">
              <w:t>,</w:t>
            </w:r>
            <w:r>
              <w:t xml:space="preserve"> a to </w:t>
            </w:r>
            <w:r w:rsidR="00DA6F9D">
              <w:t>rozšírením</w:t>
            </w:r>
            <w:r>
              <w:t xml:space="preserve"> </w:t>
            </w:r>
            <w:r w:rsidR="00411778">
              <w:t>podpor</w:t>
            </w:r>
            <w:r w:rsidR="00A5320F">
              <w:t xml:space="preserve">ného rámca pre zmiernenie ekonomickej </w:t>
            </w:r>
            <w:r>
              <w:t xml:space="preserve">situácie </w:t>
            </w:r>
            <w:r w:rsidR="00907BC0">
              <w:t>na podnikateľské subjekty</w:t>
            </w:r>
            <w:r>
              <w:t xml:space="preserve">, </w:t>
            </w:r>
            <w:r w:rsidR="002A129D">
              <w:t xml:space="preserve">ktoré boli zasiahnuté </w:t>
            </w:r>
            <w:r w:rsidR="00907BC0">
              <w:t xml:space="preserve">vznikom </w:t>
            </w:r>
            <w:r w:rsidR="00DA6F9D">
              <w:t>pandémie COVID-19</w:t>
            </w:r>
            <w:r w:rsidR="002A129D">
              <w:t xml:space="preserve">, </w:t>
            </w:r>
            <w:r>
              <w:t>v</w:t>
            </w:r>
            <w:r w:rsidR="002A129D">
              <w:t xml:space="preserve"> dôsledku </w:t>
            </w:r>
            <w:r w:rsidR="009833AF">
              <w:t xml:space="preserve">prijatých opatrení na zabránenie šírenia pandémie. </w:t>
            </w:r>
          </w:p>
          <w:p w:rsidR="002A129D" w:rsidRPr="00411778" w:rsidRDefault="002A129D" w:rsidP="009833AF">
            <w:pPr>
              <w:jc w:val="both"/>
            </w:pPr>
            <w:r>
              <w:t>Vzhľadom na charakt</w:t>
            </w:r>
            <w:r w:rsidR="00411778">
              <w:t>er dotácie a mimoriadnu situáciu</w:t>
            </w:r>
            <w:r>
              <w:t xml:space="preserve"> nie je možné konkrétne kvantifikovanie vplyvu. 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58582A" w:rsidRDefault="0058582A" w:rsidP="0058582A">
            <w:pPr>
              <w:rPr>
                <w:b/>
                <w:sz w:val="22"/>
                <w:szCs w:val="22"/>
              </w:rPr>
            </w:pPr>
            <w:r w:rsidRPr="0058582A">
              <w:rPr>
                <w:b/>
                <w:sz w:val="22"/>
                <w:szCs w:val="22"/>
              </w:rPr>
              <w:t xml:space="preserve">11. </w:t>
            </w:r>
            <w:r w:rsidR="003501A1" w:rsidRPr="0058582A">
              <w:rPr>
                <w:b/>
                <w:sz w:val="22"/>
                <w:szCs w:val="22"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282574" w:rsidRDefault="004A46E7">
            <w:pPr>
              <w:rPr>
                <w:iCs/>
              </w:rPr>
            </w:pPr>
            <w:r w:rsidRPr="00282574">
              <w:rPr>
                <w:iCs/>
              </w:rPr>
              <w:t xml:space="preserve">Ing. Emília </w:t>
            </w:r>
            <w:proofErr w:type="spellStart"/>
            <w:r w:rsidRPr="00282574">
              <w:rPr>
                <w:iCs/>
              </w:rPr>
              <w:t>Budišová</w:t>
            </w:r>
            <w:proofErr w:type="spellEnd"/>
            <w:r w:rsidRPr="00282574">
              <w:rPr>
                <w:iCs/>
              </w:rPr>
              <w:t>, budisova@mhsr.sk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58582A" w:rsidRDefault="0058582A" w:rsidP="0058582A">
            <w:pPr>
              <w:rPr>
                <w:b/>
                <w:sz w:val="22"/>
                <w:szCs w:val="22"/>
              </w:rPr>
            </w:pPr>
            <w:r w:rsidRPr="0058582A">
              <w:rPr>
                <w:b/>
                <w:sz w:val="22"/>
                <w:szCs w:val="22"/>
              </w:rPr>
              <w:t xml:space="preserve">12. </w:t>
            </w:r>
            <w:r w:rsidR="003501A1" w:rsidRPr="0058582A">
              <w:rPr>
                <w:b/>
                <w:sz w:val="22"/>
                <w:szCs w:val="22"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58582A" w:rsidRDefault="0058582A" w:rsidP="0058582A">
            <w:pPr>
              <w:rPr>
                <w:b/>
                <w:sz w:val="22"/>
                <w:szCs w:val="22"/>
              </w:rPr>
            </w:pPr>
            <w:r w:rsidRPr="0058582A">
              <w:rPr>
                <w:b/>
                <w:sz w:val="22"/>
                <w:szCs w:val="22"/>
              </w:rPr>
              <w:lastRenderedPageBreak/>
              <w:t xml:space="preserve">13. </w:t>
            </w:r>
            <w:r w:rsidR="003501A1" w:rsidRPr="0058582A">
              <w:rPr>
                <w:b/>
                <w:sz w:val="22"/>
                <w:szCs w:val="22"/>
              </w:rPr>
              <w:t>Stanovisko Komisie pre posudzovanie vybraných vplyvov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411778" w:rsidRDefault="00E6329D" w:rsidP="00411778">
            <w:pPr>
              <w:jc w:val="both"/>
            </w:pPr>
            <w:r w:rsidRPr="00342115">
              <w:t xml:space="preserve">Na predmetný materiál sa nevzťahuje </w:t>
            </w:r>
            <w:r w:rsidR="002A129D" w:rsidRPr="00342115">
              <w:t>postup podľa Jednotnej metodiky</w:t>
            </w:r>
            <w:r w:rsidRPr="00342115">
              <w:t xml:space="preserve"> na posudzovanie vyb</w:t>
            </w:r>
            <w:r w:rsidR="002A129D" w:rsidRPr="00342115">
              <w:t xml:space="preserve">raných vplyvov </w:t>
            </w:r>
            <w:r w:rsidR="00411778">
              <w:t xml:space="preserve">podľa </w:t>
            </w:r>
            <w:r w:rsidR="002A129D" w:rsidRPr="00342115">
              <w:t>bodu 2.5 písm. a</w:t>
            </w:r>
            <w:r w:rsidRPr="00342115">
              <w:t>)</w:t>
            </w:r>
            <w:r w:rsidR="007530F4">
              <w:t xml:space="preserve"> -</w:t>
            </w:r>
            <w:r w:rsidR="002A129D" w:rsidRPr="00342115">
              <w:t xml:space="preserve"> návrh zákona, ktorý má byť predmetom skráteného legislatívneho konania</w:t>
            </w:r>
            <w:r w:rsidR="003B543D">
              <w:t>.</w:t>
            </w:r>
          </w:p>
        </w:tc>
      </w:tr>
    </w:tbl>
    <w:p w:rsidR="00CB3623" w:rsidRDefault="00CB3623" w:rsidP="00E6329D"/>
    <w:sectPr w:rsidR="00CB3623" w:rsidSect="00ED7117">
      <w:headerReference w:type="default" r:id="rId9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B6" w:rsidRDefault="002537B6" w:rsidP="003501A1">
      <w:r>
        <w:separator/>
      </w:r>
    </w:p>
  </w:endnote>
  <w:endnote w:type="continuationSeparator" w:id="0">
    <w:p w:rsidR="002537B6" w:rsidRDefault="002537B6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B6" w:rsidRDefault="002537B6" w:rsidP="003501A1">
      <w:r>
        <w:separator/>
      </w:r>
    </w:p>
  </w:footnote>
  <w:footnote w:type="continuationSeparator" w:id="0">
    <w:p w:rsidR="002537B6" w:rsidRDefault="002537B6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25809"/>
    <w:rsid w:val="00036A60"/>
    <w:rsid w:val="00175FD8"/>
    <w:rsid w:val="00181132"/>
    <w:rsid w:val="002537B6"/>
    <w:rsid w:val="00282574"/>
    <w:rsid w:val="0029401A"/>
    <w:rsid w:val="002A129D"/>
    <w:rsid w:val="002F406D"/>
    <w:rsid w:val="00342115"/>
    <w:rsid w:val="003501A1"/>
    <w:rsid w:val="00352EF3"/>
    <w:rsid w:val="003934B8"/>
    <w:rsid w:val="00395098"/>
    <w:rsid w:val="003B543D"/>
    <w:rsid w:val="003E51AB"/>
    <w:rsid w:val="003F4FA4"/>
    <w:rsid w:val="004027C0"/>
    <w:rsid w:val="00411778"/>
    <w:rsid w:val="00423BE0"/>
    <w:rsid w:val="0045465B"/>
    <w:rsid w:val="004A46E7"/>
    <w:rsid w:val="004C60B8"/>
    <w:rsid w:val="004C794A"/>
    <w:rsid w:val="004F6F1F"/>
    <w:rsid w:val="004F7D6F"/>
    <w:rsid w:val="00526400"/>
    <w:rsid w:val="00570B48"/>
    <w:rsid w:val="0058582A"/>
    <w:rsid w:val="005B7A8D"/>
    <w:rsid w:val="005C6EF6"/>
    <w:rsid w:val="00697C5D"/>
    <w:rsid w:val="006C3B7D"/>
    <w:rsid w:val="00712F96"/>
    <w:rsid w:val="007530F4"/>
    <w:rsid w:val="007A4914"/>
    <w:rsid w:val="00820D35"/>
    <w:rsid w:val="008845B6"/>
    <w:rsid w:val="00901746"/>
    <w:rsid w:val="00907BC0"/>
    <w:rsid w:val="009833AF"/>
    <w:rsid w:val="009C1976"/>
    <w:rsid w:val="00A5320F"/>
    <w:rsid w:val="00A92BC1"/>
    <w:rsid w:val="00AC2477"/>
    <w:rsid w:val="00B27549"/>
    <w:rsid w:val="00B65A86"/>
    <w:rsid w:val="00BA7C7F"/>
    <w:rsid w:val="00C4510D"/>
    <w:rsid w:val="00CB3623"/>
    <w:rsid w:val="00D13B6F"/>
    <w:rsid w:val="00D5586B"/>
    <w:rsid w:val="00D75D35"/>
    <w:rsid w:val="00DA6F9D"/>
    <w:rsid w:val="00DE2A12"/>
    <w:rsid w:val="00E061D6"/>
    <w:rsid w:val="00E37BD3"/>
    <w:rsid w:val="00E5774F"/>
    <w:rsid w:val="00E6329D"/>
    <w:rsid w:val="00EB59E3"/>
    <w:rsid w:val="00ED7117"/>
    <w:rsid w:val="00F2138B"/>
    <w:rsid w:val="00F22831"/>
    <w:rsid w:val="00F460BA"/>
    <w:rsid w:val="00F62771"/>
    <w:rsid w:val="00F67894"/>
    <w:rsid w:val="00F83A38"/>
    <w:rsid w:val="00FB5E0D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35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35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33FD-732E-4119-B71C-3532A4B2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Budisova Emilia</dc:creator>
  <cp:revision>4</cp:revision>
  <cp:lastPrinted>2020-11-25T09:33:00Z</cp:lastPrinted>
  <dcterms:created xsi:type="dcterms:W3CDTF">2020-11-03T07:22:00Z</dcterms:created>
  <dcterms:modified xsi:type="dcterms:W3CDTF">2020-11-25T09:33:00Z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-999361587</vt:i4>
  </property>
</Properties>
</file>