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2C" w:rsidRDefault="0006612C" w:rsidP="0099745D">
      <w:pPr>
        <w:pStyle w:val="Standard"/>
        <w:spacing w:line="276" w:lineRule="auto"/>
        <w:jc w:val="center"/>
        <w:rPr>
          <w:szCs w:val="24"/>
        </w:rPr>
      </w:pPr>
    </w:p>
    <w:p w:rsidR="00A70C49" w:rsidRDefault="00A70C49" w:rsidP="0099745D">
      <w:pPr>
        <w:pStyle w:val="Standard"/>
        <w:spacing w:line="276" w:lineRule="auto"/>
        <w:jc w:val="center"/>
        <w:rPr>
          <w:szCs w:val="24"/>
        </w:rPr>
      </w:pPr>
    </w:p>
    <w:p w:rsidR="00A70C49" w:rsidRDefault="00A70C49" w:rsidP="0099745D">
      <w:pPr>
        <w:pStyle w:val="Standard"/>
        <w:spacing w:line="276" w:lineRule="auto"/>
        <w:jc w:val="center"/>
        <w:rPr>
          <w:szCs w:val="24"/>
        </w:rPr>
      </w:pPr>
    </w:p>
    <w:p w:rsidR="00A70C49" w:rsidRDefault="00A70C49" w:rsidP="0099745D">
      <w:pPr>
        <w:pStyle w:val="Standard"/>
        <w:spacing w:line="276" w:lineRule="auto"/>
        <w:jc w:val="center"/>
        <w:rPr>
          <w:szCs w:val="24"/>
        </w:rPr>
      </w:pPr>
    </w:p>
    <w:p w:rsidR="00A70C49" w:rsidRPr="0099745D" w:rsidRDefault="00A70C49"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B71757" w:rsidRPr="0099745D" w:rsidRDefault="00B71757" w:rsidP="0099745D">
      <w:pPr>
        <w:pStyle w:val="Standard"/>
        <w:spacing w:line="276" w:lineRule="auto"/>
        <w:jc w:val="center"/>
        <w:rPr>
          <w:szCs w:val="24"/>
        </w:rPr>
      </w:pPr>
    </w:p>
    <w:p w:rsidR="0006612C" w:rsidRPr="0099745D" w:rsidRDefault="00B5379E" w:rsidP="0099745D">
      <w:pPr>
        <w:pStyle w:val="Standard"/>
        <w:spacing w:line="276" w:lineRule="auto"/>
        <w:jc w:val="center"/>
        <w:rPr>
          <w:szCs w:val="24"/>
        </w:rPr>
      </w:pPr>
      <w:r>
        <w:rPr>
          <w:szCs w:val="24"/>
        </w:rPr>
        <w:t xml:space="preserve">zo 4. novembra </w:t>
      </w:r>
      <w:r w:rsidR="00CE1DBE" w:rsidRPr="0099745D">
        <w:rPr>
          <w:szCs w:val="24"/>
        </w:rPr>
        <w:t xml:space="preserve"> 2020,</w:t>
      </w:r>
    </w:p>
    <w:p w:rsidR="0006612C" w:rsidRPr="0099745D" w:rsidRDefault="0006612C" w:rsidP="0099745D">
      <w:pPr>
        <w:pStyle w:val="Standard"/>
        <w:spacing w:line="276" w:lineRule="auto"/>
        <w:rPr>
          <w:szCs w:val="24"/>
        </w:rPr>
      </w:pPr>
    </w:p>
    <w:p w:rsidR="0006612C" w:rsidRPr="0099745D" w:rsidRDefault="00CE1DBE" w:rsidP="0099745D">
      <w:pPr>
        <w:pStyle w:val="Standard"/>
        <w:spacing w:line="276" w:lineRule="auto"/>
        <w:jc w:val="center"/>
        <w:rPr>
          <w:szCs w:val="24"/>
        </w:rPr>
      </w:pPr>
      <w:r w:rsidRPr="0099745D">
        <w:rPr>
          <w:b/>
          <w:bCs/>
          <w:szCs w:val="24"/>
        </w:rPr>
        <w:t>ktorým sa mení a dopĺňa zákon Národnej rady Slovenskej republiky č. 125/1996 Z. z. o nemorálnosti a protiprávnosti komunistického systému a ktorým sa menia a dopĺňajú niektoré zákony</w:t>
      </w:r>
    </w:p>
    <w:p w:rsidR="0006612C" w:rsidRPr="0099745D" w:rsidRDefault="0006612C" w:rsidP="0099745D">
      <w:pPr>
        <w:pStyle w:val="Standard"/>
        <w:spacing w:line="276" w:lineRule="auto"/>
        <w:jc w:val="both"/>
        <w:rPr>
          <w:szCs w:val="24"/>
        </w:rPr>
      </w:pPr>
    </w:p>
    <w:p w:rsidR="0006612C" w:rsidRPr="0099745D" w:rsidRDefault="00CE1DBE" w:rsidP="0099745D">
      <w:pPr>
        <w:pStyle w:val="Standard"/>
        <w:spacing w:line="276" w:lineRule="auto"/>
        <w:ind w:firstLine="708"/>
        <w:jc w:val="both"/>
        <w:rPr>
          <w:szCs w:val="24"/>
        </w:rPr>
      </w:pPr>
      <w:r w:rsidRPr="0099745D">
        <w:rPr>
          <w:szCs w:val="24"/>
        </w:rPr>
        <w:t>Národná rada Slovenskej republiky sa uzniesla na tomto zákone:</w:t>
      </w:r>
    </w:p>
    <w:p w:rsidR="0006612C" w:rsidRPr="0099745D" w:rsidRDefault="0006612C" w:rsidP="0099745D">
      <w:pPr>
        <w:pStyle w:val="Standard"/>
        <w:spacing w:line="276" w:lineRule="auto"/>
        <w:rPr>
          <w:szCs w:val="24"/>
        </w:rPr>
      </w:pPr>
    </w:p>
    <w:p w:rsidR="0006612C" w:rsidRDefault="00CE1DBE" w:rsidP="0099745D">
      <w:pPr>
        <w:pStyle w:val="Standard"/>
        <w:spacing w:line="276" w:lineRule="auto"/>
        <w:jc w:val="center"/>
        <w:rPr>
          <w:b/>
          <w:szCs w:val="24"/>
        </w:rPr>
      </w:pPr>
      <w:r w:rsidRPr="0099745D">
        <w:rPr>
          <w:b/>
          <w:szCs w:val="24"/>
        </w:rPr>
        <w:t>Čl. I</w:t>
      </w:r>
    </w:p>
    <w:p w:rsidR="0099745D" w:rsidRPr="0099745D" w:rsidRDefault="0099745D" w:rsidP="0099745D">
      <w:pPr>
        <w:pStyle w:val="Standard"/>
        <w:spacing w:line="276" w:lineRule="auto"/>
        <w:jc w:val="center"/>
        <w:rPr>
          <w:szCs w:val="24"/>
        </w:rPr>
      </w:pPr>
    </w:p>
    <w:p w:rsidR="0006612C" w:rsidRDefault="00CE1DBE" w:rsidP="0099745D">
      <w:pPr>
        <w:pStyle w:val="Standard"/>
        <w:spacing w:line="276" w:lineRule="auto"/>
        <w:ind w:firstLine="708"/>
        <w:jc w:val="both"/>
        <w:rPr>
          <w:szCs w:val="24"/>
        </w:rPr>
      </w:pPr>
      <w:r w:rsidRPr="0099745D">
        <w:rPr>
          <w:szCs w:val="24"/>
        </w:rPr>
        <w:t xml:space="preserve">Zákon Národnej rady Slovenskej republiky č. </w:t>
      </w:r>
      <w:r w:rsidRPr="0099745D">
        <w:rPr>
          <w:szCs w:val="24"/>
        </w:rPr>
        <w:lastRenderedPageBreak/>
        <w:t>125/1996 Z. z. o nemorálnosti a protiprávnosti komunistického systému sa mení a dopĺňa takto:</w:t>
      </w:r>
    </w:p>
    <w:p w:rsidR="0099745D" w:rsidRPr="0099745D" w:rsidRDefault="0099745D" w:rsidP="0099745D">
      <w:pPr>
        <w:pStyle w:val="Standard"/>
        <w:spacing w:line="276" w:lineRule="auto"/>
        <w:ind w:firstLine="708"/>
        <w:jc w:val="both"/>
        <w:rPr>
          <w:szCs w:val="24"/>
        </w:rPr>
      </w:pPr>
    </w:p>
    <w:p w:rsidR="0006612C" w:rsidRPr="0099745D" w:rsidRDefault="00CE1DBE" w:rsidP="0099745D">
      <w:pPr>
        <w:pStyle w:val="Odsekzoznamu"/>
        <w:numPr>
          <w:ilvl w:val="0"/>
          <w:numId w:val="31"/>
        </w:numPr>
        <w:spacing w:line="276" w:lineRule="auto"/>
        <w:ind w:left="709" w:hanging="425"/>
        <w:jc w:val="both"/>
        <w:rPr>
          <w:szCs w:val="24"/>
        </w:rPr>
      </w:pPr>
      <w:r w:rsidRPr="0099745D">
        <w:rPr>
          <w:szCs w:val="24"/>
        </w:rPr>
        <w:t>Preambula znie:</w:t>
      </w:r>
    </w:p>
    <w:p w:rsidR="0006612C" w:rsidRDefault="00CE1DBE" w:rsidP="0099745D">
      <w:pPr>
        <w:pStyle w:val="Odsekzoznamu"/>
        <w:spacing w:line="276" w:lineRule="auto"/>
        <w:ind w:left="709"/>
        <w:jc w:val="both"/>
        <w:rPr>
          <w:szCs w:val="24"/>
        </w:rPr>
      </w:pPr>
      <w:r w:rsidRPr="0099745D">
        <w:rPr>
          <w:szCs w:val="24"/>
        </w:rPr>
        <w:t>„Národná rada Slovenskej republiky, vedená snahou vyjadriť mimoriadnu úctu obetiam komunistického režimu, priznať im významný podiel na obnove slobody a demokracie, uložiť do pamäti národa utrpenie a obete tisícov občanov,</w:t>
      </w:r>
      <w:r w:rsidRPr="0099745D">
        <w:rPr>
          <w:szCs w:val="24"/>
        </w:rPr>
        <w:br/>
        <w:t>zamedziť, aby nikdy nedošlo k pokusom o obnovu totalitných systémov v akejkoľvek podobe, a uvedomujúc si povinnosť vyrovnať sa s komunistickým totalitným režimom, sa uzniesla na tomto zákone:“.</w:t>
      </w:r>
    </w:p>
    <w:p w:rsidR="00B5379E" w:rsidRPr="0099745D" w:rsidRDefault="00B5379E" w:rsidP="0099745D">
      <w:pPr>
        <w:pStyle w:val="Odsekzoznamu"/>
        <w:spacing w:line="276" w:lineRule="auto"/>
        <w:ind w:left="709"/>
        <w:jc w:val="both"/>
        <w:rPr>
          <w:szCs w:val="24"/>
        </w:rPr>
      </w:pPr>
    </w:p>
    <w:p w:rsidR="0006612C" w:rsidRPr="0099745D" w:rsidRDefault="00CE1DBE" w:rsidP="0099745D">
      <w:pPr>
        <w:pStyle w:val="Odsekzoznamu"/>
        <w:numPr>
          <w:ilvl w:val="0"/>
          <w:numId w:val="2"/>
        </w:numPr>
        <w:spacing w:line="276" w:lineRule="auto"/>
        <w:ind w:left="709" w:hanging="425"/>
        <w:jc w:val="both"/>
        <w:rPr>
          <w:szCs w:val="24"/>
        </w:rPr>
      </w:pPr>
      <w:r w:rsidRPr="0099745D">
        <w:rPr>
          <w:szCs w:val="24"/>
        </w:rPr>
        <w:t>§ 1 znie:</w:t>
      </w:r>
    </w:p>
    <w:p w:rsidR="0006612C" w:rsidRDefault="00CE1DBE" w:rsidP="0099745D">
      <w:pPr>
        <w:pStyle w:val="Standard"/>
        <w:spacing w:line="276" w:lineRule="auto"/>
        <w:jc w:val="center"/>
        <w:rPr>
          <w:b/>
          <w:bCs/>
          <w:szCs w:val="24"/>
        </w:rPr>
      </w:pPr>
      <w:r w:rsidRPr="0099745D">
        <w:rPr>
          <w:szCs w:val="24"/>
        </w:rPr>
        <w:t>„</w:t>
      </w:r>
      <w:r w:rsidRPr="0099745D">
        <w:rPr>
          <w:b/>
          <w:bCs/>
          <w:szCs w:val="24"/>
        </w:rPr>
        <w:t>§ 1</w:t>
      </w:r>
    </w:p>
    <w:p w:rsidR="00A70C49" w:rsidRPr="0099745D" w:rsidRDefault="00A70C49" w:rsidP="0099745D">
      <w:pPr>
        <w:pStyle w:val="Standard"/>
        <w:spacing w:line="276" w:lineRule="auto"/>
        <w:jc w:val="center"/>
        <w:rPr>
          <w:szCs w:val="24"/>
        </w:rPr>
      </w:pPr>
    </w:p>
    <w:p w:rsidR="0006612C" w:rsidRPr="0099745D" w:rsidRDefault="00CE1DBE" w:rsidP="0099745D">
      <w:pPr>
        <w:pStyle w:val="Odsekzoznamu"/>
        <w:numPr>
          <w:ilvl w:val="0"/>
          <w:numId w:val="32"/>
        </w:numPr>
        <w:spacing w:line="276" w:lineRule="auto"/>
        <w:jc w:val="both"/>
        <w:rPr>
          <w:szCs w:val="24"/>
        </w:rPr>
      </w:pPr>
      <w:r w:rsidRPr="0099745D">
        <w:rPr>
          <w:szCs w:val="24"/>
        </w:rPr>
        <w:t>Režim založený na komunistickej ideológii, ktorý rozhodoval o riadení štátu a osudoch občanov v bývalom Československu od 25. februára 1948 do 17. novembra 1989, bol nemorálny, protiprávny, odsúdeniahodný a smeroval k potlačeniu základných práv a slobôd.</w:t>
      </w:r>
    </w:p>
    <w:p w:rsidR="0006612C" w:rsidRPr="0099745D" w:rsidRDefault="00CE1DBE" w:rsidP="0099745D">
      <w:pPr>
        <w:pStyle w:val="Odsekzoznamu"/>
        <w:numPr>
          <w:ilvl w:val="0"/>
          <w:numId w:val="24"/>
        </w:numPr>
        <w:spacing w:line="276" w:lineRule="auto"/>
        <w:jc w:val="both"/>
        <w:rPr>
          <w:szCs w:val="24"/>
        </w:rPr>
      </w:pPr>
      <w:r w:rsidRPr="0099745D">
        <w:rPr>
          <w:szCs w:val="24"/>
        </w:rPr>
        <w:lastRenderedPageBreak/>
        <w:t>Komunistická strana Československa a jej odnož Komunistická strana Slovenska boli zločinnými a odsúdeniahodnými organizáciami, ktorých činnosť smerovala k potláčaniu ľudských práv a slobôd a demokratického systému. Komunistická strana Československa a Komunistická strana Slovenska sú zodpovedné za spôsob vlády v našej krajine v rokoch 1948 až 1989, a to najmä za cieľavedomé ničenie tradičných hodnôt európskej civilizácie, národných a náboženských práv, za úmyselné porušovanie ľudských práv a slobôd, za justičné zločiny vykonané v politických procesoch, za teror vykonávaný proti nositeľom iných názorov, než aké zodpovedali učeniu marxizmu-leninizmu, za devastáciu hospodárstva, za zničenie tradičných princípov vlastníckeho práva, za zneužívanie výchovy, vzdelávania, vedy a kultúry na politické a ideologické účely, ako aj za bezohľadné ničenie historických pamiatok, prírody a životného prostredia.</w:t>
      </w:r>
    </w:p>
    <w:p w:rsidR="0006612C" w:rsidRPr="0099745D" w:rsidRDefault="00CE1DBE" w:rsidP="0099745D">
      <w:pPr>
        <w:pStyle w:val="Odsekzoznamu"/>
        <w:numPr>
          <w:ilvl w:val="0"/>
          <w:numId w:val="24"/>
        </w:numPr>
        <w:spacing w:line="276" w:lineRule="auto"/>
        <w:jc w:val="both"/>
        <w:rPr>
          <w:szCs w:val="24"/>
        </w:rPr>
      </w:pPr>
      <w:r w:rsidRPr="0099745D">
        <w:rPr>
          <w:szCs w:val="24"/>
        </w:rPr>
        <w:t>Komunistický režim a tí, ktorí ho aktívne presadzovali,</w:t>
      </w:r>
    </w:p>
    <w:p w:rsidR="0006612C" w:rsidRPr="0099745D" w:rsidRDefault="00CE1DBE" w:rsidP="0099745D">
      <w:pPr>
        <w:pStyle w:val="Odsekzoznamu"/>
        <w:numPr>
          <w:ilvl w:val="0"/>
          <w:numId w:val="33"/>
        </w:numPr>
        <w:spacing w:line="276" w:lineRule="auto"/>
        <w:jc w:val="both"/>
        <w:rPr>
          <w:szCs w:val="24"/>
        </w:rPr>
      </w:pPr>
      <w:r w:rsidRPr="0099745D">
        <w:rPr>
          <w:szCs w:val="24"/>
        </w:rPr>
        <w:t xml:space="preserve">upieral občanom možnosť slobodne </w:t>
      </w:r>
      <w:r w:rsidRPr="0099745D">
        <w:rPr>
          <w:szCs w:val="24"/>
        </w:rPr>
        <w:lastRenderedPageBreak/>
        <w:t>vyjadriť politickú vôľu, nútil ich skrývať vlastné názory na dianie v štáte, nútil ich verejne vyhlasovať svoj súhlas aj s tým, čo považovali za klamstvo a zločin, a to prenasledovaním alebo hrozbou perzekúcie voči nim samotným, ich rodinám a blízkym,</w:t>
      </w:r>
    </w:p>
    <w:p w:rsidR="0006612C" w:rsidRPr="0099745D" w:rsidRDefault="00CE1DBE" w:rsidP="0099745D">
      <w:pPr>
        <w:pStyle w:val="Odsekzoznamu"/>
        <w:widowControl/>
        <w:numPr>
          <w:ilvl w:val="0"/>
          <w:numId w:val="27"/>
        </w:numPr>
        <w:suppressAutoHyphens w:val="0"/>
        <w:spacing w:line="276" w:lineRule="auto"/>
        <w:jc w:val="both"/>
        <w:rPr>
          <w:szCs w:val="24"/>
        </w:rPr>
      </w:pPr>
      <w:r w:rsidRPr="0099745D">
        <w:rPr>
          <w:color w:val="000000"/>
          <w:szCs w:val="24"/>
          <w:lang w:eastAsia="en-GB"/>
        </w:rPr>
        <w:t>systematicky a trvalo porušoval ľudské práva a slobody, pričom obzvlášť závažným spôsobom utláčal niektoré skupiny občanov na základe ich politických názorov, náboženského presvedčenia a príslušnosti k určitej sociálnej skupine,</w:t>
      </w:r>
    </w:p>
    <w:p w:rsidR="0006612C" w:rsidRPr="0099745D" w:rsidRDefault="00CE1DBE" w:rsidP="0099745D">
      <w:pPr>
        <w:pStyle w:val="Odsekzoznamu"/>
        <w:widowControl/>
        <w:numPr>
          <w:ilvl w:val="0"/>
          <w:numId w:val="27"/>
        </w:numPr>
        <w:suppressAutoHyphens w:val="0"/>
        <w:spacing w:line="276" w:lineRule="auto"/>
        <w:jc w:val="both"/>
        <w:rPr>
          <w:szCs w:val="24"/>
        </w:rPr>
      </w:pPr>
      <w:r w:rsidRPr="0099745D">
        <w:rPr>
          <w:color w:val="000000"/>
          <w:szCs w:val="24"/>
          <w:lang w:eastAsia="en-GB"/>
        </w:rPr>
        <w:t>porušoval základné princípy demokratického právneho štátu, medzinárodné zmluvy a aj svoje vlastné zákony, čím postavil vôľu a záujmy komunistickej strany a jej predstaviteľov nad zákony,</w:t>
      </w:r>
    </w:p>
    <w:p w:rsidR="0006612C" w:rsidRPr="0099745D" w:rsidRDefault="00CE1DBE" w:rsidP="0099745D">
      <w:pPr>
        <w:pStyle w:val="Odsekzoznamu"/>
        <w:widowControl/>
        <w:numPr>
          <w:ilvl w:val="0"/>
          <w:numId w:val="27"/>
        </w:numPr>
        <w:suppressAutoHyphens w:val="0"/>
        <w:spacing w:line="276" w:lineRule="auto"/>
        <w:jc w:val="both"/>
        <w:rPr>
          <w:szCs w:val="24"/>
        </w:rPr>
      </w:pPr>
      <w:r w:rsidRPr="0099745D">
        <w:rPr>
          <w:color w:val="000000"/>
          <w:szCs w:val="24"/>
          <w:lang w:eastAsia="en-GB"/>
        </w:rPr>
        <w:t>používal k perzekúcii občanov všetky mocenské nástroje, a to najmä</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 xml:space="preserve">popravoval, vraždil a väznil občanov vo väzniciach a táboroch nútených prác, pri vyšetrovaní a v dobe väznenia používal brutálne metódy vrátane fyzického mučenia a psychického mučenia a vystavovania </w:t>
      </w:r>
      <w:r w:rsidRPr="0099745D">
        <w:rPr>
          <w:szCs w:val="24"/>
        </w:rPr>
        <w:lastRenderedPageBreak/>
        <w:t>neľudským útrapám,</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zraňoval a usmrcoval občanov pri pokusoch o útek do cudziny,</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násilne zadržoval predstaviteľov, členov cirkví alebo náboženských spoločností v </w:t>
      </w:r>
      <w:proofErr w:type="spellStart"/>
      <w:r w:rsidRPr="0099745D">
        <w:rPr>
          <w:szCs w:val="24"/>
        </w:rPr>
        <w:t>sústreďovacích</w:t>
      </w:r>
      <w:proofErr w:type="spellEnd"/>
      <w:r w:rsidRPr="0099745D">
        <w:rPr>
          <w:szCs w:val="24"/>
        </w:rPr>
        <w:t xml:space="preserve"> táboroch alebo im inak obmedzil ich osobnú slobodu alebo majetkovú slobodu</w:t>
      </w:r>
      <w:r w:rsidR="00822496" w:rsidRPr="0099745D">
        <w:rPr>
          <w:szCs w:val="24"/>
        </w:rPr>
        <w:t>,</w:t>
      </w:r>
      <w:r w:rsidRPr="0099745D">
        <w:rPr>
          <w:szCs w:val="24"/>
          <w:vertAlign w:val="superscript"/>
        </w:rPr>
        <w:t>1</w:t>
      </w:r>
      <w:r w:rsidRPr="00C1612E">
        <w:rPr>
          <w:szCs w:val="24"/>
        </w:rPr>
        <w:t>)</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násilne vysťahoval občanov v akcii B podľa osobitného predpisu</w:t>
      </w:r>
      <w:r w:rsidR="00822496" w:rsidRPr="0099745D">
        <w:rPr>
          <w:szCs w:val="24"/>
        </w:rPr>
        <w:t>,</w:t>
      </w:r>
      <w:r w:rsidRPr="0099745D">
        <w:rPr>
          <w:szCs w:val="24"/>
          <w:vertAlign w:val="superscript"/>
        </w:rPr>
        <w:t>2</w:t>
      </w:r>
      <w:r w:rsidRPr="00C1612E">
        <w:rPr>
          <w:szCs w:val="24"/>
        </w:rPr>
        <w:t>)</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zabraňoval občanom v práve slobodne vycestovať do zahraničia a taktiež vrátiť sa späť do svojej vlasti,</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zneužíval občanov na výkon vojenskej služby v Pomocných technických práporoch na neobmedzenú dobu,</w:t>
      </w:r>
    </w:p>
    <w:p w:rsidR="0006612C" w:rsidRPr="0099745D" w:rsidRDefault="00CE1DBE" w:rsidP="0099745D">
      <w:pPr>
        <w:pStyle w:val="Odsekzoznamu"/>
        <w:widowControl/>
        <w:numPr>
          <w:ilvl w:val="0"/>
          <w:numId w:val="34"/>
        </w:numPr>
        <w:suppressAutoHyphens w:val="0"/>
        <w:spacing w:line="276" w:lineRule="auto"/>
        <w:ind w:left="1843" w:hanging="425"/>
        <w:jc w:val="both"/>
        <w:rPr>
          <w:szCs w:val="24"/>
        </w:rPr>
      </w:pPr>
      <w:r w:rsidRPr="0099745D">
        <w:rPr>
          <w:color w:val="000000"/>
          <w:szCs w:val="24"/>
          <w:lang w:eastAsia="en-GB"/>
        </w:rPr>
        <w:t>zbavoval občanov svojvoľne majetku a porušoval ich vlastnícke práva,</w:t>
      </w:r>
    </w:p>
    <w:p w:rsidR="0006612C" w:rsidRPr="0099745D" w:rsidRDefault="00CE1DBE" w:rsidP="0099745D">
      <w:pPr>
        <w:pStyle w:val="Odsekzoznamu"/>
        <w:widowControl/>
        <w:numPr>
          <w:ilvl w:val="0"/>
          <w:numId w:val="34"/>
        </w:numPr>
        <w:suppressAutoHyphens w:val="0"/>
        <w:spacing w:line="276" w:lineRule="auto"/>
        <w:ind w:left="1843" w:hanging="425"/>
        <w:jc w:val="both"/>
        <w:rPr>
          <w:szCs w:val="24"/>
        </w:rPr>
      </w:pPr>
      <w:r w:rsidRPr="0099745D">
        <w:rPr>
          <w:color w:val="000000"/>
          <w:szCs w:val="24"/>
          <w:lang w:eastAsia="en-GB"/>
        </w:rPr>
        <w:t>znemožňoval vybraným občanom výkon ich zamestnania, povolania alebo funkcie, ako aj dosiahnutie vyššieho vzdelania alebo odborného vzdelania,</w:t>
      </w:r>
    </w:p>
    <w:p w:rsidR="0006612C" w:rsidRPr="0099745D" w:rsidRDefault="00CE1DBE" w:rsidP="0099745D">
      <w:pPr>
        <w:pStyle w:val="Odsekzoznamu"/>
        <w:widowControl/>
        <w:numPr>
          <w:ilvl w:val="0"/>
          <w:numId w:val="34"/>
        </w:numPr>
        <w:suppressAutoHyphens w:val="0"/>
        <w:spacing w:line="276" w:lineRule="auto"/>
        <w:ind w:left="1843" w:hanging="425"/>
        <w:jc w:val="both"/>
        <w:rPr>
          <w:szCs w:val="24"/>
        </w:rPr>
      </w:pPr>
      <w:r w:rsidRPr="0099745D">
        <w:rPr>
          <w:szCs w:val="24"/>
        </w:rPr>
        <w:lastRenderedPageBreak/>
        <w:t>na dosiahnutie svojich cieľov neváhal páchať zločiny, umožňoval ich beztrestné páchanie a poskytoval neoprávnené výhody a ochranu tým, ktorí sa na zločinoch a perzekúciách podieľali,</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spojil sa s cudzou mocnosťou a od roku 1968 udržiaval uvedený stav pomocou okupačných vojsk cudzej m</w:t>
      </w:r>
      <w:bookmarkStart w:id="0" w:name="_GoBack"/>
      <w:bookmarkEnd w:id="0"/>
      <w:r w:rsidRPr="0099745D">
        <w:rPr>
          <w:szCs w:val="24"/>
        </w:rPr>
        <w:t>ocnosti,</w:t>
      </w:r>
    </w:p>
    <w:p w:rsidR="0006612C" w:rsidRPr="0099745D" w:rsidRDefault="00CE1DBE" w:rsidP="0099745D">
      <w:pPr>
        <w:pStyle w:val="Odsekzoznamu"/>
        <w:numPr>
          <w:ilvl w:val="0"/>
          <w:numId w:val="34"/>
        </w:numPr>
        <w:spacing w:line="276" w:lineRule="auto"/>
        <w:ind w:left="1843" w:hanging="425"/>
        <w:jc w:val="both"/>
        <w:rPr>
          <w:szCs w:val="24"/>
        </w:rPr>
      </w:pPr>
      <w:r w:rsidRPr="0099745D">
        <w:rPr>
          <w:szCs w:val="24"/>
        </w:rPr>
        <w:t>dlhodobo prenasledoval občanov vedených na osobitných zoznamoch („čierne listiny“) spolu s ich rodinnými príslušníkmi.</w:t>
      </w:r>
    </w:p>
    <w:p w:rsidR="0006612C" w:rsidRDefault="00CE1DBE" w:rsidP="0099745D">
      <w:pPr>
        <w:pStyle w:val="Odsekzoznamu"/>
        <w:numPr>
          <w:ilvl w:val="0"/>
          <w:numId w:val="24"/>
        </w:numPr>
        <w:spacing w:line="276" w:lineRule="auto"/>
        <w:jc w:val="both"/>
        <w:rPr>
          <w:szCs w:val="24"/>
        </w:rPr>
      </w:pPr>
      <w:r w:rsidRPr="0099745D">
        <w:rPr>
          <w:szCs w:val="24"/>
        </w:rPr>
        <w:t>Komunistická strana Československa, ako aj Komunistická strana Slovenska, nezabránila svojim členom a ich pomáhačom páchať zločiny, a to aj na ľudských právach a slobodách.“.</w:t>
      </w:r>
    </w:p>
    <w:p w:rsidR="00B5379E" w:rsidRPr="0099745D" w:rsidRDefault="00B5379E" w:rsidP="00B5379E">
      <w:pPr>
        <w:pStyle w:val="Odsekzoznamu"/>
        <w:spacing w:line="276" w:lineRule="auto"/>
        <w:ind w:left="1069"/>
        <w:jc w:val="both"/>
        <w:rPr>
          <w:szCs w:val="24"/>
        </w:rPr>
      </w:pPr>
    </w:p>
    <w:p w:rsidR="0006612C" w:rsidRPr="0099745D" w:rsidRDefault="00CE1DBE" w:rsidP="0099745D">
      <w:pPr>
        <w:pStyle w:val="Standard"/>
        <w:spacing w:line="276" w:lineRule="auto"/>
        <w:ind w:left="709"/>
        <w:jc w:val="both"/>
        <w:rPr>
          <w:szCs w:val="24"/>
        </w:rPr>
      </w:pPr>
      <w:r w:rsidRPr="0099745D">
        <w:rPr>
          <w:szCs w:val="24"/>
        </w:rPr>
        <w:t>Poznámky pod čiarou k odkazom 1 a 2</w:t>
      </w:r>
      <w:r w:rsidR="00B71757" w:rsidRPr="0099745D">
        <w:rPr>
          <w:szCs w:val="24"/>
        </w:rPr>
        <w:t xml:space="preserve"> </w:t>
      </w:r>
      <w:r w:rsidRPr="0099745D">
        <w:rPr>
          <w:szCs w:val="24"/>
        </w:rPr>
        <w:t xml:space="preserve"> znejú:</w:t>
      </w:r>
    </w:p>
    <w:p w:rsidR="00B71757" w:rsidRPr="0099745D" w:rsidRDefault="00B71757" w:rsidP="0099745D">
      <w:pPr>
        <w:pStyle w:val="Odsekzoznamu"/>
        <w:spacing w:line="360" w:lineRule="auto"/>
        <w:ind w:left="709"/>
        <w:jc w:val="both"/>
        <w:rPr>
          <w:bCs/>
          <w:szCs w:val="24"/>
        </w:rPr>
      </w:pPr>
      <w:r w:rsidRPr="0099745D">
        <w:rPr>
          <w:bCs/>
          <w:szCs w:val="24"/>
        </w:rPr>
        <w:t>„</w:t>
      </w:r>
      <w:r w:rsidRPr="0099745D">
        <w:rPr>
          <w:bCs/>
          <w:szCs w:val="24"/>
          <w:vertAlign w:val="superscript"/>
        </w:rPr>
        <w:t>1</w:t>
      </w:r>
      <w:r w:rsidRPr="0099745D">
        <w:rPr>
          <w:bCs/>
          <w:szCs w:val="24"/>
        </w:rPr>
        <w:t>) Zákon č. 87/1991 Zb. o mimosúdnych rehabilitáciách v znení neskorších predpisov.</w:t>
      </w:r>
    </w:p>
    <w:p w:rsidR="0006612C" w:rsidRDefault="00CE1DBE" w:rsidP="0099745D">
      <w:pPr>
        <w:pStyle w:val="Odsekzoznamu"/>
        <w:spacing w:line="276" w:lineRule="auto"/>
        <w:ind w:left="709"/>
        <w:jc w:val="both"/>
        <w:rPr>
          <w:szCs w:val="24"/>
        </w:rPr>
      </w:pPr>
      <w:r w:rsidRPr="0099745D">
        <w:rPr>
          <w:szCs w:val="24"/>
          <w:vertAlign w:val="superscript"/>
        </w:rPr>
        <w:t>2</w:t>
      </w:r>
      <w:r w:rsidRPr="00C1612E">
        <w:rPr>
          <w:szCs w:val="24"/>
        </w:rPr>
        <w:t>)</w:t>
      </w:r>
      <w:r w:rsidRPr="0099745D">
        <w:rPr>
          <w:szCs w:val="24"/>
        </w:rPr>
        <w:t xml:space="preserve"> § 3 zákona Slovenskej národnej rady č. 319/1991 Zb. o zmiernení niektorých </w:t>
      </w:r>
      <w:r w:rsidRPr="0099745D">
        <w:rPr>
          <w:szCs w:val="24"/>
        </w:rPr>
        <w:lastRenderedPageBreak/>
        <w:t>majetkových a iných krívd a o pôsobnosti orgánov štátnej správy Slovenskej republiky v oblasti mimosúdnych rehabilitácií v znení zákona č. 146/2013 Z. z.“.</w:t>
      </w:r>
    </w:p>
    <w:p w:rsidR="0099745D" w:rsidRPr="0099745D" w:rsidRDefault="0099745D" w:rsidP="0099745D">
      <w:pPr>
        <w:pStyle w:val="Odsekzoznamu"/>
        <w:spacing w:line="276" w:lineRule="auto"/>
        <w:ind w:left="709"/>
        <w:jc w:val="both"/>
        <w:rPr>
          <w:szCs w:val="24"/>
        </w:rPr>
      </w:pPr>
    </w:p>
    <w:p w:rsidR="00822496" w:rsidRDefault="00822496" w:rsidP="009967DD">
      <w:pPr>
        <w:pStyle w:val="Odsekzoznamu"/>
        <w:numPr>
          <w:ilvl w:val="0"/>
          <w:numId w:val="2"/>
        </w:numPr>
        <w:spacing w:line="276" w:lineRule="auto"/>
        <w:ind w:left="709" w:hanging="425"/>
        <w:jc w:val="both"/>
        <w:rPr>
          <w:szCs w:val="24"/>
        </w:rPr>
      </w:pPr>
      <w:r w:rsidRPr="0099745D">
        <w:rPr>
          <w:szCs w:val="24"/>
        </w:rPr>
        <w:t>V § 4 ods. 2  sa odkaz 1 označuje ako odkaz 3.</w:t>
      </w:r>
    </w:p>
    <w:p w:rsidR="0099745D" w:rsidRPr="0099745D" w:rsidRDefault="0099745D" w:rsidP="009967DD">
      <w:pPr>
        <w:pStyle w:val="Odsekzoznamu"/>
        <w:spacing w:line="276" w:lineRule="auto"/>
        <w:ind w:left="709"/>
        <w:jc w:val="both"/>
        <w:rPr>
          <w:szCs w:val="24"/>
        </w:rPr>
      </w:pPr>
    </w:p>
    <w:p w:rsidR="00822496" w:rsidRPr="0099745D" w:rsidRDefault="00822496" w:rsidP="009967DD">
      <w:pPr>
        <w:pStyle w:val="Odsekzoznamu"/>
        <w:spacing w:line="276" w:lineRule="auto"/>
        <w:ind w:left="720"/>
        <w:jc w:val="both"/>
        <w:rPr>
          <w:szCs w:val="24"/>
        </w:rPr>
      </w:pPr>
      <w:r w:rsidRPr="0099745D">
        <w:rPr>
          <w:szCs w:val="24"/>
        </w:rPr>
        <w:t>Poznámka pod čiarou k odkazu 3 znie:</w:t>
      </w:r>
    </w:p>
    <w:p w:rsidR="00822496" w:rsidRDefault="00822496" w:rsidP="009967DD">
      <w:pPr>
        <w:pStyle w:val="Odsekzoznamu"/>
        <w:spacing w:line="276" w:lineRule="auto"/>
        <w:ind w:left="720"/>
        <w:jc w:val="both"/>
        <w:rPr>
          <w:szCs w:val="24"/>
        </w:rPr>
      </w:pPr>
      <w:r w:rsidRPr="0099745D">
        <w:rPr>
          <w:szCs w:val="24"/>
        </w:rPr>
        <w:t>„</w:t>
      </w:r>
      <w:r w:rsidRPr="0099745D">
        <w:rPr>
          <w:szCs w:val="24"/>
          <w:vertAlign w:val="superscript"/>
        </w:rPr>
        <w:t>3</w:t>
      </w:r>
      <w:r w:rsidRPr="0099745D">
        <w:rPr>
          <w:szCs w:val="24"/>
        </w:rPr>
        <w:t>) § 88 Trestného zákona.“.</w:t>
      </w:r>
    </w:p>
    <w:p w:rsidR="0099745D" w:rsidRPr="0099745D" w:rsidRDefault="0099745D" w:rsidP="009967DD">
      <w:pPr>
        <w:pStyle w:val="Odsekzoznamu"/>
        <w:spacing w:line="276" w:lineRule="auto"/>
        <w:ind w:left="720"/>
        <w:jc w:val="both"/>
        <w:rPr>
          <w:szCs w:val="24"/>
        </w:rPr>
      </w:pPr>
    </w:p>
    <w:p w:rsidR="0006612C" w:rsidRPr="0099745D" w:rsidRDefault="00CE1DBE" w:rsidP="009967DD">
      <w:pPr>
        <w:pStyle w:val="Odsekzoznamu"/>
        <w:numPr>
          <w:ilvl w:val="0"/>
          <w:numId w:val="2"/>
        </w:numPr>
        <w:spacing w:line="276" w:lineRule="auto"/>
        <w:ind w:left="709" w:hanging="425"/>
        <w:jc w:val="both"/>
        <w:rPr>
          <w:szCs w:val="24"/>
        </w:rPr>
      </w:pPr>
      <w:r w:rsidRPr="0099745D">
        <w:rPr>
          <w:color w:val="000000"/>
          <w:szCs w:val="24"/>
        </w:rPr>
        <w:t>Za § 7 sa vkladajú § 7a a</w:t>
      </w:r>
      <w:r w:rsidR="00822496" w:rsidRPr="0099745D">
        <w:rPr>
          <w:color w:val="000000"/>
          <w:szCs w:val="24"/>
        </w:rPr>
        <w:t>ž</w:t>
      </w:r>
      <w:r w:rsidRPr="0099745D">
        <w:rPr>
          <w:color w:val="000000"/>
          <w:szCs w:val="24"/>
        </w:rPr>
        <w:t> </w:t>
      </w:r>
      <w:r w:rsidR="00822496" w:rsidRPr="0099745D">
        <w:rPr>
          <w:color w:val="000000"/>
          <w:szCs w:val="24"/>
        </w:rPr>
        <w:t>7c</w:t>
      </w:r>
      <w:r w:rsidRPr="0099745D">
        <w:rPr>
          <w:color w:val="000000"/>
          <w:szCs w:val="24"/>
        </w:rPr>
        <w:t>, ktoré znejú:</w:t>
      </w:r>
    </w:p>
    <w:p w:rsidR="00B5379E" w:rsidRDefault="00B5379E" w:rsidP="0099745D">
      <w:pPr>
        <w:pStyle w:val="Odsekzoznamu"/>
        <w:spacing w:line="276" w:lineRule="auto"/>
        <w:ind w:left="284"/>
        <w:jc w:val="center"/>
        <w:rPr>
          <w:b/>
          <w:bCs/>
          <w:szCs w:val="24"/>
        </w:rPr>
      </w:pPr>
    </w:p>
    <w:p w:rsidR="00822496" w:rsidRDefault="00822496" w:rsidP="0099745D">
      <w:pPr>
        <w:pStyle w:val="Odsekzoznamu"/>
        <w:spacing w:line="276" w:lineRule="auto"/>
        <w:ind w:left="284"/>
        <w:jc w:val="center"/>
        <w:rPr>
          <w:b/>
          <w:bCs/>
          <w:szCs w:val="24"/>
        </w:rPr>
      </w:pPr>
      <w:r w:rsidRPr="0099745D">
        <w:rPr>
          <w:b/>
          <w:bCs/>
          <w:szCs w:val="24"/>
        </w:rPr>
        <w:t>„§ 7a</w:t>
      </w:r>
    </w:p>
    <w:p w:rsidR="00A70C49" w:rsidRPr="0099745D" w:rsidRDefault="00A70C49" w:rsidP="0099745D">
      <w:pPr>
        <w:pStyle w:val="Odsekzoznamu"/>
        <w:spacing w:line="276" w:lineRule="auto"/>
        <w:ind w:left="284"/>
        <w:jc w:val="center"/>
        <w:rPr>
          <w:szCs w:val="24"/>
        </w:rPr>
      </w:pPr>
    </w:p>
    <w:p w:rsidR="00822496" w:rsidRPr="0099745D" w:rsidRDefault="00822496" w:rsidP="0099745D">
      <w:pPr>
        <w:pStyle w:val="Odsekzoznamu"/>
        <w:shd w:val="clear" w:color="auto" w:fill="FFFFFF"/>
        <w:spacing w:line="276" w:lineRule="auto"/>
        <w:ind w:left="709"/>
        <w:jc w:val="both"/>
        <w:rPr>
          <w:szCs w:val="24"/>
        </w:rPr>
      </w:pPr>
      <w:r w:rsidRPr="0099745D">
        <w:rPr>
          <w:szCs w:val="24"/>
        </w:rPr>
        <w:t>Umiestňovať na pamätníkoch, pomníkoch a pamätných tabuliach texty, vyobrazenia a symboly oslavujúce, propagujúce alebo obhajujúce režim založený na komunistickej ideológii alebo jeho predstaviteľov sa zakazuje. Za predstaviteľov režimu podľa predchádzajúcej vety sa považujú členovia orgánov Komunistickej strany Československa a Komunistickej strany Slovenska na okresnej a vyššej úrovni, príslušníci bezpečnostných zložiek štátu a  osoby podieľajúce sa na komunistických zločinoch</w:t>
      </w:r>
      <w:r w:rsidRPr="0099745D">
        <w:rPr>
          <w:szCs w:val="24"/>
          <w:vertAlign w:val="superscript"/>
        </w:rPr>
        <w:t>4</w:t>
      </w:r>
      <w:r w:rsidRPr="0099745D">
        <w:rPr>
          <w:szCs w:val="24"/>
        </w:rPr>
        <w:t xml:space="preserve">) v období od 25. </w:t>
      </w:r>
      <w:r w:rsidRPr="0099745D">
        <w:rPr>
          <w:szCs w:val="24"/>
        </w:rPr>
        <w:lastRenderedPageBreak/>
        <w:t>februára 1948 do 30. novembra 1989. Zákaz podľa prvej vety sa nevzťahuje na predstaviteľov režimu, ktorí sa zapojili do odporu proti komunistickému režimu.</w:t>
      </w:r>
    </w:p>
    <w:p w:rsidR="00822496" w:rsidRPr="0099745D" w:rsidRDefault="00822496" w:rsidP="0099745D">
      <w:pPr>
        <w:pStyle w:val="Odsekzoznamu"/>
        <w:shd w:val="clear" w:color="auto" w:fill="FFFFFF"/>
        <w:spacing w:line="276" w:lineRule="auto"/>
        <w:ind w:left="709"/>
        <w:jc w:val="both"/>
        <w:rPr>
          <w:szCs w:val="24"/>
        </w:rPr>
      </w:pPr>
    </w:p>
    <w:p w:rsidR="00822496" w:rsidRDefault="00822496" w:rsidP="0099745D">
      <w:pPr>
        <w:shd w:val="clear" w:color="auto" w:fill="FFFFFF"/>
        <w:spacing w:line="276" w:lineRule="auto"/>
        <w:jc w:val="center"/>
        <w:rPr>
          <w:rFonts w:ascii="Times New Roman" w:hAnsi="Times New Roman" w:cs="Times New Roman"/>
          <w:b/>
          <w:bCs/>
          <w:sz w:val="24"/>
          <w:szCs w:val="24"/>
        </w:rPr>
      </w:pPr>
      <w:r w:rsidRPr="0099745D">
        <w:rPr>
          <w:rFonts w:ascii="Times New Roman" w:hAnsi="Times New Roman" w:cs="Times New Roman"/>
          <w:b/>
          <w:bCs/>
          <w:sz w:val="24"/>
          <w:szCs w:val="24"/>
        </w:rPr>
        <w:t>§ 7b</w:t>
      </w:r>
    </w:p>
    <w:p w:rsidR="00A70C49" w:rsidRPr="0099745D" w:rsidRDefault="00A70C49" w:rsidP="0099745D">
      <w:pPr>
        <w:shd w:val="clear" w:color="auto" w:fill="FFFFFF"/>
        <w:spacing w:line="276" w:lineRule="auto"/>
        <w:jc w:val="center"/>
        <w:rPr>
          <w:rFonts w:ascii="Times New Roman" w:hAnsi="Times New Roman" w:cs="Times New Roman"/>
          <w:b/>
          <w:bCs/>
          <w:sz w:val="24"/>
          <w:szCs w:val="24"/>
        </w:rPr>
      </w:pPr>
    </w:p>
    <w:p w:rsidR="0006612C" w:rsidRPr="0099745D" w:rsidRDefault="00822496" w:rsidP="0099745D">
      <w:pPr>
        <w:pStyle w:val="Odsekzoznamu"/>
        <w:shd w:val="clear" w:color="auto" w:fill="FFFFFF"/>
        <w:spacing w:line="276" w:lineRule="auto"/>
        <w:ind w:left="709"/>
        <w:jc w:val="both"/>
        <w:rPr>
          <w:szCs w:val="24"/>
        </w:rPr>
      </w:pPr>
      <w:r w:rsidRPr="0099745D">
        <w:rPr>
          <w:szCs w:val="24"/>
        </w:rPr>
        <w:t>V prípade pochybností o tom, či sa osoba považuje za predstaviteľa režimu založeného na komunistickej ideológii, na ktorého sa vzťahuje zákaz podľa § 7a, sa príslušný orgán obráti na Ústav pamäti národa,</w:t>
      </w:r>
      <w:r w:rsidRPr="0099745D">
        <w:rPr>
          <w:szCs w:val="24"/>
          <w:vertAlign w:val="superscript"/>
        </w:rPr>
        <w:t>5</w:t>
      </w:r>
      <w:r w:rsidRPr="0099745D">
        <w:rPr>
          <w:szCs w:val="24"/>
        </w:rPr>
        <w:t>) ktorý je povinný zaslať vyjadrenie v lehote do 90 dní, v ktorom zároveň posúdi aj možný odpor posudzovanej osoby proti komunistickému režimu.</w:t>
      </w:r>
      <w:r w:rsidRPr="0099745D" w:rsidDel="00822496">
        <w:rPr>
          <w:b/>
          <w:bCs/>
          <w:color w:val="000000"/>
          <w:szCs w:val="24"/>
        </w:rPr>
        <w:t xml:space="preserve"> </w:t>
      </w:r>
    </w:p>
    <w:p w:rsidR="00B5379E" w:rsidRDefault="00B5379E" w:rsidP="0099745D">
      <w:pPr>
        <w:pStyle w:val="Standard"/>
        <w:spacing w:line="276" w:lineRule="auto"/>
        <w:jc w:val="center"/>
        <w:rPr>
          <w:b/>
          <w:bCs/>
          <w:color w:val="000000"/>
          <w:szCs w:val="24"/>
        </w:rPr>
      </w:pPr>
    </w:p>
    <w:p w:rsidR="00B5379E" w:rsidRDefault="00B5379E" w:rsidP="0099745D">
      <w:pPr>
        <w:pStyle w:val="Standard"/>
        <w:spacing w:line="276" w:lineRule="auto"/>
        <w:jc w:val="center"/>
        <w:rPr>
          <w:b/>
          <w:bCs/>
          <w:color w:val="000000"/>
          <w:szCs w:val="24"/>
        </w:rPr>
      </w:pPr>
    </w:p>
    <w:p w:rsidR="00B5379E" w:rsidRDefault="00B5379E" w:rsidP="0099745D">
      <w:pPr>
        <w:pStyle w:val="Standard"/>
        <w:spacing w:line="276" w:lineRule="auto"/>
        <w:jc w:val="center"/>
        <w:rPr>
          <w:b/>
          <w:bCs/>
          <w:color w:val="000000"/>
          <w:szCs w:val="24"/>
        </w:rPr>
      </w:pPr>
    </w:p>
    <w:p w:rsidR="0006612C" w:rsidRPr="0099745D" w:rsidRDefault="00CE1DBE" w:rsidP="0099745D">
      <w:pPr>
        <w:pStyle w:val="Standard"/>
        <w:spacing w:line="276" w:lineRule="auto"/>
        <w:jc w:val="center"/>
        <w:rPr>
          <w:szCs w:val="24"/>
        </w:rPr>
      </w:pPr>
      <w:r w:rsidRPr="0099745D">
        <w:rPr>
          <w:b/>
          <w:bCs/>
          <w:color w:val="000000"/>
          <w:szCs w:val="24"/>
        </w:rPr>
        <w:t>§ 7</w:t>
      </w:r>
      <w:r w:rsidR="00822496" w:rsidRPr="0099745D">
        <w:rPr>
          <w:b/>
          <w:bCs/>
          <w:color w:val="000000"/>
          <w:szCs w:val="24"/>
        </w:rPr>
        <w:t>c</w:t>
      </w:r>
    </w:p>
    <w:p w:rsidR="0006612C" w:rsidRDefault="00CE1DBE" w:rsidP="0099745D">
      <w:pPr>
        <w:pStyle w:val="Odsekzoznamu"/>
        <w:spacing w:line="276" w:lineRule="auto"/>
        <w:ind w:left="709"/>
        <w:jc w:val="center"/>
        <w:rPr>
          <w:b/>
          <w:bCs/>
          <w:color w:val="000000"/>
          <w:szCs w:val="24"/>
        </w:rPr>
      </w:pPr>
      <w:r w:rsidRPr="0099745D">
        <w:rPr>
          <w:b/>
          <w:bCs/>
          <w:color w:val="000000"/>
          <w:szCs w:val="24"/>
        </w:rPr>
        <w:t xml:space="preserve">Prechodné ustanovenie k úprave účinnej od </w:t>
      </w:r>
      <w:r w:rsidR="00B71757" w:rsidRPr="0099745D">
        <w:rPr>
          <w:b/>
          <w:bCs/>
          <w:color w:val="000000"/>
          <w:szCs w:val="24"/>
        </w:rPr>
        <w:t xml:space="preserve">1. decembra </w:t>
      </w:r>
      <w:r w:rsidRPr="0099745D">
        <w:rPr>
          <w:b/>
          <w:bCs/>
          <w:color w:val="000000"/>
          <w:szCs w:val="24"/>
        </w:rPr>
        <w:t xml:space="preserve"> 2020</w:t>
      </w:r>
    </w:p>
    <w:p w:rsidR="0099745D" w:rsidRPr="0099745D" w:rsidRDefault="0099745D" w:rsidP="0099745D">
      <w:pPr>
        <w:pStyle w:val="Odsekzoznamu"/>
        <w:spacing w:line="276" w:lineRule="auto"/>
        <w:ind w:left="709"/>
        <w:jc w:val="center"/>
        <w:rPr>
          <w:szCs w:val="24"/>
        </w:rPr>
      </w:pPr>
    </w:p>
    <w:p w:rsidR="0006612C" w:rsidRDefault="00CE1DBE" w:rsidP="0099745D">
      <w:pPr>
        <w:pStyle w:val="Odsekzoznamu"/>
        <w:spacing w:line="276" w:lineRule="auto"/>
        <w:ind w:left="709"/>
        <w:jc w:val="both"/>
        <w:rPr>
          <w:color w:val="000000"/>
          <w:szCs w:val="24"/>
        </w:rPr>
      </w:pPr>
      <w:r w:rsidRPr="0099745D">
        <w:rPr>
          <w:color w:val="000000"/>
          <w:szCs w:val="24"/>
        </w:rPr>
        <w:t xml:space="preserve">Na pamätníky, pomníky a pamätné tabule podľa § 7a umiestnené do </w:t>
      </w:r>
      <w:r w:rsidR="00B71757" w:rsidRPr="0099745D">
        <w:rPr>
          <w:color w:val="000000"/>
          <w:szCs w:val="24"/>
        </w:rPr>
        <w:t>30. novembra</w:t>
      </w:r>
      <w:r w:rsidRPr="0099745D">
        <w:rPr>
          <w:color w:val="000000"/>
          <w:szCs w:val="24"/>
        </w:rPr>
        <w:t xml:space="preserve"> 2020 sa vzťahujú doterajšie predpisy.“.</w:t>
      </w:r>
    </w:p>
    <w:p w:rsidR="0099745D" w:rsidRPr="0099745D" w:rsidRDefault="0099745D" w:rsidP="0099745D">
      <w:pPr>
        <w:pStyle w:val="Odsekzoznamu"/>
        <w:spacing w:line="276" w:lineRule="auto"/>
        <w:ind w:left="709"/>
        <w:jc w:val="both"/>
        <w:rPr>
          <w:color w:val="000000"/>
          <w:szCs w:val="24"/>
        </w:rPr>
      </w:pPr>
    </w:p>
    <w:p w:rsidR="00822496" w:rsidRPr="0099745D" w:rsidRDefault="00822496" w:rsidP="0099745D">
      <w:pPr>
        <w:pStyle w:val="Standard"/>
        <w:spacing w:line="276" w:lineRule="auto"/>
        <w:ind w:firstLine="708"/>
        <w:jc w:val="both"/>
        <w:rPr>
          <w:szCs w:val="24"/>
        </w:rPr>
      </w:pPr>
      <w:r w:rsidRPr="0099745D">
        <w:rPr>
          <w:szCs w:val="24"/>
        </w:rPr>
        <w:lastRenderedPageBreak/>
        <w:t>Poznámky pod čiarou k odkaz</w:t>
      </w:r>
      <w:r w:rsidR="00B5379E">
        <w:rPr>
          <w:szCs w:val="24"/>
        </w:rPr>
        <w:t>om</w:t>
      </w:r>
      <w:r w:rsidRPr="0099745D">
        <w:rPr>
          <w:szCs w:val="24"/>
        </w:rPr>
        <w:t xml:space="preserve">  4 a 5 znejú:</w:t>
      </w:r>
    </w:p>
    <w:p w:rsidR="0006612C" w:rsidRPr="0099745D" w:rsidRDefault="00822496" w:rsidP="0099745D">
      <w:pPr>
        <w:pStyle w:val="Odsekzoznamu"/>
        <w:spacing w:line="276" w:lineRule="auto"/>
        <w:ind w:left="709"/>
        <w:jc w:val="both"/>
        <w:rPr>
          <w:szCs w:val="24"/>
        </w:rPr>
      </w:pPr>
      <w:r w:rsidRPr="0099745D">
        <w:rPr>
          <w:szCs w:val="24"/>
        </w:rPr>
        <w:t>„</w:t>
      </w:r>
      <w:r w:rsidRPr="0099745D">
        <w:rPr>
          <w:szCs w:val="24"/>
          <w:vertAlign w:val="superscript"/>
        </w:rPr>
        <w:t>4</w:t>
      </w:r>
      <w:r w:rsidRPr="0099745D">
        <w:rPr>
          <w:szCs w:val="24"/>
        </w:rPr>
        <w:t>) § 3 ods. 1 zákona č. 553/2002 Z. z. o sprístupnení dokumentov o činnosti bezpečnostných zložiek štátu 1939 – 1989 a o založení Ústavu pamäti národa a o doplnení niektorých zákonov (zákon o pamäti národa) v znení neskorších predpisov.</w:t>
      </w:r>
    </w:p>
    <w:p w:rsidR="0099745D" w:rsidRPr="00ED4D76" w:rsidRDefault="00822496" w:rsidP="00ED4D76">
      <w:pPr>
        <w:pStyle w:val="Odsekzoznamu"/>
        <w:spacing w:line="276" w:lineRule="auto"/>
        <w:ind w:left="709"/>
        <w:jc w:val="both"/>
        <w:rPr>
          <w:szCs w:val="24"/>
        </w:rPr>
      </w:pPr>
      <w:r w:rsidRPr="0099745D">
        <w:rPr>
          <w:szCs w:val="24"/>
          <w:vertAlign w:val="superscript"/>
        </w:rPr>
        <w:t>5</w:t>
      </w:r>
      <w:r w:rsidRPr="0099745D">
        <w:rPr>
          <w:szCs w:val="24"/>
        </w:rPr>
        <w:t>) § 7 ods. 1 zákona č. 553/2002 Z. z.“.</w:t>
      </w:r>
    </w:p>
    <w:p w:rsidR="00822496" w:rsidRPr="0099745D" w:rsidRDefault="00822496" w:rsidP="0099745D">
      <w:pPr>
        <w:pStyle w:val="Odsekzoznamu"/>
        <w:spacing w:line="276" w:lineRule="auto"/>
        <w:ind w:left="709"/>
        <w:jc w:val="both"/>
        <w:rPr>
          <w:b/>
          <w:bCs/>
          <w:color w:val="000000"/>
          <w:szCs w:val="24"/>
        </w:rPr>
      </w:pPr>
    </w:p>
    <w:p w:rsidR="0006612C" w:rsidRDefault="00CE1DBE" w:rsidP="0099745D">
      <w:pPr>
        <w:pStyle w:val="Standard"/>
        <w:spacing w:line="276" w:lineRule="auto"/>
        <w:jc w:val="center"/>
        <w:rPr>
          <w:b/>
          <w:szCs w:val="24"/>
        </w:rPr>
      </w:pPr>
      <w:r w:rsidRPr="0099745D">
        <w:rPr>
          <w:b/>
          <w:szCs w:val="24"/>
        </w:rPr>
        <w:t>Čl. II</w:t>
      </w:r>
    </w:p>
    <w:p w:rsidR="0099745D" w:rsidRPr="0099745D" w:rsidRDefault="0099745D" w:rsidP="0099745D">
      <w:pPr>
        <w:pStyle w:val="Standard"/>
        <w:spacing w:line="276" w:lineRule="auto"/>
        <w:jc w:val="center"/>
        <w:rPr>
          <w:szCs w:val="24"/>
        </w:rPr>
      </w:pPr>
    </w:p>
    <w:p w:rsidR="0006612C" w:rsidRDefault="00CE1DBE" w:rsidP="0099745D">
      <w:pPr>
        <w:pStyle w:val="Standard"/>
        <w:spacing w:line="276" w:lineRule="auto"/>
        <w:ind w:firstLine="709"/>
        <w:jc w:val="both"/>
        <w:rPr>
          <w:color w:val="000000"/>
          <w:szCs w:val="24"/>
        </w:rPr>
      </w:pPr>
      <w:r w:rsidRPr="0099745D">
        <w:rPr>
          <w:szCs w:val="24"/>
        </w:rPr>
        <w:t xml:space="preserve">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w:t>
      </w:r>
      <w:r w:rsidRPr="0099745D">
        <w:rPr>
          <w:szCs w:val="24"/>
        </w:rPr>
        <w:lastRenderedPageBreak/>
        <w:t>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nálezu Ústavného súdu Slovenskej republiky č. 131/2017 Z. z., </w:t>
      </w:r>
      <w:r w:rsidRPr="0099745D">
        <w:rPr>
          <w:color w:val="000000"/>
          <w:szCs w:val="24"/>
        </w:rPr>
        <w:t>zákona č. 70/2018 Z. z., zákona č. 177/2018 Z. z., zákona č. 5/2019 Z. z., zákona č. 413/2019 Z. z. a zákona č. 73/2020 Z. z. sa dopĺňa takto:</w:t>
      </w:r>
    </w:p>
    <w:p w:rsidR="0099745D" w:rsidRPr="0099745D" w:rsidRDefault="0099745D" w:rsidP="0099745D">
      <w:pPr>
        <w:pStyle w:val="Standard"/>
        <w:spacing w:line="276" w:lineRule="auto"/>
        <w:ind w:firstLine="709"/>
        <w:jc w:val="both"/>
        <w:rPr>
          <w:szCs w:val="24"/>
        </w:rPr>
      </w:pPr>
    </w:p>
    <w:p w:rsidR="0099745D" w:rsidRPr="0099745D" w:rsidRDefault="0099745D" w:rsidP="009967DD">
      <w:pPr>
        <w:pStyle w:val="Odsekzoznamu"/>
        <w:numPr>
          <w:ilvl w:val="0"/>
          <w:numId w:val="28"/>
        </w:numPr>
        <w:spacing w:line="276" w:lineRule="auto"/>
        <w:jc w:val="both"/>
        <w:rPr>
          <w:szCs w:val="24"/>
        </w:rPr>
      </w:pPr>
      <w:r w:rsidRPr="0099745D">
        <w:rPr>
          <w:szCs w:val="24"/>
        </w:rPr>
        <w:t xml:space="preserve">V § 2b ods. 3 sa na konci pripájajú tieto vety: </w:t>
      </w:r>
      <w:r w:rsidRPr="0099745D">
        <w:rPr>
          <w:szCs w:val="24"/>
        </w:rPr>
        <w:lastRenderedPageBreak/>
        <w:t>„Neprípustné je určiť názov ulice alebo iného verejného priestranstva po predstaviteľoch režimu Slovenskej republiky z rokov 1939 až 1945 alebo iného režimu založeného na fašistickej ideológií alebo nacistickej ideológií</w:t>
      </w:r>
      <w:r w:rsidRPr="0099745D">
        <w:rPr>
          <w:szCs w:val="24"/>
          <w:vertAlign w:val="superscript"/>
        </w:rPr>
        <w:t>2ab</w:t>
      </w:r>
      <w:r w:rsidRPr="0099745D">
        <w:rPr>
          <w:szCs w:val="24"/>
        </w:rPr>
        <w:t>) alebo režimu založeného na komunistickej ideológií;</w:t>
      </w:r>
      <w:r w:rsidRPr="0099745D">
        <w:rPr>
          <w:szCs w:val="24"/>
          <w:vertAlign w:val="superscript"/>
        </w:rPr>
        <w:t>2ac</w:t>
      </w:r>
      <w:r w:rsidRPr="0099745D">
        <w:rPr>
          <w:szCs w:val="24"/>
        </w:rPr>
        <w:t>) to neplatí, ak ide o predstaviteľov režimu, ktorí sa zapojili do odporu proti takémuto režimu. V prípade pochybností o tom, či sa osoba považuje za predstaviteľa režimu Slovenskej republiky z rokov 1939 až 1945 alebo iného režimu založeného na fašistickej ideológii alebo nacistickej ideológii alebo režimu založeného na komunistickej ideológií, sa príslušný orgán obráti na Ústav pamäti národa,</w:t>
      </w:r>
      <w:r w:rsidRPr="0099745D">
        <w:rPr>
          <w:szCs w:val="24"/>
          <w:vertAlign w:val="superscript"/>
        </w:rPr>
        <w:t>2ad</w:t>
      </w:r>
      <w:r w:rsidRPr="0099745D">
        <w:rPr>
          <w:szCs w:val="24"/>
        </w:rPr>
        <w:t>) ktorý je povinný zaslať vyjadrenie v lehote do 90 dní, v ktorom zároveň posúdi aj možnú účasť posudzovanej osoby na protifašistickom odboji alebo inom odpore proti režimu Slovenskej republiky z rokov 1939 až 1945 alebo inému režimu založenému na fašistickej ideológii alebo nacistickej ideológii alebo možný odpor posudzovanej osoby proti komunistickému režimu.“.</w:t>
      </w:r>
    </w:p>
    <w:p w:rsidR="0099745D" w:rsidRPr="0099745D" w:rsidRDefault="0099745D" w:rsidP="009967DD">
      <w:pPr>
        <w:spacing w:line="276" w:lineRule="auto"/>
        <w:jc w:val="both"/>
        <w:rPr>
          <w:rFonts w:ascii="Times New Roman" w:hAnsi="Times New Roman" w:cs="Times New Roman"/>
          <w:color w:val="000000"/>
          <w:sz w:val="24"/>
          <w:szCs w:val="24"/>
        </w:rPr>
      </w:pPr>
    </w:p>
    <w:p w:rsidR="0099745D" w:rsidRPr="0099745D" w:rsidRDefault="0099745D" w:rsidP="009967D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rPr>
        <w:lastRenderedPageBreak/>
        <w:t>Poznámky pod čiarou k odkazom 2ab až 2ad znejú:</w:t>
      </w:r>
    </w:p>
    <w:p w:rsidR="0099745D" w:rsidRPr="0099745D" w:rsidRDefault="0099745D" w:rsidP="009967D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rPr>
        <w:t>„</w:t>
      </w:r>
      <w:r w:rsidRPr="0099745D">
        <w:rPr>
          <w:rFonts w:ascii="Times New Roman" w:hAnsi="Times New Roman" w:cs="Times New Roman"/>
          <w:sz w:val="24"/>
          <w:szCs w:val="24"/>
          <w:vertAlign w:val="superscript"/>
        </w:rPr>
        <w:t>2ab</w:t>
      </w:r>
      <w:r w:rsidRPr="0099745D">
        <w:rPr>
          <w:rFonts w:ascii="Times New Roman" w:hAnsi="Times New Roman" w:cs="Times New Roman"/>
          <w:sz w:val="24"/>
          <w:szCs w:val="24"/>
        </w:rPr>
        <w:t>) § 6a zákona č. 487/2013 Z. z. o protifašistickom odboji, postavení a pôsobnosti Slovenského zväzu protifašistických bojovníkov v znení zákona č. .../2020 Z. z.</w:t>
      </w:r>
    </w:p>
    <w:p w:rsidR="0099745D" w:rsidRPr="0099745D" w:rsidRDefault="0099745D" w:rsidP="009967D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vertAlign w:val="superscript"/>
        </w:rPr>
        <w:t>2ac</w:t>
      </w:r>
      <w:r w:rsidRPr="0099745D">
        <w:rPr>
          <w:rFonts w:ascii="Times New Roman" w:hAnsi="Times New Roman" w:cs="Times New Roman"/>
          <w:sz w:val="24"/>
          <w:szCs w:val="24"/>
        </w:rPr>
        <w:t>) § 7a zákona Národnej rady Slovenskej republiky č. 125/1996 Z. z. o nemorálnosti a protiprávnosti komunistického systému a ktorým sa menia a dopĺňajú niektoré zákony v znení zákona č. .../2020 Z. z.</w:t>
      </w:r>
    </w:p>
    <w:p w:rsidR="0099745D" w:rsidRDefault="0099745D" w:rsidP="009967D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vertAlign w:val="superscript"/>
        </w:rPr>
        <w:t>2ad</w:t>
      </w:r>
      <w:r w:rsidRPr="0099745D">
        <w:rPr>
          <w:rFonts w:ascii="Times New Roman" w:hAnsi="Times New Roman" w:cs="Times New Roman"/>
          <w:sz w:val="24"/>
          <w:szCs w:val="24"/>
        </w:rPr>
        <w:t>) § 7 ods. 1 zákona č. 553/2002 Z. z. o sprístupnení dokumentov o činnosti bezpečnostných zložiek štátu 1939 – 1989 a o založení Ústavu pamäti národa a o doplnení niektorých zákonov (zákon o pamäti národa) v znení neskorších predpisov.“.</w:t>
      </w:r>
    </w:p>
    <w:p w:rsidR="0006612C" w:rsidRPr="0099745D" w:rsidRDefault="0006612C" w:rsidP="0099745D">
      <w:pPr>
        <w:spacing w:line="276" w:lineRule="auto"/>
        <w:ind w:left="709"/>
        <w:jc w:val="both"/>
        <w:rPr>
          <w:rFonts w:ascii="Times New Roman" w:hAnsi="Times New Roman" w:cs="Times New Roman"/>
          <w:sz w:val="24"/>
          <w:szCs w:val="24"/>
        </w:rPr>
      </w:pPr>
    </w:p>
    <w:p w:rsidR="0006612C" w:rsidRPr="0099745D" w:rsidRDefault="00CE1DBE" w:rsidP="0099745D">
      <w:pPr>
        <w:pStyle w:val="Odsekzoznamu"/>
        <w:numPr>
          <w:ilvl w:val="0"/>
          <w:numId w:val="28"/>
        </w:numPr>
        <w:spacing w:line="276" w:lineRule="auto"/>
        <w:jc w:val="both"/>
        <w:rPr>
          <w:szCs w:val="24"/>
        </w:rPr>
      </w:pPr>
      <w:r w:rsidRPr="0099745D">
        <w:rPr>
          <w:color w:val="000000"/>
          <w:szCs w:val="24"/>
        </w:rPr>
        <w:t>Za § 30f sa vkladá § 30g, ktorý vrátane nadpisu znie:</w:t>
      </w:r>
    </w:p>
    <w:p w:rsidR="0099745D" w:rsidRPr="0099745D" w:rsidRDefault="0099745D" w:rsidP="0099745D">
      <w:pPr>
        <w:pStyle w:val="Odsekzoznamu"/>
        <w:spacing w:line="276" w:lineRule="auto"/>
        <w:ind w:left="720"/>
        <w:jc w:val="both"/>
        <w:rPr>
          <w:szCs w:val="24"/>
        </w:rPr>
      </w:pPr>
    </w:p>
    <w:p w:rsidR="0006612C" w:rsidRPr="0099745D" w:rsidRDefault="00CE1DBE" w:rsidP="0099745D">
      <w:pPr>
        <w:pStyle w:val="Standard"/>
        <w:spacing w:line="276" w:lineRule="auto"/>
        <w:jc w:val="center"/>
        <w:rPr>
          <w:szCs w:val="24"/>
        </w:rPr>
      </w:pPr>
      <w:r w:rsidRPr="0099745D">
        <w:rPr>
          <w:b/>
          <w:bCs/>
          <w:color w:val="000000"/>
          <w:szCs w:val="24"/>
        </w:rPr>
        <w:t>„§ 30g</w:t>
      </w:r>
    </w:p>
    <w:p w:rsidR="0006612C" w:rsidRDefault="00CE1DBE" w:rsidP="0099745D">
      <w:pPr>
        <w:pStyle w:val="Standard"/>
        <w:spacing w:line="276" w:lineRule="auto"/>
        <w:jc w:val="center"/>
        <w:rPr>
          <w:b/>
          <w:bCs/>
          <w:color w:val="000000"/>
          <w:szCs w:val="24"/>
        </w:rPr>
      </w:pPr>
      <w:r w:rsidRPr="0099745D">
        <w:rPr>
          <w:b/>
          <w:bCs/>
          <w:color w:val="000000"/>
          <w:szCs w:val="24"/>
        </w:rPr>
        <w:t xml:space="preserve">Prechodné ustanovenie k úprave účinnej od </w:t>
      </w:r>
      <w:r w:rsidR="00B71757" w:rsidRPr="0099745D">
        <w:rPr>
          <w:b/>
          <w:bCs/>
          <w:color w:val="000000"/>
          <w:szCs w:val="24"/>
        </w:rPr>
        <w:t>1. decembra</w:t>
      </w:r>
      <w:r w:rsidRPr="0099745D">
        <w:rPr>
          <w:b/>
          <w:bCs/>
          <w:color w:val="000000"/>
          <w:szCs w:val="24"/>
        </w:rPr>
        <w:t xml:space="preserve"> 2020</w:t>
      </w:r>
    </w:p>
    <w:p w:rsidR="0099745D" w:rsidRPr="0099745D" w:rsidRDefault="0099745D" w:rsidP="0099745D">
      <w:pPr>
        <w:pStyle w:val="Standard"/>
        <w:spacing w:line="276" w:lineRule="auto"/>
        <w:jc w:val="center"/>
        <w:rPr>
          <w:szCs w:val="24"/>
        </w:rPr>
      </w:pPr>
    </w:p>
    <w:p w:rsidR="0006612C" w:rsidRPr="0099745D" w:rsidRDefault="00CE1DBE" w:rsidP="0099745D">
      <w:pPr>
        <w:pStyle w:val="Odsekzoznamu"/>
        <w:spacing w:line="276" w:lineRule="auto"/>
        <w:ind w:left="720"/>
        <w:jc w:val="both"/>
        <w:rPr>
          <w:szCs w:val="24"/>
        </w:rPr>
      </w:pPr>
      <w:r w:rsidRPr="0099745D">
        <w:rPr>
          <w:color w:val="000000"/>
          <w:szCs w:val="24"/>
        </w:rPr>
        <w:t xml:space="preserve">Na názov ulice alebo iného verejného </w:t>
      </w:r>
      <w:r w:rsidRPr="0099745D">
        <w:rPr>
          <w:color w:val="000000"/>
          <w:szCs w:val="24"/>
        </w:rPr>
        <w:lastRenderedPageBreak/>
        <w:t xml:space="preserve">priestranstva podľa § 2b ods. 3 určený do </w:t>
      </w:r>
      <w:r w:rsidR="00B71757" w:rsidRPr="0099745D">
        <w:rPr>
          <w:color w:val="000000"/>
          <w:szCs w:val="24"/>
        </w:rPr>
        <w:t xml:space="preserve">30. novembra </w:t>
      </w:r>
      <w:r w:rsidRPr="0099745D">
        <w:rPr>
          <w:color w:val="000000"/>
          <w:szCs w:val="24"/>
        </w:rPr>
        <w:t>2020 sa vzťahujú doterajšie predpisy.“.</w:t>
      </w:r>
    </w:p>
    <w:p w:rsidR="0006612C" w:rsidRPr="0099745D" w:rsidRDefault="0006612C" w:rsidP="0099745D">
      <w:pPr>
        <w:pStyle w:val="Odsekzoznamu"/>
        <w:spacing w:line="276" w:lineRule="auto"/>
        <w:ind w:left="720"/>
        <w:jc w:val="both"/>
        <w:rPr>
          <w:color w:val="000000"/>
          <w:szCs w:val="24"/>
        </w:rPr>
      </w:pPr>
    </w:p>
    <w:p w:rsidR="0006612C" w:rsidRDefault="00CE1DBE" w:rsidP="0099745D">
      <w:pPr>
        <w:pStyle w:val="Standard"/>
        <w:spacing w:line="276" w:lineRule="auto"/>
        <w:jc w:val="center"/>
        <w:rPr>
          <w:b/>
          <w:color w:val="000000"/>
          <w:szCs w:val="24"/>
        </w:rPr>
      </w:pPr>
      <w:r w:rsidRPr="0099745D">
        <w:rPr>
          <w:b/>
          <w:color w:val="000000"/>
          <w:szCs w:val="24"/>
        </w:rPr>
        <w:t>Čl. III</w:t>
      </w:r>
    </w:p>
    <w:p w:rsidR="0099745D" w:rsidRPr="0099745D" w:rsidRDefault="0099745D" w:rsidP="0099745D">
      <w:pPr>
        <w:pStyle w:val="Standard"/>
        <w:spacing w:line="276" w:lineRule="auto"/>
        <w:jc w:val="center"/>
        <w:rPr>
          <w:szCs w:val="24"/>
        </w:rPr>
      </w:pPr>
    </w:p>
    <w:p w:rsidR="0006612C" w:rsidRDefault="00CE1DBE" w:rsidP="0099745D">
      <w:pPr>
        <w:pStyle w:val="Odsekzoznamu"/>
        <w:spacing w:line="276" w:lineRule="auto"/>
        <w:ind w:left="0" w:firstLine="708"/>
        <w:jc w:val="both"/>
        <w:rPr>
          <w:color w:val="000000"/>
          <w:szCs w:val="24"/>
        </w:rPr>
      </w:pPr>
      <w:r w:rsidRPr="0099745D">
        <w:rPr>
          <w:color w:val="000000"/>
          <w:szCs w:val="24"/>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w:t>
      </w:r>
      <w:r w:rsidRPr="0099745D">
        <w:rPr>
          <w:color w:val="000000"/>
          <w:szCs w:val="24"/>
        </w:rPr>
        <w:lastRenderedPageBreak/>
        <w:t xml:space="preserve">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w:t>
      </w:r>
      <w:r w:rsidRPr="0099745D">
        <w:rPr>
          <w:color w:val="000000"/>
          <w:szCs w:val="24"/>
        </w:rPr>
        <w:lastRenderedPageBreak/>
        <w:t>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a zákona č. 393/2019 Z. z. sa mení a dopĺňa takto:</w:t>
      </w:r>
    </w:p>
    <w:p w:rsidR="0099745D" w:rsidRPr="0099745D" w:rsidRDefault="0099745D" w:rsidP="0099745D">
      <w:pPr>
        <w:pStyle w:val="Odsekzoznamu"/>
        <w:spacing w:line="276" w:lineRule="auto"/>
        <w:ind w:left="0" w:firstLine="708"/>
        <w:jc w:val="both"/>
        <w:rPr>
          <w:szCs w:val="24"/>
        </w:rPr>
      </w:pPr>
    </w:p>
    <w:p w:rsidR="0006612C" w:rsidRPr="0099745D" w:rsidRDefault="0099745D" w:rsidP="0099745D">
      <w:pPr>
        <w:pStyle w:val="Odsekzoznamu"/>
        <w:numPr>
          <w:ilvl w:val="0"/>
          <w:numId w:val="35"/>
        </w:numPr>
        <w:spacing w:line="276" w:lineRule="auto"/>
        <w:ind w:hanging="436"/>
        <w:jc w:val="both"/>
        <w:rPr>
          <w:szCs w:val="24"/>
        </w:rPr>
      </w:pPr>
      <w:r w:rsidRPr="0099745D">
        <w:rPr>
          <w:szCs w:val="24"/>
        </w:rPr>
        <w:t>V § 47a sa odsek 1 dopĺňa písmenom d), ktoré znie:</w:t>
      </w:r>
    </w:p>
    <w:p w:rsidR="00A70C49" w:rsidRDefault="00CE1DBE" w:rsidP="0099745D">
      <w:pPr>
        <w:pStyle w:val="Standard"/>
        <w:spacing w:line="276" w:lineRule="auto"/>
        <w:ind w:left="708"/>
        <w:jc w:val="both"/>
        <w:rPr>
          <w:color w:val="000000"/>
          <w:szCs w:val="24"/>
        </w:rPr>
      </w:pPr>
      <w:r w:rsidRPr="0099745D">
        <w:rPr>
          <w:color w:val="000000"/>
          <w:szCs w:val="24"/>
        </w:rPr>
        <w:t>„d) napriek zákazu podľa osobitného predpisu</w:t>
      </w:r>
      <w:r w:rsidRPr="0099745D">
        <w:rPr>
          <w:color w:val="000000"/>
          <w:szCs w:val="24"/>
          <w:vertAlign w:val="superscript"/>
        </w:rPr>
        <w:t>3g</w:t>
      </w:r>
      <w:r w:rsidRPr="00C1612E">
        <w:rPr>
          <w:color w:val="000000"/>
          <w:szCs w:val="24"/>
        </w:rPr>
        <w:t>)</w:t>
      </w:r>
      <w:r w:rsidRPr="0099745D">
        <w:rPr>
          <w:color w:val="000000"/>
          <w:szCs w:val="24"/>
        </w:rPr>
        <w:t xml:space="preserve"> umiestni na pamätníku, pomníku alebo pamätnej tabuli text, vyobrazenie alebo symbol oslavujúci, propagujúci alebo obhajujúci režim založený na komunistickej, fašistickej alebo nacistickej ideológii alebo jeho predstaviteľa, alebo takéto umiestnenie iniciuje, rozhodne o ňom, umožní ho alebo sa na ňom inak podieľa</w:t>
      </w:r>
      <w:r w:rsidR="0099745D" w:rsidRPr="0099745D">
        <w:rPr>
          <w:color w:val="000000"/>
          <w:szCs w:val="24"/>
        </w:rPr>
        <w:t>.“.</w:t>
      </w:r>
    </w:p>
    <w:p w:rsidR="0006612C" w:rsidRPr="0099745D" w:rsidRDefault="0006612C" w:rsidP="0099745D">
      <w:pPr>
        <w:pStyle w:val="Standard"/>
        <w:spacing w:line="276" w:lineRule="auto"/>
        <w:ind w:left="708"/>
        <w:jc w:val="both"/>
        <w:rPr>
          <w:szCs w:val="24"/>
        </w:rPr>
      </w:pPr>
    </w:p>
    <w:p w:rsidR="0006612C" w:rsidRPr="0099745D" w:rsidRDefault="00CE1DBE" w:rsidP="0099745D">
      <w:pPr>
        <w:pStyle w:val="Standard"/>
        <w:spacing w:line="276" w:lineRule="auto"/>
        <w:ind w:left="709"/>
        <w:jc w:val="both"/>
        <w:rPr>
          <w:szCs w:val="24"/>
        </w:rPr>
      </w:pPr>
      <w:r w:rsidRPr="0099745D">
        <w:rPr>
          <w:color w:val="000000"/>
          <w:szCs w:val="24"/>
        </w:rPr>
        <w:t>Poznámka pod čiarou k odkazu 3g znie:</w:t>
      </w:r>
    </w:p>
    <w:p w:rsidR="0006612C" w:rsidRDefault="00CE1DBE" w:rsidP="0099745D">
      <w:pPr>
        <w:pStyle w:val="Standard"/>
        <w:spacing w:line="276" w:lineRule="auto"/>
        <w:ind w:left="709"/>
        <w:jc w:val="both"/>
        <w:rPr>
          <w:color w:val="000000"/>
          <w:szCs w:val="24"/>
        </w:rPr>
      </w:pPr>
      <w:r w:rsidRPr="0099745D">
        <w:rPr>
          <w:color w:val="000000"/>
          <w:szCs w:val="24"/>
        </w:rPr>
        <w:t>„</w:t>
      </w:r>
      <w:r w:rsidRPr="0099745D">
        <w:rPr>
          <w:color w:val="000000"/>
          <w:szCs w:val="24"/>
          <w:vertAlign w:val="superscript"/>
        </w:rPr>
        <w:t>3g</w:t>
      </w:r>
      <w:r w:rsidRPr="00C1612E">
        <w:rPr>
          <w:color w:val="000000"/>
          <w:szCs w:val="24"/>
        </w:rPr>
        <w:t>)</w:t>
      </w:r>
      <w:r w:rsidRPr="0099745D">
        <w:rPr>
          <w:color w:val="000000"/>
          <w:szCs w:val="24"/>
        </w:rPr>
        <w:t xml:space="preserve"> § 7a zákona Národnej rady Slovenskej republiky č. 125/1996 Z. z. o nemorálnosti a protiprávnosti komunistického systému v znení zákona č. .../2020 Z. z., § 6a zákona č. 487/2013 </w:t>
      </w:r>
      <w:r w:rsidRPr="0099745D">
        <w:rPr>
          <w:color w:val="000000"/>
          <w:szCs w:val="24"/>
        </w:rPr>
        <w:lastRenderedPageBreak/>
        <w:t>Z. z. o protifašistickom odboji, postavení a pôsobnosti Slovenského zväzu protifašistických bojovníkov v znení zákona č. .../2020 Z. z.“.</w:t>
      </w:r>
    </w:p>
    <w:p w:rsidR="0099745D" w:rsidRPr="0099745D" w:rsidRDefault="0099745D" w:rsidP="0099745D">
      <w:pPr>
        <w:pStyle w:val="Standard"/>
        <w:spacing w:line="276" w:lineRule="auto"/>
        <w:ind w:left="709"/>
        <w:jc w:val="both"/>
        <w:rPr>
          <w:szCs w:val="24"/>
        </w:rPr>
      </w:pPr>
    </w:p>
    <w:p w:rsidR="0006612C" w:rsidRPr="0099745D" w:rsidRDefault="00CE1DBE" w:rsidP="0099745D">
      <w:pPr>
        <w:pStyle w:val="Odsekzoznamu"/>
        <w:numPr>
          <w:ilvl w:val="0"/>
          <w:numId w:val="30"/>
        </w:numPr>
        <w:spacing w:line="276" w:lineRule="auto"/>
        <w:ind w:hanging="436"/>
        <w:jc w:val="both"/>
        <w:rPr>
          <w:szCs w:val="24"/>
        </w:rPr>
      </w:pPr>
      <w:r w:rsidRPr="0099745D">
        <w:rPr>
          <w:color w:val="000000"/>
          <w:szCs w:val="24"/>
        </w:rPr>
        <w:t>V § 47a sa za odsek 1 vkladá nový odsek 2, ktorý znie:</w:t>
      </w:r>
    </w:p>
    <w:p w:rsidR="0006612C" w:rsidRDefault="00CE1DBE" w:rsidP="0099745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rPr>
        <w:t>„(2) Súčasťou výroku rozhodnutia, ktorým bol obvinený z priestupku uznaný vinným za spáchanie priestupku podľa odseku 1 písm. d), je výzva na odstránenie protiprávneho stavu v lehote do 60 dní.“.</w:t>
      </w:r>
    </w:p>
    <w:p w:rsidR="0099745D" w:rsidRPr="0099745D" w:rsidRDefault="0099745D" w:rsidP="0099745D">
      <w:pPr>
        <w:spacing w:line="276" w:lineRule="auto"/>
        <w:ind w:left="709"/>
        <w:jc w:val="both"/>
        <w:rPr>
          <w:rFonts w:ascii="Times New Roman" w:hAnsi="Times New Roman" w:cs="Times New Roman"/>
          <w:sz w:val="24"/>
          <w:szCs w:val="24"/>
        </w:rPr>
      </w:pPr>
    </w:p>
    <w:p w:rsidR="0006612C" w:rsidRDefault="00CE1DBE" w:rsidP="0099745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rPr>
        <w:t>Doterajší odsek 2 sa označuje ako odsek 3.</w:t>
      </w:r>
    </w:p>
    <w:p w:rsidR="0099745D" w:rsidRPr="0099745D" w:rsidRDefault="0099745D" w:rsidP="0099745D">
      <w:pPr>
        <w:spacing w:line="276" w:lineRule="auto"/>
        <w:ind w:left="709"/>
        <w:jc w:val="both"/>
        <w:rPr>
          <w:rFonts w:ascii="Times New Roman" w:hAnsi="Times New Roman" w:cs="Times New Roman"/>
          <w:sz w:val="24"/>
          <w:szCs w:val="24"/>
        </w:rPr>
      </w:pPr>
    </w:p>
    <w:p w:rsidR="0006612C" w:rsidRPr="00ED4D76" w:rsidRDefault="00CE1DBE" w:rsidP="0099745D">
      <w:pPr>
        <w:pStyle w:val="Odsekzoznamu"/>
        <w:numPr>
          <w:ilvl w:val="0"/>
          <w:numId w:val="30"/>
        </w:numPr>
        <w:spacing w:line="276" w:lineRule="auto"/>
        <w:ind w:hanging="436"/>
        <w:jc w:val="both"/>
        <w:rPr>
          <w:szCs w:val="24"/>
        </w:rPr>
      </w:pPr>
      <w:r w:rsidRPr="0099745D">
        <w:rPr>
          <w:color w:val="000000"/>
          <w:szCs w:val="24"/>
        </w:rPr>
        <w:t>V § 47a ods. 3 sa za slová „odseku 1“ vkladajú slová „písm. a) až c)“ a na konci sa bodka nahrádza čiarkou a pripájajú sa tieto slová: „za priestupok podľa odseku 1 písm. d) pokutu do 1 000 eur</w:t>
      </w:r>
      <w:r w:rsidR="0099745D" w:rsidRPr="0099745D">
        <w:rPr>
          <w:color w:val="000000"/>
          <w:szCs w:val="24"/>
        </w:rPr>
        <w:t>.</w:t>
      </w:r>
      <w:r w:rsidRPr="0099745D">
        <w:rPr>
          <w:color w:val="000000"/>
          <w:szCs w:val="24"/>
        </w:rPr>
        <w:t xml:space="preserve"> </w:t>
      </w:r>
      <w:r w:rsidR="0099745D" w:rsidRPr="0099745D">
        <w:rPr>
          <w:szCs w:val="24"/>
        </w:rPr>
        <w:t>Pokutu za priestupok podľa odseku 1 písm. d) možno uložiť aj opakovane, a to až do odstránenia protiprávneho stavu.</w:t>
      </w:r>
      <w:r w:rsidRPr="0099745D">
        <w:rPr>
          <w:color w:val="000000"/>
          <w:szCs w:val="24"/>
        </w:rPr>
        <w:t>“.</w:t>
      </w:r>
    </w:p>
    <w:p w:rsidR="00ED4D76" w:rsidRPr="0099745D" w:rsidRDefault="00ED4D76" w:rsidP="00ED4D76">
      <w:pPr>
        <w:pStyle w:val="Odsekzoznamu"/>
        <w:spacing w:line="276" w:lineRule="auto"/>
        <w:ind w:left="720"/>
        <w:jc w:val="both"/>
        <w:rPr>
          <w:szCs w:val="24"/>
        </w:rPr>
      </w:pPr>
    </w:p>
    <w:p w:rsidR="0006612C" w:rsidRDefault="00CE1DBE" w:rsidP="0099745D">
      <w:pPr>
        <w:pStyle w:val="Standard"/>
        <w:spacing w:line="276" w:lineRule="auto"/>
        <w:jc w:val="center"/>
        <w:rPr>
          <w:b/>
          <w:color w:val="000000"/>
          <w:szCs w:val="24"/>
        </w:rPr>
      </w:pPr>
      <w:r w:rsidRPr="0099745D">
        <w:rPr>
          <w:b/>
          <w:color w:val="000000"/>
          <w:szCs w:val="24"/>
        </w:rPr>
        <w:t>Čl. IV</w:t>
      </w:r>
    </w:p>
    <w:p w:rsidR="00125D34" w:rsidRPr="0099745D" w:rsidRDefault="00125D34" w:rsidP="0099745D">
      <w:pPr>
        <w:pStyle w:val="Standard"/>
        <w:spacing w:line="276" w:lineRule="auto"/>
        <w:jc w:val="center"/>
        <w:rPr>
          <w:szCs w:val="24"/>
        </w:rPr>
      </w:pPr>
    </w:p>
    <w:p w:rsidR="0006612C" w:rsidRDefault="00CE1DBE" w:rsidP="0099745D">
      <w:pPr>
        <w:pStyle w:val="Odsekzoznamu"/>
        <w:spacing w:line="276" w:lineRule="auto"/>
        <w:ind w:left="0" w:firstLine="708"/>
        <w:jc w:val="both"/>
        <w:rPr>
          <w:szCs w:val="24"/>
        </w:rPr>
      </w:pPr>
      <w:r w:rsidRPr="0099745D">
        <w:rPr>
          <w:szCs w:val="24"/>
        </w:rPr>
        <w:t xml:space="preserve">Zákon č. 487/2013 Z. z. o protifašistickom odboji, postavení a pôsobnosti Slovenského zväzu </w:t>
      </w:r>
      <w:r w:rsidRPr="0099745D">
        <w:rPr>
          <w:szCs w:val="24"/>
        </w:rPr>
        <w:lastRenderedPageBreak/>
        <w:t>protifašistických bojovníkov sa dopĺňa takto:</w:t>
      </w:r>
    </w:p>
    <w:p w:rsidR="0099745D" w:rsidRPr="0099745D" w:rsidRDefault="0099745D" w:rsidP="0099745D">
      <w:pPr>
        <w:pStyle w:val="Odsekzoznamu"/>
        <w:spacing w:line="276" w:lineRule="auto"/>
        <w:ind w:left="0" w:firstLine="708"/>
        <w:jc w:val="both"/>
        <w:rPr>
          <w:szCs w:val="24"/>
        </w:rPr>
      </w:pPr>
    </w:p>
    <w:p w:rsidR="0006612C" w:rsidRDefault="00CE1DBE" w:rsidP="0099745D">
      <w:pPr>
        <w:pStyle w:val="Odsekzoznamu"/>
        <w:spacing w:line="276" w:lineRule="auto"/>
        <w:ind w:left="0" w:firstLine="708"/>
        <w:jc w:val="both"/>
        <w:rPr>
          <w:szCs w:val="24"/>
        </w:rPr>
      </w:pPr>
      <w:r w:rsidRPr="0099745D">
        <w:rPr>
          <w:szCs w:val="24"/>
        </w:rPr>
        <w:t>Za § 6 sa vkladajú § 6a a</w:t>
      </w:r>
      <w:r w:rsidR="0099745D" w:rsidRPr="0099745D">
        <w:rPr>
          <w:szCs w:val="24"/>
        </w:rPr>
        <w:t>ž</w:t>
      </w:r>
      <w:r w:rsidRPr="0099745D">
        <w:rPr>
          <w:szCs w:val="24"/>
        </w:rPr>
        <w:t> 6</w:t>
      </w:r>
      <w:r w:rsidR="0099745D" w:rsidRPr="0099745D">
        <w:rPr>
          <w:szCs w:val="24"/>
        </w:rPr>
        <w:t>c</w:t>
      </w:r>
      <w:r w:rsidRPr="0099745D">
        <w:rPr>
          <w:szCs w:val="24"/>
        </w:rPr>
        <w:t>, ktoré znejú:</w:t>
      </w:r>
    </w:p>
    <w:p w:rsidR="0099745D" w:rsidRPr="0099745D" w:rsidRDefault="0099745D" w:rsidP="0099745D">
      <w:pPr>
        <w:pStyle w:val="Odsekzoznamu"/>
        <w:spacing w:line="276" w:lineRule="auto"/>
        <w:ind w:left="0" w:firstLine="708"/>
        <w:jc w:val="both"/>
        <w:rPr>
          <w:szCs w:val="24"/>
        </w:rPr>
      </w:pPr>
    </w:p>
    <w:p w:rsidR="0099745D" w:rsidRPr="0099745D" w:rsidRDefault="0099745D" w:rsidP="0099745D">
      <w:pPr>
        <w:pStyle w:val="Standard"/>
        <w:spacing w:line="276" w:lineRule="auto"/>
        <w:jc w:val="center"/>
        <w:rPr>
          <w:szCs w:val="24"/>
        </w:rPr>
      </w:pPr>
      <w:r w:rsidRPr="0099745D">
        <w:rPr>
          <w:szCs w:val="24"/>
        </w:rPr>
        <w:t>„</w:t>
      </w:r>
      <w:r w:rsidRPr="0099745D">
        <w:rPr>
          <w:b/>
          <w:szCs w:val="24"/>
        </w:rPr>
        <w:t>§ 6a</w:t>
      </w:r>
    </w:p>
    <w:p w:rsidR="0099745D" w:rsidRPr="0099745D" w:rsidRDefault="0099745D" w:rsidP="0099745D">
      <w:pPr>
        <w:pStyle w:val="Odsekzoznamu"/>
        <w:spacing w:line="276" w:lineRule="auto"/>
        <w:jc w:val="both"/>
        <w:rPr>
          <w:szCs w:val="24"/>
        </w:rPr>
      </w:pPr>
      <w:r w:rsidRPr="0099745D">
        <w:rPr>
          <w:szCs w:val="24"/>
        </w:rPr>
        <w:t>Umiestňovať na pamätníkoch, pomníkoch a pamätných tabuliach texty, vyobrazenia a symboly oslavujúce, propagujúce alebo obhajujúce režim Slovenskej republiky z rokov 1939 až 1945 alebo iný režim založený na fašistickej ideológii alebo nacistickej ideológii, alebo ich predstaviteľov sa zakazuje. Za predstaviteľov režimu podľa predchádzajúcej vety sa považujú členovia orgánov Hlinkovej slovenskej ľudovej strany na župnej a vyššej úrovni, príslušníci bezpečnostných zložiek štátu a  osoby podieľajúce sa na nacistických zločinoch</w:t>
      </w:r>
      <w:r w:rsidRPr="0099745D">
        <w:rPr>
          <w:szCs w:val="24"/>
          <w:vertAlign w:val="superscript"/>
        </w:rPr>
        <w:t>5</w:t>
      </w:r>
      <w:r w:rsidRPr="0099745D">
        <w:rPr>
          <w:szCs w:val="24"/>
        </w:rPr>
        <w:t>) v období od 14. marca 1939 do 9. mája 1945. Zákaz podľa prvej vety sa nevzťahuje na predstaviteľov režimu, ktorí sa zapojili do protifašistického odboja alebo iného odporu proti režimu Slovenskej republiky z rokov 1939 až 1945 alebo inému režimu založenému na fašistickej ideológii alebo nacistickej ideológii.</w:t>
      </w:r>
    </w:p>
    <w:p w:rsidR="0099745D" w:rsidRPr="0099745D" w:rsidRDefault="0099745D" w:rsidP="0099745D">
      <w:pPr>
        <w:pStyle w:val="Odsekzoznamu"/>
        <w:spacing w:line="276" w:lineRule="auto"/>
        <w:ind w:left="0"/>
        <w:jc w:val="both"/>
        <w:rPr>
          <w:szCs w:val="24"/>
        </w:rPr>
      </w:pPr>
    </w:p>
    <w:p w:rsidR="0099745D" w:rsidRPr="0099745D" w:rsidRDefault="0099745D" w:rsidP="0099745D">
      <w:pPr>
        <w:pStyle w:val="Standard"/>
        <w:spacing w:line="276" w:lineRule="auto"/>
        <w:jc w:val="center"/>
        <w:rPr>
          <w:szCs w:val="24"/>
        </w:rPr>
      </w:pPr>
      <w:r w:rsidRPr="0099745D">
        <w:rPr>
          <w:b/>
          <w:szCs w:val="24"/>
        </w:rPr>
        <w:lastRenderedPageBreak/>
        <w:t>§ 6b</w:t>
      </w:r>
    </w:p>
    <w:p w:rsidR="0099745D" w:rsidRDefault="0099745D" w:rsidP="0099745D">
      <w:pPr>
        <w:pStyle w:val="Odsekzoznamu"/>
        <w:spacing w:line="276" w:lineRule="auto"/>
        <w:jc w:val="both"/>
        <w:rPr>
          <w:szCs w:val="24"/>
        </w:rPr>
      </w:pPr>
      <w:r w:rsidRPr="0099745D">
        <w:rPr>
          <w:szCs w:val="24"/>
        </w:rPr>
        <w:t>V prípade pochybností o tom, či sa osoba považuje za predstaviteľa režimu Slovenskej republiky z rokov 1939 až 1945 alebo iného režimu založeného na fašistickej ideológii alebo nacistickej ideológii, na ktorého sa vzťahuje zákaz podľa § 6a, sa príslušný orgán obráti na Ústav pamäti národa,</w:t>
      </w:r>
      <w:r w:rsidRPr="0099745D">
        <w:rPr>
          <w:szCs w:val="24"/>
          <w:vertAlign w:val="superscript"/>
        </w:rPr>
        <w:t>6</w:t>
      </w:r>
      <w:r w:rsidRPr="0099745D">
        <w:rPr>
          <w:szCs w:val="24"/>
        </w:rPr>
        <w:t>) ktorý je povinný zaslať vyjadrenie v lehote do 90 dní, v ktorom zároveň posúdi aj možnú účasť posudzovanej osoby na protifašistickom odboji alebo inom odpore proti režimu Slovenskej republiky z rokov 1939 až 1945 alebo inému režimu založenému na fašistickej ideológii alebo nacistickej ideológii.</w:t>
      </w:r>
      <w:r w:rsidRPr="0099745D" w:rsidDel="0099745D">
        <w:rPr>
          <w:szCs w:val="24"/>
        </w:rPr>
        <w:t xml:space="preserve"> </w:t>
      </w:r>
    </w:p>
    <w:p w:rsidR="0006612C" w:rsidRPr="0099745D" w:rsidRDefault="0006612C" w:rsidP="0099745D">
      <w:pPr>
        <w:pStyle w:val="Odsekzoznamu"/>
        <w:spacing w:line="276" w:lineRule="auto"/>
        <w:jc w:val="both"/>
        <w:rPr>
          <w:szCs w:val="24"/>
        </w:rPr>
      </w:pPr>
    </w:p>
    <w:p w:rsidR="0006612C" w:rsidRPr="0099745D" w:rsidRDefault="00CE1DBE" w:rsidP="0099745D">
      <w:pPr>
        <w:pStyle w:val="Standard"/>
        <w:spacing w:line="276" w:lineRule="auto"/>
        <w:jc w:val="center"/>
        <w:rPr>
          <w:szCs w:val="24"/>
        </w:rPr>
      </w:pPr>
      <w:r w:rsidRPr="0099745D">
        <w:rPr>
          <w:b/>
          <w:bCs/>
          <w:color w:val="000000"/>
          <w:szCs w:val="24"/>
        </w:rPr>
        <w:t>§ 6</w:t>
      </w:r>
      <w:r w:rsidR="0099745D" w:rsidRPr="0099745D">
        <w:rPr>
          <w:b/>
          <w:bCs/>
          <w:color w:val="000000"/>
          <w:szCs w:val="24"/>
        </w:rPr>
        <w:t>c</w:t>
      </w:r>
    </w:p>
    <w:p w:rsidR="0006612C" w:rsidRDefault="00CE1DBE" w:rsidP="0099745D">
      <w:pPr>
        <w:pStyle w:val="Standard"/>
        <w:spacing w:line="276" w:lineRule="auto"/>
        <w:jc w:val="center"/>
        <w:rPr>
          <w:b/>
          <w:bCs/>
          <w:color w:val="000000"/>
          <w:szCs w:val="24"/>
        </w:rPr>
      </w:pPr>
      <w:r w:rsidRPr="0099745D">
        <w:rPr>
          <w:b/>
          <w:bCs/>
          <w:color w:val="000000"/>
          <w:szCs w:val="24"/>
        </w:rPr>
        <w:t xml:space="preserve">Prechodné ustanovenie k úprave účinnej od </w:t>
      </w:r>
      <w:r w:rsidR="00B71757" w:rsidRPr="0099745D">
        <w:rPr>
          <w:b/>
          <w:bCs/>
          <w:color w:val="000000"/>
          <w:szCs w:val="24"/>
        </w:rPr>
        <w:t>1. decembra</w:t>
      </w:r>
      <w:r w:rsidRPr="0099745D">
        <w:rPr>
          <w:b/>
          <w:bCs/>
          <w:color w:val="000000"/>
          <w:szCs w:val="24"/>
        </w:rPr>
        <w:t xml:space="preserve"> 2020</w:t>
      </w:r>
    </w:p>
    <w:p w:rsidR="0099745D" w:rsidRPr="0099745D" w:rsidRDefault="0099745D" w:rsidP="0099745D">
      <w:pPr>
        <w:pStyle w:val="Standard"/>
        <w:spacing w:line="276" w:lineRule="auto"/>
        <w:jc w:val="center"/>
        <w:rPr>
          <w:szCs w:val="24"/>
        </w:rPr>
      </w:pPr>
    </w:p>
    <w:p w:rsidR="0006612C" w:rsidRDefault="00CE1DBE" w:rsidP="009967DD">
      <w:pPr>
        <w:spacing w:line="276" w:lineRule="auto"/>
        <w:ind w:left="709"/>
        <w:jc w:val="both"/>
        <w:rPr>
          <w:rFonts w:ascii="Times New Roman" w:hAnsi="Times New Roman" w:cs="Times New Roman"/>
          <w:color w:val="000000"/>
          <w:sz w:val="24"/>
          <w:szCs w:val="24"/>
        </w:rPr>
      </w:pPr>
      <w:r w:rsidRPr="0099745D">
        <w:rPr>
          <w:rFonts w:ascii="Times New Roman" w:hAnsi="Times New Roman" w:cs="Times New Roman"/>
          <w:color w:val="000000"/>
          <w:sz w:val="24"/>
          <w:szCs w:val="24"/>
        </w:rPr>
        <w:t xml:space="preserve">Na pamätníky, pomníky a pamätné tabule podľa § 6a umiestnené do </w:t>
      </w:r>
      <w:r w:rsidR="00B71757" w:rsidRPr="0099745D">
        <w:rPr>
          <w:rFonts w:ascii="Times New Roman" w:hAnsi="Times New Roman" w:cs="Times New Roman"/>
          <w:color w:val="000000"/>
          <w:sz w:val="24"/>
          <w:szCs w:val="24"/>
        </w:rPr>
        <w:t>30. novembra</w:t>
      </w:r>
      <w:r w:rsidR="00B71757" w:rsidRPr="0099745D" w:rsidDel="00B71757">
        <w:rPr>
          <w:rFonts w:ascii="Times New Roman" w:hAnsi="Times New Roman" w:cs="Times New Roman"/>
          <w:color w:val="000000"/>
          <w:sz w:val="24"/>
          <w:szCs w:val="24"/>
        </w:rPr>
        <w:t xml:space="preserve"> </w:t>
      </w:r>
      <w:r w:rsidRPr="0099745D">
        <w:rPr>
          <w:rFonts w:ascii="Times New Roman" w:hAnsi="Times New Roman" w:cs="Times New Roman"/>
          <w:color w:val="000000"/>
          <w:sz w:val="24"/>
          <w:szCs w:val="24"/>
        </w:rPr>
        <w:t>2020 sa vzťahujú doterajšie predpisy.“.</w:t>
      </w:r>
    </w:p>
    <w:p w:rsidR="0099745D" w:rsidRPr="0099745D" w:rsidRDefault="0099745D" w:rsidP="009967DD">
      <w:pPr>
        <w:spacing w:line="276" w:lineRule="auto"/>
        <w:ind w:left="709"/>
        <w:jc w:val="both"/>
        <w:rPr>
          <w:rFonts w:ascii="Times New Roman" w:hAnsi="Times New Roman" w:cs="Times New Roman"/>
          <w:color w:val="000000"/>
          <w:sz w:val="24"/>
          <w:szCs w:val="24"/>
        </w:rPr>
      </w:pPr>
    </w:p>
    <w:p w:rsidR="0099745D" w:rsidRPr="0099745D" w:rsidRDefault="0099745D" w:rsidP="009967DD">
      <w:pPr>
        <w:pStyle w:val="Standard"/>
        <w:spacing w:line="276" w:lineRule="auto"/>
        <w:ind w:left="709"/>
        <w:jc w:val="both"/>
        <w:rPr>
          <w:szCs w:val="24"/>
        </w:rPr>
      </w:pPr>
      <w:r w:rsidRPr="0099745D">
        <w:rPr>
          <w:szCs w:val="24"/>
        </w:rPr>
        <w:t>Poznámky pod čiarou k odkazom 5 a 6 znejú:</w:t>
      </w:r>
    </w:p>
    <w:p w:rsidR="0099745D" w:rsidRPr="0099745D" w:rsidRDefault="0099745D" w:rsidP="009967D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rPr>
        <w:t>„</w:t>
      </w:r>
      <w:r w:rsidRPr="0099745D">
        <w:rPr>
          <w:rFonts w:ascii="Times New Roman" w:hAnsi="Times New Roman" w:cs="Times New Roman"/>
          <w:sz w:val="24"/>
          <w:szCs w:val="24"/>
          <w:vertAlign w:val="superscript"/>
        </w:rPr>
        <w:t>5</w:t>
      </w:r>
      <w:r w:rsidRPr="0099745D">
        <w:rPr>
          <w:rFonts w:ascii="Times New Roman" w:hAnsi="Times New Roman" w:cs="Times New Roman"/>
          <w:sz w:val="24"/>
          <w:szCs w:val="24"/>
        </w:rPr>
        <w:t xml:space="preserve">) § 3 ods. 1 zákona č. 553/2002 Z. z. o sprístupnení dokumentov o činnosti </w:t>
      </w:r>
      <w:r w:rsidRPr="0099745D">
        <w:rPr>
          <w:rFonts w:ascii="Times New Roman" w:hAnsi="Times New Roman" w:cs="Times New Roman"/>
          <w:sz w:val="24"/>
          <w:szCs w:val="24"/>
        </w:rPr>
        <w:lastRenderedPageBreak/>
        <w:t>bezpečnostných zložiek štátu 1939 – 1989 a o založení Ústavu pamäti národa a o doplnení niektorých zákonov (zákon o pamäti národa) v znení neskorších predpisov.</w:t>
      </w:r>
    </w:p>
    <w:p w:rsidR="0099745D" w:rsidRPr="0099745D" w:rsidRDefault="0099745D" w:rsidP="009967DD">
      <w:pPr>
        <w:spacing w:line="276" w:lineRule="auto"/>
        <w:ind w:left="709"/>
        <w:jc w:val="both"/>
        <w:rPr>
          <w:rFonts w:ascii="Times New Roman" w:hAnsi="Times New Roman" w:cs="Times New Roman"/>
          <w:sz w:val="24"/>
          <w:szCs w:val="24"/>
        </w:rPr>
      </w:pPr>
      <w:r w:rsidRPr="0099745D">
        <w:rPr>
          <w:rFonts w:ascii="Times New Roman" w:hAnsi="Times New Roman" w:cs="Times New Roman"/>
          <w:sz w:val="24"/>
          <w:szCs w:val="24"/>
          <w:vertAlign w:val="superscript"/>
        </w:rPr>
        <w:t>6</w:t>
      </w:r>
      <w:r w:rsidRPr="0099745D">
        <w:rPr>
          <w:rFonts w:ascii="Times New Roman" w:hAnsi="Times New Roman" w:cs="Times New Roman"/>
          <w:sz w:val="24"/>
          <w:szCs w:val="24"/>
        </w:rPr>
        <w:t>) § 7 ods. 1 zákona č. 553/2002 Z. z.“.</w:t>
      </w:r>
    </w:p>
    <w:p w:rsidR="0099745D" w:rsidRPr="0099745D" w:rsidRDefault="0099745D" w:rsidP="0099745D">
      <w:pPr>
        <w:spacing w:line="276" w:lineRule="auto"/>
        <w:jc w:val="both"/>
        <w:rPr>
          <w:rFonts w:ascii="Times New Roman" w:hAnsi="Times New Roman" w:cs="Times New Roman"/>
          <w:sz w:val="24"/>
          <w:szCs w:val="24"/>
        </w:rPr>
      </w:pPr>
    </w:p>
    <w:p w:rsidR="0006612C" w:rsidRPr="0099745D" w:rsidRDefault="0006612C" w:rsidP="0099745D">
      <w:pPr>
        <w:pStyle w:val="Standard"/>
        <w:spacing w:line="276" w:lineRule="auto"/>
        <w:jc w:val="center"/>
        <w:rPr>
          <w:b/>
          <w:color w:val="000000"/>
          <w:szCs w:val="24"/>
        </w:rPr>
      </w:pPr>
    </w:p>
    <w:p w:rsidR="0006612C" w:rsidRDefault="00CE1DBE" w:rsidP="0099745D">
      <w:pPr>
        <w:pStyle w:val="Standard"/>
        <w:spacing w:line="276" w:lineRule="auto"/>
        <w:jc w:val="center"/>
        <w:rPr>
          <w:b/>
          <w:szCs w:val="24"/>
        </w:rPr>
      </w:pPr>
      <w:r w:rsidRPr="0099745D">
        <w:rPr>
          <w:b/>
          <w:szCs w:val="24"/>
        </w:rPr>
        <w:t>Čl. V</w:t>
      </w:r>
    </w:p>
    <w:p w:rsidR="0099745D" w:rsidRPr="0099745D" w:rsidRDefault="0099745D" w:rsidP="0099745D">
      <w:pPr>
        <w:pStyle w:val="Standard"/>
        <w:spacing w:line="276" w:lineRule="auto"/>
        <w:jc w:val="center"/>
        <w:rPr>
          <w:szCs w:val="24"/>
        </w:rPr>
      </w:pPr>
    </w:p>
    <w:p w:rsidR="0006612C" w:rsidRDefault="00CE1DBE" w:rsidP="0099745D">
      <w:pPr>
        <w:pStyle w:val="Standard"/>
        <w:spacing w:line="276" w:lineRule="auto"/>
        <w:ind w:firstLine="708"/>
        <w:jc w:val="both"/>
        <w:rPr>
          <w:szCs w:val="24"/>
        </w:rPr>
      </w:pPr>
      <w:r w:rsidRPr="0099745D">
        <w:rPr>
          <w:szCs w:val="24"/>
        </w:rPr>
        <w:t xml:space="preserve">Tento zákon nadobúda účinnosť </w:t>
      </w:r>
      <w:r w:rsidR="00B71757" w:rsidRPr="0099745D">
        <w:rPr>
          <w:szCs w:val="24"/>
        </w:rPr>
        <w:t xml:space="preserve">1. decembra </w:t>
      </w:r>
      <w:r w:rsidRPr="0099745D">
        <w:rPr>
          <w:szCs w:val="24"/>
        </w:rPr>
        <w:t xml:space="preserve"> 2020.</w:t>
      </w: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Default="009967DD" w:rsidP="0099745D">
      <w:pPr>
        <w:pStyle w:val="Standard"/>
        <w:spacing w:line="276" w:lineRule="auto"/>
        <w:ind w:firstLine="708"/>
        <w:jc w:val="both"/>
        <w:rPr>
          <w:szCs w:val="24"/>
        </w:rPr>
      </w:pPr>
    </w:p>
    <w:p w:rsidR="009967DD" w:rsidRPr="00E106F1" w:rsidRDefault="009967DD" w:rsidP="009967DD">
      <w:pPr>
        <w:ind w:firstLine="426"/>
        <w:jc w:val="center"/>
        <w:rPr>
          <w:rFonts w:ascii="Times New Roman" w:hAnsi="Times New Roman" w:cs="Times New Roman"/>
          <w:sz w:val="24"/>
          <w:szCs w:val="24"/>
        </w:rPr>
      </w:pPr>
      <w:r w:rsidRPr="00E106F1">
        <w:rPr>
          <w:rFonts w:ascii="Times New Roman" w:hAnsi="Times New Roman" w:cs="Times New Roman"/>
          <w:sz w:val="24"/>
          <w:szCs w:val="24"/>
        </w:rPr>
        <w:t>prezident</w:t>
      </w:r>
      <w:r>
        <w:rPr>
          <w:rFonts w:ascii="Times New Roman" w:hAnsi="Times New Roman" w:cs="Times New Roman"/>
          <w:sz w:val="24"/>
          <w:szCs w:val="24"/>
        </w:rPr>
        <w:t>ka</w:t>
      </w:r>
      <w:r w:rsidRPr="00E106F1">
        <w:rPr>
          <w:rFonts w:ascii="Times New Roman" w:hAnsi="Times New Roman" w:cs="Times New Roman"/>
          <w:sz w:val="24"/>
          <w:szCs w:val="24"/>
        </w:rPr>
        <w:t xml:space="preserve">  Slovenskej republiky</w:t>
      </w: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r w:rsidRPr="00E106F1">
        <w:rPr>
          <w:rFonts w:ascii="Times New Roman" w:hAnsi="Times New Roman" w:cs="Times New Roman"/>
          <w:sz w:val="24"/>
          <w:szCs w:val="24"/>
        </w:rPr>
        <w:t>predseda Národnej rady Slovenskej republiky</w:t>
      </w: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p>
    <w:p w:rsidR="009967DD" w:rsidRPr="00E106F1" w:rsidRDefault="009967DD" w:rsidP="009967DD">
      <w:pPr>
        <w:ind w:firstLine="426"/>
        <w:jc w:val="center"/>
        <w:rPr>
          <w:rFonts w:ascii="Times New Roman" w:hAnsi="Times New Roman" w:cs="Times New Roman"/>
          <w:sz w:val="24"/>
          <w:szCs w:val="24"/>
        </w:rPr>
      </w:pPr>
      <w:r w:rsidRPr="00E106F1">
        <w:rPr>
          <w:rFonts w:ascii="Times New Roman" w:hAnsi="Times New Roman" w:cs="Times New Roman"/>
          <w:sz w:val="24"/>
          <w:szCs w:val="24"/>
        </w:rPr>
        <w:t>predseda vlády Slovenskej republiky</w:t>
      </w:r>
    </w:p>
    <w:p w:rsidR="009967DD" w:rsidRPr="0099745D" w:rsidRDefault="009967DD" w:rsidP="0099745D">
      <w:pPr>
        <w:pStyle w:val="Standard"/>
        <w:spacing w:line="276" w:lineRule="auto"/>
        <w:ind w:firstLine="708"/>
        <w:jc w:val="both"/>
        <w:rPr>
          <w:szCs w:val="24"/>
        </w:rPr>
      </w:pPr>
    </w:p>
    <w:sectPr w:rsidR="009967DD" w:rsidRPr="0099745D" w:rsidSect="009967DD">
      <w:footerReference w:type="default" r:id="rId7"/>
      <w:footerReference w:type="first" r:id="rId8"/>
      <w:pgSz w:w="11906" w:h="16838"/>
      <w:pgMar w:top="1695" w:right="1418" w:bottom="1695" w:left="1418"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9D" w:rsidRDefault="00072B9D">
      <w:r>
        <w:separator/>
      </w:r>
    </w:p>
  </w:endnote>
  <w:endnote w:type="continuationSeparator" w:id="0">
    <w:p w:rsidR="00072B9D" w:rsidRDefault="0007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041023"/>
      <w:docPartObj>
        <w:docPartGallery w:val="Page Numbers (Bottom of Page)"/>
        <w:docPartUnique/>
      </w:docPartObj>
    </w:sdtPr>
    <w:sdtContent>
      <w:p w:rsidR="009967DD" w:rsidRDefault="009967DD">
        <w:pPr>
          <w:pStyle w:val="Pta"/>
          <w:jc w:val="center"/>
        </w:pPr>
        <w:r>
          <w:fldChar w:fldCharType="begin"/>
        </w:r>
        <w:r>
          <w:instrText>PAGE   \* MERGEFORMAT</w:instrText>
        </w:r>
        <w:r>
          <w:fldChar w:fldCharType="separate"/>
        </w:r>
        <w:r w:rsidR="00C1612E">
          <w:rPr>
            <w:noProof/>
          </w:rPr>
          <w:t>8</w:t>
        </w:r>
        <w:r>
          <w:fldChar w:fldCharType="end"/>
        </w:r>
      </w:p>
    </w:sdtContent>
  </w:sdt>
  <w:p w:rsidR="009967DD" w:rsidRDefault="009967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993546"/>
      <w:docPartObj>
        <w:docPartGallery w:val="Page Numbers (Bottom of Page)"/>
        <w:docPartUnique/>
      </w:docPartObj>
    </w:sdtPr>
    <w:sdtContent>
      <w:p w:rsidR="009967DD" w:rsidRDefault="009967DD">
        <w:pPr>
          <w:pStyle w:val="Pta"/>
          <w:jc w:val="center"/>
        </w:pPr>
        <w:r>
          <w:fldChar w:fldCharType="begin"/>
        </w:r>
        <w:r>
          <w:instrText>PAGE   \* MERGEFORMAT</w:instrText>
        </w:r>
        <w:r>
          <w:fldChar w:fldCharType="separate"/>
        </w:r>
        <w:r w:rsidR="00C1612E">
          <w:rPr>
            <w:noProof/>
          </w:rPr>
          <w:t>1</w:t>
        </w:r>
        <w:r>
          <w:fldChar w:fldCharType="end"/>
        </w:r>
      </w:p>
    </w:sdtContent>
  </w:sdt>
  <w:p w:rsidR="009967DD" w:rsidRDefault="009967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9D" w:rsidRDefault="00072B9D">
      <w:r>
        <w:rPr>
          <w:color w:val="000000"/>
        </w:rPr>
        <w:separator/>
      </w:r>
    </w:p>
  </w:footnote>
  <w:footnote w:type="continuationSeparator" w:id="0">
    <w:p w:rsidR="00072B9D" w:rsidRDefault="00072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C13"/>
    <w:multiLevelType w:val="multilevel"/>
    <w:tmpl w:val="6D12CBD6"/>
    <w:styleLink w:val="WWNum2"/>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FC76B3B"/>
    <w:multiLevelType w:val="multilevel"/>
    <w:tmpl w:val="13A4E89E"/>
    <w:styleLink w:val="WWNum2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 w15:restartNumberingAfterBreak="0">
    <w:nsid w:val="13D46B12"/>
    <w:multiLevelType w:val="multilevel"/>
    <w:tmpl w:val="C4E286D0"/>
    <w:styleLink w:val="WWNum10"/>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17AA03B2"/>
    <w:multiLevelType w:val="multilevel"/>
    <w:tmpl w:val="D7906A58"/>
    <w:styleLink w:val="WWNum1"/>
    <w:lvl w:ilvl="0">
      <w:start w:val="1"/>
      <w:numFmt w:val="decimal"/>
      <w:lvlText w:val="%1."/>
      <w:lvlJc w:val="left"/>
      <w:pPr>
        <w:ind w:left="1146" w:hanging="360"/>
      </w:pPr>
      <w:rPr>
        <w:rFonts w:cs="Times New Roman"/>
        <w:b/>
        <w:sz w:val="22"/>
      </w:rPr>
    </w:lvl>
    <w:lvl w:ilvl="1">
      <w:start w:val="1"/>
      <w:numFmt w:val="lowerLetter"/>
      <w:lvlText w:val="%2."/>
      <w:lvlJc w:val="left"/>
      <w:pPr>
        <w:ind w:left="1866" w:hanging="360"/>
      </w:pPr>
      <w:rPr>
        <w:rFonts w:cs="Times New Roman"/>
      </w:rPr>
    </w:lvl>
    <w:lvl w:ilvl="2">
      <w:start w:val="1"/>
      <w:numFmt w:val="lowerRoman"/>
      <w:lvlText w:val="%1.%2.%3."/>
      <w:lvlJc w:val="right"/>
      <w:pPr>
        <w:ind w:left="2586" w:hanging="180"/>
      </w:pPr>
      <w:rPr>
        <w:rFonts w:cs="Times New Roman"/>
      </w:rPr>
    </w:lvl>
    <w:lvl w:ilvl="3">
      <w:start w:val="1"/>
      <w:numFmt w:val="decimal"/>
      <w:lvlText w:val="%1.%2.%3.%4."/>
      <w:lvlJc w:val="left"/>
      <w:pPr>
        <w:ind w:left="3306" w:hanging="360"/>
      </w:pPr>
      <w:rPr>
        <w:rFonts w:cs="Times New Roman"/>
      </w:rPr>
    </w:lvl>
    <w:lvl w:ilvl="4">
      <w:start w:val="1"/>
      <w:numFmt w:val="lowerLetter"/>
      <w:lvlText w:val="%1.%2.%3.%4.%5."/>
      <w:lvlJc w:val="left"/>
      <w:pPr>
        <w:ind w:left="4026" w:hanging="360"/>
      </w:pPr>
      <w:rPr>
        <w:rFonts w:cs="Times New Roman"/>
      </w:rPr>
    </w:lvl>
    <w:lvl w:ilvl="5">
      <w:start w:val="1"/>
      <w:numFmt w:val="lowerRoman"/>
      <w:lvlText w:val="%1.%2.%3.%4.%5.%6."/>
      <w:lvlJc w:val="right"/>
      <w:pPr>
        <w:ind w:left="4746" w:hanging="180"/>
      </w:pPr>
      <w:rPr>
        <w:rFonts w:cs="Times New Roman"/>
      </w:rPr>
    </w:lvl>
    <w:lvl w:ilvl="6">
      <w:start w:val="1"/>
      <w:numFmt w:val="decimal"/>
      <w:lvlText w:val="%1.%2.%3.%4.%5.%6.%7."/>
      <w:lvlJc w:val="left"/>
      <w:pPr>
        <w:ind w:left="5466" w:hanging="360"/>
      </w:pPr>
      <w:rPr>
        <w:rFonts w:cs="Times New Roman"/>
      </w:rPr>
    </w:lvl>
    <w:lvl w:ilvl="7">
      <w:start w:val="1"/>
      <w:numFmt w:val="lowerLetter"/>
      <w:lvlText w:val="%1.%2.%3.%4.%5.%6.%7.%8."/>
      <w:lvlJc w:val="left"/>
      <w:pPr>
        <w:ind w:left="6186" w:hanging="360"/>
      </w:pPr>
      <w:rPr>
        <w:rFonts w:cs="Times New Roman"/>
      </w:rPr>
    </w:lvl>
    <w:lvl w:ilvl="8">
      <w:start w:val="1"/>
      <w:numFmt w:val="lowerRoman"/>
      <w:lvlText w:val="%1.%2.%3.%4.%5.%6.%7.%8.%9."/>
      <w:lvlJc w:val="right"/>
      <w:pPr>
        <w:ind w:left="6906" w:hanging="180"/>
      </w:pPr>
      <w:rPr>
        <w:rFonts w:cs="Times New Roman"/>
      </w:rPr>
    </w:lvl>
  </w:abstractNum>
  <w:abstractNum w:abstractNumId="4" w15:restartNumberingAfterBreak="0">
    <w:nsid w:val="1AC07570"/>
    <w:multiLevelType w:val="multilevel"/>
    <w:tmpl w:val="17D6B228"/>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31047DF"/>
    <w:multiLevelType w:val="multilevel"/>
    <w:tmpl w:val="DA4AE634"/>
    <w:styleLink w:val="WWNum15"/>
    <w:lvl w:ilvl="0">
      <w:start w:val="1"/>
      <w:numFmt w:val="decimal"/>
      <w:lvlText w:val="(%1)"/>
      <w:lvlJc w:val="left"/>
      <w:pPr>
        <w:ind w:left="1421" w:hanging="570"/>
      </w:pPr>
      <w:rPr>
        <w:rFonts w:cs="Times New Roman"/>
        <w:sz w:val="22"/>
      </w:rPr>
    </w:lvl>
    <w:lvl w:ilvl="1">
      <w:start w:val="1"/>
      <w:numFmt w:val="lowerLetter"/>
      <w:lvlText w:val="%2."/>
      <w:lvlJc w:val="left"/>
      <w:pPr>
        <w:ind w:left="1931" w:hanging="360"/>
      </w:pPr>
      <w:rPr>
        <w:rFonts w:cs="Times New Roman"/>
      </w:rPr>
    </w:lvl>
    <w:lvl w:ilvl="2">
      <w:start w:val="1"/>
      <w:numFmt w:val="lowerRoman"/>
      <w:lvlText w:val="%1.%2.%3."/>
      <w:lvlJc w:val="right"/>
      <w:pPr>
        <w:ind w:left="2651" w:hanging="180"/>
      </w:pPr>
      <w:rPr>
        <w:rFonts w:cs="Times New Roman"/>
      </w:rPr>
    </w:lvl>
    <w:lvl w:ilvl="3">
      <w:start w:val="1"/>
      <w:numFmt w:val="decimal"/>
      <w:lvlText w:val="%1.%2.%3.%4."/>
      <w:lvlJc w:val="left"/>
      <w:pPr>
        <w:ind w:left="3371" w:hanging="360"/>
      </w:pPr>
      <w:rPr>
        <w:rFonts w:cs="Times New Roman"/>
      </w:rPr>
    </w:lvl>
    <w:lvl w:ilvl="4">
      <w:start w:val="1"/>
      <w:numFmt w:val="lowerLetter"/>
      <w:lvlText w:val="%1.%2.%3.%4.%5."/>
      <w:lvlJc w:val="left"/>
      <w:pPr>
        <w:ind w:left="4091" w:hanging="360"/>
      </w:pPr>
      <w:rPr>
        <w:rFonts w:cs="Times New Roman"/>
      </w:rPr>
    </w:lvl>
    <w:lvl w:ilvl="5">
      <w:start w:val="1"/>
      <w:numFmt w:val="lowerRoman"/>
      <w:lvlText w:val="%1.%2.%3.%4.%5.%6."/>
      <w:lvlJc w:val="right"/>
      <w:pPr>
        <w:ind w:left="4811" w:hanging="180"/>
      </w:pPr>
      <w:rPr>
        <w:rFonts w:cs="Times New Roman"/>
      </w:rPr>
    </w:lvl>
    <w:lvl w:ilvl="6">
      <w:start w:val="1"/>
      <w:numFmt w:val="decimal"/>
      <w:lvlText w:val="%1.%2.%3.%4.%5.%6.%7."/>
      <w:lvlJc w:val="left"/>
      <w:pPr>
        <w:ind w:left="5531" w:hanging="360"/>
      </w:pPr>
      <w:rPr>
        <w:rFonts w:cs="Times New Roman"/>
      </w:rPr>
    </w:lvl>
    <w:lvl w:ilvl="7">
      <w:start w:val="1"/>
      <w:numFmt w:val="lowerLetter"/>
      <w:lvlText w:val="%1.%2.%3.%4.%5.%6.%7.%8."/>
      <w:lvlJc w:val="left"/>
      <w:pPr>
        <w:ind w:left="6251" w:hanging="360"/>
      </w:pPr>
      <w:rPr>
        <w:rFonts w:cs="Times New Roman"/>
      </w:rPr>
    </w:lvl>
    <w:lvl w:ilvl="8">
      <w:start w:val="1"/>
      <w:numFmt w:val="lowerRoman"/>
      <w:lvlText w:val="%1.%2.%3.%4.%5.%6.%7.%8.%9."/>
      <w:lvlJc w:val="right"/>
      <w:pPr>
        <w:ind w:left="6971" w:hanging="180"/>
      </w:pPr>
      <w:rPr>
        <w:rFonts w:cs="Times New Roman"/>
      </w:rPr>
    </w:lvl>
  </w:abstractNum>
  <w:abstractNum w:abstractNumId="6" w15:restartNumberingAfterBreak="0">
    <w:nsid w:val="23E94AD2"/>
    <w:multiLevelType w:val="multilevel"/>
    <w:tmpl w:val="54FA928A"/>
    <w:styleLink w:val="WWNum2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7" w15:restartNumberingAfterBreak="0">
    <w:nsid w:val="26D44997"/>
    <w:multiLevelType w:val="multilevel"/>
    <w:tmpl w:val="BF2C73CA"/>
    <w:styleLink w:val="WWNum3"/>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27051FBF"/>
    <w:multiLevelType w:val="multilevel"/>
    <w:tmpl w:val="2B5CEF50"/>
    <w:styleLink w:val="WWNum26"/>
    <w:lvl w:ilvl="0">
      <w:start w:val="1"/>
      <w:numFmt w:val="upp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9" w15:restartNumberingAfterBreak="0">
    <w:nsid w:val="29B6617B"/>
    <w:multiLevelType w:val="multilevel"/>
    <w:tmpl w:val="E9A4FEE8"/>
    <w:styleLink w:val="WWNum11"/>
    <w:lvl w:ilvl="0">
      <w:start w:val="1"/>
      <w:numFmt w:val="lowerLetter"/>
      <w:lvlText w:val="%1)"/>
      <w:lvlJc w:val="left"/>
      <w:pPr>
        <w:ind w:left="1440" w:hanging="360"/>
      </w:pPr>
      <w:rPr>
        <w:rFonts w:cs="Times New Roman"/>
        <w:sz w:val="22"/>
      </w:rPr>
    </w:lvl>
    <w:lvl w:ilvl="1">
      <w:start w:val="1"/>
      <w:numFmt w:val="upperRoman"/>
      <w:lvlText w:val="%2."/>
      <w:lvlJc w:val="left"/>
      <w:pPr>
        <w:ind w:left="2520" w:hanging="720"/>
      </w:pPr>
      <w:rPr>
        <w:rFonts w:cs="Arial"/>
        <w:color w:val="444444"/>
        <w:sz w:val="20"/>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10" w15:restartNumberingAfterBreak="0">
    <w:nsid w:val="2CCD7182"/>
    <w:multiLevelType w:val="multilevel"/>
    <w:tmpl w:val="AE84766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2EF119A3"/>
    <w:multiLevelType w:val="multilevel"/>
    <w:tmpl w:val="79F426D0"/>
    <w:styleLink w:val="WWNum27"/>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2" w15:restartNumberingAfterBreak="0">
    <w:nsid w:val="32A76DDE"/>
    <w:multiLevelType w:val="multilevel"/>
    <w:tmpl w:val="52A4CF12"/>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6AF0EDB"/>
    <w:multiLevelType w:val="multilevel"/>
    <w:tmpl w:val="BB761606"/>
    <w:lvl w:ilvl="0">
      <w:start w:val="1"/>
      <w:numFmt w:val="decimal"/>
      <w:lvlText w:val="%1."/>
      <w:lvlJc w:val="left"/>
      <w:pPr>
        <w:ind w:left="2138" w:hanging="360"/>
      </w:pPr>
      <w:rPr>
        <w:rFonts w:ascii="Times New Roman" w:hAnsi="Times New Roman" w:cs="Times New Roman" w:hint="default"/>
        <w:sz w:val="24"/>
        <w:szCs w:val="24"/>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4" w15:restartNumberingAfterBreak="0">
    <w:nsid w:val="38F26BBD"/>
    <w:multiLevelType w:val="hybridMultilevel"/>
    <w:tmpl w:val="8420485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E0D2B8A"/>
    <w:multiLevelType w:val="multilevel"/>
    <w:tmpl w:val="F4448F1E"/>
    <w:styleLink w:val="WWNum18"/>
    <w:lvl w:ilvl="0">
      <w:start w:val="1"/>
      <w:numFmt w:val="lowerLetter"/>
      <w:lvlText w:val="%1)"/>
      <w:lvlJc w:val="left"/>
      <w:pPr>
        <w:ind w:left="1789" w:hanging="360"/>
      </w:pPr>
      <w:rPr>
        <w:rFonts w:cs="Times New Roman"/>
        <w:sz w:val="22"/>
      </w:rPr>
    </w:lvl>
    <w:lvl w:ilvl="1">
      <w:start w:val="1"/>
      <w:numFmt w:val="lowerLetter"/>
      <w:lvlText w:val="%2."/>
      <w:lvlJc w:val="left"/>
      <w:pPr>
        <w:ind w:left="2509" w:hanging="360"/>
      </w:pPr>
      <w:rPr>
        <w:rFonts w:cs="Times New Roman"/>
      </w:rPr>
    </w:lvl>
    <w:lvl w:ilvl="2">
      <w:start w:val="1"/>
      <w:numFmt w:val="lowerRoman"/>
      <w:lvlText w:val="%1.%2.%3."/>
      <w:lvlJc w:val="right"/>
      <w:pPr>
        <w:ind w:left="3229" w:hanging="180"/>
      </w:pPr>
      <w:rPr>
        <w:rFonts w:cs="Times New Roman"/>
      </w:rPr>
    </w:lvl>
    <w:lvl w:ilvl="3">
      <w:start w:val="1"/>
      <w:numFmt w:val="decimal"/>
      <w:lvlText w:val="%1.%2.%3.%4."/>
      <w:lvlJc w:val="left"/>
      <w:pPr>
        <w:ind w:left="3949" w:hanging="360"/>
      </w:pPr>
      <w:rPr>
        <w:rFonts w:cs="Times New Roman"/>
      </w:rPr>
    </w:lvl>
    <w:lvl w:ilvl="4">
      <w:start w:val="1"/>
      <w:numFmt w:val="lowerLetter"/>
      <w:lvlText w:val="%1.%2.%3.%4.%5."/>
      <w:lvlJc w:val="left"/>
      <w:pPr>
        <w:ind w:left="4669" w:hanging="360"/>
      </w:pPr>
      <w:rPr>
        <w:rFonts w:cs="Times New Roman"/>
      </w:rPr>
    </w:lvl>
    <w:lvl w:ilvl="5">
      <w:start w:val="1"/>
      <w:numFmt w:val="lowerRoman"/>
      <w:lvlText w:val="%1.%2.%3.%4.%5.%6."/>
      <w:lvlJc w:val="right"/>
      <w:pPr>
        <w:ind w:left="5389" w:hanging="180"/>
      </w:pPr>
      <w:rPr>
        <w:rFonts w:cs="Times New Roman"/>
      </w:rPr>
    </w:lvl>
    <w:lvl w:ilvl="6">
      <w:start w:val="1"/>
      <w:numFmt w:val="decimal"/>
      <w:lvlText w:val="%1.%2.%3.%4.%5.%6.%7."/>
      <w:lvlJc w:val="left"/>
      <w:pPr>
        <w:ind w:left="6109" w:hanging="360"/>
      </w:pPr>
      <w:rPr>
        <w:rFonts w:cs="Times New Roman"/>
      </w:rPr>
    </w:lvl>
    <w:lvl w:ilvl="7">
      <w:start w:val="1"/>
      <w:numFmt w:val="lowerLetter"/>
      <w:lvlText w:val="%1.%2.%3.%4.%5.%6.%7.%8."/>
      <w:lvlJc w:val="left"/>
      <w:pPr>
        <w:ind w:left="6829" w:hanging="360"/>
      </w:pPr>
      <w:rPr>
        <w:rFonts w:cs="Times New Roman"/>
      </w:rPr>
    </w:lvl>
    <w:lvl w:ilvl="8">
      <w:start w:val="1"/>
      <w:numFmt w:val="lowerRoman"/>
      <w:lvlText w:val="%1.%2.%3.%4.%5.%6.%7.%8.%9."/>
      <w:lvlJc w:val="right"/>
      <w:pPr>
        <w:ind w:left="7549" w:hanging="180"/>
      </w:pPr>
      <w:rPr>
        <w:rFonts w:cs="Times New Roman"/>
      </w:rPr>
    </w:lvl>
  </w:abstractNum>
  <w:abstractNum w:abstractNumId="16" w15:restartNumberingAfterBreak="0">
    <w:nsid w:val="3EC72C57"/>
    <w:multiLevelType w:val="multilevel"/>
    <w:tmpl w:val="9B4AEFAE"/>
    <w:styleLink w:val="WWNum4"/>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15:restartNumberingAfterBreak="0">
    <w:nsid w:val="450169F3"/>
    <w:multiLevelType w:val="multilevel"/>
    <w:tmpl w:val="CB087AB6"/>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8BC24AA"/>
    <w:multiLevelType w:val="multilevel"/>
    <w:tmpl w:val="6E701992"/>
    <w:styleLink w:val="WWNum14"/>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4A421D49"/>
    <w:multiLevelType w:val="multilevel"/>
    <w:tmpl w:val="58284798"/>
    <w:styleLink w:val="WWNum5"/>
    <w:lvl w:ilvl="0">
      <w:start w:val="1"/>
      <w:numFmt w:val="upperRoman"/>
      <w:lvlText w:val="%1."/>
      <w:lvlJc w:val="left"/>
      <w:pPr>
        <w:ind w:left="1080" w:hanging="72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0" w15:restartNumberingAfterBreak="0">
    <w:nsid w:val="4E3E6948"/>
    <w:multiLevelType w:val="multilevel"/>
    <w:tmpl w:val="8B2818EE"/>
    <w:styleLink w:val="WWNum12"/>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560542DC"/>
    <w:multiLevelType w:val="multilevel"/>
    <w:tmpl w:val="6A5A9CB2"/>
    <w:styleLink w:val="WWNum24"/>
    <w:lvl w:ilvl="0">
      <w:start w:val="1"/>
      <w:numFmt w:val="decimal"/>
      <w:lvlText w:val="(%1)"/>
      <w:lvlJc w:val="left"/>
      <w:pPr>
        <w:ind w:left="1069" w:hanging="360"/>
      </w:pPr>
      <w:rPr>
        <w:rFonts w:eastAsia="Times New Roman"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2" w15:restartNumberingAfterBreak="0">
    <w:nsid w:val="64E21096"/>
    <w:multiLevelType w:val="multilevel"/>
    <w:tmpl w:val="FA80AE96"/>
    <w:styleLink w:val="WWNum9"/>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15:restartNumberingAfterBreak="0">
    <w:nsid w:val="6B35105D"/>
    <w:multiLevelType w:val="multilevel"/>
    <w:tmpl w:val="F8126858"/>
    <w:styleLink w:val="WWNum13"/>
    <w:lvl w:ilvl="0">
      <w:start w:val="1"/>
      <w:numFmt w:val="lowerLetter"/>
      <w:lvlText w:val="%1)"/>
      <w:lvlJc w:val="left"/>
      <w:pPr>
        <w:ind w:left="1440" w:hanging="360"/>
      </w:pPr>
      <w:rPr>
        <w:rFonts w:cs="Times New Roman"/>
        <w:sz w:val="22"/>
      </w:rPr>
    </w:lvl>
    <w:lvl w:ilvl="1">
      <w:start w:val="1"/>
      <w:numFmt w:val="upperRoman"/>
      <w:lvlText w:val="%2."/>
      <w:lvlJc w:val="left"/>
      <w:pPr>
        <w:ind w:left="2520" w:hanging="720"/>
      </w:pPr>
      <w:rPr>
        <w:rFonts w:cs="Arial"/>
        <w:color w:val="444444"/>
        <w:sz w:val="20"/>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24" w15:restartNumberingAfterBreak="0">
    <w:nsid w:val="6C141787"/>
    <w:multiLevelType w:val="multilevel"/>
    <w:tmpl w:val="B308E546"/>
    <w:styleLink w:val="WWNum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6E627DD2"/>
    <w:multiLevelType w:val="multilevel"/>
    <w:tmpl w:val="448298E0"/>
    <w:styleLink w:val="WWNum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EDA653E"/>
    <w:multiLevelType w:val="multilevel"/>
    <w:tmpl w:val="95F8DC0A"/>
    <w:styleLink w:val="WWNum22"/>
    <w:lvl w:ilvl="0">
      <w:numFmt w:val="bullet"/>
      <w:lvlText w:val="-"/>
      <w:lvlJc w:val="left"/>
      <w:pPr>
        <w:ind w:left="1429" w:hanging="360"/>
      </w:pPr>
      <w:rPr>
        <w:rFonts w:ascii="Book Antiqua" w:eastAsia="Times New Roman" w:hAnsi="Book Antiqua"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7" w15:restartNumberingAfterBreak="0">
    <w:nsid w:val="6FC534C6"/>
    <w:multiLevelType w:val="multilevel"/>
    <w:tmpl w:val="B30EB948"/>
    <w:styleLink w:val="WWNum17"/>
    <w:lvl w:ilvl="0">
      <w:start w:val="1"/>
      <w:numFmt w:val="decimal"/>
      <w:lvlText w:val="(%1)"/>
      <w:lvlJc w:val="left"/>
      <w:pPr>
        <w:ind w:left="1069" w:hanging="360"/>
      </w:pPr>
      <w:rPr>
        <w:rFonts w:cs="Times New Roman"/>
        <w:sz w:val="22"/>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28" w15:restartNumberingAfterBreak="0">
    <w:nsid w:val="712B4282"/>
    <w:multiLevelType w:val="multilevel"/>
    <w:tmpl w:val="8DAECD54"/>
    <w:styleLink w:val="WWNum8"/>
    <w:lvl w:ilvl="0">
      <w:start w:val="1"/>
      <w:numFmt w:val="lowerLetter"/>
      <w:lvlText w:val="%1)"/>
      <w:lvlJc w:val="left"/>
      <w:pPr>
        <w:ind w:left="1440" w:hanging="360"/>
      </w:pPr>
      <w:rPr>
        <w:rFonts w:cs="Times New Roman"/>
        <w:sz w:val="22"/>
      </w:rPr>
    </w:lvl>
    <w:lvl w:ilvl="1">
      <w:start w:val="1"/>
      <w:numFmt w:val="upperRoman"/>
      <w:lvlText w:val="%2."/>
      <w:lvlJc w:val="left"/>
      <w:pPr>
        <w:ind w:left="2520" w:hanging="720"/>
      </w:pPr>
      <w:rPr>
        <w:rFonts w:cs="Arial"/>
        <w:color w:val="444444"/>
        <w:sz w:val="20"/>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29" w15:restartNumberingAfterBreak="0">
    <w:nsid w:val="7AD815A4"/>
    <w:multiLevelType w:val="multilevel"/>
    <w:tmpl w:val="DC7E4EA2"/>
    <w:styleLink w:val="WWNum6"/>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0" w15:restartNumberingAfterBreak="0">
    <w:nsid w:val="7BAE0EBD"/>
    <w:multiLevelType w:val="multilevel"/>
    <w:tmpl w:val="45FEB72E"/>
    <w:styleLink w:val="WWNum16"/>
    <w:lvl w:ilvl="0">
      <w:start w:val="1"/>
      <w:numFmt w:val="decimal"/>
      <w:lvlText w:val="%1."/>
      <w:lvlJc w:val="left"/>
      <w:pPr>
        <w:ind w:left="1145" w:hanging="360"/>
      </w:pPr>
      <w:rPr>
        <w:rFonts w:cs="Times New Roman"/>
        <w:sz w:val="22"/>
      </w:rPr>
    </w:lvl>
    <w:lvl w:ilvl="1">
      <w:start w:val="1"/>
      <w:numFmt w:val="lowerLetter"/>
      <w:lvlText w:val="%2."/>
      <w:lvlJc w:val="left"/>
      <w:pPr>
        <w:ind w:left="1865" w:hanging="360"/>
      </w:pPr>
      <w:rPr>
        <w:rFonts w:cs="Times New Roman"/>
      </w:rPr>
    </w:lvl>
    <w:lvl w:ilvl="2">
      <w:start w:val="1"/>
      <w:numFmt w:val="lowerRoman"/>
      <w:lvlText w:val="%1.%2.%3."/>
      <w:lvlJc w:val="right"/>
      <w:pPr>
        <w:ind w:left="2585" w:hanging="180"/>
      </w:pPr>
      <w:rPr>
        <w:rFonts w:cs="Times New Roman"/>
      </w:rPr>
    </w:lvl>
    <w:lvl w:ilvl="3">
      <w:start w:val="1"/>
      <w:numFmt w:val="decimal"/>
      <w:lvlText w:val="%1.%2.%3.%4."/>
      <w:lvlJc w:val="left"/>
      <w:pPr>
        <w:ind w:left="3305" w:hanging="360"/>
      </w:pPr>
      <w:rPr>
        <w:rFonts w:cs="Times New Roman"/>
      </w:rPr>
    </w:lvl>
    <w:lvl w:ilvl="4">
      <w:start w:val="1"/>
      <w:numFmt w:val="lowerLetter"/>
      <w:lvlText w:val="%1.%2.%3.%4.%5."/>
      <w:lvlJc w:val="left"/>
      <w:pPr>
        <w:ind w:left="4025" w:hanging="360"/>
      </w:pPr>
      <w:rPr>
        <w:rFonts w:cs="Times New Roman"/>
      </w:rPr>
    </w:lvl>
    <w:lvl w:ilvl="5">
      <w:start w:val="1"/>
      <w:numFmt w:val="lowerRoman"/>
      <w:lvlText w:val="%1.%2.%3.%4.%5.%6."/>
      <w:lvlJc w:val="right"/>
      <w:pPr>
        <w:ind w:left="4745" w:hanging="180"/>
      </w:pPr>
      <w:rPr>
        <w:rFonts w:cs="Times New Roman"/>
      </w:rPr>
    </w:lvl>
    <w:lvl w:ilvl="6">
      <w:start w:val="1"/>
      <w:numFmt w:val="decimal"/>
      <w:lvlText w:val="%1.%2.%3.%4.%5.%6.%7."/>
      <w:lvlJc w:val="left"/>
      <w:pPr>
        <w:ind w:left="5465" w:hanging="360"/>
      </w:pPr>
      <w:rPr>
        <w:rFonts w:cs="Times New Roman"/>
      </w:rPr>
    </w:lvl>
    <w:lvl w:ilvl="7">
      <w:start w:val="1"/>
      <w:numFmt w:val="lowerLetter"/>
      <w:lvlText w:val="%1.%2.%3.%4.%5.%6.%7.%8."/>
      <w:lvlJc w:val="left"/>
      <w:pPr>
        <w:ind w:left="6185" w:hanging="360"/>
      </w:pPr>
      <w:rPr>
        <w:rFonts w:cs="Times New Roman"/>
      </w:rPr>
    </w:lvl>
    <w:lvl w:ilvl="8">
      <w:start w:val="1"/>
      <w:numFmt w:val="lowerRoman"/>
      <w:lvlText w:val="%1.%2.%3.%4.%5.%6.%7.%8.%9."/>
      <w:lvlJc w:val="right"/>
      <w:pPr>
        <w:ind w:left="6905" w:hanging="180"/>
      </w:pPr>
      <w:rPr>
        <w:rFonts w:cs="Times New Roman"/>
      </w:rPr>
    </w:lvl>
  </w:abstractNum>
  <w:abstractNum w:abstractNumId="31" w15:restartNumberingAfterBreak="0">
    <w:nsid w:val="7FB75820"/>
    <w:multiLevelType w:val="multilevel"/>
    <w:tmpl w:val="07C8CCAE"/>
    <w:styleLink w:val="WWNum7"/>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3"/>
  </w:num>
  <w:num w:numId="2">
    <w:abstractNumId w:val="0"/>
    <w:lvlOverride w:ilvl="0">
      <w:lvl w:ilvl="0">
        <w:start w:val="1"/>
        <w:numFmt w:val="decimal"/>
        <w:lvlText w:val="%1."/>
        <w:lvlJc w:val="left"/>
        <w:pPr>
          <w:ind w:left="720" w:hanging="360"/>
        </w:pPr>
        <w:rPr>
          <w:rFonts w:ascii="Times New Roman" w:hAnsi="Times New Roman" w:cs="Times New Roman" w:hint="default"/>
          <w:sz w:val="24"/>
          <w:szCs w:val="24"/>
        </w:rPr>
      </w:lvl>
    </w:lvlOverride>
  </w:num>
  <w:num w:numId="3">
    <w:abstractNumId w:val="7"/>
  </w:num>
  <w:num w:numId="4">
    <w:abstractNumId w:val="16"/>
  </w:num>
  <w:num w:numId="5">
    <w:abstractNumId w:val="19"/>
  </w:num>
  <w:num w:numId="6">
    <w:abstractNumId w:val="29"/>
  </w:num>
  <w:num w:numId="7">
    <w:abstractNumId w:val="31"/>
  </w:num>
  <w:num w:numId="8">
    <w:abstractNumId w:val="28"/>
  </w:num>
  <w:num w:numId="9">
    <w:abstractNumId w:val="22"/>
  </w:num>
  <w:num w:numId="10">
    <w:abstractNumId w:val="2"/>
  </w:num>
  <w:num w:numId="11">
    <w:abstractNumId w:val="9"/>
  </w:num>
  <w:num w:numId="12">
    <w:abstractNumId w:val="20"/>
  </w:num>
  <w:num w:numId="13">
    <w:abstractNumId w:val="23"/>
  </w:num>
  <w:num w:numId="14">
    <w:abstractNumId w:val="18"/>
  </w:num>
  <w:num w:numId="15">
    <w:abstractNumId w:val="5"/>
  </w:num>
  <w:num w:numId="16">
    <w:abstractNumId w:val="30"/>
  </w:num>
  <w:num w:numId="17">
    <w:abstractNumId w:val="27"/>
  </w:num>
  <w:num w:numId="18">
    <w:abstractNumId w:val="15"/>
  </w:num>
  <w:num w:numId="19">
    <w:abstractNumId w:val="25"/>
  </w:num>
  <w:num w:numId="20">
    <w:abstractNumId w:val="6"/>
  </w:num>
  <w:num w:numId="21">
    <w:abstractNumId w:val="10"/>
  </w:num>
  <w:num w:numId="22">
    <w:abstractNumId w:val="26"/>
  </w:num>
  <w:num w:numId="23">
    <w:abstractNumId w:val="1"/>
  </w:num>
  <w:num w:numId="24">
    <w:abstractNumId w:val="21"/>
  </w:num>
  <w:num w:numId="25">
    <w:abstractNumId w:val="24"/>
  </w:num>
  <w:num w:numId="26">
    <w:abstractNumId w:val="8"/>
  </w:num>
  <w:num w:numId="27">
    <w:abstractNumId w:val="11"/>
  </w:num>
  <w:num w:numId="28">
    <w:abstractNumId w:val="12"/>
  </w:num>
  <w:num w:numId="29">
    <w:abstractNumId w:val="17"/>
  </w:num>
  <w:num w:numId="30">
    <w:abstractNumId w:val="4"/>
  </w:num>
  <w:num w:numId="31">
    <w:abstractNumId w:val="0"/>
    <w:lvlOverride w:ilvl="0">
      <w:startOverride w:val="1"/>
      <w:lvl w:ilvl="0">
        <w:start w:val="1"/>
        <w:numFmt w:val="decimal"/>
        <w:lvlText w:val="%1."/>
        <w:lvlJc w:val="left"/>
        <w:pPr>
          <w:ind w:left="720" w:hanging="360"/>
        </w:pPr>
        <w:rPr>
          <w:rFonts w:ascii="Times New Roman" w:hAnsi="Times New Roman" w:cs="Times New Roman" w:hint="default"/>
          <w:sz w:val="24"/>
          <w:szCs w:val="24"/>
        </w:rPr>
      </w:lvl>
    </w:lvlOverride>
  </w:num>
  <w:num w:numId="32">
    <w:abstractNumId w:val="21"/>
    <w:lvlOverride w:ilvl="0">
      <w:startOverride w:val="1"/>
    </w:lvlOverride>
  </w:num>
  <w:num w:numId="33">
    <w:abstractNumId w:val="11"/>
    <w:lvlOverride w:ilvl="0">
      <w:startOverride w:val="1"/>
    </w:lvlOverride>
  </w:num>
  <w:num w:numId="34">
    <w:abstractNumId w:val="13"/>
  </w:num>
  <w:num w:numId="35">
    <w:abstractNumId w:val="4"/>
    <w:lvlOverride w:ilvl="0">
      <w:startOverride w:val="1"/>
    </w:lvlOverride>
  </w:num>
  <w:num w:numId="36">
    <w:abstractNumId w:val="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revisionView w:formatting="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2C"/>
    <w:rsid w:val="0006612C"/>
    <w:rsid w:val="00072B9D"/>
    <w:rsid w:val="00125D34"/>
    <w:rsid w:val="00150CF6"/>
    <w:rsid w:val="00194913"/>
    <w:rsid w:val="001C6E5F"/>
    <w:rsid w:val="0034331A"/>
    <w:rsid w:val="00744028"/>
    <w:rsid w:val="00822496"/>
    <w:rsid w:val="0090329E"/>
    <w:rsid w:val="00927797"/>
    <w:rsid w:val="009967DD"/>
    <w:rsid w:val="0099745D"/>
    <w:rsid w:val="00A70C49"/>
    <w:rsid w:val="00A82C10"/>
    <w:rsid w:val="00B5379E"/>
    <w:rsid w:val="00B71757"/>
    <w:rsid w:val="00C1612E"/>
    <w:rsid w:val="00CE1DBE"/>
    <w:rsid w:val="00ED4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D712"/>
  <w15:docId w15:val="{51EF961A-0AFF-4C63-9E8F-55BBDEA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kern w:val="3"/>
        <w:szCs w:val="22"/>
        <w:lang w:val="sk-SK"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pPr>
  </w:style>
  <w:style w:type="paragraph" w:styleId="Nadpis1">
    <w:name w:val="heading 1"/>
    <w:basedOn w:val="Standard"/>
    <w:next w:val="Textbody"/>
    <w:pPr>
      <w:keepNext/>
      <w:widowControl/>
      <w:tabs>
        <w:tab w:val="left" w:pos="864"/>
      </w:tabs>
      <w:suppressAutoHyphens w:val="0"/>
      <w:ind w:left="432" w:hanging="432"/>
      <w:outlineLvl w:val="0"/>
    </w:pPr>
    <w:rPr>
      <w:rFonts w:ascii="Arial" w:hAnsi="Arial" w:cs="Arial"/>
      <w:b/>
      <w:bCs/>
      <w:caps/>
      <w:szCs w:val="24"/>
    </w:rPr>
  </w:style>
  <w:style w:type="paragraph" w:styleId="Nadpis3">
    <w:name w:val="heading 3"/>
    <w:basedOn w:val="Standard"/>
    <w:next w:val="Textbody"/>
    <w:pPr>
      <w:keepNext/>
      <w:keepLines/>
      <w:spacing w:before="40"/>
      <w:outlineLvl w:val="2"/>
    </w:pPr>
    <w:rPr>
      <w:rFonts w:ascii="Cambria" w:hAnsi="Cambria" w:cs="F"/>
      <w:color w:val="243F60"/>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suppressAutoHyphens/>
    </w:pPr>
    <w:rPr>
      <w:rFonts w:ascii="Times New Roman" w:hAnsi="Times New Roman" w:cs="Times New Roman"/>
      <w:sz w:val="24"/>
      <w:szCs w:val="20"/>
      <w:lang w:eastAsia="ar-SA"/>
    </w:rPr>
  </w:style>
  <w:style w:type="paragraph" w:styleId="Nzov">
    <w:name w:val="Title"/>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widowControl/>
      <w:suppressAutoHyphens w:val="0"/>
      <w:jc w:val="center"/>
    </w:pPr>
    <w:rPr>
      <w:b/>
      <w:bCs/>
      <w:szCs w:val="24"/>
      <w:lang w:eastAsia="sk-SK"/>
    </w:rPr>
  </w:style>
  <w:style w:type="paragraph" w:styleId="Zoznam">
    <w:name w:val="List"/>
    <w:basedOn w:val="Textbody"/>
    <w:rPr>
      <w:rFonts w:cs="Mangal"/>
    </w:rPr>
  </w:style>
  <w:style w:type="paragraph" w:styleId="Popis">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Pta">
    <w:name w:val="footer"/>
    <w:basedOn w:val="Standard"/>
    <w:link w:val="PtaChar"/>
    <w:uiPriority w:val="99"/>
    <w:pPr>
      <w:widowControl/>
      <w:suppressLineNumbers/>
      <w:tabs>
        <w:tab w:val="center" w:pos="4536"/>
        <w:tab w:val="right" w:pos="9072"/>
      </w:tabs>
      <w:suppressAutoHyphens w:val="0"/>
    </w:pPr>
    <w:rPr>
      <w:szCs w:val="24"/>
    </w:rPr>
  </w:style>
  <w:style w:type="paragraph" w:styleId="Odsekzoznamu">
    <w:name w:val="List Paragraph"/>
    <w:basedOn w:val="Standard"/>
    <w:qFormat/>
    <w:pPr>
      <w:ind w:left="708"/>
    </w:pPr>
  </w:style>
  <w:style w:type="paragraph" w:styleId="Textpoznmkypodiarou">
    <w:name w:val="footnote text"/>
    <w:basedOn w:val="Standard"/>
    <w:rPr>
      <w:sz w:val="20"/>
    </w:rPr>
  </w:style>
  <w:style w:type="paragraph" w:styleId="Hlavika">
    <w:name w:val="header"/>
    <w:basedOn w:val="Standard"/>
    <w:link w:val="HlavikaChar"/>
    <w:uiPriority w:val="99"/>
    <w:pPr>
      <w:suppressLineNumbers/>
      <w:tabs>
        <w:tab w:val="center" w:pos="4536"/>
        <w:tab w:val="right" w:pos="9072"/>
      </w:tabs>
    </w:pPr>
  </w:style>
  <w:style w:type="paragraph" w:styleId="Textbubliny">
    <w:name w:val="Balloon Text"/>
    <w:basedOn w:val="Standard"/>
    <w:rPr>
      <w:rFonts w:ascii="Tahoma" w:hAnsi="Tahoma" w:cs="Tahoma"/>
      <w:sz w:val="16"/>
      <w:szCs w:val="16"/>
    </w:rPr>
  </w:style>
  <w:style w:type="paragraph" w:styleId="Textkomentra">
    <w:name w:val="annotation text"/>
    <w:basedOn w:val="Standard"/>
    <w:rPr>
      <w:sz w:val="20"/>
    </w:rPr>
  </w:style>
  <w:style w:type="paragraph" w:styleId="Predmetkomentra">
    <w:name w:val="annotation subject"/>
    <w:basedOn w:val="Textkomentra"/>
    <w:rPr>
      <w:b/>
      <w:bCs/>
    </w:rPr>
  </w:style>
  <w:style w:type="paragraph" w:styleId="Normlnywebov">
    <w:name w:val="Normal (Web)"/>
    <w:basedOn w:val="Standard"/>
    <w:uiPriority w:val="99"/>
    <w:pPr>
      <w:widowControl/>
      <w:suppressAutoHyphens w:val="0"/>
      <w:spacing w:before="100" w:after="100"/>
    </w:pPr>
    <w:rPr>
      <w:szCs w:val="24"/>
      <w:lang w:val="en" w:eastAsia="en-GB"/>
    </w:rPr>
  </w:style>
  <w:style w:type="paragraph" w:customStyle="1" w:styleId="Footnote">
    <w:name w:val="Footnote"/>
    <w:basedOn w:val="Standard"/>
    <w:pPr>
      <w:suppressLineNumbers/>
      <w:ind w:left="283" w:hanging="283"/>
    </w:pPr>
    <w:rPr>
      <w:sz w:val="20"/>
    </w:rPr>
  </w:style>
  <w:style w:type="character" w:customStyle="1" w:styleId="Heading1Char">
    <w:name w:val="Heading 1 Char"/>
    <w:basedOn w:val="Predvolenpsmoodseku"/>
    <w:rPr>
      <w:rFonts w:ascii="Arial" w:hAnsi="Arial" w:cs="Arial"/>
      <w:b/>
      <w:bCs/>
      <w:caps/>
      <w:sz w:val="24"/>
      <w:szCs w:val="24"/>
      <w:lang w:val="en-US" w:eastAsia="ar-SA" w:bidi="ar-SA"/>
    </w:rPr>
  </w:style>
  <w:style w:type="character" w:customStyle="1" w:styleId="Heading3Char">
    <w:name w:val="Heading 3 Char"/>
    <w:basedOn w:val="Predvolenpsmoodseku"/>
    <w:rPr>
      <w:rFonts w:ascii="Cambria" w:hAnsi="Cambria" w:cs="Times New Roman"/>
      <w:color w:val="243F60"/>
      <w:sz w:val="24"/>
      <w:szCs w:val="24"/>
      <w:lang w:val="en-US" w:eastAsia="ar-SA" w:bidi="ar-SA"/>
    </w:rPr>
  </w:style>
  <w:style w:type="character" w:customStyle="1" w:styleId="FooterChar">
    <w:name w:val="Footer Char"/>
    <w:basedOn w:val="Predvolenpsmoodseku"/>
    <w:rPr>
      <w:rFonts w:ascii="Times New Roman" w:hAnsi="Times New Roman" w:cs="Times New Roman"/>
      <w:sz w:val="24"/>
      <w:szCs w:val="24"/>
      <w:lang w:val="en-US" w:eastAsia="ar-SA" w:bidi="ar-SA"/>
    </w:rPr>
  </w:style>
  <w:style w:type="character" w:customStyle="1" w:styleId="FootnoteTextChar">
    <w:name w:val="Footnote Text Char"/>
    <w:basedOn w:val="Predvolenpsmoodseku"/>
    <w:rPr>
      <w:rFonts w:ascii="Times New Roman" w:hAnsi="Times New Roman" w:cs="Times New Roman"/>
      <w:sz w:val="20"/>
      <w:szCs w:val="20"/>
      <w:lang w:val="en-US" w:eastAsia="ar-SA" w:bidi="ar-SA"/>
    </w:rPr>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Predvolenpsmoodseku"/>
    <w:rPr>
      <w:rFonts w:cs="Times New Roman"/>
      <w:position w:val="0"/>
      <w:vertAlign w:val="superscript"/>
    </w:rPr>
  </w:style>
  <w:style w:type="character" w:customStyle="1" w:styleId="HeaderChar">
    <w:name w:val="Header Char"/>
    <w:basedOn w:val="Predvolenpsmoodseku"/>
    <w:rPr>
      <w:rFonts w:ascii="Times New Roman" w:hAnsi="Times New Roman" w:cs="Times New Roman"/>
      <w:sz w:val="20"/>
      <w:szCs w:val="20"/>
      <w:lang w:val="en-US" w:eastAsia="ar-SA" w:bidi="ar-SA"/>
    </w:rPr>
  </w:style>
  <w:style w:type="character" w:customStyle="1" w:styleId="BalloonTextChar">
    <w:name w:val="Balloon Text Char"/>
    <w:basedOn w:val="Predvolenpsmoodseku"/>
    <w:rPr>
      <w:rFonts w:ascii="Tahoma" w:hAnsi="Tahoma" w:cs="Tahoma"/>
      <w:sz w:val="16"/>
      <w:szCs w:val="16"/>
      <w:lang w:val="en-US" w:eastAsia="ar-SA" w:bidi="ar-SA"/>
    </w:rPr>
  </w:style>
  <w:style w:type="character" w:customStyle="1" w:styleId="BodyTextChar">
    <w:name w:val="Body Text Char"/>
    <w:basedOn w:val="Predvolenpsmoodseku"/>
    <w:rPr>
      <w:rFonts w:ascii="Times New Roman" w:hAnsi="Times New Roman" w:cs="Times New Roman"/>
      <w:b/>
      <w:bCs/>
      <w:sz w:val="24"/>
      <w:szCs w:val="24"/>
      <w:lang w:val="en-US" w:eastAsia="sk-SK"/>
    </w:rPr>
  </w:style>
  <w:style w:type="character" w:styleId="PremennHTML">
    <w:name w:val="HTML Variable"/>
    <w:basedOn w:val="Predvolenpsmoodseku"/>
    <w:rPr>
      <w:rFonts w:cs="Times New Roman"/>
      <w:i/>
      <w:iCs/>
    </w:rPr>
  </w:style>
  <w:style w:type="character" w:customStyle="1" w:styleId="Internetlink">
    <w:name w:val="Internet link"/>
    <w:basedOn w:val="Predvolenpsmoodseku"/>
    <w:rPr>
      <w:rFonts w:cs="Times New Roman"/>
      <w:color w:val="0000FF"/>
      <w:u w:val="single"/>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ascii="Book Antiqua" w:hAnsi="Book Antiqua" w:cs="Times New Roman"/>
      <w:b/>
      <w:sz w:val="22"/>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ascii="Book Antiqua" w:hAnsi="Book Antiqua" w:cs="Times New Roman"/>
      <w:sz w:val="22"/>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ascii="Book Antiqua" w:hAnsi="Book Antiqua" w:cs="Times New Roman"/>
      <w:sz w:val="22"/>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b/>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ascii="Book Antiqua" w:hAnsi="Book Antiqua" w:cs="Times New Roman"/>
      <w:sz w:val="22"/>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ascii="Book Antiqua" w:hAnsi="Book Antiqua" w:cs="Times New Roman"/>
      <w:sz w:val="22"/>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ascii="Book Antiqua" w:hAnsi="Book Antiqua" w:cs="Times New Roman"/>
      <w:sz w:val="22"/>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ascii="Book Antiqua" w:hAnsi="Book Antiqua" w:cs="Times New Roman"/>
      <w:sz w:val="22"/>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Arial"/>
      <w:color w:val="444444"/>
      <w:sz w:val="20"/>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ascii="Book Antiqua" w:hAnsi="Book Antiqua" w:cs="Times New Roman"/>
      <w:sz w:val="22"/>
    </w:rPr>
  </w:style>
  <w:style w:type="character" w:customStyle="1" w:styleId="ListLabel201">
    <w:name w:val="ListLabel 201"/>
    <w:rPr>
      <w:rFonts w:cs="Arial"/>
      <w:color w:val="444444"/>
      <w:sz w:val="20"/>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rPr>
  </w:style>
  <w:style w:type="character" w:customStyle="1" w:styleId="ListLabel263">
    <w:name w:val="ListLabel 263"/>
    <w:rPr>
      <w:rFonts w:cs="Arial"/>
      <w:color w:val="444444"/>
      <w:sz w:val="20"/>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ascii="Book Antiqua" w:hAnsi="Book Antiqua" w:cs="Times New Roman"/>
      <w:sz w:val="22"/>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ascii="Book Antiqua" w:hAnsi="Book Antiqua" w:cs="Times New Roman"/>
      <w:sz w:val="22"/>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Book Antiqua" w:hAnsi="Book Antiqua" w:cs="Times New Roman"/>
      <w:sz w:val="22"/>
    </w:rPr>
  </w:style>
  <w:style w:type="character" w:customStyle="1" w:styleId="ListLabel300">
    <w:name w:val="ListLabel 300"/>
    <w:rPr>
      <w:rFonts w:cs="Arial"/>
      <w:color w:val="444444"/>
      <w:sz w:val="20"/>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Arial"/>
      <w:color w:val="444444"/>
      <w:sz w:val="20"/>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Arial"/>
      <w:color w:val="444444"/>
      <w:sz w:val="20"/>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Arial"/>
      <w:color w:val="444444"/>
      <w:sz w:val="20"/>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ascii="Book Antiqua" w:hAnsi="Book Antiqua" w:cs="Times New Roman"/>
      <w:sz w:val="22"/>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ascii="Book Antiqua" w:hAnsi="Book Antiqua" w:cs="Times New Roman"/>
      <w:sz w:val="22"/>
    </w:rPr>
  </w:style>
  <w:style w:type="character" w:customStyle="1" w:styleId="ListLabel345">
    <w:name w:val="ListLabel 345"/>
    <w:rPr>
      <w:rFonts w:cs="Arial"/>
      <w:color w:val="444444"/>
      <w:sz w:val="20"/>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ascii="Book Antiqua" w:hAnsi="Book Antiqua" w:cs="Times New Roman"/>
      <w:sz w:val="22"/>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Book Antiqua" w:hAnsi="Book Antiqu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ascii="Book Antiqua" w:hAnsi="Book Antiqua" w:cs="Times New Roman"/>
      <w:sz w:val="22"/>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Book Antiqua" w:hAnsi="Book Antiqua" w:cs="Times New Roman"/>
      <w:sz w:val="22"/>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cs="Times New Roman"/>
    </w:rPr>
  </w:style>
  <w:style w:type="character" w:customStyle="1" w:styleId="ListLabel398">
    <w:name w:val="ListLabel 398"/>
    <w:rPr>
      <w:rFonts w:ascii="Book Antiqua" w:hAnsi="Book Antiqua" w:cs="Times New Roman"/>
      <w:sz w:val="22"/>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cs="Times New Roman"/>
    </w:rPr>
  </w:style>
  <w:style w:type="character" w:customStyle="1" w:styleId="ListLabel407">
    <w:name w:val="ListLabel 407"/>
    <w:rPr>
      <w:rFonts w:ascii="Book Antiqua" w:hAnsi="Book Antiqua"/>
      <w:sz w:val="22"/>
      <w:szCs w:val="22"/>
    </w:rPr>
  </w:style>
  <w:style w:type="character" w:customStyle="1" w:styleId="ListLabel408">
    <w:name w:val="ListLabel 408"/>
  </w:style>
  <w:style w:type="character" w:styleId="Odkaznakomentr">
    <w:name w:val="annotation reference"/>
    <w:basedOn w:val="Predvolenpsmoodseku"/>
    <w:rPr>
      <w:sz w:val="16"/>
      <w:szCs w:val="16"/>
    </w:rPr>
  </w:style>
  <w:style w:type="character" w:customStyle="1" w:styleId="CommentTextChar">
    <w:name w:val="Comment Text Char"/>
    <w:basedOn w:val="Predvolenpsmoodseku"/>
    <w:rPr>
      <w:rFonts w:ascii="Times New Roman" w:hAnsi="Times New Roman" w:cs="Times New Roman"/>
      <w:szCs w:val="20"/>
      <w:lang w:eastAsia="ar-SA"/>
    </w:rPr>
  </w:style>
  <w:style w:type="character" w:customStyle="1" w:styleId="CommentSubjectChar">
    <w:name w:val="Comment Subject Char"/>
    <w:basedOn w:val="CommentTextChar"/>
    <w:rPr>
      <w:rFonts w:ascii="Times New Roman" w:hAnsi="Times New Roman" w:cs="Times New Roman"/>
      <w:b/>
      <w:bCs/>
      <w:szCs w:val="20"/>
      <w:lang w:eastAsia="ar-SA"/>
    </w:rPr>
  </w:style>
  <w:style w:type="character" w:customStyle="1" w:styleId="ListLabel409">
    <w:name w:val="ListLabel 409"/>
    <w:rPr>
      <w:rFonts w:cs="Times New Roman"/>
      <w:b/>
      <w:sz w:val="22"/>
    </w:rPr>
  </w:style>
  <w:style w:type="character" w:customStyle="1" w:styleId="ListLabel410">
    <w:name w:val="ListLabel 410"/>
    <w:rPr>
      <w:rFonts w:cs="Times New Roman"/>
    </w:rPr>
  </w:style>
  <w:style w:type="character" w:customStyle="1" w:styleId="ListLabel411">
    <w:name w:val="ListLabel 411"/>
    <w:rPr>
      <w:rFonts w:cs="Times New Roman"/>
      <w:sz w:val="22"/>
    </w:rPr>
  </w:style>
  <w:style w:type="character" w:customStyle="1" w:styleId="ListLabel412">
    <w:name w:val="ListLabel 412"/>
    <w:rPr>
      <w:rFonts w:cs="Arial"/>
      <w:color w:val="444444"/>
      <w:sz w:val="20"/>
    </w:rPr>
  </w:style>
  <w:style w:type="character" w:customStyle="1" w:styleId="ListLabel413">
    <w:name w:val="ListLabel 413"/>
    <w:rPr>
      <w:rFonts w:eastAsia="Times New Roman" w:cs="Times New Roman"/>
    </w:rPr>
  </w:style>
  <w:style w:type="character" w:customStyle="1" w:styleId="ListLabel414">
    <w:name w:val="ListLabel 414"/>
    <w:rPr>
      <w:rFonts w:cs="Courier New"/>
    </w:rPr>
  </w:style>
  <w:style w:type="character" w:customStyle="1" w:styleId="FootnoteSymbol">
    <w:name w:val="Footnote Symbol"/>
  </w:style>
  <w:style w:type="numbering" w:customStyle="1" w:styleId="WWNum1">
    <w:name w:val="WWNum1"/>
    <w:basedOn w:val="Bezzoznamu"/>
    <w:pPr>
      <w:numPr>
        <w:numId w:val="1"/>
      </w:numPr>
    </w:pPr>
  </w:style>
  <w:style w:type="numbering" w:customStyle="1" w:styleId="WWNum2">
    <w:name w:val="WWNum2"/>
    <w:basedOn w:val="Bezzoznamu"/>
    <w:pPr>
      <w:numPr>
        <w:numId w:val="36"/>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9"/>
      </w:numPr>
    </w:pPr>
  </w:style>
  <w:style w:type="numbering" w:customStyle="1" w:styleId="WWNum10">
    <w:name w:val="WWNum10"/>
    <w:basedOn w:val="Bezzoznamu"/>
    <w:pPr>
      <w:numPr>
        <w:numId w:val="10"/>
      </w:numPr>
    </w:pPr>
  </w:style>
  <w:style w:type="numbering" w:customStyle="1" w:styleId="WWNum11">
    <w:name w:val="WWNum11"/>
    <w:basedOn w:val="Bezzoznamu"/>
    <w:pPr>
      <w:numPr>
        <w:numId w:val="11"/>
      </w:numPr>
    </w:pPr>
  </w:style>
  <w:style w:type="numbering" w:customStyle="1" w:styleId="WWNum12">
    <w:name w:val="WWNum12"/>
    <w:basedOn w:val="Bezzoznamu"/>
    <w:pPr>
      <w:numPr>
        <w:numId w:val="12"/>
      </w:numPr>
    </w:pPr>
  </w:style>
  <w:style w:type="numbering" w:customStyle="1" w:styleId="WWNum13">
    <w:name w:val="WWNum13"/>
    <w:basedOn w:val="Bezzoznamu"/>
    <w:pPr>
      <w:numPr>
        <w:numId w:val="13"/>
      </w:numPr>
    </w:pPr>
  </w:style>
  <w:style w:type="numbering" w:customStyle="1" w:styleId="WWNum14">
    <w:name w:val="WWNum14"/>
    <w:basedOn w:val="Bezzoznamu"/>
    <w:pPr>
      <w:numPr>
        <w:numId w:val="14"/>
      </w:numPr>
    </w:pPr>
  </w:style>
  <w:style w:type="numbering" w:customStyle="1" w:styleId="WWNum15">
    <w:name w:val="WWNum15"/>
    <w:basedOn w:val="Bezzoznamu"/>
    <w:pPr>
      <w:numPr>
        <w:numId w:val="15"/>
      </w:numPr>
    </w:pPr>
  </w:style>
  <w:style w:type="numbering" w:customStyle="1" w:styleId="WWNum16">
    <w:name w:val="WWNum16"/>
    <w:basedOn w:val="Bezzoznamu"/>
    <w:pPr>
      <w:numPr>
        <w:numId w:val="16"/>
      </w:numPr>
    </w:pPr>
  </w:style>
  <w:style w:type="numbering" w:customStyle="1" w:styleId="WWNum17">
    <w:name w:val="WWNum17"/>
    <w:basedOn w:val="Bezzoznamu"/>
    <w:pPr>
      <w:numPr>
        <w:numId w:val="17"/>
      </w:numPr>
    </w:pPr>
  </w:style>
  <w:style w:type="numbering" w:customStyle="1" w:styleId="WWNum18">
    <w:name w:val="WWNum18"/>
    <w:basedOn w:val="Bezzoznamu"/>
    <w:pPr>
      <w:numPr>
        <w:numId w:val="18"/>
      </w:numPr>
    </w:pPr>
  </w:style>
  <w:style w:type="numbering" w:customStyle="1" w:styleId="WWNum19">
    <w:name w:val="WWNum19"/>
    <w:basedOn w:val="Bezzoznamu"/>
    <w:pPr>
      <w:numPr>
        <w:numId w:val="19"/>
      </w:numPr>
    </w:pPr>
  </w:style>
  <w:style w:type="numbering" w:customStyle="1" w:styleId="WWNum20">
    <w:name w:val="WWNum20"/>
    <w:basedOn w:val="Bezzoznamu"/>
    <w:pPr>
      <w:numPr>
        <w:numId w:val="20"/>
      </w:numPr>
    </w:pPr>
  </w:style>
  <w:style w:type="numbering" w:customStyle="1" w:styleId="WWNum21">
    <w:name w:val="WWNum21"/>
    <w:basedOn w:val="Bezzoznamu"/>
    <w:pPr>
      <w:numPr>
        <w:numId w:val="21"/>
      </w:numPr>
    </w:pPr>
  </w:style>
  <w:style w:type="numbering" w:customStyle="1" w:styleId="WWNum22">
    <w:name w:val="WWNum22"/>
    <w:basedOn w:val="Bezzoznamu"/>
    <w:pPr>
      <w:numPr>
        <w:numId w:val="22"/>
      </w:numPr>
    </w:pPr>
  </w:style>
  <w:style w:type="numbering" w:customStyle="1" w:styleId="WWNum23">
    <w:name w:val="WWNum23"/>
    <w:basedOn w:val="Bezzoznamu"/>
    <w:pPr>
      <w:numPr>
        <w:numId w:val="23"/>
      </w:numPr>
    </w:pPr>
  </w:style>
  <w:style w:type="numbering" w:customStyle="1" w:styleId="WWNum24">
    <w:name w:val="WWNum24"/>
    <w:basedOn w:val="Bezzoznamu"/>
    <w:pPr>
      <w:numPr>
        <w:numId w:val="24"/>
      </w:numPr>
    </w:pPr>
  </w:style>
  <w:style w:type="numbering" w:customStyle="1" w:styleId="WWNum25">
    <w:name w:val="WWNum25"/>
    <w:basedOn w:val="Bezzoznamu"/>
    <w:pPr>
      <w:numPr>
        <w:numId w:val="25"/>
      </w:numPr>
    </w:pPr>
  </w:style>
  <w:style w:type="numbering" w:customStyle="1" w:styleId="WWNum26">
    <w:name w:val="WWNum26"/>
    <w:basedOn w:val="Bezzoznamu"/>
    <w:pPr>
      <w:numPr>
        <w:numId w:val="26"/>
      </w:numPr>
    </w:pPr>
  </w:style>
  <w:style w:type="numbering" w:customStyle="1" w:styleId="WWNum27">
    <w:name w:val="WWNum27"/>
    <w:basedOn w:val="Bezzoznamu"/>
    <w:pPr>
      <w:numPr>
        <w:numId w:val="27"/>
      </w:numPr>
    </w:pPr>
  </w:style>
  <w:style w:type="numbering" w:customStyle="1" w:styleId="WWNum28">
    <w:name w:val="WWNum28"/>
    <w:basedOn w:val="Bezzoznamu"/>
    <w:pPr>
      <w:numPr>
        <w:numId w:val="28"/>
      </w:numPr>
    </w:pPr>
  </w:style>
  <w:style w:type="numbering" w:customStyle="1" w:styleId="WWNum29">
    <w:name w:val="WWNum29"/>
    <w:basedOn w:val="Bezzoznamu"/>
    <w:pPr>
      <w:numPr>
        <w:numId w:val="29"/>
      </w:numPr>
    </w:pPr>
  </w:style>
  <w:style w:type="numbering" w:customStyle="1" w:styleId="WWNum30">
    <w:name w:val="WWNum30"/>
    <w:basedOn w:val="Bezzoznamu"/>
    <w:pPr>
      <w:numPr>
        <w:numId w:val="30"/>
      </w:numPr>
    </w:pPr>
  </w:style>
  <w:style w:type="character" w:customStyle="1" w:styleId="HlavikaChar">
    <w:name w:val="Hlavička Char"/>
    <w:basedOn w:val="Predvolenpsmoodseku"/>
    <w:link w:val="Hlavika"/>
    <w:uiPriority w:val="99"/>
    <w:rsid w:val="00822496"/>
    <w:rPr>
      <w:rFonts w:ascii="Times New Roman" w:hAnsi="Times New Roman" w:cs="Times New Roman"/>
      <w:sz w:val="24"/>
      <w:szCs w:val="20"/>
      <w:lang w:eastAsia="ar-SA"/>
    </w:rPr>
  </w:style>
  <w:style w:type="character" w:customStyle="1" w:styleId="PtaChar">
    <w:name w:val="Päta Char"/>
    <w:basedOn w:val="Predvolenpsmoodseku"/>
    <w:link w:val="Pta"/>
    <w:uiPriority w:val="99"/>
    <w:rsid w:val="009967DD"/>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2506</Words>
  <Characters>14289</Characters>
  <Application>Microsoft Office Word</Application>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Janči</dc:creator>
  <cp:lastModifiedBy>Forišová, Lívia, Mgr.</cp:lastModifiedBy>
  <cp:revision>3</cp:revision>
  <cp:lastPrinted>2020-11-04T09:00:00Z</cp:lastPrinted>
  <dcterms:created xsi:type="dcterms:W3CDTF">2020-11-04T09:03:00Z</dcterms:created>
  <dcterms:modified xsi:type="dcterms:W3CDTF">2020-11-04T09:04:00Z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Kancelaria NR SR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