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FC" w:rsidRPr="00903F1C" w:rsidRDefault="00A337FC">
      <w:pPr>
        <w:pStyle w:val="Pta"/>
        <w:tabs>
          <w:tab w:val="clear" w:pos="4536"/>
          <w:tab w:val="clear" w:pos="9072"/>
        </w:tabs>
        <w:rPr>
          <w:i w:val="0"/>
        </w:rPr>
      </w:pPr>
      <w:bookmarkStart w:id="0" w:name="_GoBack"/>
      <w:bookmarkEnd w:id="0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4107"/>
        <w:gridCol w:w="585"/>
        <w:gridCol w:w="1174"/>
        <w:gridCol w:w="1174"/>
        <w:gridCol w:w="4093"/>
        <w:gridCol w:w="602"/>
        <w:gridCol w:w="1174"/>
      </w:tblGrid>
      <w:tr w:rsidR="002C169A" w:rsidTr="00770A2D">
        <w:tc>
          <w:tcPr>
            <w:tcW w:w="5000" w:type="pct"/>
            <w:gridSpan w:val="8"/>
          </w:tcPr>
          <w:p w:rsidR="002C169A" w:rsidRDefault="002C169A" w:rsidP="00921C6A">
            <w:pPr>
              <w:jc w:val="center"/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TABUĽKA ZHODY</w:t>
            </w:r>
          </w:p>
          <w:p w:rsidR="002C169A" w:rsidRDefault="002C169A" w:rsidP="00921C6A">
            <w:pPr>
              <w:jc w:val="center"/>
              <w:rPr>
                <w:b/>
                <w:sz w:val="16"/>
              </w:rPr>
            </w:pPr>
            <w:r>
              <w:rPr>
                <w:b/>
                <w:i w:val="0"/>
                <w:sz w:val="16"/>
              </w:rPr>
              <w:t>právneho predpisu  s právom Európskej únie</w:t>
            </w:r>
          </w:p>
          <w:p w:rsidR="002C169A" w:rsidRDefault="002C169A" w:rsidP="00921C6A">
            <w:pPr>
              <w:rPr>
                <w:sz w:val="16"/>
              </w:rPr>
            </w:pPr>
          </w:p>
        </w:tc>
      </w:tr>
      <w:tr w:rsidR="002C169A" w:rsidTr="00770A2D">
        <w:tc>
          <w:tcPr>
            <w:tcW w:w="2095" w:type="pct"/>
            <w:gridSpan w:val="3"/>
          </w:tcPr>
          <w:p w:rsidR="002C169A" w:rsidRPr="00120BB9" w:rsidRDefault="002C169A" w:rsidP="00682680">
            <w:pPr>
              <w:jc w:val="both"/>
              <w:rPr>
                <w:b/>
                <w:i w:val="0"/>
                <w:sz w:val="16"/>
              </w:rPr>
            </w:pPr>
            <w:r w:rsidRPr="00120BB9">
              <w:rPr>
                <w:b/>
                <w:i w:val="0"/>
                <w:sz w:val="16"/>
              </w:rPr>
              <w:t>SMERNICA RADY 2003/88/ES zo 4. novembra 2003</w:t>
            </w:r>
            <w:r w:rsidR="00120BB9" w:rsidRPr="00120BB9">
              <w:rPr>
                <w:b/>
                <w:i w:val="0"/>
                <w:sz w:val="16"/>
              </w:rPr>
              <w:t xml:space="preserve"> </w:t>
            </w:r>
            <w:r w:rsidRPr="00120BB9">
              <w:rPr>
                <w:b/>
                <w:bCs/>
                <w:i w:val="0"/>
                <w:sz w:val="16"/>
              </w:rPr>
              <w:t>o niektorých aspektoch organizácie pracovného času</w:t>
            </w:r>
            <w:r w:rsidR="00120BB9" w:rsidRPr="00120BB9">
              <w:rPr>
                <w:b/>
                <w:bCs/>
                <w:i w:val="0"/>
                <w:sz w:val="16"/>
              </w:rPr>
              <w:t xml:space="preserve"> </w:t>
            </w:r>
            <w:r w:rsidR="00355720" w:rsidRPr="00120BB9">
              <w:rPr>
                <w:b/>
                <w:i w:val="0"/>
                <w:sz w:val="16"/>
              </w:rPr>
              <w:t>(Mimoriadne vydanie Ú. v. EÚ, kap. 05/zv. 04)</w:t>
            </w:r>
          </w:p>
        </w:tc>
        <w:tc>
          <w:tcPr>
            <w:tcW w:w="2905" w:type="pct"/>
            <w:gridSpan w:val="5"/>
          </w:tcPr>
          <w:p w:rsidR="002C169A" w:rsidRDefault="002C169A" w:rsidP="00921C6A">
            <w:pPr>
              <w:pStyle w:val="Hlavika"/>
              <w:numPr>
                <w:ilvl w:val="0"/>
                <w:numId w:val="33"/>
              </w:num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zákon č. 311/2001 Z. z.  Zákonník práce v znení neskorších predpisov </w:t>
            </w:r>
          </w:p>
          <w:p w:rsidR="00D44C4A" w:rsidRDefault="00D44C4A" w:rsidP="00903F1C">
            <w:pPr>
              <w:pStyle w:val="Hlavika"/>
              <w:numPr>
                <w:ilvl w:val="0"/>
                <w:numId w:val="33"/>
              </w:num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návrh zákona, ktorým sa mení a dopĺňa zákon č. 311/2001 Z. z. Zákonník práce v znení neskorších predpisov a ktorým sa menia a dopĺňajú niektoré zákony (ďalej len „návrh zákona“)</w:t>
            </w:r>
          </w:p>
          <w:p w:rsidR="002C169A" w:rsidRPr="00903F1C" w:rsidRDefault="002C169A" w:rsidP="00A1252D">
            <w:pPr>
              <w:pStyle w:val="Hlavika"/>
              <w:ind w:left="360"/>
              <w:rPr>
                <w:b/>
                <w:bCs/>
                <w:sz w:val="16"/>
              </w:rPr>
            </w:pPr>
          </w:p>
        </w:tc>
      </w:tr>
      <w:tr w:rsidR="00502F22" w:rsidTr="00770A2D">
        <w:tc>
          <w:tcPr>
            <w:tcW w:w="436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52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7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15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15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47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3" w:type="pct"/>
          </w:tcPr>
          <w:p w:rsidR="00502F22" w:rsidRDefault="00502F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5" w:type="pct"/>
          </w:tcPr>
          <w:p w:rsidR="00502F22" w:rsidRDefault="003523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02F22" w:rsidTr="00770A2D">
        <w:tc>
          <w:tcPr>
            <w:tcW w:w="436" w:type="pct"/>
          </w:tcPr>
          <w:p w:rsidR="00502F22" w:rsidRDefault="00502F22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Č: 1</w:t>
            </w:r>
          </w:p>
        </w:tc>
        <w:tc>
          <w:tcPr>
            <w:tcW w:w="1452" w:type="pct"/>
          </w:tcPr>
          <w:p w:rsidR="00502F22" w:rsidRDefault="00502F22">
            <w:pPr>
              <w:jc w:val="both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Účel a rozsah pôsobnosti</w:t>
            </w:r>
          </w:p>
          <w:p w:rsidR="00502F22" w:rsidRDefault="00502F22">
            <w:pPr>
              <w:jc w:val="both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1.Táto smernica ustanovuje minimálne požiadavky na bezpečnosť a ochranu zdravia pre organizáciu pracovného času.</w:t>
            </w:r>
          </w:p>
        </w:tc>
        <w:tc>
          <w:tcPr>
            <w:tcW w:w="207" w:type="pct"/>
          </w:tcPr>
          <w:p w:rsidR="00502F22" w:rsidRDefault="00502F22">
            <w:pPr>
              <w:jc w:val="center"/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n. a.</w:t>
            </w:r>
          </w:p>
        </w:tc>
        <w:tc>
          <w:tcPr>
            <w:tcW w:w="415" w:type="pct"/>
          </w:tcPr>
          <w:p w:rsidR="00502F22" w:rsidRDefault="00502F22">
            <w:pPr>
              <w:rPr>
                <w:b/>
                <w:sz w:val="16"/>
              </w:rPr>
            </w:pPr>
          </w:p>
        </w:tc>
        <w:tc>
          <w:tcPr>
            <w:tcW w:w="415" w:type="pct"/>
          </w:tcPr>
          <w:p w:rsidR="00502F22" w:rsidRDefault="00502F22">
            <w:pPr>
              <w:rPr>
                <w:b/>
                <w:i w:val="0"/>
                <w:sz w:val="16"/>
              </w:rPr>
            </w:pPr>
          </w:p>
        </w:tc>
        <w:tc>
          <w:tcPr>
            <w:tcW w:w="1447" w:type="pct"/>
          </w:tcPr>
          <w:p w:rsidR="00502F22" w:rsidRDefault="00502F22">
            <w:pPr>
              <w:pStyle w:val="Zkladntext"/>
              <w:jc w:val="both"/>
              <w:rPr>
                <w:sz w:val="16"/>
              </w:rPr>
            </w:pPr>
          </w:p>
        </w:tc>
        <w:tc>
          <w:tcPr>
            <w:tcW w:w="213" w:type="pct"/>
          </w:tcPr>
          <w:p w:rsidR="00502F22" w:rsidRDefault="00BF0369">
            <w:pPr>
              <w:pStyle w:val="Nadpis4"/>
              <w:rPr>
                <w:sz w:val="16"/>
              </w:rPr>
            </w:pPr>
            <w:r>
              <w:rPr>
                <w:sz w:val="16"/>
              </w:rPr>
              <w:t>Ú</w:t>
            </w:r>
          </w:p>
        </w:tc>
        <w:tc>
          <w:tcPr>
            <w:tcW w:w="415" w:type="pct"/>
          </w:tcPr>
          <w:p w:rsidR="00502F22" w:rsidRDefault="00502F22">
            <w:pPr>
              <w:rPr>
                <w:sz w:val="16"/>
              </w:rPr>
            </w:pPr>
          </w:p>
        </w:tc>
      </w:tr>
      <w:tr w:rsidR="00502F22" w:rsidTr="00770A2D">
        <w:tc>
          <w:tcPr>
            <w:tcW w:w="436" w:type="pct"/>
          </w:tcPr>
          <w:p w:rsidR="00502F22" w:rsidRDefault="00502F22">
            <w:pPr>
              <w:rPr>
                <w:b/>
                <w:i w:val="0"/>
                <w:sz w:val="16"/>
              </w:rPr>
            </w:pPr>
          </w:p>
        </w:tc>
        <w:tc>
          <w:tcPr>
            <w:tcW w:w="1452" w:type="pct"/>
          </w:tcPr>
          <w:p w:rsidR="00502F22" w:rsidRDefault="00502F22">
            <w:pPr>
              <w:jc w:val="both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2. Táto smernica sa vzťahuje na:</w:t>
            </w:r>
          </w:p>
          <w:p w:rsidR="00502F22" w:rsidRDefault="00502F22">
            <w:pPr>
              <w:jc w:val="both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a) minimálne doby denného odpočinku, týždenného odpočinku a ročnej dovolenky, prestávky v práci a na maximálny týždenný pracovný čas a</w:t>
            </w:r>
          </w:p>
          <w:p w:rsidR="00502F22" w:rsidRDefault="00502F22">
            <w:pPr>
              <w:jc w:val="both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b) určité aspekty nočnej práce, práce na zmeny a rozvrhnutie práce.</w:t>
            </w:r>
          </w:p>
        </w:tc>
        <w:tc>
          <w:tcPr>
            <w:tcW w:w="207" w:type="pct"/>
          </w:tcPr>
          <w:p w:rsidR="00502F22" w:rsidRDefault="00502F22">
            <w:pPr>
              <w:jc w:val="center"/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n. a.</w:t>
            </w:r>
          </w:p>
        </w:tc>
        <w:tc>
          <w:tcPr>
            <w:tcW w:w="415" w:type="pct"/>
          </w:tcPr>
          <w:p w:rsidR="00502F22" w:rsidRDefault="00F50D14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311/2001 Z. z.</w:t>
            </w:r>
          </w:p>
          <w:p w:rsidR="00F50D14" w:rsidRDefault="00F50D14">
            <w:pPr>
              <w:rPr>
                <w:b/>
                <w:i w:val="0"/>
                <w:sz w:val="16"/>
              </w:rPr>
            </w:pPr>
          </w:p>
          <w:p w:rsidR="00F50D14" w:rsidRDefault="00F50D14">
            <w:pPr>
              <w:rPr>
                <w:b/>
                <w:i w:val="0"/>
                <w:sz w:val="16"/>
              </w:rPr>
            </w:pPr>
          </w:p>
          <w:p w:rsidR="00D44C4A" w:rsidRPr="00F50D14" w:rsidRDefault="00D44C4A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Návrh zákona</w:t>
            </w:r>
          </w:p>
        </w:tc>
        <w:tc>
          <w:tcPr>
            <w:tcW w:w="415" w:type="pct"/>
          </w:tcPr>
          <w:p w:rsidR="00502F22" w:rsidRDefault="00F50D14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Tretia časť</w:t>
            </w:r>
          </w:p>
          <w:p w:rsidR="00F50D14" w:rsidRDefault="00F50D14">
            <w:pPr>
              <w:rPr>
                <w:b/>
                <w:i w:val="0"/>
                <w:sz w:val="16"/>
              </w:rPr>
            </w:pPr>
          </w:p>
          <w:p w:rsidR="00F50D14" w:rsidRDefault="00F50D14">
            <w:pPr>
              <w:rPr>
                <w:b/>
                <w:i w:val="0"/>
                <w:sz w:val="16"/>
              </w:rPr>
            </w:pPr>
          </w:p>
          <w:p w:rsidR="00F50D14" w:rsidRDefault="00F50D14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§ 223</w:t>
            </w:r>
          </w:p>
          <w:p w:rsidR="00F50D14" w:rsidRDefault="00F50D14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O: 2</w:t>
            </w:r>
          </w:p>
        </w:tc>
        <w:tc>
          <w:tcPr>
            <w:tcW w:w="1447" w:type="pct"/>
          </w:tcPr>
          <w:p w:rsidR="00502F22" w:rsidRDefault="00F50D14">
            <w:pPr>
              <w:jc w:val="both"/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 xml:space="preserve">● </w:t>
            </w:r>
            <w:r w:rsidRPr="00F50D14">
              <w:rPr>
                <w:b/>
                <w:i w:val="0"/>
                <w:sz w:val="16"/>
              </w:rPr>
              <w:t>Pracovný čas a doba odpočinku</w:t>
            </w:r>
          </w:p>
          <w:p w:rsidR="00F50D14" w:rsidRDefault="00F50D14">
            <w:pPr>
              <w:jc w:val="both"/>
              <w:rPr>
                <w:b/>
                <w:i w:val="0"/>
                <w:sz w:val="16"/>
              </w:rPr>
            </w:pPr>
          </w:p>
          <w:p w:rsidR="00F50D14" w:rsidRDefault="00F50D14">
            <w:pPr>
              <w:jc w:val="both"/>
              <w:rPr>
                <w:b/>
                <w:i w:val="0"/>
                <w:sz w:val="16"/>
              </w:rPr>
            </w:pPr>
          </w:p>
          <w:p w:rsidR="00D44C4A" w:rsidRPr="00D44C4A" w:rsidRDefault="00D44C4A" w:rsidP="00D44C4A">
            <w:pPr>
              <w:jc w:val="both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(2) </w:t>
            </w:r>
            <w:r w:rsidRPr="00D44C4A">
              <w:rPr>
                <w:i w:val="0"/>
                <w:sz w:val="16"/>
              </w:rPr>
              <w:t xml:space="preserve">Na pracovnoprávny vzťah založený dohodami o prácach vykonávaných mimo pracovného pomeru sa vzťahujú ustanovenia </w:t>
            </w:r>
            <w:r w:rsidRPr="00D44C4A">
              <w:rPr>
                <w:bCs/>
                <w:i w:val="0"/>
                <w:sz w:val="16"/>
              </w:rPr>
              <w:t>prvej časti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43 ods. 4</w:t>
            </w:r>
            <w:r w:rsidRPr="00D44C4A">
              <w:rPr>
                <w:i w:val="0"/>
                <w:sz w:val="16"/>
              </w:rPr>
              <w:t xml:space="preserve"> druhej vety, </w:t>
            </w:r>
            <w:r w:rsidRPr="00D44C4A">
              <w:rPr>
                <w:bCs/>
                <w:i w:val="0"/>
                <w:sz w:val="16"/>
              </w:rPr>
              <w:t>§ 85 ods. 1 a 2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90 ods. 10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91 až 95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98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119 ods. 1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122a ods. 1 až 3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122b ods. 1 až 3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Cs/>
                <w:i w:val="0"/>
                <w:sz w:val="16"/>
              </w:rPr>
              <w:t>§ 123 ods. 1</w:t>
            </w:r>
            <w:r w:rsidRPr="00D44C4A">
              <w:rPr>
                <w:i w:val="0"/>
                <w:sz w:val="16"/>
              </w:rPr>
              <w:t xml:space="preserve"> a </w:t>
            </w:r>
            <w:r w:rsidRPr="00D44C4A">
              <w:rPr>
                <w:bCs/>
                <w:i w:val="0"/>
                <w:sz w:val="16"/>
              </w:rPr>
              <w:t>2</w:t>
            </w:r>
            <w:r w:rsidRPr="00D44C4A">
              <w:rPr>
                <w:i w:val="0"/>
                <w:sz w:val="16"/>
              </w:rPr>
              <w:t xml:space="preserve">, </w:t>
            </w:r>
            <w:r w:rsidRPr="00D44C4A">
              <w:rPr>
                <w:b/>
                <w:bCs/>
                <w:i w:val="0"/>
                <w:sz w:val="16"/>
              </w:rPr>
              <w:t>§ 124, šiestej časti a § 173 až 175</w:t>
            </w:r>
            <w:r w:rsidRPr="00D44C4A">
              <w:rPr>
                <w:i w:val="0"/>
                <w:sz w:val="16"/>
              </w:rPr>
              <w:t xml:space="preserve">. Pracovný čas zamestnancov, ktorí vykonávajú prácu na základe dohôd o prácach vykonávaných mimo pracovného pomeru, v priebehu 24 hodín nesmie presiahnuť 12 hodín a u mladistvého zamestnanca v priebehu 24 hodín nesmie presiahnuť 8 hodín. Zamestnancom, ktorí vykonávajú prácu na základe dohôd o prácach vykonávaných mimo pracovného pomeru, nemožno nariadiť ani s nimi dohodnúť pracovnú pohotovosť a prácu nadčas. Zamestnancom, ktorí vykonávajú prácu na základe dohôd o prácach vykonávaných mimo pracovného pomeru, patrí za každú hodinu práce vo sviatok dohodnutá odmena zvýšená najmenej o sumu minimálnej mzdy za hodinu podľa osobitného predpisu. Ak ide o dôvody neprítomnosti zamestnanca v práci uvedené v </w:t>
            </w:r>
            <w:r w:rsidRPr="00D44C4A">
              <w:rPr>
                <w:bCs/>
                <w:i w:val="0"/>
                <w:sz w:val="16"/>
              </w:rPr>
              <w:t>§ 141 ods. 1</w:t>
            </w:r>
            <w:r w:rsidRPr="00D44C4A">
              <w:rPr>
                <w:i w:val="0"/>
                <w:sz w:val="16"/>
              </w:rPr>
              <w:t xml:space="preserve"> a </w:t>
            </w:r>
            <w:r w:rsidRPr="00D44C4A">
              <w:rPr>
                <w:bCs/>
                <w:i w:val="0"/>
                <w:sz w:val="16"/>
              </w:rPr>
              <w:t>ods. 2 písm. a) až g)</w:t>
            </w:r>
            <w:r w:rsidRPr="00D44C4A">
              <w:rPr>
                <w:i w:val="0"/>
                <w:sz w:val="16"/>
              </w:rPr>
              <w:t xml:space="preserve">, ktoré zasiahli do času, na ktorý zamestnávateľ určil výkon práce, zamestnávateľ je povinný ospravedlniť túto neprítomnosť zamestnanca v práci. Za tento čas zamestnancovi náhrada odmeny nepatrí. Na splatnosť odmeny, výplatu odmeny a zrážky z odmeny sa primerane uplatnia ustanovenia </w:t>
            </w:r>
            <w:r w:rsidRPr="00D44C4A">
              <w:rPr>
                <w:bCs/>
                <w:i w:val="0"/>
                <w:sz w:val="16"/>
              </w:rPr>
              <w:t>§ 129 až 132</w:t>
            </w:r>
            <w:r w:rsidRPr="00D44C4A">
              <w:rPr>
                <w:i w:val="0"/>
                <w:sz w:val="16"/>
              </w:rPr>
              <w:t>.</w:t>
            </w:r>
          </w:p>
          <w:p w:rsidR="00A423D4" w:rsidRPr="00F50D14" w:rsidRDefault="00A423D4">
            <w:pPr>
              <w:jc w:val="both"/>
              <w:rPr>
                <w:i w:val="0"/>
                <w:sz w:val="16"/>
              </w:rPr>
            </w:pPr>
          </w:p>
        </w:tc>
        <w:tc>
          <w:tcPr>
            <w:tcW w:w="213" w:type="pct"/>
          </w:tcPr>
          <w:p w:rsidR="00502F22" w:rsidRDefault="00BF0369">
            <w:pPr>
              <w:pStyle w:val="Nadpis4"/>
              <w:rPr>
                <w:sz w:val="16"/>
              </w:rPr>
            </w:pPr>
            <w:r>
              <w:rPr>
                <w:sz w:val="16"/>
              </w:rPr>
              <w:t>Ú</w:t>
            </w:r>
          </w:p>
        </w:tc>
        <w:tc>
          <w:tcPr>
            <w:tcW w:w="415" w:type="pct"/>
          </w:tcPr>
          <w:p w:rsidR="00502F22" w:rsidRDefault="00502F22">
            <w:pPr>
              <w:rPr>
                <w:sz w:val="16"/>
              </w:rPr>
            </w:pPr>
          </w:p>
        </w:tc>
      </w:tr>
      <w:tr w:rsidR="00A05021" w:rsidRPr="00D87F87" w:rsidTr="00770A2D">
        <w:tc>
          <w:tcPr>
            <w:tcW w:w="436" w:type="pct"/>
          </w:tcPr>
          <w:p w:rsidR="00A05021" w:rsidRDefault="00A05021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Č: 7</w:t>
            </w:r>
          </w:p>
          <w:p w:rsidR="00A05021" w:rsidRDefault="00A05021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O: 1</w:t>
            </w:r>
          </w:p>
        </w:tc>
        <w:tc>
          <w:tcPr>
            <w:tcW w:w="1452" w:type="pct"/>
          </w:tcPr>
          <w:p w:rsidR="00A05021" w:rsidRDefault="00A05021">
            <w:pPr>
              <w:pStyle w:val="Nadpis6"/>
            </w:pPr>
            <w:r>
              <w:t>Ročná dovolenka</w:t>
            </w:r>
          </w:p>
          <w:p w:rsidR="00A05021" w:rsidRDefault="00A05021">
            <w:pPr>
              <w:rPr>
                <w:i w:val="0"/>
                <w:iCs/>
                <w:sz w:val="16"/>
              </w:rPr>
            </w:pPr>
            <w:r>
              <w:rPr>
                <w:i w:val="0"/>
                <w:iCs/>
                <w:sz w:val="16"/>
              </w:rPr>
              <w:t xml:space="preserve">1. Členské štáty prijmú nevyhnutné opatrenia zabezpečujúce, že každý pracovník bude mať nárok na platenú ročnú dovolenku v trvaní najmenej štyroch týždňov v súlade s podmienkami pre vznik nároku a pre poskytnutia takej dovolenky, ustanovenými vnútroštátnymi právnymi </w:t>
            </w:r>
            <w:r>
              <w:rPr>
                <w:i w:val="0"/>
                <w:iCs/>
                <w:sz w:val="16"/>
              </w:rPr>
              <w:lastRenderedPageBreak/>
              <w:t>predpismi a/alebo praxou.</w:t>
            </w:r>
          </w:p>
          <w:p w:rsidR="00A05021" w:rsidRDefault="00A05021">
            <w:pPr>
              <w:rPr>
                <w:i w:val="0"/>
                <w:sz w:val="16"/>
              </w:rPr>
            </w:pPr>
          </w:p>
        </w:tc>
        <w:tc>
          <w:tcPr>
            <w:tcW w:w="207" w:type="pct"/>
          </w:tcPr>
          <w:p w:rsidR="00A05021" w:rsidRDefault="00A05021">
            <w:pPr>
              <w:jc w:val="center"/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lastRenderedPageBreak/>
              <w:t>N</w:t>
            </w:r>
          </w:p>
        </w:tc>
        <w:tc>
          <w:tcPr>
            <w:tcW w:w="415" w:type="pct"/>
          </w:tcPr>
          <w:p w:rsidR="00A05021" w:rsidRDefault="00A05021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311/2001 Z. z.</w:t>
            </w: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Default="00BF0369" w:rsidP="0093492C">
            <w:pPr>
              <w:rPr>
                <w:i w:val="0"/>
                <w:sz w:val="16"/>
              </w:rPr>
            </w:pPr>
          </w:p>
          <w:p w:rsidR="00BF0369" w:rsidRPr="00BF0369" w:rsidRDefault="00BF0369" w:rsidP="0093492C">
            <w:pPr>
              <w:rPr>
                <w:b/>
                <w:i w:val="0"/>
                <w:sz w:val="16"/>
              </w:rPr>
            </w:pPr>
            <w:r w:rsidRPr="00BF0369">
              <w:rPr>
                <w:b/>
                <w:i w:val="0"/>
                <w:sz w:val="16"/>
              </w:rPr>
              <w:t>Návrh zákona</w:t>
            </w:r>
          </w:p>
        </w:tc>
        <w:tc>
          <w:tcPr>
            <w:tcW w:w="415" w:type="pct"/>
          </w:tcPr>
          <w:p w:rsidR="00A05021" w:rsidRDefault="00A05021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lastRenderedPageBreak/>
              <w:t>§ 101</w:t>
            </w: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§ 102</w:t>
            </w: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 w:rsidP="00D87F87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  <w:p w:rsidR="00A05021" w:rsidRDefault="00A05021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§ 103</w:t>
            </w:r>
          </w:p>
          <w:p w:rsidR="00BF0369" w:rsidRDefault="00A05021" w:rsidP="00BF0369">
            <w:pPr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t>O:</w:t>
            </w:r>
            <w:r w:rsidRPr="00930A80">
              <w:rPr>
                <w:b/>
                <w:i w:val="0"/>
                <w:sz w:val="16"/>
              </w:rPr>
              <w:t xml:space="preserve"> 1</w:t>
            </w:r>
            <w:r>
              <w:rPr>
                <w:b/>
                <w:i w:val="0"/>
                <w:sz w:val="16"/>
              </w:rPr>
              <w:t xml:space="preserve"> až 3</w:t>
            </w: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Default="00BF0369" w:rsidP="00BF0369">
            <w:pPr>
              <w:rPr>
                <w:b/>
                <w:i w:val="0"/>
                <w:sz w:val="16"/>
              </w:rPr>
            </w:pPr>
          </w:p>
          <w:p w:rsidR="00BF0369" w:rsidRPr="00D87F87" w:rsidRDefault="00BF0369" w:rsidP="00BF0369">
            <w:pPr>
              <w:rPr>
                <w:b/>
                <w:i w:val="0"/>
                <w:sz w:val="16"/>
              </w:rPr>
            </w:pPr>
            <w:r w:rsidRPr="00D87F87">
              <w:rPr>
                <w:b/>
                <w:i w:val="0"/>
                <w:sz w:val="16"/>
              </w:rPr>
              <w:t>§ 105</w:t>
            </w:r>
          </w:p>
          <w:p w:rsidR="00A05021" w:rsidRDefault="00A05021">
            <w:pPr>
              <w:rPr>
                <w:b/>
                <w:i w:val="0"/>
                <w:sz w:val="16"/>
              </w:rPr>
            </w:pPr>
          </w:p>
        </w:tc>
        <w:tc>
          <w:tcPr>
            <w:tcW w:w="1447" w:type="pct"/>
          </w:tcPr>
          <w:p w:rsidR="00A05021" w:rsidRPr="005A1597" w:rsidRDefault="00A05021">
            <w:pPr>
              <w:jc w:val="both"/>
              <w:rPr>
                <w:i w:val="0"/>
                <w:sz w:val="16"/>
              </w:rPr>
            </w:pPr>
            <w:r w:rsidRPr="005A1597">
              <w:rPr>
                <w:i w:val="0"/>
                <w:sz w:val="16"/>
              </w:rPr>
              <w:lastRenderedPageBreak/>
              <w:t xml:space="preserve">Zamestnanec, ktorý počas nepretržitého trvania pracovného pomeru k tomu istému zamestnávateľovi vykonával u neho prácu  aspoň 60 dní v kalendárnom roku, má nárok na dovolenku za  kalendárny rok, prípadne na jej pomernú časť, ak pracovný pomer netrval nepretržite počas celého kalendárneho roka. Za odpracovaný deň sa považuje deň, v </w:t>
            </w:r>
            <w:r w:rsidRPr="005A1597">
              <w:rPr>
                <w:i w:val="0"/>
                <w:sz w:val="16"/>
              </w:rPr>
              <w:lastRenderedPageBreak/>
              <w:t>ktorom zamestnanec odpracoval prevažnú časť svojej zmeny.  Časti zmien odpracované v rôznych  dňoch sa nesčítajú.</w:t>
            </w:r>
          </w:p>
          <w:p w:rsidR="00A05021" w:rsidRPr="005A1597" w:rsidRDefault="00A05021">
            <w:pPr>
              <w:jc w:val="both"/>
              <w:rPr>
                <w:i w:val="0"/>
                <w:sz w:val="16"/>
              </w:rPr>
            </w:pPr>
          </w:p>
          <w:p w:rsidR="00A05021" w:rsidRDefault="00A05021">
            <w:pPr>
              <w:jc w:val="both"/>
              <w:rPr>
                <w:i w:val="0"/>
                <w:sz w:val="16"/>
              </w:rPr>
            </w:pPr>
            <w:r w:rsidRPr="005A1597">
              <w:rPr>
                <w:i w:val="0"/>
                <w:sz w:val="16"/>
              </w:rPr>
              <w:t>Pomerná časť dovolenky je za každý celý kalendárny mesiac nepretržitého trvania toho istého pracovného pomeru jedna dvanástina dovolenky za kalendárny rok.</w:t>
            </w:r>
          </w:p>
          <w:p w:rsidR="00A05021" w:rsidRPr="005A1597" w:rsidRDefault="00A05021">
            <w:pPr>
              <w:jc w:val="both"/>
              <w:rPr>
                <w:i w:val="0"/>
                <w:sz w:val="16"/>
              </w:rPr>
            </w:pPr>
          </w:p>
          <w:p w:rsidR="00A05021" w:rsidRDefault="00A05021">
            <w:pPr>
              <w:jc w:val="both"/>
              <w:rPr>
                <w:i w:val="0"/>
                <w:sz w:val="16"/>
              </w:rPr>
            </w:pPr>
          </w:p>
          <w:p w:rsidR="00A05021" w:rsidRPr="005A1597" w:rsidRDefault="00A05021">
            <w:pPr>
              <w:jc w:val="both"/>
              <w:rPr>
                <w:i w:val="0"/>
                <w:sz w:val="16"/>
              </w:rPr>
            </w:pPr>
            <w:r w:rsidRPr="005A1597">
              <w:rPr>
                <w:i w:val="0"/>
                <w:sz w:val="16"/>
              </w:rPr>
              <w:t>(1) Základná výmera dovolenky je najmenej štyri týždne.</w:t>
            </w:r>
          </w:p>
          <w:p w:rsidR="00A05021" w:rsidRPr="005A1597" w:rsidRDefault="00A05021">
            <w:pPr>
              <w:jc w:val="both"/>
              <w:rPr>
                <w:i w:val="0"/>
                <w:sz w:val="16"/>
              </w:rPr>
            </w:pPr>
          </w:p>
          <w:p w:rsidR="00A05021" w:rsidRPr="00F30538" w:rsidRDefault="00A05021" w:rsidP="00D87F87">
            <w:pPr>
              <w:autoSpaceDE w:val="0"/>
              <w:autoSpaceDN w:val="0"/>
              <w:adjustRightInd w:val="0"/>
              <w:jc w:val="both"/>
              <w:rPr>
                <w:i w:val="0"/>
                <w:sz w:val="16"/>
              </w:rPr>
            </w:pPr>
            <w:r w:rsidRPr="00F30538">
              <w:rPr>
                <w:i w:val="0"/>
                <w:sz w:val="16"/>
              </w:rPr>
              <w:t>(</w:t>
            </w:r>
            <w:r w:rsidRPr="00BF0369">
              <w:rPr>
                <w:i w:val="0"/>
                <w:sz w:val="16"/>
              </w:rPr>
              <w:t xml:space="preserve">2) </w:t>
            </w:r>
            <w:r w:rsidR="00BF0369" w:rsidRPr="00BF0369">
              <w:rPr>
                <w:i w:val="0"/>
                <w:sz w:val="16"/>
              </w:rPr>
              <w:t>Dovolenka zamestnanca, ktorý do konca príslušného kalendárneho roka dovŕši najmenej 33 rokov veku, a zamestnanca, ktorý sa trvale stará o dieťa, je najmenej päť týždňov.</w:t>
            </w:r>
            <w:r w:rsidR="00BF0369">
              <w:rPr>
                <w:i w:val="0"/>
                <w:sz w:val="16"/>
              </w:rPr>
              <w:t xml:space="preserve"> </w:t>
            </w:r>
            <w:r w:rsidR="0046369B" w:rsidRPr="0046369B">
              <w:rPr>
                <w:b/>
                <w:i w:val="0"/>
                <w:sz w:val="16"/>
              </w:rPr>
              <w:t>Zamestnancovi, ktorý sa začne alebo prestane trvale starať o dieťa v priebehu kalendárneho roka, zvýšenie dovolenky za kalendárny rok podľa prvej vety nad rámec základnej výmery dovolenky podľa odseku 1 patrí  v pomernom rozsahu určenom ako podiel počtu dní trvalej starostlivosti o dieťa v príslušnom kalendárnom roku a počtu dní kalendárneho roka</w:t>
            </w:r>
            <w:r w:rsidR="00BF0369" w:rsidRPr="00BF0369">
              <w:rPr>
                <w:b/>
                <w:i w:val="0"/>
                <w:sz w:val="16"/>
              </w:rPr>
              <w:t>.</w:t>
            </w:r>
          </w:p>
          <w:p w:rsidR="00A05021" w:rsidRPr="00F30538" w:rsidRDefault="00A05021" w:rsidP="00D87F87">
            <w:pPr>
              <w:autoSpaceDE w:val="0"/>
              <w:autoSpaceDN w:val="0"/>
              <w:adjustRightInd w:val="0"/>
              <w:jc w:val="both"/>
              <w:rPr>
                <w:rFonts w:cs="Calibri"/>
                <w:i w:val="0"/>
                <w:sz w:val="16"/>
              </w:rPr>
            </w:pPr>
          </w:p>
          <w:p w:rsidR="00A05021" w:rsidRDefault="00A05021" w:rsidP="0093146E">
            <w:pPr>
              <w:autoSpaceDE w:val="0"/>
              <w:autoSpaceDN w:val="0"/>
              <w:adjustRightInd w:val="0"/>
              <w:jc w:val="both"/>
              <w:rPr>
                <w:rFonts w:cs="Calibri"/>
                <w:i w:val="0"/>
                <w:sz w:val="16"/>
              </w:rPr>
            </w:pPr>
            <w:r w:rsidRPr="00F30538">
              <w:rPr>
                <w:rFonts w:cs="Calibri"/>
                <w:i w:val="0"/>
                <w:sz w:val="16"/>
              </w:rPr>
              <w:t>(3) Dovolenka riaditeľa školy, riaditeľa školského výchovno- vzdelávacieho zariadenia, riaditeľa špeciálneho výchovného zariadenia a ich zástupcov, učiteľa, pedagogického asistenta, majstra odbornej výchovy a vychovávateľa je najmenej osem týždňov v kalendárnom roku.</w:t>
            </w:r>
          </w:p>
          <w:p w:rsidR="007D380A" w:rsidRDefault="007D380A" w:rsidP="0093146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i w:val="0"/>
                <w:sz w:val="16"/>
              </w:rPr>
            </w:pPr>
          </w:p>
          <w:p w:rsidR="00BF0369" w:rsidRPr="00D87F87" w:rsidRDefault="00BF0369" w:rsidP="00BF0369">
            <w:pPr>
              <w:jc w:val="both"/>
              <w:rPr>
                <w:i w:val="0"/>
                <w:sz w:val="16"/>
              </w:rPr>
            </w:pPr>
            <w:r w:rsidRPr="00D87F87">
              <w:rPr>
                <w:i w:val="0"/>
                <w:sz w:val="16"/>
              </w:rPr>
              <w:t>Zamestnancovi, ktorému nevznikol nárok na dovolenku za  kalendárny rok ani na jej pomernú časť, pretože nevykonával v kalendárnom roku u toho istého zamestnávateľa prácu aspoň 60  dní, patrí dovolenka za odpracované dni v dĺžke jednej dvanástiny dovolenky za kalendárny rok za každých  21 odpracovaných dní  v príslušnom kalendárnom roku.</w:t>
            </w:r>
          </w:p>
          <w:p w:rsidR="00BF0369" w:rsidRDefault="00BF0369" w:rsidP="0093146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i w:val="0"/>
                <w:sz w:val="16"/>
              </w:rPr>
            </w:pPr>
          </w:p>
          <w:p w:rsidR="00BF0369" w:rsidRPr="0093492C" w:rsidRDefault="00BF0369" w:rsidP="0093146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i w:val="0"/>
                <w:sz w:val="16"/>
              </w:rPr>
            </w:pPr>
          </w:p>
        </w:tc>
        <w:tc>
          <w:tcPr>
            <w:tcW w:w="213" w:type="pct"/>
          </w:tcPr>
          <w:p w:rsidR="00A05021" w:rsidRDefault="00A05021">
            <w:pPr>
              <w:jc w:val="center"/>
              <w:rPr>
                <w:b/>
                <w:i w:val="0"/>
                <w:sz w:val="16"/>
              </w:rPr>
            </w:pPr>
            <w:r>
              <w:rPr>
                <w:b/>
                <w:i w:val="0"/>
                <w:sz w:val="16"/>
              </w:rPr>
              <w:lastRenderedPageBreak/>
              <w:t>Ú</w:t>
            </w:r>
          </w:p>
        </w:tc>
        <w:tc>
          <w:tcPr>
            <w:tcW w:w="415" w:type="pct"/>
          </w:tcPr>
          <w:p w:rsidR="00A05021" w:rsidRDefault="00A05021">
            <w:pPr>
              <w:rPr>
                <w:sz w:val="16"/>
              </w:rPr>
            </w:pPr>
          </w:p>
        </w:tc>
      </w:tr>
    </w:tbl>
    <w:p w:rsidR="00A337FC" w:rsidRPr="00BF0369" w:rsidRDefault="00A337FC" w:rsidP="00972F98">
      <w:pPr>
        <w:rPr>
          <w:i w:val="0"/>
        </w:rPr>
      </w:pPr>
    </w:p>
    <w:sectPr w:rsidR="00A337FC" w:rsidRPr="00BF0369" w:rsidSect="008C1EAF">
      <w:footerReference w:type="even" r:id="rId9"/>
      <w:footerReference w:type="default" r:id="rId10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8F" w:rsidRDefault="00B30D8F">
      <w:r>
        <w:separator/>
      </w:r>
    </w:p>
  </w:endnote>
  <w:endnote w:type="continuationSeparator" w:id="0">
    <w:p w:rsidR="00B30D8F" w:rsidRDefault="00B3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CA" w:rsidRDefault="009952C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952CA" w:rsidRDefault="009952C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619125"/>
      <w:docPartObj>
        <w:docPartGallery w:val="Page Numbers (Bottom of Page)"/>
        <w:docPartUnique/>
      </w:docPartObj>
    </w:sdtPr>
    <w:sdtEndPr>
      <w:rPr>
        <w:i w:val="0"/>
        <w:sz w:val="16"/>
        <w:szCs w:val="16"/>
      </w:rPr>
    </w:sdtEndPr>
    <w:sdtContent>
      <w:p w:rsidR="00BF0369" w:rsidRPr="00BF0369" w:rsidRDefault="00BF0369">
        <w:pPr>
          <w:pStyle w:val="Pta"/>
          <w:jc w:val="center"/>
          <w:rPr>
            <w:i w:val="0"/>
            <w:sz w:val="16"/>
            <w:szCs w:val="16"/>
          </w:rPr>
        </w:pPr>
        <w:r w:rsidRPr="00BF0369">
          <w:rPr>
            <w:i w:val="0"/>
            <w:sz w:val="16"/>
            <w:szCs w:val="16"/>
          </w:rPr>
          <w:fldChar w:fldCharType="begin"/>
        </w:r>
        <w:r w:rsidRPr="00BF0369">
          <w:rPr>
            <w:i w:val="0"/>
            <w:sz w:val="16"/>
            <w:szCs w:val="16"/>
          </w:rPr>
          <w:instrText>PAGE   \* MERGEFORMAT</w:instrText>
        </w:r>
        <w:r w:rsidRPr="00BF0369">
          <w:rPr>
            <w:i w:val="0"/>
            <w:sz w:val="16"/>
            <w:szCs w:val="16"/>
          </w:rPr>
          <w:fldChar w:fldCharType="separate"/>
        </w:r>
        <w:r w:rsidR="00D31147">
          <w:rPr>
            <w:i w:val="0"/>
            <w:noProof/>
            <w:sz w:val="16"/>
            <w:szCs w:val="16"/>
          </w:rPr>
          <w:t>2</w:t>
        </w:r>
        <w:r w:rsidRPr="00BF0369">
          <w:rPr>
            <w:i w:val="0"/>
            <w:sz w:val="16"/>
            <w:szCs w:val="16"/>
          </w:rPr>
          <w:fldChar w:fldCharType="end"/>
        </w:r>
      </w:p>
    </w:sdtContent>
  </w:sdt>
  <w:p w:rsidR="009952CA" w:rsidRDefault="009952CA">
    <w:pPr>
      <w:pStyle w:val="Pta"/>
      <w:ind w:right="360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8F" w:rsidRDefault="00B30D8F">
      <w:r>
        <w:separator/>
      </w:r>
    </w:p>
  </w:footnote>
  <w:footnote w:type="continuationSeparator" w:id="0">
    <w:p w:rsidR="00B30D8F" w:rsidRDefault="00B3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F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530C5"/>
    <w:multiLevelType w:val="hybridMultilevel"/>
    <w:tmpl w:val="5ABE9C98"/>
    <w:lvl w:ilvl="0" w:tplc="E52AF8F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B1C9F"/>
    <w:multiLevelType w:val="singleLevel"/>
    <w:tmpl w:val="056E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4C1D38"/>
    <w:multiLevelType w:val="hybridMultilevel"/>
    <w:tmpl w:val="98ACA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7D7690"/>
    <w:multiLevelType w:val="hybridMultilevel"/>
    <w:tmpl w:val="8680561E"/>
    <w:lvl w:ilvl="0" w:tplc="A93E40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B2115"/>
    <w:multiLevelType w:val="singleLevel"/>
    <w:tmpl w:val="D6700E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9946862"/>
    <w:multiLevelType w:val="singleLevel"/>
    <w:tmpl w:val="233C06D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F6A65EF"/>
    <w:multiLevelType w:val="hybridMultilevel"/>
    <w:tmpl w:val="7068B42E"/>
    <w:lvl w:ilvl="0" w:tplc="BACCC30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F2822"/>
    <w:multiLevelType w:val="hybridMultilevel"/>
    <w:tmpl w:val="C714F4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ABA6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E15AB"/>
    <w:multiLevelType w:val="hybridMultilevel"/>
    <w:tmpl w:val="F2069A5C"/>
    <w:lvl w:ilvl="0" w:tplc="21F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9A0402"/>
    <w:multiLevelType w:val="hybridMultilevel"/>
    <w:tmpl w:val="C1009BA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E75FDE"/>
    <w:multiLevelType w:val="hybridMultilevel"/>
    <w:tmpl w:val="152212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877BAE"/>
    <w:multiLevelType w:val="singleLevel"/>
    <w:tmpl w:val="8F66E75C"/>
    <w:lvl w:ilvl="0">
      <w:start w:val="1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  <w:sz w:val="24"/>
      </w:rPr>
    </w:lvl>
  </w:abstractNum>
  <w:abstractNum w:abstractNumId="13">
    <w:nsid w:val="321F1C22"/>
    <w:multiLevelType w:val="singleLevel"/>
    <w:tmpl w:val="73D89F4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14">
    <w:nsid w:val="350E28B8"/>
    <w:multiLevelType w:val="hybridMultilevel"/>
    <w:tmpl w:val="A6EEAC50"/>
    <w:lvl w:ilvl="0" w:tplc="174622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2D576E"/>
    <w:multiLevelType w:val="hybridMultilevel"/>
    <w:tmpl w:val="B484B940"/>
    <w:lvl w:ilvl="0" w:tplc="FD2E52F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B35D2E"/>
    <w:multiLevelType w:val="singleLevel"/>
    <w:tmpl w:val="ACACB920"/>
    <w:lvl w:ilvl="0">
      <w:start w:val="1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</w:rPr>
    </w:lvl>
  </w:abstractNum>
  <w:abstractNum w:abstractNumId="17">
    <w:nsid w:val="3BA61AE8"/>
    <w:multiLevelType w:val="singleLevel"/>
    <w:tmpl w:val="A69EAE04"/>
    <w:lvl w:ilvl="0">
      <w:start w:val="3"/>
      <w:numFmt w:val="decimal"/>
      <w:lvlText w:val="(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BAE435A"/>
    <w:multiLevelType w:val="hybridMultilevel"/>
    <w:tmpl w:val="1A105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3E5CB6"/>
    <w:multiLevelType w:val="hybridMultilevel"/>
    <w:tmpl w:val="2AC2C41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D1D4115"/>
    <w:multiLevelType w:val="hybridMultilevel"/>
    <w:tmpl w:val="238C11C2"/>
    <w:lvl w:ilvl="0" w:tplc="D94CE90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C096AD08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B251FF"/>
    <w:multiLevelType w:val="hybridMultilevel"/>
    <w:tmpl w:val="27787CF6"/>
    <w:lvl w:ilvl="0" w:tplc="8B92C61E">
      <w:start w:val="1"/>
      <w:numFmt w:val="decimal"/>
      <w:lvlText w:val="(%1)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651788"/>
    <w:multiLevelType w:val="singleLevel"/>
    <w:tmpl w:val="C1B6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5702D0"/>
    <w:multiLevelType w:val="singleLevel"/>
    <w:tmpl w:val="AFEC67E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25">
    <w:nsid w:val="51FE3B74"/>
    <w:multiLevelType w:val="singleLevel"/>
    <w:tmpl w:val="124425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52B826EC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7">
    <w:nsid w:val="546157FD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8">
    <w:nsid w:val="54A32ED9"/>
    <w:multiLevelType w:val="singleLevel"/>
    <w:tmpl w:val="18C80658"/>
    <w:lvl w:ilvl="0">
      <w:start w:val="7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29">
    <w:nsid w:val="55126B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27081A"/>
    <w:multiLevelType w:val="hybridMultilevel"/>
    <w:tmpl w:val="5E92904C"/>
    <w:lvl w:ilvl="0" w:tplc="29FAD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84437"/>
    <w:multiLevelType w:val="singleLevel"/>
    <w:tmpl w:val="7E702B2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5BD13AF7"/>
    <w:multiLevelType w:val="singleLevel"/>
    <w:tmpl w:val="4BCE6E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3DB1426"/>
    <w:multiLevelType w:val="singleLevel"/>
    <w:tmpl w:val="5E565E8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8165534"/>
    <w:multiLevelType w:val="hybridMultilevel"/>
    <w:tmpl w:val="CDB2DC16"/>
    <w:lvl w:ilvl="0" w:tplc="811C9E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62084D"/>
    <w:multiLevelType w:val="singleLevel"/>
    <w:tmpl w:val="D4FA2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BC9517B"/>
    <w:multiLevelType w:val="singleLevel"/>
    <w:tmpl w:val="F8C09F90"/>
    <w:lvl w:ilvl="0">
      <w:start w:val="2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</w:rPr>
    </w:lvl>
  </w:abstractNum>
  <w:abstractNum w:abstractNumId="37">
    <w:nsid w:val="6BF6789A"/>
    <w:multiLevelType w:val="singleLevel"/>
    <w:tmpl w:val="85D820C0"/>
    <w:lvl w:ilvl="0">
      <w:start w:val="1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  <w:sz w:val="24"/>
      </w:rPr>
    </w:lvl>
  </w:abstractNum>
  <w:abstractNum w:abstractNumId="38">
    <w:nsid w:val="6CF24BA2"/>
    <w:multiLevelType w:val="singleLevel"/>
    <w:tmpl w:val="A228528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39">
    <w:nsid w:val="6D146B28"/>
    <w:multiLevelType w:val="singleLevel"/>
    <w:tmpl w:val="233C06D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0E71F19"/>
    <w:multiLevelType w:val="singleLevel"/>
    <w:tmpl w:val="2BFE2BA6"/>
    <w:lvl w:ilvl="0">
      <w:start w:val="6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  <w:sz w:val="24"/>
      </w:rPr>
    </w:lvl>
  </w:abstractNum>
  <w:abstractNum w:abstractNumId="41">
    <w:nsid w:val="74A666A8"/>
    <w:multiLevelType w:val="singleLevel"/>
    <w:tmpl w:val="DD8CF6FC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2">
    <w:nsid w:val="77095D66"/>
    <w:multiLevelType w:val="singleLevel"/>
    <w:tmpl w:val="0C1E3B94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DD117E9"/>
    <w:multiLevelType w:val="singleLevel"/>
    <w:tmpl w:val="93DC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45">
    <w:nsid w:val="7E3F7D34"/>
    <w:multiLevelType w:val="singleLevel"/>
    <w:tmpl w:val="ACD60B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3"/>
  </w:num>
  <w:num w:numId="5">
    <w:abstractNumId w:val="45"/>
  </w:num>
  <w:num w:numId="6">
    <w:abstractNumId w:val="39"/>
  </w:num>
  <w:num w:numId="7">
    <w:abstractNumId w:val="6"/>
  </w:num>
  <w:num w:numId="8">
    <w:abstractNumId w:val="41"/>
  </w:num>
  <w:num w:numId="9">
    <w:abstractNumId w:val="17"/>
  </w:num>
  <w:num w:numId="10">
    <w:abstractNumId w:val="38"/>
  </w:num>
  <w:num w:numId="11">
    <w:abstractNumId w:val="31"/>
  </w:num>
  <w:num w:numId="12">
    <w:abstractNumId w:val="32"/>
  </w:num>
  <w:num w:numId="13">
    <w:abstractNumId w:val="33"/>
  </w:num>
  <w:num w:numId="14">
    <w:abstractNumId w:val="42"/>
  </w:num>
  <w:num w:numId="15">
    <w:abstractNumId w:val="24"/>
  </w:num>
  <w:num w:numId="16">
    <w:abstractNumId w:val="28"/>
  </w:num>
  <w:num w:numId="17">
    <w:abstractNumId w:val="43"/>
  </w:num>
  <w:num w:numId="18">
    <w:abstractNumId w:val="26"/>
  </w:num>
  <w:num w:numId="19">
    <w:abstractNumId w:val="44"/>
  </w:num>
  <w:num w:numId="20">
    <w:abstractNumId w:val="16"/>
  </w:num>
  <w:num w:numId="21">
    <w:abstractNumId w:val="12"/>
  </w:num>
  <w:num w:numId="22">
    <w:abstractNumId w:val="37"/>
  </w:num>
  <w:num w:numId="23">
    <w:abstractNumId w:val="13"/>
  </w:num>
  <w:num w:numId="24">
    <w:abstractNumId w:val="22"/>
  </w:num>
  <w:num w:numId="25">
    <w:abstractNumId w:val="40"/>
  </w:num>
  <w:num w:numId="26">
    <w:abstractNumId w:val="35"/>
  </w:num>
  <w:num w:numId="27">
    <w:abstractNumId w:val="5"/>
  </w:num>
  <w:num w:numId="28">
    <w:abstractNumId w:val="25"/>
  </w:num>
  <w:num w:numId="29">
    <w:abstractNumId w:val="36"/>
  </w:num>
  <w:num w:numId="30">
    <w:abstractNumId w:val="2"/>
  </w:num>
  <w:num w:numId="31">
    <w:abstractNumId w:val="27"/>
  </w:num>
  <w:num w:numId="32">
    <w:abstractNumId w:val="8"/>
  </w:num>
  <w:num w:numId="33">
    <w:abstractNumId w:val="10"/>
  </w:num>
  <w:num w:numId="34">
    <w:abstractNumId w:val="30"/>
  </w:num>
  <w:num w:numId="35">
    <w:abstractNumId w:val="9"/>
  </w:num>
  <w:num w:numId="36">
    <w:abstractNumId w:val="1"/>
  </w:num>
  <w:num w:numId="37">
    <w:abstractNumId w:val="21"/>
  </w:num>
  <w:num w:numId="38">
    <w:abstractNumId w:val="7"/>
  </w:num>
  <w:num w:numId="39">
    <w:abstractNumId w:val="20"/>
  </w:num>
  <w:num w:numId="40">
    <w:abstractNumId w:val="15"/>
  </w:num>
  <w:num w:numId="41">
    <w:abstractNumId w:val="19"/>
  </w:num>
  <w:num w:numId="42">
    <w:abstractNumId w:val="18"/>
  </w:num>
  <w:num w:numId="43">
    <w:abstractNumId w:val="23"/>
  </w:num>
  <w:num w:numId="44">
    <w:abstractNumId w:val="23"/>
  </w:num>
  <w:num w:numId="45">
    <w:abstractNumId w:val="14"/>
  </w:num>
  <w:num w:numId="46">
    <w:abstractNumId w:val="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16"/>
    <w:rsid w:val="0001629F"/>
    <w:rsid w:val="0002348A"/>
    <w:rsid w:val="00044F1C"/>
    <w:rsid w:val="00046361"/>
    <w:rsid w:val="000572B9"/>
    <w:rsid w:val="00067CE2"/>
    <w:rsid w:val="00072F3B"/>
    <w:rsid w:val="0008148F"/>
    <w:rsid w:val="0009074E"/>
    <w:rsid w:val="000A7B15"/>
    <w:rsid w:val="000B10BC"/>
    <w:rsid w:val="000B7916"/>
    <w:rsid w:val="000C56E2"/>
    <w:rsid w:val="000C6142"/>
    <w:rsid w:val="000C6848"/>
    <w:rsid w:val="000D38F2"/>
    <w:rsid w:val="000E0ACB"/>
    <w:rsid w:val="000E5B00"/>
    <w:rsid w:val="001073FA"/>
    <w:rsid w:val="001110E2"/>
    <w:rsid w:val="00116CFE"/>
    <w:rsid w:val="00117336"/>
    <w:rsid w:val="00120BB9"/>
    <w:rsid w:val="00131BE8"/>
    <w:rsid w:val="00167B44"/>
    <w:rsid w:val="00177D4C"/>
    <w:rsid w:val="00192368"/>
    <w:rsid w:val="00195D5C"/>
    <w:rsid w:val="00196ED3"/>
    <w:rsid w:val="001A6D98"/>
    <w:rsid w:val="001B4166"/>
    <w:rsid w:val="001B6DD7"/>
    <w:rsid w:val="001B7A93"/>
    <w:rsid w:val="001C2A4F"/>
    <w:rsid w:val="001C6668"/>
    <w:rsid w:val="001D06BE"/>
    <w:rsid w:val="001D6EFD"/>
    <w:rsid w:val="001F2A9B"/>
    <w:rsid w:val="00205D40"/>
    <w:rsid w:val="00213E58"/>
    <w:rsid w:val="00242CD1"/>
    <w:rsid w:val="00250BBC"/>
    <w:rsid w:val="0026319D"/>
    <w:rsid w:val="002A7E58"/>
    <w:rsid w:val="002B3942"/>
    <w:rsid w:val="002C169A"/>
    <w:rsid w:val="002D3B24"/>
    <w:rsid w:val="002F6AF5"/>
    <w:rsid w:val="00302727"/>
    <w:rsid w:val="003305C1"/>
    <w:rsid w:val="003336E8"/>
    <w:rsid w:val="003401C3"/>
    <w:rsid w:val="003523C2"/>
    <w:rsid w:val="00355720"/>
    <w:rsid w:val="003752C4"/>
    <w:rsid w:val="003A6576"/>
    <w:rsid w:val="003B0D56"/>
    <w:rsid w:val="003B1BB6"/>
    <w:rsid w:val="003C6B9B"/>
    <w:rsid w:val="003E0206"/>
    <w:rsid w:val="003F4106"/>
    <w:rsid w:val="003F7C2F"/>
    <w:rsid w:val="00400756"/>
    <w:rsid w:val="004040CE"/>
    <w:rsid w:val="004143A4"/>
    <w:rsid w:val="00417C44"/>
    <w:rsid w:val="0043160E"/>
    <w:rsid w:val="00433F5A"/>
    <w:rsid w:val="00446646"/>
    <w:rsid w:val="00450632"/>
    <w:rsid w:val="00450EB1"/>
    <w:rsid w:val="00451460"/>
    <w:rsid w:val="0046369B"/>
    <w:rsid w:val="00475E21"/>
    <w:rsid w:val="004906D5"/>
    <w:rsid w:val="0049313D"/>
    <w:rsid w:val="00497F06"/>
    <w:rsid w:val="004A7AD4"/>
    <w:rsid w:val="004B359E"/>
    <w:rsid w:val="004B734D"/>
    <w:rsid w:val="004C0334"/>
    <w:rsid w:val="004C7BA0"/>
    <w:rsid w:val="004D5A9A"/>
    <w:rsid w:val="004D6639"/>
    <w:rsid w:val="004D7AB6"/>
    <w:rsid w:val="00502F22"/>
    <w:rsid w:val="00513950"/>
    <w:rsid w:val="00513F32"/>
    <w:rsid w:val="00513F89"/>
    <w:rsid w:val="00526648"/>
    <w:rsid w:val="005276DE"/>
    <w:rsid w:val="0053778F"/>
    <w:rsid w:val="00562787"/>
    <w:rsid w:val="00567CB2"/>
    <w:rsid w:val="00570378"/>
    <w:rsid w:val="00581D2E"/>
    <w:rsid w:val="005A1597"/>
    <w:rsid w:val="005A6F3C"/>
    <w:rsid w:val="005B22CB"/>
    <w:rsid w:val="005C2316"/>
    <w:rsid w:val="005F1A7F"/>
    <w:rsid w:val="006017EA"/>
    <w:rsid w:val="00603810"/>
    <w:rsid w:val="0060685C"/>
    <w:rsid w:val="00606CB7"/>
    <w:rsid w:val="00611E21"/>
    <w:rsid w:val="00623668"/>
    <w:rsid w:val="0062541F"/>
    <w:rsid w:val="006352D3"/>
    <w:rsid w:val="00650F7A"/>
    <w:rsid w:val="00656A45"/>
    <w:rsid w:val="006806CC"/>
    <w:rsid w:val="00682680"/>
    <w:rsid w:val="00687B07"/>
    <w:rsid w:val="006A000B"/>
    <w:rsid w:val="006E22D5"/>
    <w:rsid w:val="006F1DAC"/>
    <w:rsid w:val="007050C7"/>
    <w:rsid w:val="007267F5"/>
    <w:rsid w:val="00740D35"/>
    <w:rsid w:val="0075057A"/>
    <w:rsid w:val="00754C56"/>
    <w:rsid w:val="007560F5"/>
    <w:rsid w:val="00770A2D"/>
    <w:rsid w:val="00785EAF"/>
    <w:rsid w:val="007A0687"/>
    <w:rsid w:val="007C08DA"/>
    <w:rsid w:val="007D380A"/>
    <w:rsid w:val="007E2939"/>
    <w:rsid w:val="007E61B3"/>
    <w:rsid w:val="007E7968"/>
    <w:rsid w:val="007F60A0"/>
    <w:rsid w:val="007F74B5"/>
    <w:rsid w:val="008039FF"/>
    <w:rsid w:val="00807262"/>
    <w:rsid w:val="00824DFD"/>
    <w:rsid w:val="0085068A"/>
    <w:rsid w:val="0085372F"/>
    <w:rsid w:val="00861C51"/>
    <w:rsid w:val="008624CE"/>
    <w:rsid w:val="008676AB"/>
    <w:rsid w:val="008705C8"/>
    <w:rsid w:val="008746C7"/>
    <w:rsid w:val="00877BF4"/>
    <w:rsid w:val="00891CF4"/>
    <w:rsid w:val="008B6A7A"/>
    <w:rsid w:val="008C1EAF"/>
    <w:rsid w:val="008C404F"/>
    <w:rsid w:val="008C46A7"/>
    <w:rsid w:val="008E7BF2"/>
    <w:rsid w:val="0090015D"/>
    <w:rsid w:val="00900605"/>
    <w:rsid w:val="00903F1C"/>
    <w:rsid w:val="0090573D"/>
    <w:rsid w:val="00916C6B"/>
    <w:rsid w:val="00921C6A"/>
    <w:rsid w:val="00930A80"/>
    <w:rsid w:val="0093146E"/>
    <w:rsid w:val="00932AB4"/>
    <w:rsid w:val="0093492C"/>
    <w:rsid w:val="00941702"/>
    <w:rsid w:val="0094551A"/>
    <w:rsid w:val="009553D6"/>
    <w:rsid w:val="00956425"/>
    <w:rsid w:val="0096307F"/>
    <w:rsid w:val="009635B1"/>
    <w:rsid w:val="00972F98"/>
    <w:rsid w:val="00987FA7"/>
    <w:rsid w:val="009952CA"/>
    <w:rsid w:val="009A0C16"/>
    <w:rsid w:val="009B53CC"/>
    <w:rsid w:val="009E6626"/>
    <w:rsid w:val="00A01A25"/>
    <w:rsid w:val="00A05021"/>
    <w:rsid w:val="00A1252D"/>
    <w:rsid w:val="00A14C63"/>
    <w:rsid w:val="00A15A16"/>
    <w:rsid w:val="00A17051"/>
    <w:rsid w:val="00A17DE6"/>
    <w:rsid w:val="00A22FBD"/>
    <w:rsid w:val="00A3144A"/>
    <w:rsid w:val="00A337FC"/>
    <w:rsid w:val="00A37ABD"/>
    <w:rsid w:val="00A423D4"/>
    <w:rsid w:val="00A57205"/>
    <w:rsid w:val="00A61B35"/>
    <w:rsid w:val="00A62DAB"/>
    <w:rsid w:val="00A75DD8"/>
    <w:rsid w:val="00A77AD1"/>
    <w:rsid w:val="00A8350D"/>
    <w:rsid w:val="00A84456"/>
    <w:rsid w:val="00AA773E"/>
    <w:rsid w:val="00AB3CB8"/>
    <w:rsid w:val="00AB3D4C"/>
    <w:rsid w:val="00AD5520"/>
    <w:rsid w:val="00AE0767"/>
    <w:rsid w:val="00AF3450"/>
    <w:rsid w:val="00B0752D"/>
    <w:rsid w:val="00B106E6"/>
    <w:rsid w:val="00B14310"/>
    <w:rsid w:val="00B21322"/>
    <w:rsid w:val="00B22D75"/>
    <w:rsid w:val="00B244D6"/>
    <w:rsid w:val="00B30D8F"/>
    <w:rsid w:val="00B32C16"/>
    <w:rsid w:val="00B337E8"/>
    <w:rsid w:val="00B37500"/>
    <w:rsid w:val="00B624AA"/>
    <w:rsid w:val="00B722B1"/>
    <w:rsid w:val="00B911AE"/>
    <w:rsid w:val="00B96A4C"/>
    <w:rsid w:val="00BB4164"/>
    <w:rsid w:val="00BB51A1"/>
    <w:rsid w:val="00BC054E"/>
    <w:rsid w:val="00BF0369"/>
    <w:rsid w:val="00BF070B"/>
    <w:rsid w:val="00C156D9"/>
    <w:rsid w:val="00C1759A"/>
    <w:rsid w:val="00C2000D"/>
    <w:rsid w:val="00C360B5"/>
    <w:rsid w:val="00C51C9E"/>
    <w:rsid w:val="00C943F6"/>
    <w:rsid w:val="00CB0E41"/>
    <w:rsid w:val="00CC1A93"/>
    <w:rsid w:val="00CC4AAB"/>
    <w:rsid w:val="00CE1847"/>
    <w:rsid w:val="00D200BD"/>
    <w:rsid w:val="00D31147"/>
    <w:rsid w:val="00D44C4A"/>
    <w:rsid w:val="00D56B60"/>
    <w:rsid w:val="00D73070"/>
    <w:rsid w:val="00D75ACB"/>
    <w:rsid w:val="00D7795D"/>
    <w:rsid w:val="00D87F87"/>
    <w:rsid w:val="00D96621"/>
    <w:rsid w:val="00D96637"/>
    <w:rsid w:val="00DC2298"/>
    <w:rsid w:val="00DD05A9"/>
    <w:rsid w:val="00E032D3"/>
    <w:rsid w:val="00E03520"/>
    <w:rsid w:val="00E3381C"/>
    <w:rsid w:val="00E35353"/>
    <w:rsid w:val="00E46D75"/>
    <w:rsid w:val="00E54CB5"/>
    <w:rsid w:val="00E62C0C"/>
    <w:rsid w:val="00E62C84"/>
    <w:rsid w:val="00E746DD"/>
    <w:rsid w:val="00E74C1F"/>
    <w:rsid w:val="00E75CB8"/>
    <w:rsid w:val="00E91F06"/>
    <w:rsid w:val="00E951FF"/>
    <w:rsid w:val="00EA26C6"/>
    <w:rsid w:val="00EA7F03"/>
    <w:rsid w:val="00EC4F1B"/>
    <w:rsid w:val="00ED3A3F"/>
    <w:rsid w:val="00ED6550"/>
    <w:rsid w:val="00F033E6"/>
    <w:rsid w:val="00F20909"/>
    <w:rsid w:val="00F2500F"/>
    <w:rsid w:val="00F254DB"/>
    <w:rsid w:val="00F2564E"/>
    <w:rsid w:val="00F30520"/>
    <w:rsid w:val="00F30538"/>
    <w:rsid w:val="00F35FAC"/>
    <w:rsid w:val="00F50D14"/>
    <w:rsid w:val="00F55752"/>
    <w:rsid w:val="00F62DA9"/>
    <w:rsid w:val="00F6724E"/>
    <w:rsid w:val="00F91444"/>
    <w:rsid w:val="00FB604D"/>
    <w:rsid w:val="00FC0754"/>
    <w:rsid w:val="00FC0D96"/>
    <w:rsid w:val="00FC2A16"/>
    <w:rsid w:val="00FC6237"/>
    <w:rsid w:val="00FC6843"/>
    <w:rsid w:val="00FD09E9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center"/>
      <w:outlineLvl w:val="6"/>
    </w:pPr>
    <w:rPr>
      <w:b/>
      <w:i w:val="0"/>
      <w:sz w:val="16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jc w:val="both"/>
      <w:outlineLvl w:val="7"/>
    </w:pPr>
    <w:rPr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i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i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i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i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rFonts w:ascii="Arial Unicode MS" w:eastAsia="Arial Unicode MS" w:hAnsi="Arial Unicode MS" w:cs="Arial Unicode MS"/>
      <w:i w:val="0"/>
      <w:sz w:val="19"/>
      <w:szCs w:val="19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240" w:lineRule="atLeast"/>
      <w:ind w:firstLine="708"/>
      <w:jc w:val="both"/>
    </w:pPr>
    <w:rPr>
      <w:i w:val="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customStyle="1" w:styleId="BodyText21">
    <w:name w:val="Body Text 21"/>
    <w:basedOn w:val="Normlny"/>
    <w:pPr>
      <w:widowControl w:val="0"/>
      <w:jc w:val="both"/>
    </w:pPr>
    <w:rPr>
      <w:i w:val="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067C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i/>
      <w:sz w:val="16"/>
      <w:szCs w:val="16"/>
    </w:rPr>
  </w:style>
  <w:style w:type="paragraph" w:customStyle="1" w:styleId="Normlny0">
    <w:name w:val="_Normálny"/>
    <w:basedOn w:val="Normlny"/>
    <w:rsid w:val="00A14C63"/>
    <w:pPr>
      <w:autoSpaceDE w:val="0"/>
      <w:autoSpaceDN w:val="0"/>
    </w:pPr>
    <w:rPr>
      <w:i w:val="0"/>
      <w:sz w:val="20"/>
      <w:lang w:eastAsia="en-US"/>
    </w:rPr>
  </w:style>
  <w:style w:type="character" w:styleId="sloriadka">
    <w:name w:val="line number"/>
    <w:basedOn w:val="Predvolenpsmoodseku"/>
    <w:uiPriority w:val="99"/>
    <w:rsid w:val="008C1EAF"/>
    <w:rPr>
      <w:rFonts w:cs="Times New Roman"/>
    </w:rPr>
  </w:style>
  <w:style w:type="character" w:styleId="Hypertextovprepojenie">
    <w:name w:val="Hyperlink"/>
    <w:basedOn w:val="Predvolenpsmoodseku"/>
    <w:rsid w:val="00D44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center"/>
      <w:outlineLvl w:val="6"/>
    </w:pPr>
    <w:rPr>
      <w:b/>
      <w:i w:val="0"/>
      <w:sz w:val="16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jc w:val="both"/>
      <w:outlineLvl w:val="7"/>
    </w:pPr>
    <w:rPr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i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i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i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i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rFonts w:ascii="Arial Unicode MS" w:eastAsia="Arial Unicode MS" w:hAnsi="Arial Unicode MS" w:cs="Arial Unicode MS"/>
      <w:i w:val="0"/>
      <w:sz w:val="19"/>
      <w:szCs w:val="19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240" w:lineRule="atLeast"/>
      <w:ind w:firstLine="708"/>
      <w:jc w:val="both"/>
    </w:pPr>
    <w:rPr>
      <w:i w:val="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customStyle="1" w:styleId="BodyText21">
    <w:name w:val="Body Text 21"/>
    <w:basedOn w:val="Normlny"/>
    <w:pPr>
      <w:widowControl w:val="0"/>
      <w:jc w:val="both"/>
    </w:pPr>
    <w:rPr>
      <w:i w:val="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067C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i/>
      <w:sz w:val="16"/>
      <w:szCs w:val="16"/>
    </w:rPr>
  </w:style>
  <w:style w:type="paragraph" w:customStyle="1" w:styleId="Normlny0">
    <w:name w:val="_Normálny"/>
    <w:basedOn w:val="Normlny"/>
    <w:rsid w:val="00A14C63"/>
    <w:pPr>
      <w:autoSpaceDE w:val="0"/>
      <w:autoSpaceDN w:val="0"/>
    </w:pPr>
    <w:rPr>
      <w:i w:val="0"/>
      <w:sz w:val="20"/>
      <w:lang w:eastAsia="en-US"/>
    </w:rPr>
  </w:style>
  <w:style w:type="character" w:styleId="sloriadka">
    <w:name w:val="line number"/>
    <w:basedOn w:val="Predvolenpsmoodseku"/>
    <w:uiPriority w:val="99"/>
    <w:rsid w:val="008C1EAF"/>
    <w:rPr>
      <w:rFonts w:cs="Times New Roman"/>
    </w:rPr>
  </w:style>
  <w:style w:type="character" w:styleId="Hypertextovprepojenie">
    <w:name w:val="Hyperlink"/>
    <w:basedOn w:val="Predvolenpsmoodseku"/>
    <w:rsid w:val="00D44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720138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0138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0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3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5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4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5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2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7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6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9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3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2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60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FE34-BA59-41C9-94D0-132C9700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MPSVaR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MPSVaR</dc:creator>
  <cp:lastModifiedBy>Cebulakova Monika</cp:lastModifiedBy>
  <cp:revision>2</cp:revision>
  <cp:lastPrinted>2011-04-20T10:25:00Z</cp:lastPrinted>
  <dcterms:created xsi:type="dcterms:W3CDTF">2020-11-04T09:55:00Z</dcterms:created>
  <dcterms:modified xsi:type="dcterms:W3CDTF">2020-11-04T09:55:00Z</dcterms:modified>
</cp:coreProperties>
</file>