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9212"/>
      </w:tblGrid>
      <w:tr w:rsidR="009F2DFA" w:rsidRPr="005D6754" w:rsidTr="007B71A4">
        <w:trPr>
          <w:trHeight w:val="567"/>
        </w:trPr>
        <w:tc>
          <w:tcPr>
            <w:tcW w:w="9212" w:type="dxa"/>
            <w:shd w:val="clear" w:color="auto" w:fill="D9D9D9" w:themeFill="background1" w:themeFillShade="D9"/>
          </w:tcPr>
          <w:p w:rsidR="009F2DFA" w:rsidRPr="005D6754" w:rsidRDefault="008A1252" w:rsidP="005D6754">
            <w:pPr>
              <w:jc w:val="center"/>
              <w:rPr>
                <w:b/>
                <w:sz w:val="24"/>
                <w:szCs w:val="24"/>
              </w:rPr>
            </w:pPr>
            <w:bookmarkStart w:id="0" w:name="_GoBack"/>
            <w:bookmarkEnd w:id="0"/>
            <w:r w:rsidRPr="005D6754">
              <w:rPr>
                <w:b/>
                <w:sz w:val="24"/>
                <w:szCs w:val="24"/>
              </w:rPr>
              <w:t>Analýza v</w:t>
            </w:r>
            <w:r w:rsidR="009F2DFA" w:rsidRPr="005D6754">
              <w:rPr>
                <w:b/>
                <w:sz w:val="24"/>
                <w:szCs w:val="24"/>
              </w:rPr>
              <w:t>plyv</w:t>
            </w:r>
            <w:r w:rsidRPr="005D6754">
              <w:rPr>
                <w:b/>
                <w:sz w:val="24"/>
                <w:szCs w:val="24"/>
              </w:rPr>
              <w:t>ov</w:t>
            </w:r>
            <w:r w:rsidR="00947757" w:rsidRPr="005D6754">
              <w:rPr>
                <w:b/>
                <w:sz w:val="24"/>
                <w:szCs w:val="24"/>
              </w:rPr>
              <w:t xml:space="preserve"> na podnikateľské prostredie</w:t>
            </w:r>
          </w:p>
          <w:p w:rsidR="009F2DFA" w:rsidRPr="005D6754" w:rsidRDefault="009F2DFA" w:rsidP="005D6754">
            <w:pPr>
              <w:jc w:val="center"/>
              <w:rPr>
                <w:b/>
                <w:sz w:val="24"/>
                <w:szCs w:val="24"/>
              </w:rPr>
            </w:pPr>
            <w:r w:rsidRPr="005D6754">
              <w:rPr>
                <w:b/>
                <w:sz w:val="24"/>
                <w:szCs w:val="24"/>
              </w:rPr>
              <w:t xml:space="preserve">(vrátane </w:t>
            </w:r>
            <w:r w:rsidR="00780BA6" w:rsidRPr="005D6754">
              <w:rPr>
                <w:b/>
                <w:sz w:val="24"/>
                <w:szCs w:val="24"/>
              </w:rPr>
              <w:t xml:space="preserve">testu </w:t>
            </w:r>
            <w:r w:rsidRPr="005D6754">
              <w:rPr>
                <w:b/>
                <w:sz w:val="24"/>
                <w:szCs w:val="24"/>
              </w:rPr>
              <w:t>MSP)</w:t>
            </w:r>
          </w:p>
        </w:tc>
      </w:tr>
      <w:tr w:rsidR="009F2DFA" w:rsidRPr="005D6754" w:rsidTr="007B71A4">
        <w:trPr>
          <w:trHeight w:val="567"/>
        </w:trPr>
        <w:tc>
          <w:tcPr>
            <w:tcW w:w="9212" w:type="dxa"/>
            <w:shd w:val="clear" w:color="auto" w:fill="D9D9D9" w:themeFill="background1" w:themeFillShade="D9"/>
          </w:tcPr>
          <w:p w:rsidR="009F2DFA" w:rsidRPr="005D6754" w:rsidRDefault="009F2DFA" w:rsidP="005D6754">
            <w:pPr>
              <w:rPr>
                <w:b/>
                <w:sz w:val="24"/>
                <w:szCs w:val="24"/>
              </w:rPr>
            </w:pPr>
            <w:r w:rsidRPr="005D6754">
              <w:rPr>
                <w:b/>
                <w:sz w:val="24"/>
                <w:szCs w:val="24"/>
              </w:rPr>
              <w:t>Materiál bude mať vplyv s ohľadom na veľkostnú kategóriu podnikov:</w:t>
            </w:r>
          </w:p>
        </w:tc>
      </w:tr>
      <w:tr w:rsidR="009F2DFA" w:rsidRPr="005D6754" w:rsidTr="007B71A4">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9F2DFA" w:rsidRPr="005D6754" w:rsidTr="007B71A4">
              <w:tc>
                <w:tcPr>
                  <w:tcW w:w="436" w:type="dxa"/>
                  <w:tcBorders>
                    <w:top w:val="nil"/>
                    <w:left w:val="nil"/>
                    <w:bottom w:val="nil"/>
                    <w:right w:val="nil"/>
                  </w:tcBorders>
                </w:tcPr>
                <w:p w:rsidR="009F2DFA" w:rsidRPr="005D6754" w:rsidRDefault="009F2DFA" w:rsidP="005D6754">
                  <w:pPr>
                    <w:jc w:val="center"/>
                    <w:rPr>
                      <w:sz w:val="24"/>
                      <w:szCs w:val="24"/>
                    </w:rPr>
                  </w:pPr>
                  <w:r w:rsidRPr="005D6754">
                    <w:rPr>
                      <w:rFonts w:ascii="MS Mincho" w:eastAsia="MS Mincho" w:hAnsi="MS Mincho" w:cs="MS Mincho" w:hint="eastAsia"/>
                      <w:sz w:val="24"/>
                      <w:szCs w:val="24"/>
                    </w:rPr>
                    <w:t>☐</w:t>
                  </w:r>
                </w:p>
              </w:tc>
              <w:tc>
                <w:tcPr>
                  <w:tcW w:w="8545" w:type="dxa"/>
                  <w:tcBorders>
                    <w:top w:val="nil"/>
                    <w:left w:val="nil"/>
                    <w:bottom w:val="nil"/>
                    <w:right w:val="nil"/>
                  </w:tcBorders>
                </w:tcPr>
                <w:p w:rsidR="009F2DFA" w:rsidRPr="005D6754" w:rsidRDefault="009F2DFA" w:rsidP="005D6754">
                  <w:pPr>
                    <w:rPr>
                      <w:b/>
                      <w:sz w:val="24"/>
                      <w:szCs w:val="24"/>
                    </w:rPr>
                  </w:pPr>
                  <w:r w:rsidRPr="005D6754">
                    <w:rPr>
                      <w:b/>
                      <w:sz w:val="24"/>
                      <w:szCs w:val="24"/>
                    </w:rPr>
                    <w:t xml:space="preserve">iba na MSP (0 - 249 zamestnancov) </w:t>
                  </w:r>
                </w:p>
              </w:tc>
            </w:tr>
            <w:tr w:rsidR="009F2DFA" w:rsidRPr="005D6754" w:rsidTr="007B71A4">
              <w:tc>
                <w:tcPr>
                  <w:tcW w:w="436" w:type="dxa"/>
                  <w:tcBorders>
                    <w:top w:val="nil"/>
                    <w:left w:val="nil"/>
                    <w:bottom w:val="nil"/>
                    <w:right w:val="nil"/>
                  </w:tcBorders>
                </w:tcPr>
                <w:p w:rsidR="009F2DFA" w:rsidRPr="005D6754" w:rsidRDefault="009F2DFA" w:rsidP="005D6754">
                  <w:pPr>
                    <w:jc w:val="center"/>
                    <w:rPr>
                      <w:sz w:val="24"/>
                      <w:szCs w:val="24"/>
                    </w:rPr>
                  </w:pPr>
                  <w:r w:rsidRPr="005D6754">
                    <w:rPr>
                      <w:rFonts w:ascii="MS Mincho" w:eastAsia="MS Mincho" w:hAnsi="MS Mincho" w:cs="MS Mincho" w:hint="eastAsia"/>
                      <w:sz w:val="24"/>
                      <w:szCs w:val="24"/>
                    </w:rPr>
                    <w:t>☐</w:t>
                  </w:r>
                </w:p>
              </w:tc>
              <w:tc>
                <w:tcPr>
                  <w:tcW w:w="8545" w:type="dxa"/>
                  <w:tcBorders>
                    <w:top w:val="nil"/>
                    <w:left w:val="nil"/>
                    <w:bottom w:val="nil"/>
                    <w:right w:val="nil"/>
                  </w:tcBorders>
                </w:tcPr>
                <w:p w:rsidR="009F2DFA" w:rsidRPr="005D6754" w:rsidRDefault="009F2DFA" w:rsidP="005D6754">
                  <w:pPr>
                    <w:rPr>
                      <w:b/>
                      <w:sz w:val="24"/>
                      <w:szCs w:val="24"/>
                    </w:rPr>
                  </w:pPr>
                  <w:r w:rsidRPr="005D6754">
                    <w:rPr>
                      <w:b/>
                      <w:sz w:val="24"/>
                      <w:szCs w:val="24"/>
                    </w:rPr>
                    <w:t>iba na veľké podniky (250 a viac zamestnancov)</w:t>
                  </w:r>
                </w:p>
              </w:tc>
            </w:tr>
            <w:tr w:rsidR="009F2DFA" w:rsidRPr="005D6754" w:rsidTr="007B71A4">
              <w:tc>
                <w:tcPr>
                  <w:tcW w:w="436" w:type="dxa"/>
                  <w:tcBorders>
                    <w:top w:val="nil"/>
                    <w:left w:val="nil"/>
                    <w:bottom w:val="nil"/>
                    <w:right w:val="nil"/>
                  </w:tcBorders>
                </w:tcPr>
                <w:p w:rsidR="009F2DFA" w:rsidRPr="005D6754" w:rsidRDefault="00AC14B6" w:rsidP="005D6754">
                  <w:pPr>
                    <w:jc w:val="center"/>
                    <w:rPr>
                      <w:sz w:val="24"/>
                      <w:szCs w:val="24"/>
                    </w:rPr>
                  </w:pPr>
                  <w:r w:rsidRPr="005D6754">
                    <w:rPr>
                      <w:rFonts w:ascii="MS Mincho" w:eastAsia="MS Mincho" w:hAnsi="MS Mincho" w:cs="MS Mincho" w:hint="eastAsia"/>
                      <w:sz w:val="24"/>
                      <w:szCs w:val="24"/>
                    </w:rPr>
                    <w:t>☒</w:t>
                  </w:r>
                </w:p>
              </w:tc>
              <w:tc>
                <w:tcPr>
                  <w:tcW w:w="8545" w:type="dxa"/>
                  <w:tcBorders>
                    <w:top w:val="nil"/>
                    <w:left w:val="nil"/>
                    <w:bottom w:val="nil"/>
                    <w:right w:val="nil"/>
                  </w:tcBorders>
                </w:tcPr>
                <w:p w:rsidR="009F2DFA" w:rsidRPr="005D6754" w:rsidRDefault="009F2DFA" w:rsidP="005D6754">
                  <w:pPr>
                    <w:rPr>
                      <w:sz w:val="24"/>
                      <w:szCs w:val="24"/>
                    </w:rPr>
                  </w:pPr>
                  <w:r w:rsidRPr="005D6754">
                    <w:rPr>
                      <w:b/>
                      <w:sz w:val="24"/>
                      <w:szCs w:val="24"/>
                    </w:rPr>
                    <w:t>na všetky kategórie podnikov</w:t>
                  </w:r>
                </w:p>
              </w:tc>
            </w:tr>
          </w:tbl>
          <w:p w:rsidR="009F2DFA" w:rsidRPr="005D6754" w:rsidRDefault="009F2DFA" w:rsidP="005D6754">
            <w:pPr>
              <w:rPr>
                <w:b/>
                <w:sz w:val="24"/>
                <w:szCs w:val="24"/>
              </w:rPr>
            </w:pPr>
          </w:p>
        </w:tc>
      </w:tr>
      <w:tr w:rsidR="009F2DFA" w:rsidRPr="005D6754" w:rsidTr="007B71A4">
        <w:tc>
          <w:tcPr>
            <w:tcW w:w="9212" w:type="dxa"/>
            <w:shd w:val="clear" w:color="auto" w:fill="D9D9D9" w:themeFill="background1" w:themeFillShade="D9"/>
          </w:tcPr>
          <w:p w:rsidR="009F2DFA" w:rsidRPr="005D6754" w:rsidRDefault="002B1108" w:rsidP="005D6754">
            <w:pPr>
              <w:rPr>
                <w:b/>
                <w:sz w:val="24"/>
                <w:szCs w:val="24"/>
              </w:rPr>
            </w:pPr>
            <w:r w:rsidRPr="005D6754">
              <w:rPr>
                <w:b/>
                <w:sz w:val="24"/>
                <w:szCs w:val="24"/>
              </w:rPr>
              <w:t>3</w:t>
            </w:r>
            <w:r w:rsidR="009F2DFA" w:rsidRPr="005D6754">
              <w:rPr>
                <w:b/>
                <w:sz w:val="24"/>
                <w:szCs w:val="24"/>
              </w:rPr>
              <w:t>.1 Dotknuté podnikateľské subjekty</w:t>
            </w:r>
          </w:p>
          <w:p w:rsidR="009F2DFA" w:rsidRPr="005D6754" w:rsidRDefault="009F2DFA" w:rsidP="005D6754">
            <w:pPr>
              <w:ind w:left="284"/>
              <w:rPr>
                <w:b/>
                <w:sz w:val="24"/>
                <w:szCs w:val="24"/>
              </w:rPr>
            </w:pPr>
            <w:r w:rsidRPr="005D6754">
              <w:rPr>
                <w:sz w:val="24"/>
                <w:szCs w:val="24"/>
              </w:rPr>
              <w:t xml:space="preserve"> - </w:t>
            </w:r>
            <w:r w:rsidRPr="005D6754">
              <w:rPr>
                <w:b/>
                <w:sz w:val="24"/>
                <w:szCs w:val="24"/>
              </w:rPr>
              <w:t>z toho MSP</w:t>
            </w:r>
          </w:p>
        </w:tc>
      </w:tr>
      <w:tr w:rsidR="009F2DFA" w:rsidRPr="005D6754" w:rsidTr="007B71A4">
        <w:tc>
          <w:tcPr>
            <w:tcW w:w="9212" w:type="dxa"/>
          </w:tcPr>
          <w:p w:rsidR="009F2DFA" w:rsidRPr="005D6754" w:rsidRDefault="009F2DFA" w:rsidP="005D6754">
            <w:pPr>
              <w:rPr>
                <w:i/>
                <w:sz w:val="24"/>
                <w:szCs w:val="24"/>
              </w:rPr>
            </w:pPr>
            <w:r w:rsidRPr="005D6754">
              <w:rPr>
                <w:i/>
                <w:sz w:val="24"/>
                <w:szCs w:val="24"/>
              </w:rPr>
              <w:t>Uveďte, aké podnikateľské subjekty budú predkladaným návrhom ovplyvnené.</w:t>
            </w:r>
          </w:p>
          <w:p w:rsidR="002C415A" w:rsidRPr="005D6754" w:rsidRDefault="009F2DFA" w:rsidP="005D6754">
            <w:pPr>
              <w:rPr>
                <w:i/>
                <w:sz w:val="24"/>
                <w:szCs w:val="24"/>
              </w:rPr>
            </w:pPr>
            <w:r w:rsidRPr="005D6754">
              <w:rPr>
                <w:i/>
                <w:sz w:val="24"/>
                <w:szCs w:val="24"/>
              </w:rPr>
              <w:t>Aký je ich počet?</w:t>
            </w:r>
          </w:p>
        </w:tc>
      </w:tr>
      <w:tr w:rsidR="009F2DFA" w:rsidRPr="005D6754" w:rsidTr="005D6754">
        <w:trPr>
          <w:trHeight w:val="983"/>
        </w:trPr>
        <w:tc>
          <w:tcPr>
            <w:tcW w:w="9212" w:type="dxa"/>
          </w:tcPr>
          <w:p w:rsidR="00233560" w:rsidRPr="005D6754" w:rsidRDefault="00233560" w:rsidP="005D6754">
            <w:pPr>
              <w:jc w:val="both"/>
              <w:rPr>
                <w:i/>
                <w:sz w:val="24"/>
                <w:szCs w:val="24"/>
              </w:rPr>
            </w:pPr>
            <w:r w:rsidRPr="005D6754">
              <w:rPr>
                <w:i/>
                <w:sz w:val="24"/>
                <w:szCs w:val="24"/>
              </w:rPr>
              <w:t>Počet dotknutých zamestnávateľov nemožno kvantifikovať, pretože v mnohých prípadoch ide veľmi špecifické zmeny, o ktorých sa údaje nezbierajú.</w:t>
            </w:r>
          </w:p>
          <w:p w:rsidR="002C415A" w:rsidRPr="005D6754" w:rsidRDefault="002C415A" w:rsidP="005D6754">
            <w:pPr>
              <w:jc w:val="both"/>
              <w:rPr>
                <w:i/>
                <w:sz w:val="24"/>
                <w:szCs w:val="24"/>
              </w:rPr>
            </w:pPr>
          </w:p>
          <w:p w:rsidR="002C415A" w:rsidRPr="005D6754" w:rsidRDefault="002C415A" w:rsidP="005D6754">
            <w:pPr>
              <w:jc w:val="both"/>
              <w:rPr>
                <w:sz w:val="24"/>
                <w:szCs w:val="24"/>
              </w:rPr>
            </w:pPr>
            <w:r w:rsidRPr="005D6754">
              <w:rPr>
                <w:sz w:val="24"/>
                <w:szCs w:val="24"/>
              </w:rPr>
              <w:t>Celkový počet dotknutých zamestnávateľ nemožno odhadnúť – niektoré zmeny sa rieši na základe podnetov v špecifických prípadoch, v iných prípadoch neexistuje štruktúra dát. V prípade domáckej práce a </w:t>
            </w:r>
            <w:proofErr w:type="spellStart"/>
            <w:r w:rsidRPr="005D6754">
              <w:rPr>
                <w:sz w:val="24"/>
                <w:szCs w:val="24"/>
              </w:rPr>
              <w:t>telepráce</w:t>
            </w:r>
            <w:proofErr w:type="spellEnd"/>
            <w:r w:rsidRPr="005D6754">
              <w:rPr>
                <w:sz w:val="24"/>
                <w:szCs w:val="24"/>
              </w:rPr>
              <w:t xml:space="preserve"> a </w:t>
            </w:r>
            <w:proofErr w:type="spellStart"/>
            <w:r w:rsidRPr="005D6754">
              <w:rPr>
                <w:sz w:val="24"/>
                <w:szCs w:val="24"/>
              </w:rPr>
              <w:t>gastrolístkov</w:t>
            </w:r>
            <w:proofErr w:type="spellEnd"/>
            <w:r w:rsidRPr="005D6754">
              <w:rPr>
                <w:sz w:val="24"/>
                <w:szCs w:val="24"/>
              </w:rPr>
              <w:t xml:space="preserve"> je popis údajov nižšie. V prípade poklesu záujmu o sprostredkovania stravovania na úkor finančného príspevku budú medzi dotknuté subjekty spadať aj emitenti stravovacích poukážok.</w:t>
            </w:r>
          </w:p>
          <w:p w:rsidR="00233560" w:rsidRPr="005D6754" w:rsidRDefault="00233560" w:rsidP="005D6754">
            <w:pPr>
              <w:jc w:val="both"/>
              <w:rPr>
                <w:i/>
                <w:sz w:val="24"/>
                <w:szCs w:val="24"/>
              </w:rPr>
            </w:pPr>
          </w:p>
          <w:p w:rsidR="002C415A" w:rsidRPr="005D6754" w:rsidRDefault="002C415A" w:rsidP="005D6754">
            <w:pPr>
              <w:jc w:val="both"/>
              <w:rPr>
                <w:sz w:val="24"/>
                <w:szCs w:val="24"/>
              </w:rPr>
            </w:pPr>
            <w:r w:rsidRPr="005D6754">
              <w:rPr>
                <w:sz w:val="24"/>
                <w:szCs w:val="24"/>
              </w:rPr>
              <w:t xml:space="preserve">Cieľom väčšiny ustanovení je zlepšenie aplikovania právnej úpravy (osobitne v prípade sporu o to, aké právo zamestnancovi patrí alebo aká je povinnosť zamestnávateľa, prípadne, či dohoda medzi zamestnávateľom a zamestnancom neporušuje ustanovenia právnych predpisov), a teda zníženie podnikateľskej záťaže. </w:t>
            </w:r>
          </w:p>
          <w:p w:rsidR="002C415A" w:rsidRPr="005D6754" w:rsidRDefault="002C415A" w:rsidP="005D6754">
            <w:pPr>
              <w:jc w:val="both"/>
              <w:rPr>
                <w:sz w:val="24"/>
                <w:szCs w:val="24"/>
              </w:rPr>
            </w:pPr>
          </w:p>
          <w:p w:rsidR="002C415A" w:rsidRPr="005D6754" w:rsidRDefault="002C415A" w:rsidP="005D6754">
            <w:pPr>
              <w:jc w:val="both"/>
              <w:rPr>
                <w:sz w:val="24"/>
                <w:szCs w:val="24"/>
              </w:rPr>
            </w:pPr>
            <w:r w:rsidRPr="005D6754">
              <w:rPr>
                <w:sz w:val="24"/>
                <w:szCs w:val="24"/>
              </w:rPr>
              <w:t>Kvantifikácia dopadov, aj vzhľadom na povahu ustanovení (väčšina má technický charakter), aj na obmedzený rozsah údajov, nie je možná. Napr. predkladateľ dostal od účinnosti novely Zákonníka práce č. 380/2019 Z. z. celý rad otázok ohľadom toho, kto je osoba trvalo starajúca sa o dieťa a kedy a v akom rozsahu takejto osobe vznikne právo na vyššiu výmeru dovolenky (§ 103 ods. 2). Je teda zjavné, že prax túto otázku intenzívne riešila, a teda spresnenie právnej úpravy (definovanie pojmu, určenie rozsahu nároku ak sa tento status nadobudol alebo stratil v priebehu roka) znamená ušetrenie kapacít zamestnávateľa a nákladov na externé služby a prevenciu pred prípadnými spormi medzi zamestnávateľom a zamestnancom.</w:t>
            </w:r>
          </w:p>
          <w:p w:rsidR="002C415A" w:rsidRPr="005D6754" w:rsidRDefault="002C415A" w:rsidP="005D6754">
            <w:pPr>
              <w:jc w:val="both"/>
              <w:rPr>
                <w:sz w:val="24"/>
                <w:szCs w:val="24"/>
              </w:rPr>
            </w:pPr>
          </w:p>
          <w:p w:rsidR="002C415A" w:rsidRPr="005D6754" w:rsidRDefault="002C415A" w:rsidP="005D6754">
            <w:pPr>
              <w:jc w:val="both"/>
              <w:rPr>
                <w:sz w:val="24"/>
                <w:szCs w:val="24"/>
              </w:rPr>
            </w:pPr>
            <w:r w:rsidRPr="005D6754">
              <w:rPr>
                <w:sz w:val="24"/>
                <w:szCs w:val="24"/>
              </w:rPr>
              <w:t>V prípade zmeny v regulácii domáckej práce a </w:t>
            </w:r>
            <w:proofErr w:type="spellStart"/>
            <w:r w:rsidRPr="005D6754">
              <w:rPr>
                <w:sz w:val="24"/>
                <w:szCs w:val="24"/>
              </w:rPr>
              <w:t>telepráce</w:t>
            </w:r>
            <w:proofErr w:type="spellEnd"/>
            <w:r w:rsidRPr="005D6754">
              <w:rPr>
                <w:sz w:val="24"/>
                <w:szCs w:val="24"/>
              </w:rPr>
              <w:t xml:space="preserve"> ide o zlepšenie aplikovateľnosti súčasnej právnej úpravy a spresnenie možností zamestnávateľa a zamestnanca pokiaľ ide o flexibilitu dohôd o mieste výkonu práce, o organizácii pracovného času a o rozsahu domáckej práce a </w:t>
            </w:r>
            <w:proofErr w:type="spellStart"/>
            <w:r w:rsidRPr="005D6754">
              <w:rPr>
                <w:sz w:val="24"/>
                <w:szCs w:val="24"/>
              </w:rPr>
              <w:t>telepráce</w:t>
            </w:r>
            <w:proofErr w:type="spellEnd"/>
            <w:r w:rsidRPr="005D6754">
              <w:rPr>
                <w:sz w:val="24"/>
                <w:szCs w:val="24"/>
              </w:rPr>
              <w:t>.</w:t>
            </w:r>
          </w:p>
          <w:p w:rsidR="002C415A" w:rsidRPr="005D6754" w:rsidRDefault="002C415A" w:rsidP="005D6754">
            <w:pPr>
              <w:jc w:val="both"/>
              <w:rPr>
                <w:sz w:val="24"/>
                <w:szCs w:val="24"/>
              </w:rPr>
            </w:pPr>
          </w:p>
          <w:p w:rsidR="002C415A" w:rsidRPr="005D6754" w:rsidRDefault="002C415A" w:rsidP="005D6754">
            <w:pPr>
              <w:jc w:val="both"/>
              <w:rPr>
                <w:color w:val="000000" w:themeColor="text1"/>
                <w:sz w:val="24"/>
                <w:szCs w:val="24"/>
              </w:rPr>
            </w:pPr>
            <w:r w:rsidRPr="005D6754">
              <w:rPr>
                <w:sz w:val="24"/>
                <w:szCs w:val="24"/>
              </w:rPr>
              <w:t>Zo zdroja ISCP-IPP 2019 (</w:t>
            </w:r>
            <w:proofErr w:type="spellStart"/>
            <w:r w:rsidRPr="005D6754">
              <w:rPr>
                <w:sz w:val="24"/>
                <w:szCs w:val="24"/>
              </w:rPr>
              <w:t>Trexima</w:t>
            </w:r>
            <w:proofErr w:type="spellEnd"/>
            <w:r w:rsidRPr="005D6754">
              <w:rPr>
                <w:sz w:val="24"/>
                <w:szCs w:val="24"/>
              </w:rPr>
              <w:t xml:space="preserve">) (Tabuľka č. 1Z-PS/1 a Tabuľka č. 1Z-PS/2) vyplýva, že v prípade sledovanej vzorky 3823 </w:t>
            </w:r>
            <w:r w:rsidRPr="005D6754">
              <w:rPr>
                <w:color w:val="000000" w:themeColor="text1"/>
                <w:sz w:val="24"/>
                <w:szCs w:val="24"/>
              </w:rPr>
              <w:t>organizácii v podnikateľskej sfére (678 177) vykonáva domácku prácu 0,06% zamestnancov a </w:t>
            </w:r>
            <w:proofErr w:type="spellStart"/>
            <w:r w:rsidRPr="005D6754">
              <w:rPr>
                <w:color w:val="000000" w:themeColor="text1"/>
                <w:sz w:val="24"/>
                <w:szCs w:val="24"/>
              </w:rPr>
              <w:t>teleprácu</w:t>
            </w:r>
            <w:proofErr w:type="spellEnd"/>
            <w:r w:rsidRPr="005D6754">
              <w:rPr>
                <w:color w:val="000000" w:themeColor="text1"/>
                <w:sz w:val="24"/>
                <w:szCs w:val="24"/>
              </w:rPr>
              <w:t xml:space="preserve"> 0,05% zamestnancov (pozn. kvalifikácia podľa § 52 Zákonníka práce).</w:t>
            </w:r>
          </w:p>
          <w:p w:rsidR="002C415A" w:rsidRPr="005D6754" w:rsidRDefault="002C415A" w:rsidP="005D6754">
            <w:pPr>
              <w:jc w:val="both"/>
              <w:rPr>
                <w:color w:val="000000" w:themeColor="text1"/>
                <w:sz w:val="24"/>
                <w:szCs w:val="24"/>
              </w:rPr>
            </w:pPr>
          </w:p>
          <w:p w:rsidR="002C415A" w:rsidRPr="005D6754" w:rsidRDefault="002C415A" w:rsidP="005D6754">
            <w:pPr>
              <w:jc w:val="both"/>
              <w:rPr>
                <w:color w:val="000000" w:themeColor="text1"/>
                <w:sz w:val="24"/>
                <w:szCs w:val="24"/>
              </w:rPr>
            </w:pPr>
            <w:r w:rsidRPr="005D6754">
              <w:rPr>
                <w:sz w:val="24"/>
                <w:szCs w:val="24"/>
              </w:rPr>
              <w:t>Zo zdroja ISCP-IPP 2019 (</w:t>
            </w:r>
            <w:proofErr w:type="spellStart"/>
            <w:r w:rsidRPr="005D6754">
              <w:rPr>
                <w:sz w:val="24"/>
                <w:szCs w:val="24"/>
              </w:rPr>
              <w:t>Trexima</w:t>
            </w:r>
            <w:proofErr w:type="spellEnd"/>
            <w:r w:rsidRPr="005D6754">
              <w:rPr>
                <w:sz w:val="24"/>
                <w:szCs w:val="24"/>
              </w:rPr>
              <w:t xml:space="preserve">) (Spôsob zabezpečenia stravovania zamestnancov – tabuľka č. 1R-NS/1 a 1R-NS/2) vyplýva, že v prípade sledovanej vzorky 1245 </w:t>
            </w:r>
            <w:r w:rsidRPr="005D6754">
              <w:rPr>
                <w:color w:val="000000" w:themeColor="text1"/>
                <w:sz w:val="24"/>
                <w:szCs w:val="24"/>
              </w:rPr>
              <w:t xml:space="preserve">organizácii v nepodnikateľskej sfére (191 295 zamestnancov) vyplýva, že domácku prácu vykonáva 0,45% zamestnancov a </w:t>
            </w:r>
            <w:proofErr w:type="spellStart"/>
            <w:r w:rsidRPr="005D6754">
              <w:rPr>
                <w:color w:val="000000" w:themeColor="text1"/>
                <w:sz w:val="24"/>
                <w:szCs w:val="24"/>
              </w:rPr>
              <w:t>teleprácu</w:t>
            </w:r>
            <w:proofErr w:type="spellEnd"/>
            <w:r w:rsidRPr="005D6754">
              <w:rPr>
                <w:color w:val="000000" w:themeColor="text1"/>
                <w:sz w:val="24"/>
                <w:szCs w:val="24"/>
              </w:rPr>
              <w:t xml:space="preserve"> 0,12% zamestnancov (pozn. kvalifikácia podľa § 52 </w:t>
            </w:r>
            <w:r w:rsidRPr="005D6754">
              <w:rPr>
                <w:color w:val="000000" w:themeColor="text1"/>
                <w:sz w:val="24"/>
                <w:szCs w:val="24"/>
              </w:rPr>
              <w:lastRenderedPageBreak/>
              <w:t xml:space="preserve">Zákonníka práce). </w:t>
            </w:r>
          </w:p>
          <w:p w:rsidR="002C415A" w:rsidRPr="005D6754" w:rsidRDefault="002C415A" w:rsidP="005D6754">
            <w:pPr>
              <w:jc w:val="both"/>
              <w:rPr>
                <w:color w:val="000000" w:themeColor="text1"/>
                <w:sz w:val="24"/>
                <w:szCs w:val="24"/>
              </w:rPr>
            </w:pPr>
          </w:p>
          <w:p w:rsidR="002C415A" w:rsidRPr="005D6754" w:rsidRDefault="002C415A" w:rsidP="005D6754">
            <w:pPr>
              <w:jc w:val="both"/>
              <w:rPr>
                <w:color w:val="000000" w:themeColor="text1"/>
                <w:sz w:val="24"/>
                <w:szCs w:val="24"/>
              </w:rPr>
            </w:pPr>
            <w:r w:rsidRPr="005D6754">
              <w:rPr>
                <w:color w:val="000000" w:themeColor="text1"/>
                <w:sz w:val="24"/>
                <w:szCs w:val="24"/>
              </w:rPr>
              <w:t>V tejto súvislosti možno odvodzovať z nízkeho počtu zamestnancov s domáckou prácou a </w:t>
            </w:r>
            <w:proofErr w:type="spellStart"/>
            <w:r w:rsidRPr="005D6754">
              <w:rPr>
                <w:color w:val="000000" w:themeColor="text1"/>
                <w:sz w:val="24"/>
                <w:szCs w:val="24"/>
              </w:rPr>
              <w:t>teleprácou</w:t>
            </w:r>
            <w:proofErr w:type="spellEnd"/>
            <w:r w:rsidRPr="005D6754">
              <w:rPr>
                <w:color w:val="000000" w:themeColor="text1"/>
                <w:sz w:val="24"/>
                <w:szCs w:val="24"/>
              </w:rPr>
              <w:t>, že ide len o osoby, u ktorých sa jednoznačne deklaruje režim práce podľa § 52 Zákonníka práce a teda nejde o príležitostnú prácu z domu podľa § 52 ods. 5 Zákonníka práce (pričom pravidelne sa práca v priestoroch zamestnávateľa).</w:t>
            </w:r>
          </w:p>
          <w:p w:rsidR="002C415A" w:rsidRPr="005D6754" w:rsidRDefault="002C415A" w:rsidP="005D6754">
            <w:pPr>
              <w:jc w:val="both"/>
              <w:rPr>
                <w:color w:val="000000" w:themeColor="text1"/>
                <w:sz w:val="24"/>
                <w:szCs w:val="24"/>
              </w:rPr>
            </w:pPr>
          </w:p>
          <w:p w:rsidR="006C4164" w:rsidRDefault="006C4164" w:rsidP="006C4164">
            <w:pPr>
              <w:jc w:val="both"/>
              <w:rPr>
                <w:color w:val="000000" w:themeColor="text1"/>
                <w:sz w:val="24"/>
                <w:szCs w:val="24"/>
              </w:rPr>
            </w:pPr>
            <w:r w:rsidRPr="00F1371B">
              <w:rPr>
                <w:color w:val="000000" w:themeColor="text1"/>
                <w:sz w:val="24"/>
                <w:szCs w:val="24"/>
              </w:rPr>
              <w:t>Pokiaľ ide o zmeny v otázke voľby formy zabezpečenia stravovania</w:t>
            </w:r>
            <w:r>
              <w:rPr>
                <w:color w:val="000000" w:themeColor="text1"/>
                <w:sz w:val="24"/>
                <w:szCs w:val="24"/>
              </w:rPr>
              <w:t xml:space="preserve">, zvolené riešenie na základe dohody so zástupcami zamestnancov, resp. na základe individuálneho princípu znamená, že od rozhodnutia v konkrétnom podniku závisí, ktorá forma podľa § 152 sa u zamestnávateľa bude uplatňovať. </w:t>
            </w:r>
          </w:p>
          <w:p w:rsidR="006C4164" w:rsidRDefault="006C4164" w:rsidP="006C4164">
            <w:pPr>
              <w:jc w:val="both"/>
              <w:rPr>
                <w:color w:val="000000" w:themeColor="text1"/>
                <w:sz w:val="24"/>
                <w:szCs w:val="24"/>
              </w:rPr>
            </w:pPr>
          </w:p>
          <w:p w:rsidR="006C4164" w:rsidRDefault="006C4164" w:rsidP="006C4164">
            <w:pPr>
              <w:jc w:val="both"/>
              <w:rPr>
                <w:color w:val="000000" w:themeColor="text1"/>
                <w:sz w:val="24"/>
                <w:szCs w:val="24"/>
              </w:rPr>
            </w:pPr>
            <w:r>
              <w:rPr>
                <w:color w:val="000000" w:themeColor="text1"/>
                <w:sz w:val="24"/>
                <w:szCs w:val="24"/>
              </w:rPr>
              <w:t>V prípade, že na základe dohody nedôjde k zmene stavu, zamestnávateľ pokračuje v existujúcej forme, a teda navrhované znenie zákona nemá vplyvy na zamestnávateľa. V prípade, že dôjde k zmene, zamestnávateľ bude zamestnancom poskytovať finančný príspevok vo zvolenej forme (v hotovosti alebo na účet). Vplyvy spojené s prechodom na iný model možno označiť za zanedbateľné. Pri porovnaní modelu finančného príspevku a modelu zabezpečenia stravovania prostredníctvom stravovacích poukážok prípadná úspora zamestnávateľa závisí od toho, či odoberal fyzické stravovacie poukážky (a tie musel distribuovať) alebo používal elektronickú formu stravovacích poukážok, a od podmienok, za ktorých stravovacie poukážky nakupuje (t.j. napr. poplatky, resp. jednorazové platby na zavedenie systému). Pri prechode na finančný príspevok tieto náklady odpadnú (v praxi vzniknú len náklady spojené na počiatočnú administráciu finančného príspevku, zmenu obsahu výplatnej pásky – samostatná položka finančný príspevok, apod., avšak tieto náklady sú spravidla nižšie ako náklady na stravovacie poukážky).</w:t>
            </w:r>
          </w:p>
          <w:p w:rsidR="006C4164" w:rsidRDefault="006C4164" w:rsidP="006C4164">
            <w:pPr>
              <w:jc w:val="both"/>
              <w:rPr>
                <w:color w:val="000000" w:themeColor="text1"/>
                <w:sz w:val="24"/>
                <w:szCs w:val="24"/>
              </w:rPr>
            </w:pPr>
          </w:p>
          <w:p w:rsidR="006C4164" w:rsidRDefault="006C4164" w:rsidP="006C4164">
            <w:pPr>
              <w:jc w:val="both"/>
              <w:rPr>
                <w:color w:val="000000" w:themeColor="text1"/>
                <w:sz w:val="24"/>
                <w:szCs w:val="24"/>
              </w:rPr>
            </w:pPr>
            <w:r>
              <w:rPr>
                <w:color w:val="000000" w:themeColor="text1"/>
                <w:sz w:val="24"/>
                <w:szCs w:val="24"/>
              </w:rPr>
              <w:t>V prípade individuálneho výberu, ktorý sa predpokladá tam, kde nepôsobia zástupcovia zamestnancov (spravidla teda časť malých a stredných podnikov) sa možno domnievať, že vzhľadom na menší počet zamestnancov z dôvodu individuálnej voľby nevznikne pre zamestnávateľa nadmerná administratívna záťaž.</w:t>
            </w:r>
          </w:p>
          <w:p w:rsidR="006C4164" w:rsidRDefault="006C4164" w:rsidP="006C4164">
            <w:pPr>
              <w:jc w:val="both"/>
              <w:rPr>
                <w:color w:val="000000" w:themeColor="text1"/>
                <w:sz w:val="24"/>
                <w:szCs w:val="24"/>
              </w:rPr>
            </w:pPr>
          </w:p>
          <w:p w:rsidR="006C4164" w:rsidRPr="00F1371B" w:rsidRDefault="006C4164" w:rsidP="006C4164">
            <w:pPr>
              <w:jc w:val="both"/>
              <w:rPr>
                <w:sz w:val="24"/>
                <w:szCs w:val="24"/>
              </w:rPr>
            </w:pPr>
            <w:r w:rsidRPr="00F1371B">
              <w:rPr>
                <w:sz w:val="24"/>
                <w:szCs w:val="24"/>
              </w:rPr>
              <w:t>Prekladateľ nehodnotí dopady pokiaľ ide o vzťah medzi príjemcami stravovacích poukážok a ich emitentmi vzhľadom na skutočnosť, že v zmysle § 1 Zákonníka práce je jeho predmetom regulácia individuálnych a kolektívnych pracovnoprávnych vzťahov a nie regulácia obchodnoprávnych vzťahov, do ktorých ani z hľadiska kompetencie nemôže vstupovať. Predkladateľ primárne eviduje podnety zo strany zamestnávateľov a zamestnancov pokiaľ ide o otázku zachovania súčasného stavu alebo jeho zmenu. Iné subjekty mimo rámca pracovnoprávnych vzťahov spravidla oslovujú iné rezorty.</w:t>
            </w:r>
          </w:p>
          <w:p w:rsidR="006C4164" w:rsidRPr="00F1371B" w:rsidRDefault="006C4164" w:rsidP="006C4164">
            <w:pPr>
              <w:jc w:val="both"/>
              <w:rPr>
                <w:sz w:val="24"/>
                <w:szCs w:val="24"/>
              </w:rPr>
            </w:pPr>
          </w:p>
          <w:p w:rsidR="006C4164" w:rsidRPr="00F1371B" w:rsidRDefault="006C4164" w:rsidP="006C4164">
            <w:pPr>
              <w:jc w:val="both"/>
              <w:rPr>
                <w:sz w:val="24"/>
                <w:szCs w:val="24"/>
              </w:rPr>
            </w:pPr>
            <w:r w:rsidRPr="00F1371B">
              <w:rPr>
                <w:sz w:val="24"/>
                <w:szCs w:val="24"/>
              </w:rPr>
              <w:t>Zo zdroja ISCP-IPP 2019 (</w:t>
            </w:r>
            <w:proofErr w:type="spellStart"/>
            <w:r w:rsidRPr="00F1371B">
              <w:rPr>
                <w:sz w:val="24"/>
                <w:szCs w:val="24"/>
              </w:rPr>
              <w:t>Trexima</w:t>
            </w:r>
            <w:proofErr w:type="spellEnd"/>
            <w:r w:rsidRPr="00F1371B">
              <w:rPr>
                <w:sz w:val="24"/>
                <w:szCs w:val="24"/>
              </w:rPr>
              <w:t xml:space="preserve">) (Spôsob zabezpečenia stravovania zamestnancov – tabuľka č. 6Z-PS) vyplýva, že v prípade sledovanej vzorky 3823 </w:t>
            </w:r>
            <w:r w:rsidRPr="00F1371B">
              <w:rPr>
                <w:color w:val="000000" w:themeColor="text1"/>
                <w:sz w:val="24"/>
                <w:szCs w:val="24"/>
              </w:rPr>
              <w:t>organizácii v podnikateľskej sfére (súčet 564 136 zamestnancov</w:t>
            </w:r>
            <w:r w:rsidRPr="00F1371B">
              <w:rPr>
                <w:i/>
                <w:color w:val="000000" w:themeColor="text1"/>
                <w:sz w:val="24"/>
                <w:szCs w:val="24"/>
                <w:lang w:val="en-US"/>
              </w:rPr>
              <w:t>;</w:t>
            </w:r>
            <w:r w:rsidRPr="00F1371B">
              <w:rPr>
                <w:i/>
                <w:color w:val="000000" w:themeColor="text1"/>
                <w:sz w:val="24"/>
                <w:szCs w:val="24"/>
              </w:rPr>
              <w:t xml:space="preserve"> pozn. celkový počet zamestnancov je 678 177 avšak zamestnancom na dohody sa zo zákona neprispieva na stravovanie, rovnako ani zamestnancom, ktorí v rámci pracovnej zmeny neodpracovali viac ako 4 hodiny</w:t>
            </w:r>
            <w:r w:rsidRPr="00F1371B">
              <w:rPr>
                <w:color w:val="000000" w:themeColor="text1"/>
                <w:sz w:val="24"/>
                <w:szCs w:val="24"/>
              </w:rPr>
              <w:t xml:space="preserve">) bol </w:t>
            </w:r>
            <w:r w:rsidRPr="00F1371B">
              <w:rPr>
                <w:sz w:val="24"/>
                <w:szCs w:val="24"/>
              </w:rPr>
              <w:t>počet zamestnancov podľa (pod)foriem stravovania nasledovný:</w:t>
            </w:r>
          </w:p>
          <w:p w:rsidR="006C4164" w:rsidRPr="00F1371B" w:rsidRDefault="006C4164" w:rsidP="006C4164">
            <w:pPr>
              <w:jc w:val="both"/>
              <w:rPr>
                <w:sz w:val="24"/>
                <w:szCs w:val="24"/>
              </w:rPr>
            </w:pPr>
            <w:r w:rsidRPr="00F1371B">
              <w:rPr>
                <w:sz w:val="24"/>
                <w:szCs w:val="24"/>
              </w:rPr>
              <w:t>- vlastné stravovacie zariadenie – 89 279 zamestnancov,</w:t>
            </w:r>
          </w:p>
          <w:p w:rsidR="006C4164" w:rsidRPr="00F1371B" w:rsidRDefault="006C4164" w:rsidP="006C4164">
            <w:pPr>
              <w:jc w:val="both"/>
              <w:rPr>
                <w:sz w:val="24"/>
                <w:szCs w:val="24"/>
              </w:rPr>
            </w:pPr>
            <w:r w:rsidRPr="00F1371B">
              <w:rPr>
                <w:sz w:val="24"/>
                <w:szCs w:val="24"/>
              </w:rPr>
              <w:t>- zmluvné stravovacie zariadenie – 134 650 zamestnancov,</w:t>
            </w:r>
          </w:p>
          <w:p w:rsidR="006C4164" w:rsidRPr="00F1371B" w:rsidRDefault="006C4164" w:rsidP="006C4164">
            <w:pPr>
              <w:jc w:val="both"/>
              <w:rPr>
                <w:sz w:val="24"/>
                <w:szCs w:val="24"/>
              </w:rPr>
            </w:pPr>
            <w:r w:rsidRPr="00F1371B">
              <w:rPr>
                <w:sz w:val="24"/>
                <w:szCs w:val="24"/>
              </w:rPr>
              <w:t>- stravovacie poukážky v papierovej forme – 166 108 zamestnancov,</w:t>
            </w:r>
          </w:p>
          <w:p w:rsidR="006C4164" w:rsidRPr="00F1371B" w:rsidRDefault="006C4164" w:rsidP="006C4164">
            <w:pPr>
              <w:jc w:val="both"/>
              <w:rPr>
                <w:sz w:val="24"/>
                <w:szCs w:val="24"/>
              </w:rPr>
            </w:pPr>
            <w:r w:rsidRPr="00F1371B">
              <w:rPr>
                <w:sz w:val="24"/>
                <w:szCs w:val="24"/>
              </w:rPr>
              <w:t>- stravovacie poukážky v elektronickej forme – 167 045 zamestnancov,</w:t>
            </w:r>
          </w:p>
          <w:p w:rsidR="006C4164" w:rsidRPr="00F1371B" w:rsidRDefault="006C4164" w:rsidP="006C4164">
            <w:pPr>
              <w:jc w:val="both"/>
              <w:rPr>
                <w:sz w:val="24"/>
                <w:szCs w:val="24"/>
              </w:rPr>
            </w:pPr>
            <w:r w:rsidRPr="00F1371B">
              <w:rPr>
                <w:sz w:val="24"/>
                <w:szCs w:val="24"/>
              </w:rPr>
              <w:t>- poskytovanie finančného príspevku na stravu – 7 054 zamestnancov.</w:t>
            </w:r>
          </w:p>
          <w:p w:rsidR="006C4164" w:rsidRPr="00F1371B" w:rsidRDefault="006C4164" w:rsidP="006C4164">
            <w:pPr>
              <w:jc w:val="both"/>
              <w:rPr>
                <w:sz w:val="24"/>
                <w:szCs w:val="24"/>
              </w:rPr>
            </w:pPr>
          </w:p>
          <w:p w:rsidR="006C4164" w:rsidRPr="00F1371B" w:rsidRDefault="006C4164" w:rsidP="006C4164">
            <w:pPr>
              <w:jc w:val="both"/>
              <w:rPr>
                <w:sz w:val="24"/>
                <w:szCs w:val="24"/>
              </w:rPr>
            </w:pPr>
            <w:r w:rsidRPr="00F1371B">
              <w:rPr>
                <w:sz w:val="24"/>
                <w:szCs w:val="24"/>
              </w:rPr>
              <w:t>Zo vzorky 564 136 zamestnancov teda formu stravovacie zariadenie využívalo 223 929, čo je cca 39,7 % zamestnancov. Stravovacie poukážky využívalo spolu 333 153, čo je 59% zamestnancov. Pri porovnaní papierovej a elektronickej formy je podiel medzi nimi 49,86% a 50,14%, t.j. o 0,28% sa používajú viac elektronické stravovacie poukážky.</w:t>
            </w:r>
          </w:p>
          <w:p w:rsidR="006C4164" w:rsidRPr="00F1371B" w:rsidRDefault="006C4164" w:rsidP="006C4164">
            <w:pPr>
              <w:jc w:val="both"/>
              <w:rPr>
                <w:sz w:val="24"/>
                <w:szCs w:val="24"/>
              </w:rPr>
            </w:pPr>
          </w:p>
          <w:p w:rsidR="006C4164" w:rsidRPr="00F1371B" w:rsidRDefault="006C4164" w:rsidP="006C4164">
            <w:pPr>
              <w:jc w:val="both"/>
              <w:rPr>
                <w:sz w:val="24"/>
                <w:szCs w:val="24"/>
              </w:rPr>
            </w:pPr>
            <w:r w:rsidRPr="00F1371B">
              <w:rPr>
                <w:sz w:val="24"/>
                <w:szCs w:val="24"/>
              </w:rPr>
              <w:t>Zo zdroja ISCP-IPP 2019 (</w:t>
            </w:r>
            <w:proofErr w:type="spellStart"/>
            <w:r w:rsidRPr="00F1371B">
              <w:rPr>
                <w:sz w:val="24"/>
                <w:szCs w:val="24"/>
              </w:rPr>
              <w:t>Trexima</w:t>
            </w:r>
            <w:proofErr w:type="spellEnd"/>
            <w:r w:rsidRPr="00F1371B">
              <w:rPr>
                <w:sz w:val="24"/>
                <w:szCs w:val="24"/>
              </w:rPr>
              <w:t xml:space="preserve">) (Spôsob zabezpečenia stravovania zamestnancov – tabuľka č. 6R-NS) vyplýva, že v prípade sledovanej vzorky 1245 </w:t>
            </w:r>
            <w:r w:rsidRPr="00F1371B">
              <w:rPr>
                <w:color w:val="000000" w:themeColor="text1"/>
                <w:sz w:val="24"/>
                <w:szCs w:val="24"/>
              </w:rPr>
              <w:t>organizácii v nepodnikateľskej sfére (150 218 zamestnancov</w:t>
            </w:r>
            <w:r w:rsidRPr="00F1371B">
              <w:rPr>
                <w:color w:val="000000" w:themeColor="text1"/>
                <w:sz w:val="24"/>
                <w:szCs w:val="24"/>
                <w:lang w:val="en-US"/>
              </w:rPr>
              <w:t xml:space="preserve">) </w:t>
            </w:r>
            <w:r w:rsidRPr="00F1371B">
              <w:rPr>
                <w:color w:val="000000" w:themeColor="text1"/>
                <w:sz w:val="24"/>
                <w:szCs w:val="24"/>
              </w:rPr>
              <w:t xml:space="preserve">bol </w:t>
            </w:r>
            <w:r w:rsidRPr="00F1371B">
              <w:rPr>
                <w:sz w:val="24"/>
                <w:szCs w:val="24"/>
              </w:rPr>
              <w:t>počet zamestnancov podľa (pod)foriem stravovania nasledovný:</w:t>
            </w:r>
          </w:p>
          <w:p w:rsidR="006C4164" w:rsidRPr="00F1371B" w:rsidRDefault="006C4164" w:rsidP="006C4164">
            <w:pPr>
              <w:jc w:val="both"/>
              <w:rPr>
                <w:sz w:val="24"/>
                <w:szCs w:val="24"/>
              </w:rPr>
            </w:pPr>
            <w:r w:rsidRPr="00F1371B">
              <w:rPr>
                <w:sz w:val="24"/>
                <w:szCs w:val="24"/>
              </w:rPr>
              <w:t>- vlastné stravovacie zariadenie – 49 671 zamestnancov,</w:t>
            </w:r>
          </w:p>
          <w:p w:rsidR="006C4164" w:rsidRPr="00F1371B" w:rsidRDefault="006C4164" w:rsidP="006C4164">
            <w:pPr>
              <w:jc w:val="both"/>
              <w:rPr>
                <w:sz w:val="24"/>
                <w:szCs w:val="24"/>
              </w:rPr>
            </w:pPr>
            <w:r w:rsidRPr="00F1371B">
              <w:rPr>
                <w:sz w:val="24"/>
                <w:szCs w:val="24"/>
              </w:rPr>
              <w:t>- zmluvné stravovacie zariadenie – 16 293 zamestnancov,</w:t>
            </w:r>
          </w:p>
          <w:p w:rsidR="006C4164" w:rsidRPr="00F1371B" w:rsidRDefault="006C4164" w:rsidP="006C4164">
            <w:pPr>
              <w:jc w:val="both"/>
              <w:rPr>
                <w:sz w:val="24"/>
                <w:szCs w:val="24"/>
              </w:rPr>
            </w:pPr>
            <w:r w:rsidRPr="00F1371B">
              <w:rPr>
                <w:sz w:val="24"/>
                <w:szCs w:val="24"/>
              </w:rPr>
              <w:t>- stravovacie poukážky v papierovej forme – 72 537 zamestnancov,</w:t>
            </w:r>
          </w:p>
          <w:p w:rsidR="006C4164" w:rsidRPr="00F1371B" w:rsidRDefault="006C4164" w:rsidP="006C4164">
            <w:pPr>
              <w:jc w:val="both"/>
              <w:rPr>
                <w:sz w:val="24"/>
                <w:szCs w:val="24"/>
              </w:rPr>
            </w:pPr>
            <w:r w:rsidRPr="00F1371B">
              <w:rPr>
                <w:sz w:val="24"/>
                <w:szCs w:val="24"/>
              </w:rPr>
              <w:t>- stravovacie poukážky v elektronickej forme – 9 551 zamestnancov,</w:t>
            </w:r>
          </w:p>
          <w:p w:rsidR="006C4164" w:rsidRPr="00F1371B" w:rsidRDefault="006C4164" w:rsidP="006C4164">
            <w:pPr>
              <w:jc w:val="both"/>
              <w:rPr>
                <w:sz w:val="24"/>
                <w:szCs w:val="24"/>
              </w:rPr>
            </w:pPr>
            <w:r w:rsidRPr="00F1371B">
              <w:rPr>
                <w:sz w:val="24"/>
                <w:szCs w:val="24"/>
              </w:rPr>
              <w:t>- poskytovanie finančného príspevku na stravu – 2 166 zamestnancov.</w:t>
            </w:r>
          </w:p>
          <w:p w:rsidR="006C4164" w:rsidRPr="00F1371B" w:rsidRDefault="006C4164" w:rsidP="006C4164">
            <w:pPr>
              <w:jc w:val="both"/>
              <w:rPr>
                <w:sz w:val="24"/>
                <w:szCs w:val="24"/>
              </w:rPr>
            </w:pPr>
          </w:p>
          <w:p w:rsidR="006C4164" w:rsidRPr="00F1371B" w:rsidRDefault="006C4164" w:rsidP="006C4164">
            <w:pPr>
              <w:jc w:val="both"/>
              <w:rPr>
                <w:sz w:val="24"/>
                <w:szCs w:val="24"/>
              </w:rPr>
            </w:pPr>
            <w:r w:rsidRPr="00F1371B">
              <w:rPr>
                <w:sz w:val="24"/>
                <w:szCs w:val="24"/>
              </w:rPr>
              <w:t>Zo vzorky 150 218 zamestnancov teda formu stravovacie zariadenie využívalo 65 964 zamestnancov, čo je cca 43,91 % zamestnancov. Stravovacie poukážky využívalo spolu 82 088 zamestnancov, čo je cca 54,64 % zamestnancov. Pri porovnaní papierovej a elektronickej formy je podiel medzi nimi je cca 88,36% a 11,64%</w:t>
            </w:r>
          </w:p>
          <w:p w:rsidR="006C4164" w:rsidRPr="00F1371B" w:rsidRDefault="006C4164" w:rsidP="006C4164">
            <w:pPr>
              <w:jc w:val="both"/>
              <w:rPr>
                <w:sz w:val="24"/>
                <w:szCs w:val="24"/>
              </w:rPr>
            </w:pPr>
          </w:p>
          <w:p w:rsidR="006C4164" w:rsidRPr="00F1371B" w:rsidRDefault="006C4164" w:rsidP="006C4164">
            <w:pPr>
              <w:jc w:val="both"/>
              <w:rPr>
                <w:sz w:val="24"/>
                <w:szCs w:val="24"/>
              </w:rPr>
            </w:pPr>
            <w:r w:rsidRPr="00F1371B">
              <w:rPr>
                <w:sz w:val="24"/>
                <w:szCs w:val="24"/>
              </w:rPr>
              <w:t>Z uvedeného sa dá odhadnúť, že navrhovaná právna úprava sa môže týkať 50% až 60% zamestnancov v pracovnom pomere</w:t>
            </w:r>
            <w:r>
              <w:rPr>
                <w:sz w:val="24"/>
                <w:szCs w:val="24"/>
              </w:rPr>
              <w:t xml:space="preserve"> (§ 152 sa na dohody o prácach vykonávaných mimo pracovného pomeru nevzťahuje)</w:t>
            </w:r>
            <w:r w:rsidRPr="00F1371B">
              <w:rPr>
                <w:sz w:val="24"/>
                <w:szCs w:val="24"/>
              </w:rPr>
              <w:t>, vzhľadom na to, že navrhovaná právna úprava sa netýka zamestnancov zamestnávateľov s vlastným alebo zmluvným stravovacím zariadením.</w:t>
            </w:r>
          </w:p>
          <w:p w:rsidR="006C4164" w:rsidRPr="00F1371B" w:rsidRDefault="006C4164" w:rsidP="006C4164">
            <w:pPr>
              <w:jc w:val="both"/>
              <w:rPr>
                <w:sz w:val="24"/>
                <w:szCs w:val="24"/>
              </w:rPr>
            </w:pPr>
          </w:p>
          <w:p w:rsidR="006C4164" w:rsidRDefault="006C4164" w:rsidP="006C4164">
            <w:pPr>
              <w:jc w:val="both"/>
              <w:rPr>
                <w:sz w:val="24"/>
                <w:szCs w:val="24"/>
              </w:rPr>
            </w:pPr>
            <w:r w:rsidRPr="00F1371B">
              <w:rPr>
                <w:sz w:val="24"/>
                <w:szCs w:val="24"/>
              </w:rPr>
              <w:t>Z hľadiska odhadu úspor nie je možné odhadnúť, aký podiel zamestnancov sa z rôznych dôvodov rozhodne pre finančný príspevok</w:t>
            </w:r>
            <w:r>
              <w:rPr>
                <w:sz w:val="24"/>
                <w:szCs w:val="24"/>
              </w:rPr>
              <w:t xml:space="preserve"> a predkladateľ nemá vedomosť o obsahu obchodných podmienok jednotlivých zamestnávateľov, t.j. výška marže (napr. vo väzbe na množstvo), o priemernej výške hodnoty stravovacej poukážky.</w:t>
            </w:r>
            <w:r w:rsidRPr="00F1371B">
              <w:rPr>
                <w:sz w:val="24"/>
                <w:szCs w:val="24"/>
              </w:rPr>
              <w:t xml:space="preserve"> </w:t>
            </w:r>
          </w:p>
          <w:p w:rsidR="006C4164" w:rsidRPr="00F1371B" w:rsidRDefault="006C4164" w:rsidP="006C4164">
            <w:pPr>
              <w:jc w:val="both"/>
              <w:rPr>
                <w:sz w:val="24"/>
                <w:szCs w:val="24"/>
              </w:rPr>
            </w:pPr>
          </w:p>
          <w:p w:rsidR="006C4164" w:rsidRPr="00F1371B" w:rsidRDefault="009E754C" w:rsidP="006C4164">
            <w:pPr>
              <w:jc w:val="both"/>
              <w:rPr>
                <w:sz w:val="24"/>
                <w:szCs w:val="24"/>
              </w:rPr>
            </w:pPr>
            <w:r>
              <w:rPr>
                <w:sz w:val="24"/>
                <w:szCs w:val="24"/>
              </w:rPr>
              <w:t xml:space="preserve">Predkladateľ predpokladá, že v prípade zamestnávateľov, kde sa bude poskytovať finančný príspevok (úplne alebo vo väčšom rozsahu) dôjde k úspore nákladov na obstarávanie, nákup, distribúciu stravovacích poukážok. </w:t>
            </w:r>
          </w:p>
          <w:p w:rsidR="00C02125" w:rsidRDefault="00C02125" w:rsidP="00C02125">
            <w:pPr>
              <w:jc w:val="both"/>
              <w:rPr>
                <w:sz w:val="24"/>
                <w:szCs w:val="24"/>
              </w:rPr>
            </w:pPr>
          </w:p>
          <w:p w:rsidR="002C415A" w:rsidRPr="005D6754" w:rsidRDefault="002C415A" w:rsidP="005D6754">
            <w:pPr>
              <w:jc w:val="both"/>
              <w:rPr>
                <w:sz w:val="24"/>
                <w:szCs w:val="24"/>
              </w:rPr>
            </w:pPr>
            <w:r w:rsidRPr="005D6754">
              <w:rPr>
                <w:sz w:val="24"/>
                <w:szCs w:val="24"/>
              </w:rPr>
              <w:t>Zavedenie nového modelu zodpovednosti bude mať pozitívny, avšak nekvantifikovateľný, vplyv na podnikateľské prostredie, nakoľko nie sú k dispozícii štatistické údaje o dĺžke cezhraničného poskytovania služby v prípade uloženej pokuty. Rovnako tak zanedbateľný negatívny vplyv na rozpočet verejnej správy nie je možné z uvedeného dôvodu kvantifikovať.</w:t>
            </w:r>
          </w:p>
          <w:p w:rsidR="008277E0" w:rsidRDefault="008277E0" w:rsidP="00EE3F2D">
            <w:pPr>
              <w:jc w:val="both"/>
              <w:rPr>
                <w:sz w:val="24"/>
                <w:szCs w:val="24"/>
              </w:rPr>
            </w:pPr>
          </w:p>
          <w:p w:rsidR="009E754C" w:rsidRPr="009E754C" w:rsidRDefault="009E754C" w:rsidP="00EE3F2D">
            <w:pPr>
              <w:jc w:val="both"/>
              <w:rPr>
                <w:sz w:val="24"/>
                <w:szCs w:val="24"/>
              </w:rPr>
            </w:pPr>
          </w:p>
        </w:tc>
      </w:tr>
      <w:tr w:rsidR="009F2DFA" w:rsidRPr="005D6754" w:rsidTr="007B71A4">
        <w:trPr>
          <w:trHeight w:val="339"/>
        </w:trPr>
        <w:tc>
          <w:tcPr>
            <w:tcW w:w="9212" w:type="dxa"/>
            <w:shd w:val="clear" w:color="auto" w:fill="D9D9D9" w:themeFill="background1" w:themeFillShade="D9"/>
          </w:tcPr>
          <w:p w:rsidR="009F2DFA" w:rsidRPr="005D6754" w:rsidRDefault="002B1108" w:rsidP="005D6754">
            <w:pPr>
              <w:rPr>
                <w:b/>
                <w:sz w:val="24"/>
                <w:szCs w:val="24"/>
              </w:rPr>
            </w:pPr>
            <w:r w:rsidRPr="005D6754">
              <w:rPr>
                <w:b/>
                <w:sz w:val="24"/>
                <w:szCs w:val="24"/>
              </w:rPr>
              <w:lastRenderedPageBreak/>
              <w:t>3</w:t>
            </w:r>
            <w:r w:rsidR="009F2DFA" w:rsidRPr="005D6754">
              <w:rPr>
                <w:b/>
                <w:sz w:val="24"/>
                <w:szCs w:val="24"/>
              </w:rPr>
              <w:t>.2 Vyhodnotenie konzultácií</w:t>
            </w:r>
          </w:p>
          <w:p w:rsidR="009F2DFA" w:rsidRPr="005D6754" w:rsidRDefault="009F2DFA" w:rsidP="005D6754">
            <w:pPr>
              <w:rPr>
                <w:b/>
                <w:sz w:val="24"/>
                <w:szCs w:val="24"/>
              </w:rPr>
            </w:pPr>
            <w:r w:rsidRPr="005D6754">
              <w:rPr>
                <w:sz w:val="24"/>
                <w:szCs w:val="24"/>
              </w:rPr>
              <w:t xml:space="preserve">       - </w:t>
            </w:r>
            <w:r w:rsidRPr="005D6754">
              <w:rPr>
                <w:b/>
                <w:sz w:val="24"/>
                <w:szCs w:val="24"/>
              </w:rPr>
              <w:t>z toho MSP</w:t>
            </w:r>
          </w:p>
        </w:tc>
      </w:tr>
      <w:tr w:rsidR="009F2DFA" w:rsidRPr="005D6754" w:rsidTr="007B71A4">
        <w:trPr>
          <w:trHeight w:val="557"/>
        </w:trPr>
        <w:tc>
          <w:tcPr>
            <w:tcW w:w="9212" w:type="dxa"/>
          </w:tcPr>
          <w:p w:rsidR="009F2DFA" w:rsidRPr="005D6754" w:rsidRDefault="009F2DFA" w:rsidP="005D6754">
            <w:pPr>
              <w:rPr>
                <w:i/>
                <w:sz w:val="24"/>
                <w:szCs w:val="24"/>
              </w:rPr>
            </w:pPr>
            <w:r w:rsidRPr="005D6754">
              <w:rPr>
                <w:i/>
                <w:sz w:val="24"/>
                <w:szCs w:val="24"/>
              </w:rPr>
              <w:t>Uveďte, akou formou (verejné alebo cielené konzultácie a prečo) a s kým bol návrh konzultovaný.</w:t>
            </w:r>
          </w:p>
          <w:p w:rsidR="009F2DFA" w:rsidRPr="005D6754" w:rsidRDefault="009F2DFA" w:rsidP="005D6754">
            <w:pPr>
              <w:rPr>
                <w:i/>
                <w:sz w:val="24"/>
                <w:szCs w:val="24"/>
              </w:rPr>
            </w:pPr>
            <w:r w:rsidRPr="005D6754">
              <w:rPr>
                <w:i/>
                <w:sz w:val="24"/>
                <w:szCs w:val="24"/>
              </w:rPr>
              <w:t>Ako dlho trvali konzultácie?</w:t>
            </w:r>
          </w:p>
          <w:p w:rsidR="009F2DFA" w:rsidRPr="005D6754" w:rsidRDefault="009F2DFA" w:rsidP="005D6754">
            <w:pPr>
              <w:rPr>
                <w:i/>
                <w:sz w:val="24"/>
                <w:szCs w:val="24"/>
              </w:rPr>
            </w:pPr>
            <w:r w:rsidRPr="005D6754">
              <w:rPr>
                <w:i/>
                <w:sz w:val="24"/>
                <w:szCs w:val="24"/>
              </w:rPr>
              <w:t xml:space="preserve">Uveďte hlavné body konzultácií a výsledky konzultácií. </w:t>
            </w:r>
          </w:p>
        </w:tc>
      </w:tr>
      <w:tr w:rsidR="009F2DFA" w:rsidRPr="005D6754" w:rsidTr="007B71A4">
        <w:trPr>
          <w:trHeight w:val="1440"/>
        </w:trPr>
        <w:tc>
          <w:tcPr>
            <w:tcW w:w="9212" w:type="dxa"/>
          </w:tcPr>
          <w:p w:rsidR="004B6339" w:rsidRPr="005D6754" w:rsidRDefault="00233560" w:rsidP="005D6754">
            <w:pPr>
              <w:jc w:val="both"/>
              <w:rPr>
                <w:color w:val="000000" w:themeColor="text1"/>
                <w:sz w:val="24"/>
                <w:szCs w:val="24"/>
              </w:rPr>
            </w:pPr>
            <w:r w:rsidRPr="005D6754">
              <w:rPr>
                <w:color w:val="000000" w:themeColor="text1"/>
                <w:sz w:val="24"/>
                <w:szCs w:val="24"/>
              </w:rPr>
              <w:lastRenderedPageBreak/>
              <w:t>V rámci konzultácii sa verejnosť</w:t>
            </w:r>
            <w:r w:rsidR="009D38A5" w:rsidRPr="005D6754">
              <w:rPr>
                <w:color w:val="000000" w:themeColor="text1"/>
                <w:sz w:val="24"/>
                <w:szCs w:val="24"/>
              </w:rPr>
              <w:t>,</w:t>
            </w:r>
            <w:r w:rsidRPr="005D6754">
              <w:rPr>
                <w:color w:val="000000" w:themeColor="text1"/>
                <w:sz w:val="24"/>
                <w:szCs w:val="24"/>
              </w:rPr>
              <w:t xml:space="preserve"> ako aj príslušné subjekty</w:t>
            </w:r>
            <w:r w:rsidR="009D38A5" w:rsidRPr="005D6754">
              <w:rPr>
                <w:color w:val="000000" w:themeColor="text1"/>
                <w:sz w:val="24"/>
                <w:szCs w:val="24"/>
              </w:rPr>
              <w:t xml:space="preserve"> (APZ, Klub 500, KOZ, PPG, SAF</w:t>
            </w:r>
            <w:r w:rsidRPr="005D6754">
              <w:rPr>
                <w:color w:val="000000" w:themeColor="text1"/>
                <w:sz w:val="24"/>
                <w:szCs w:val="24"/>
              </w:rPr>
              <w:t>) vyjadrili k predloženej informácii. Konzultácii dňa 6.8.2020 s</w:t>
            </w:r>
            <w:r w:rsidR="009D38A5" w:rsidRPr="005D6754">
              <w:rPr>
                <w:color w:val="000000" w:themeColor="text1"/>
                <w:sz w:val="24"/>
                <w:szCs w:val="24"/>
              </w:rPr>
              <w:t>a uskutočnili s AZZZ a  AMOBE (A</w:t>
            </w:r>
            <w:r w:rsidRPr="005D6754">
              <w:rPr>
                <w:color w:val="000000" w:themeColor="text1"/>
                <w:sz w:val="24"/>
                <w:szCs w:val="24"/>
              </w:rPr>
              <w:t xml:space="preserve">sociácia moderných </w:t>
            </w:r>
            <w:proofErr w:type="spellStart"/>
            <w:r w:rsidRPr="005D6754">
              <w:rPr>
                <w:color w:val="000000" w:themeColor="text1"/>
                <w:sz w:val="24"/>
                <w:szCs w:val="24"/>
              </w:rPr>
              <w:t>benefitov</w:t>
            </w:r>
            <w:proofErr w:type="spellEnd"/>
            <w:r w:rsidRPr="005D6754">
              <w:rPr>
                <w:color w:val="000000" w:themeColor="text1"/>
                <w:sz w:val="24"/>
                <w:szCs w:val="24"/>
              </w:rPr>
              <w:t xml:space="preserve">), GGFS (emitent </w:t>
            </w:r>
            <w:r w:rsidR="009D38A5" w:rsidRPr="005D6754">
              <w:rPr>
                <w:color w:val="000000" w:themeColor="text1"/>
                <w:sz w:val="24"/>
                <w:szCs w:val="24"/>
              </w:rPr>
              <w:t>stravovacích poukážok</w:t>
            </w:r>
            <w:r w:rsidRPr="005D6754">
              <w:rPr>
                <w:color w:val="000000" w:themeColor="text1"/>
                <w:sz w:val="24"/>
                <w:szCs w:val="24"/>
              </w:rPr>
              <w:t>), Modernými odbormi, advokátskou kanceláriou NOERR a dňa 28.8.2020 sa</w:t>
            </w:r>
            <w:r w:rsidR="009D38A5" w:rsidRPr="005D6754">
              <w:rPr>
                <w:color w:val="000000" w:themeColor="text1"/>
                <w:sz w:val="24"/>
                <w:szCs w:val="24"/>
              </w:rPr>
              <w:t xml:space="preserve"> konzultácia</w:t>
            </w:r>
            <w:r w:rsidRPr="005D6754">
              <w:rPr>
                <w:color w:val="000000" w:themeColor="text1"/>
                <w:sz w:val="24"/>
                <w:szCs w:val="24"/>
              </w:rPr>
              <w:t xml:space="preserve"> uskutočni</w:t>
            </w:r>
            <w:r w:rsidR="002649B5" w:rsidRPr="005D6754">
              <w:rPr>
                <w:color w:val="000000" w:themeColor="text1"/>
                <w:sz w:val="24"/>
                <w:szCs w:val="24"/>
              </w:rPr>
              <w:t>la</w:t>
            </w:r>
            <w:r w:rsidRPr="005D6754">
              <w:rPr>
                <w:color w:val="000000" w:themeColor="text1"/>
                <w:sz w:val="24"/>
                <w:szCs w:val="24"/>
              </w:rPr>
              <w:t xml:space="preserve"> s</w:t>
            </w:r>
            <w:r w:rsidR="002649B5" w:rsidRPr="005D6754">
              <w:rPr>
                <w:color w:val="000000" w:themeColor="text1"/>
                <w:sz w:val="24"/>
                <w:szCs w:val="24"/>
              </w:rPr>
              <w:t> </w:t>
            </w:r>
            <w:r w:rsidRPr="005D6754">
              <w:rPr>
                <w:color w:val="000000" w:themeColor="text1"/>
                <w:sz w:val="24"/>
                <w:szCs w:val="24"/>
              </w:rPr>
              <w:t>SBA</w:t>
            </w:r>
            <w:r w:rsidR="002649B5" w:rsidRPr="005D6754">
              <w:rPr>
                <w:color w:val="000000" w:themeColor="text1"/>
                <w:sz w:val="24"/>
                <w:szCs w:val="24"/>
              </w:rPr>
              <w:t xml:space="preserve"> – Centrum pre lepšiu reguláciu za prítomnosti zástupcu MH SR</w:t>
            </w:r>
            <w:r w:rsidRPr="005D6754">
              <w:rPr>
                <w:color w:val="000000" w:themeColor="text1"/>
                <w:sz w:val="24"/>
                <w:szCs w:val="24"/>
              </w:rPr>
              <w:t>. Primárna pozornosť verejnosti bola venovaná otázkam stravovacích poukážok a finančnému príspevku (s obidvoma pohľadmi – zachovanie sú</w:t>
            </w:r>
            <w:r w:rsidR="009D38A5" w:rsidRPr="005D6754">
              <w:rPr>
                <w:color w:val="000000" w:themeColor="text1"/>
                <w:sz w:val="24"/>
                <w:szCs w:val="24"/>
              </w:rPr>
              <w:t>časného stavu alebo jeho zmena).</w:t>
            </w:r>
            <w:r w:rsidRPr="005D6754">
              <w:rPr>
                <w:color w:val="000000" w:themeColor="text1"/>
                <w:sz w:val="24"/>
                <w:szCs w:val="24"/>
              </w:rPr>
              <w:t xml:space="preserve"> V tomto ohľade predkladateľ vychádza z Programového vyhlásenia vlády SR a uznesenia vlády č. 400/2020.</w:t>
            </w:r>
          </w:p>
          <w:p w:rsidR="002649B5" w:rsidRPr="005D6754" w:rsidRDefault="002649B5" w:rsidP="005D6754">
            <w:pPr>
              <w:jc w:val="both"/>
              <w:rPr>
                <w:color w:val="000000" w:themeColor="text1"/>
                <w:sz w:val="24"/>
                <w:szCs w:val="24"/>
              </w:rPr>
            </w:pPr>
          </w:p>
          <w:p w:rsidR="00233560" w:rsidRPr="005D6754" w:rsidRDefault="00233560" w:rsidP="005D6754">
            <w:pPr>
              <w:jc w:val="both"/>
              <w:rPr>
                <w:color w:val="000000" w:themeColor="text1"/>
                <w:sz w:val="24"/>
                <w:szCs w:val="24"/>
              </w:rPr>
            </w:pPr>
            <w:r w:rsidRPr="005D6754">
              <w:rPr>
                <w:color w:val="000000" w:themeColor="text1"/>
                <w:sz w:val="24"/>
                <w:szCs w:val="24"/>
              </w:rPr>
              <w:t>V stanoviskách zamestnávatelia zdôrazňovali aj iné otázky (minimálne mzdové nároky, príplatky) avšak otázka minimálnej mzdy, minimálnych mzdových nárokov a príplatkov je riešená v inej novele Zákonníka práce a so zamestnávateľskými zväzmi dňa 24.8.2020 na zasadnutí HSR SR bolo dohodnuté riešenie pre rok 2021.</w:t>
            </w:r>
          </w:p>
          <w:p w:rsidR="009D38A5" w:rsidRPr="005D6754" w:rsidRDefault="009D38A5" w:rsidP="005D6754">
            <w:pPr>
              <w:jc w:val="both"/>
              <w:rPr>
                <w:color w:val="000000" w:themeColor="text1"/>
                <w:sz w:val="24"/>
                <w:szCs w:val="24"/>
              </w:rPr>
            </w:pPr>
          </w:p>
          <w:p w:rsidR="00233560" w:rsidRPr="005D6754" w:rsidRDefault="00233560" w:rsidP="005D6754">
            <w:pPr>
              <w:jc w:val="both"/>
              <w:rPr>
                <w:color w:val="000000" w:themeColor="text1"/>
                <w:sz w:val="24"/>
                <w:szCs w:val="24"/>
              </w:rPr>
            </w:pPr>
            <w:r w:rsidRPr="005D6754">
              <w:rPr>
                <w:color w:val="000000" w:themeColor="text1"/>
                <w:sz w:val="24"/>
                <w:szCs w:val="24"/>
              </w:rPr>
              <w:t>Ďalšie návrhy sa týkali domáckej práce (čas</w:t>
            </w:r>
            <w:r w:rsidR="009D38A5" w:rsidRPr="005D6754">
              <w:rPr>
                <w:color w:val="000000" w:themeColor="text1"/>
                <w:sz w:val="24"/>
                <w:szCs w:val="24"/>
              </w:rPr>
              <w:t>ť</w:t>
            </w:r>
            <w:r w:rsidRPr="005D6754">
              <w:rPr>
                <w:color w:val="000000" w:themeColor="text1"/>
                <w:sz w:val="24"/>
                <w:szCs w:val="24"/>
              </w:rPr>
              <w:t xml:space="preserve"> z nich predkladateľ premietol do § 52 Zákonníka práce, časť z návrhov u</w:t>
            </w:r>
            <w:r w:rsidR="009D38A5" w:rsidRPr="005D6754">
              <w:rPr>
                <w:color w:val="000000" w:themeColor="text1"/>
                <w:sz w:val="24"/>
                <w:szCs w:val="24"/>
              </w:rPr>
              <w:t xml:space="preserve">ž pokrýva súčasná právna úprava BOZP, </w:t>
            </w:r>
            <w:r w:rsidRPr="005D6754">
              <w:rPr>
                <w:color w:val="000000" w:themeColor="text1"/>
                <w:sz w:val="24"/>
                <w:szCs w:val="24"/>
              </w:rPr>
              <w:t>a teda nie je potrebné ju zmeniť), reprezentatívnosti odborov (prekladateľ ju rieši v návrhoch na zmenu § 230 Zákonníka práce a v návrhu na zmenu zákona č. 103/2007 Z. z.)</w:t>
            </w:r>
            <w:r w:rsidR="00BF4807" w:rsidRPr="005D6754">
              <w:rPr>
                <w:color w:val="000000" w:themeColor="text1"/>
                <w:sz w:val="24"/>
                <w:szCs w:val="24"/>
              </w:rPr>
              <w:t xml:space="preserve"> a modelu spoluzodpovednosti zamestnávateľa (návrh na zmenu zákona č. 82/2005 Z. z.).</w:t>
            </w:r>
          </w:p>
        </w:tc>
      </w:tr>
      <w:tr w:rsidR="009F2DFA" w:rsidRPr="005D6754" w:rsidTr="007B71A4">
        <w:tc>
          <w:tcPr>
            <w:tcW w:w="9212" w:type="dxa"/>
            <w:shd w:val="clear" w:color="auto" w:fill="D9D9D9" w:themeFill="background1" w:themeFillShade="D9"/>
          </w:tcPr>
          <w:p w:rsidR="009F2DFA" w:rsidRPr="005D6754" w:rsidRDefault="002B1108" w:rsidP="005D6754">
            <w:pPr>
              <w:rPr>
                <w:b/>
                <w:sz w:val="24"/>
                <w:szCs w:val="24"/>
              </w:rPr>
            </w:pPr>
            <w:r w:rsidRPr="005D6754">
              <w:rPr>
                <w:b/>
                <w:sz w:val="24"/>
                <w:szCs w:val="24"/>
              </w:rPr>
              <w:t>3</w:t>
            </w:r>
            <w:r w:rsidR="009F2DFA" w:rsidRPr="005D6754">
              <w:rPr>
                <w:b/>
                <w:sz w:val="24"/>
                <w:szCs w:val="24"/>
              </w:rPr>
              <w:t>.3 Náklady regulácie</w:t>
            </w:r>
          </w:p>
          <w:p w:rsidR="009F2DFA" w:rsidRPr="005D6754" w:rsidRDefault="009F2DFA" w:rsidP="005D6754">
            <w:pPr>
              <w:rPr>
                <w:b/>
                <w:sz w:val="24"/>
                <w:szCs w:val="24"/>
              </w:rPr>
            </w:pPr>
            <w:r w:rsidRPr="005D6754">
              <w:rPr>
                <w:sz w:val="24"/>
                <w:szCs w:val="24"/>
              </w:rPr>
              <w:t xml:space="preserve">      - </w:t>
            </w:r>
            <w:r w:rsidRPr="005D6754">
              <w:rPr>
                <w:b/>
                <w:sz w:val="24"/>
                <w:szCs w:val="24"/>
              </w:rPr>
              <w:t>z toho MSP</w:t>
            </w:r>
          </w:p>
        </w:tc>
      </w:tr>
      <w:tr w:rsidR="009F2DFA" w:rsidRPr="005D6754" w:rsidTr="007B71A4">
        <w:tc>
          <w:tcPr>
            <w:tcW w:w="9212" w:type="dxa"/>
          </w:tcPr>
          <w:p w:rsidR="009F2DFA" w:rsidRPr="005D6754" w:rsidRDefault="002B1108" w:rsidP="005D6754">
            <w:pPr>
              <w:rPr>
                <w:b/>
                <w:i/>
                <w:sz w:val="24"/>
                <w:szCs w:val="24"/>
              </w:rPr>
            </w:pPr>
            <w:r w:rsidRPr="005D6754">
              <w:rPr>
                <w:b/>
                <w:i/>
                <w:sz w:val="24"/>
                <w:szCs w:val="24"/>
              </w:rPr>
              <w:t>3</w:t>
            </w:r>
            <w:r w:rsidR="009F2DFA" w:rsidRPr="005D6754">
              <w:rPr>
                <w:b/>
                <w:i/>
                <w:sz w:val="24"/>
                <w:szCs w:val="24"/>
              </w:rPr>
              <w:t>.3.1 Priame finančné náklady</w:t>
            </w:r>
          </w:p>
          <w:p w:rsidR="009F2DFA" w:rsidRPr="005D6754" w:rsidRDefault="009F2DFA" w:rsidP="005D6754">
            <w:pPr>
              <w:rPr>
                <w:i/>
                <w:sz w:val="24"/>
                <w:szCs w:val="24"/>
              </w:rPr>
            </w:pPr>
            <w:r w:rsidRPr="005D6754">
              <w:rPr>
                <w:i/>
                <w:sz w:val="24"/>
                <w:szCs w:val="24"/>
              </w:rPr>
              <w:t xml:space="preserve">Dochádza k zvýšeniu/zníženiu priamych finančných nákladov (poplatky, odvody, dane clá...)? Ak áno, popíšte a vyčíslite ich. Uveďte tiež spôsob ich výpočtu. </w:t>
            </w:r>
          </w:p>
        </w:tc>
      </w:tr>
      <w:tr w:rsidR="009F2DFA" w:rsidRPr="005D6754" w:rsidTr="007B71A4">
        <w:tc>
          <w:tcPr>
            <w:tcW w:w="9212" w:type="dxa"/>
          </w:tcPr>
          <w:p w:rsidR="00D71B03" w:rsidRPr="005D6754" w:rsidRDefault="002C415A" w:rsidP="005D6754">
            <w:pPr>
              <w:jc w:val="both"/>
              <w:rPr>
                <w:i/>
                <w:sz w:val="24"/>
                <w:szCs w:val="24"/>
              </w:rPr>
            </w:pPr>
            <w:r w:rsidRPr="005D6754">
              <w:rPr>
                <w:i/>
                <w:sz w:val="24"/>
                <w:szCs w:val="24"/>
              </w:rPr>
              <w:t>N/A</w:t>
            </w:r>
            <w:r w:rsidR="00703EF7" w:rsidRPr="005D6754">
              <w:rPr>
                <w:i/>
                <w:sz w:val="24"/>
                <w:szCs w:val="24"/>
              </w:rPr>
              <w:t xml:space="preserve"> </w:t>
            </w:r>
          </w:p>
        </w:tc>
      </w:tr>
      <w:tr w:rsidR="009F2DFA" w:rsidRPr="005D6754" w:rsidTr="007B71A4">
        <w:tc>
          <w:tcPr>
            <w:tcW w:w="9212" w:type="dxa"/>
          </w:tcPr>
          <w:p w:rsidR="009F2DFA" w:rsidRPr="005D6754" w:rsidRDefault="002B1108" w:rsidP="005D6754">
            <w:pPr>
              <w:rPr>
                <w:b/>
                <w:i/>
                <w:sz w:val="24"/>
                <w:szCs w:val="24"/>
              </w:rPr>
            </w:pPr>
            <w:r w:rsidRPr="005D6754">
              <w:rPr>
                <w:b/>
                <w:i/>
                <w:sz w:val="24"/>
                <w:szCs w:val="24"/>
              </w:rPr>
              <w:t>3</w:t>
            </w:r>
            <w:r w:rsidR="009F2DFA" w:rsidRPr="005D6754">
              <w:rPr>
                <w:b/>
                <w:i/>
                <w:sz w:val="24"/>
                <w:szCs w:val="24"/>
              </w:rPr>
              <w:t>.3.2 Nepriame finančné náklady</w:t>
            </w:r>
          </w:p>
          <w:p w:rsidR="009F2DFA" w:rsidRPr="005D6754" w:rsidRDefault="009F2DFA" w:rsidP="005D6754">
            <w:pPr>
              <w:rPr>
                <w:i/>
                <w:sz w:val="24"/>
                <w:szCs w:val="24"/>
              </w:rPr>
            </w:pPr>
            <w:r w:rsidRPr="005D6754">
              <w:rPr>
                <w:i/>
                <w:sz w:val="24"/>
                <w:szCs w:val="24"/>
              </w:rPr>
              <w:t xml:space="preserve">Vyžaduje si predkladaný návrh dodatočné náklady na nákup tovarov alebo služieb? </w:t>
            </w:r>
            <w:r w:rsidR="00B31A8E" w:rsidRPr="005D6754">
              <w:rPr>
                <w:i/>
                <w:sz w:val="24"/>
                <w:szCs w:val="24"/>
              </w:rPr>
              <w:t xml:space="preserve">Zvyšuje predkladaný návrh náklady súvisiace so zamestnávaním? </w:t>
            </w:r>
            <w:r w:rsidRPr="005D6754">
              <w:rPr>
                <w:i/>
                <w:sz w:val="24"/>
                <w:szCs w:val="24"/>
              </w:rPr>
              <w:t>Ak áno, popíšte a vyčíslite ich. Uveďte tiež spôsob ich výpočtu.</w:t>
            </w:r>
          </w:p>
        </w:tc>
      </w:tr>
      <w:tr w:rsidR="009F2DFA" w:rsidRPr="005D6754" w:rsidTr="007B71A4">
        <w:tc>
          <w:tcPr>
            <w:tcW w:w="9212" w:type="dxa"/>
          </w:tcPr>
          <w:p w:rsidR="009F2DFA" w:rsidRPr="005D6754" w:rsidRDefault="002C415A" w:rsidP="005D6754">
            <w:pPr>
              <w:jc w:val="both"/>
              <w:rPr>
                <w:sz w:val="24"/>
                <w:szCs w:val="24"/>
              </w:rPr>
            </w:pPr>
            <w:r w:rsidRPr="005D6754">
              <w:rPr>
                <w:sz w:val="24"/>
                <w:szCs w:val="24"/>
              </w:rPr>
              <w:t>N/A</w:t>
            </w:r>
            <w:r w:rsidR="00F77CC0" w:rsidRPr="005D6754">
              <w:rPr>
                <w:sz w:val="24"/>
                <w:szCs w:val="24"/>
              </w:rPr>
              <w:t xml:space="preserve"> </w:t>
            </w:r>
          </w:p>
        </w:tc>
      </w:tr>
      <w:tr w:rsidR="009F2DFA" w:rsidRPr="005D6754" w:rsidTr="007B71A4">
        <w:tc>
          <w:tcPr>
            <w:tcW w:w="9212" w:type="dxa"/>
          </w:tcPr>
          <w:p w:rsidR="009F2DFA" w:rsidRPr="005D6754" w:rsidRDefault="002B1108" w:rsidP="005D6754">
            <w:pPr>
              <w:rPr>
                <w:b/>
                <w:i/>
                <w:sz w:val="24"/>
                <w:szCs w:val="24"/>
              </w:rPr>
            </w:pPr>
            <w:r w:rsidRPr="005D6754">
              <w:rPr>
                <w:b/>
                <w:i/>
                <w:sz w:val="24"/>
                <w:szCs w:val="24"/>
              </w:rPr>
              <w:t>3</w:t>
            </w:r>
            <w:r w:rsidR="009F2DFA" w:rsidRPr="005D6754">
              <w:rPr>
                <w:b/>
                <w:i/>
                <w:sz w:val="24"/>
                <w:szCs w:val="24"/>
              </w:rPr>
              <w:t>.3.3 Administratívne náklady</w:t>
            </w:r>
          </w:p>
          <w:p w:rsidR="009F2DFA" w:rsidRPr="005D6754" w:rsidRDefault="009F2DFA" w:rsidP="005D6754">
            <w:pPr>
              <w:jc w:val="both"/>
              <w:rPr>
                <w:i/>
                <w:sz w:val="24"/>
                <w:szCs w:val="24"/>
              </w:rPr>
            </w:pPr>
            <w:r w:rsidRPr="005D6754">
              <w:rPr>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5D6754" w:rsidTr="007B71A4">
        <w:tc>
          <w:tcPr>
            <w:tcW w:w="9212" w:type="dxa"/>
          </w:tcPr>
          <w:p w:rsidR="009F2DFA" w:rsidRPr="005D6754" w:rsidRDefault="002C415A" w:rsidP="005D6754">
            <w:pPr>
              <w:jc w:val="both"/>
              <w:rPr>
                <w:b/>
                <w:i/>
                <w:sz w:val="24"/>
                <w:szCs w:val="24"/>
              </w:rPr>
            </w:pPr>
            <w:r w:rsidRPr="005D6754">
              <w:rPr>
                <w:sz w:val="24"/>
                <w:szCs w:val="24"/>
              </w:rPr>
              <w:t>N/A</w:t>
            </w:r>
          </w:p>
        </w:tc>
      </w:tr>
      <w:tr w:rsidR="009F2DFA" w:rsidRPr="005D6754" w:rsidTr="007B71A4">
        <w:trPr>
          <w:trHeight w:val="2318"/>
        </w:trPr>
        <w:tc>
          <w:tcPr>
            <w:tcW w:w="9212" w:type="dxa"/>
          </w:tcPr>
          <w:p w:rsidR="00BC6A49" w:rsidRPr="005D6754" w:rsidRDefault="002B1108" w:rsidP="005D6754">
            <w:pPr>
              <w:rPr>
                <w:b/>
                <w:i/>
                <w:sz w:val="24"/>
                <w:szCs w:val="24"/>
              </w:rPr>
            </w:pPr>
            <w:r w:rsidRPr="005D6754">
              <w:rPr>
                <w:b/>
                <w:i/>
                <w:sz w:val="24"/>
                <w:szCs w:val="24"/>
              </w:rPr>
              <w:t>3</w:t>
            </w:r>
            <w:r w:rsidR="009F2DFA" w:rsidRPr="005D6754">
              <w:rPr>
                <w:b/>
                <w:i/>
                <w:sz w:val="24"/>
                <w:szCs w:val="24"/>
              </w:rPr>
              <w:t>.3.4 Sú</w:t>
            </w:r>
            <w:r w:rsidR="007A3F7E" w:rsidRPr="005D6754">
              <w:rPr>
                <w:b/>
                <w:i/>
                <w:sz w:val="24"/>
                <w:szCs w:val="24"/>
              </w:rPr>
              <w:t>hrnná tabuľka nákladov reguláci</w:t>
            </w:r>
            <w:r w:rsidR="00AE5B5F" w:rsidRPr="005D6754">
              <w:rPr>
                <w:b/>
                <w:i/>
                <w:sz w:val="24"/>
                <w:szCs w:val="24"/>
              </w:rPr>
              <w:t>e</w:t>
            </w:r>
          </w:p>
          <w:tbl>
            <w:tblPr>
              <w:tblStyle w:val="Mriekatabuky"/>
              <w:tblW w:w="0" w:type="auto"/>
              <w:tblLook w:val="04A0" w:firstRow="1" w:lastRow="0" w:firstColumn="1" w:lastColumn="0" w:noHBand="0" w:noVBand="1"/>
            </w:tblPr>
            <w:tblGrid>
              <w:gridCol w:w="2993"/>
              <w:gridCol w:w="2994"/>
              <w:gridCol w:w="2994"/>
            </w:tblGrid>
            <w:tr w:rsidR="00BC6A49" w:rsidRPr="005D6754" w:rsidTr="00B470AA">
              <w:tc>
                <w:tcPr>
                  <w:tcW w:w="2993"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rPr>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AE5B5F" w:rsidP="005D6754">
                  <w:pPr>
                    <w:jc w:val="center"/>
                    <w:rPr>
                      <w:i/>
                      <w:sz w:val="24"/>
                      <w:szCs w:val="24"/>
                    </w:rPr>
                  </w:pPr>
                  <w:r w:rsidRPr="005D6754">
                    <w:rPr>
                      <w:i/>
                      <w:sz w:val="24"/>
                      <w:szCs w:val="24"/>
                    </w:rPr>
                    <w:t>Priemerné n</w:t>
                  </w:r>
                  <w:r w:rsidR="00BC6A49" w:rsidRPr="005D6754">
                    <w:rPr>
                      <w:i/>
                      <w:sz w:val="24"/>
                      <w:szCs w:val="24"/>
                    </w:rPr>
                    <w:t>áklady na 1 podnikateľa</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jc w:val="center"/>
                    <w:rPr>
                      <w:i/>
                      <w:sz w:val="24"/>
                      <w:szCs w:val="24"/>
                    </w:rPr>
                  </w:pPr>
                  <w:r w:rsidRPr="005D6754">
                    <w:rPr>
                      <w:i/>
                      <w:sz w:val="24"/>
                      <w:szCs w:val="24"/>
                    </w:rPr>
                    <w:t>Náklady na celé podnikateľské prostredie</w:t>
                  </w:r>
                </w:p>
              </w:tc>
            </w:tr>
            <w:tr w:rsidR="00BC6A49" w:rsidRPr="005D6754" w:rsidTr="00B470AA">
              <w:tc>
                <w:tcPr>
                  <w:tcW w:w="2993"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rPr>
                      <w:i/>
                      <w:sz w:val="24"/>
                      <w:szCs w:val="24"/>
                    </w:rPr>
                  </w:pPr>
                  <w:r w:rsidRPr="005D6754">
                    <w:rPr>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CF057F" w:rsidP="005D6754">
                  <w:pPr>
                    <w:jc w:val="center"/>
                    <w:rPr>
                      <w:i/>
                      <w:sz w:val="24"/>
                      <w:szCs w:val="24"/>
                    </w:rPr>
                  </w:pPr>
                  <w:r w:rsidRPr="005D6754">
                    <w:rPr>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7F665C" w:rsidP="005D6754">
                  <w:pPr>
                    <w:jc w:val="center"/>
                    <w:rPr>
                      <w:i/>
                      <w:sz w:val="24"/>
                      <w:szCs w:val="24"/>
                    </w:rPr>
                  </w:pPr>
                  <w:r w:rsidRPr="005D6754">
                    <w:rPr>
                      <w:i/>
                      <w:sz w:val="24"/>
                      <w:szCs w:val="24"/>
                    </w:rPr>
                    <w:t>*</w:t>
                  </w:r>
                </w:p>
              </w:tc>
            </w:tr>
            <w:tr w:rsidR="00BC6A49" w:rsidRPr="005D6754" w:rsidTr="00B470AA">
              <w:tc>
                <w:tcPr>
                  <w:tcW w:w="2993"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rPr>
                      <w:i/>
                      <w:sz w:val="24"/>
                      <w:szCs w:val="24"/>
                    </w:rPr>
                  </w:pPr>
                  <w:r w:rsidRPr="005D6754">
                    <w:rPr>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jc w:val="center"/>
                    <w:rPr>
                      <w:i/>
                      <w:sz w:val="24"/>
                      <w:szCs w:val="24"/>
                    </w:rPr>
                  </w:pPr>
                  <w:r w:rsidRPr="005D6754">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jc w:val="center"/>
                    <w:rPr>
                      <w:i/>
                      <w:sz w:val="24"/>
                      <w:szCs w:val="24"/>
                    </w:rPr>
                  </w:pPr>
                  <w:r w:rsidRPr="005D6754">
                    <w:rPr>
                      <w:i/>
                      <w:sz w:val="24"/>
                      <w:szCs w:val="24"/>
                    </w:rPr>
                    <w:t>0</w:t>
                  </w:r>
                </w:p>
              </w:tc>
            </w:tr>
            <w:tr w:rsidR="00BC6A49" w:rsidRPr="005D6754" w:rsidTr="00B470AA">
              <w:tc>
                <w:tcPr>
                  <w:tcW w:w="2993"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rPr>
                      <w:i/>
                      <w:sz w:val="24"/>
                      <w:szCs w:val="24"/>
                    </w:rPr>
                  </w:pPr>
                  <w:r w:rsidRPr="005D6754">
                    <w:rPr>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5E721A" w:rsidP="005D6754">
                  <w:pPr>
                    <w:jc w:val="center"/>
                    <w:rPr>
                      <w:i/>
                      <w:sz w:val="24"/>
                      <w:szCs w:val="24"/>
                    </w:rPr>
                  </w:pPr>
                  <w:r w:rsidRPr="005D6754">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D76BC2" w:rsidP="005D6754">
                  <w:pPr>
                    <w:jc w:val="center"/>
                    <w:rPr>
                      <w:i/>
                      <w:sz w:val="24"/>
                      <w:szCs w:val="24"/>
                    </w:rPr>
                  </w:pPr>
                  <w:r w:rsidRPr="005D6754">
                    <w:rPr>
                      <w:i/>
                      <w:sz w:val="24"/>
                      <w:szCs w:val="24"/>
                    </w:rPr>
                    <w:t>0</w:t>
                  </w:r>
                </w:p>
              </w:tc>
            </w:tr>
            <w:tr w:rsidR="00BC6A49" w:rsidRPr="005D6754" w:rsidTr="00B470AA">
              <w:tc>
                <w:tcPr>
                  <w:tcW w:w="2993" w:type="dxa"/>
                  <w:tcBorders>
                    <w:top w:val="single" w:sz="4" w:space="0" w:color="auto"/>
                    <w:left w:val="single" w:sz="4" w:space="0" w:color="auto"/>
                    <w:bottom w:val="single" w:sz="4" w:space="0" w:color="auto"/>
                    <w:right w:val="single" w:sz="4" w:space="0" w:color="auto"/>
                  </w:tcBorders>
                </w:tcPr>
                <w:p w:rsidR="00BC6A49" w:rsidRPr="005D6754" w:rsidRDefault="00BC6A49" w:rsidP="005D6754">
                  <w:pPr>
                    <w:rPr>
                      <w:b/>
                      <w:i/>
                      <w:sz w:val="24"/>
                      <w:szCs w:val="24"/>
                    </w:rPr>
                  </w:pPr>
                  <w:r w:rsidRPr="005D6754">
                    <w:rPr>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C93673" w:rsidP="005D6754">
                  <w:pPr>
                    <w:jc w:val="center"/>
                    <w:rPr>
                      <w:b/>
                      <w:i/>
                      <w:sz w:val="24"/>
                      <w:szCs w:val="24"/>
                    </w:rPr>
                  </w:pPr>
                  <w:r w:rsidRPr="005D6754">
                    <w:rPr>
                      <w:b/>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BC6A49" w:rsidRPr="005D6754" w:rsidRDefault="007F665C" w:rsidP="005D6754">
                  <w:pPr>
                    <w:jc w:val="center"/>
                    <w:rPr>
                      <w:b/>
                      <w:i/>
                      <w:sz w:val="24"/>
                      <w:szCs w:val="24"/>
                    </w:rPr>
                  </w:pPr>
                  <w:r w:rsidRPr="005D6754">
                    <w:rPr>
                      <w:b/>
                      <w:i/>
                      <w:sz w:val="24"/>
                      <w:szCs w:val="24"/>
                    </w:rPr>
                    <w:t>*</w:t>
                  </w:r>
                </w:p>
              </w:tc>
            </w:tr>
          </w:tbl>
          <w:p w:rsidR="00C93673" w:rsidRPr="005D6754" w:rsidRDefault="00C93673" w:rsidP="005D6754">
            <w:pPr>
              <w:rPr>
                <w:i/>
                <w:sz w:val="24"/>
                <w:szCs w:val="24"/>
              </w:rPr>
            </w:pPr>
            <w:r w:rsidRPr="005D6754">
              <w:rPr>
                <w:i/>
                <w:sz w:val="24"/>
                <w:szCs w:val="24"/>
              </w:rPr>
              <w:t xml:space="preserve">*momentálne nie je možné identifikovať dotknutých zamestnávateľov </w:t>
            </w:r>
          </w:p>
          <w:p w:rsidR="00C93673" w:rsidRPr="005D6754" w:rsidRDefault="00C93673" w:rsidP="005D6754">
            <w:pPr>
              <w:rPr>
                <w:i/>
                <w:sz w:val="24"/>
                <w:szCs w:val="24"/>
              </w:rPr>
            </w:pPr>
          </w:p>
          <w:p w:rsidR="00C93673" w:rsidRPr="005D6754" w:rsidRDefault="00C93673" w:rsidP="005D6754">
            <w:pPr>
              <w:rPr>
                <w:i/>
                <w:sz w:val="24"/>
                <w:szCs w:val="24"/>
              </w:rPr>
            </w:pPr>
          </w:p>
          <w:p w:rsidR="00C93673" w:rsidRPr="005D6754" w:rsidRDefault="00C93673" w:rsidP="005D6754">
            <w:pPr>
              <w:rPr>
                <w:i/>
                <w:sz w:val="24"/>
                <w:szCs w:val="24"/>
              </w:rPr>
            </w:pPr>
          </w:p>
        </w:tc>
      </w:tr>
      <w:tr w:rsidR="009F2DFA" w:rsidRPr="005D6754" w:rsidTr="007B71A4">
        <w:tc>
          <w:tcPr>
            <w:tcW w:w="9212" w:type="dxa"/>
            <w:shd w:val="clear" w:color="auto" w:fill="D9D9D9" w:themeFill="background1" w:themeFillShade="D9"/>
          </w:tcPr>
          <w:p w:rsidR="009F2DFA" w:rsidRPr="005D6754" w:rsidRDefault="002B1108" w:rsidP="005D6754">
            <w:pPr>
              <w:rPr>
                <w:b/>
                <w:sz w:val="24"/>
                <w:szCs w:val="24"/>
              </w:rPr>
            </w:pPr>
            <w:r w:rsidRPr="005D6754">
              <w:rPr>
                <w:b/>
                <w:sz w:val="24"/>
                <w:szCs w:val="24"/>
              </w:rPr>
              <w:t>3</w:t>
            </w:r>
            <w:r w:rsidR="009F2DFA" w:rsidRPr="005D6754">
              <w:rPr>
                <w:b/>
                <w:sz w:val="24"/>
                <w:szCs w:val="24"/>
              </w:rPr>
              <w:t>.4 Konkurencieschopnosť a správanie sa podnikov na trhu</w:t>
            </w:r>
          </w:p>
          <w:p w:rsidR="009F2DFA" w:rsidRPr="005D6754" w:rsidRDefault="009F2DFA" w:rsidP="005D6754">
            <w:pPr>
              <w:rPr>
                <w:sz w:val="24"/>
                <w:szCs w:val="24"/>
              </w:rPr>
            </w:pPr>
            <w:r w:rsidRPr="005D6754">
              <w:rPr>
                <w:b/>
                <w:sz w:val="24"/>
                <w:szCs w:val="24"/>
              </w:rPr>
              <w:t xml:space="preserve">       </w:t>
            </w:r>
            <w:r w:rsidRPr="005D6754">
              <w:rPr>
                <w:sz w:val="24"/>
                <w:szCs w:val="24"/>
              </w:rPr>
              <w:t xml:space="preserve">- </w:t>
            </w:r>
            <w:r w:rsidRPr="005D6754">
              <w:rPr>
                <w:b/>
                <w:sz w:val="24"/>
                <w:szCs w:val="24"/>
              </w:rPr>
              <w:t>z toho MSP</w:t>
            </w:r>
          </w:p>
        </w:tc>
      </w:tr>
      <w:tr w:rsidR="009F2DFA" w:rsidRPr="005D6754" w:rsidTr="007B71A4">
        <w:tc>
          <w:tcPr>
            <w:tcW w:w="9212" w:type="dxa"/>
          </w:tcPr>
          <w:p w:rsidR="009F2DFA" w:rsidRPr="005D6754" w:rsidRDefault="009F2DFA" w:rsidP="005D6754">
            <w:pPr>
              <w:jc w:val="both"/>
              <w:rPr>
                <w:i/>
                <w:sz w:val="24"/>
                <w:szCs w:val="24"/>
              </w:rPr>
            </w:pPr>
            <w:r w:rsidRPr="005D6754">
              <w:rPr>
                <w:i/>
                <w:sz w:val="24"/>
                <w:szCs w:val="24"/>
              </w:rPr>
              <w:t xml:space="preserve">Dochádza k vytvoreniu bariér pre vstup na trh pre nových dodávateľov alebo poskytovateľov </w:t>
            </w:r>
            <w:r w:rsidRPr="005D6754">
              <w:rPr>
                <w:i/>
                <w:sz w:val="24"/>
                <w:szCs w:val="24"/>
              </w:rPr>
              <w:lastRenderedPageBreak/>
              <w:t xml:space="preserve">služieb? Bude mať navrhovaná zmena za následok prísnejšiu reguláciu správania sa niektorých podnikov? Bude sa s niektorými podnikmi alebo produktmi zaobchádzať v porovnateľnej situácii rôzne (špeciálne režimy pre </w:t>
            </w:r>
            <w:proofErr w:type="spellStart"/>
            <w:r w:rsidRPr="005D6754">
              <w:rPr>
                <w:i/>
                <w:sz w:val="24"/>
                <w:szCs w:val="24"/>
              </w:rPr>
              <w:t>mikro</w:t>
            </w:r>
            <w:proofErr w:type="spellEnd"/>
            <w:r w:rsidRPr="005D6754">
              <w:rPr>
                <w:i/>
                <w:sz w:val="24"/>
                <w:szCs w:val="24"/>
              </w:rPr>
              <w:t>, malé a stredné podniky tzv. MSP)? Ak áno, popíšte.</w:t>
            </w:r>
          </w:p>
          <w:p w:rsidR="009F2DFA" w:rsidRPr="005D6754" w:rsidRDefault="009F2DFA" w:rsidP="005D6754">
            <w:pPr>
              <w:jc w:val="both"/>
              <w:rPr>
                <w:i/>
                <w:sz w:val="24"/>
                <w:szCs w:val="24"/>
              </w:rPr>
            </w:pPr>
            <w:r w:rsidRPr="005D6754">
              <w:rPr>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5D6754" w:rsidRDefault="009F2DFA" w:rsidP="005D6754">
            <w:pPr>
              <w:jc w:val="both"/>
              <w:rPr>
                <w:i/>
                <w:sz w:val="24"/>
                <w:szCs w:val="24"/>
              </w:rPr>
            </w:pPr>
            <w:r w:rsidRPr="005D6754">
              <w:rPr>
                <w:i/>
                <w:sz w:val="24"/>
                <w:szCs w:val="24"/>
              </w:rPr>
              <w:t>Ako ovplyvní cenu alebo dostupnosť základných zdrojov (suroviny, mechanizmy, pracovná sila, energie atď.)?</w:t>
            </w:r>
          </w:p>
          <w:p w:rsidR="009F2DFA" w:rsidRPr="005D6754" w:rsidRDefault="009F2DFA" w:rsidP="005D6754">
            <w:pPr>
              <w:jc w:val="both"/>
              <w:rPr>
                <w:i/>
                <w:sz w:val="24"/>
                <w:szCs w:val="24"/>
              </w:rPr>
            </w:pPr>
            <w:r w:rsidRPr="005D6754">
              <w:rPr>
                <w:i/>
                <w:sz w:val="24"/>
                <w:szCs w:val="24"/>
              </w:rPr>
              <w:t>Ovplyvňuje prístup k financiám? Ak áno, ako?</w:t>
            </w:r>
          </w:p>
        </w:tc>
      </w:tr>
      <w:tr w:rsidR="009F2DFA" w:rsidRPr="005D6754" w:rsidTr="001310FC">
        <w:trPr>
          <w:trHeight w:val="427"/>
        </w:trPr>
        <w:tc>
          <w:tcPr>
            <w:tcW w:w="9212" w:type="dxa"/>
          </w:tcPr>
          <w:p w:rsidR="00A15AA2" w:rsidRPr="005D6754" w:rsidRDefault="00A258B2" w:rsidP="005D6754">
            <w:pPr>
              <w:rPr>
                <w:sz w:val="24"/>
                <w:szCs w:val="24"/>
              </w:rPr>
            </w:pPr>
            <w:r w:rsidRPr="005D6754">
              <w:rPr>
                <w:sz w:val="24"/>
                <w:szCs w:val="24"/>
              </w:rPr>
              <w:lastRenderedPageBreak/>
              <w:t xml:space="preserve">Nedochádza  k vplyvu na konkurencieschopnosť a správanie sa podnikov na trhu.  </w:t>
            </w:r>
          </w:p>
          <w:p w:rsidR="004B23A0" w:rsidRPr="005D6754" w:rsidRDefault="004B23A0" w:rsidP="005D6754">
            <w:pPr>
              <w:rPr>
                <w:i/>
                <w:sz w:val="24"/>
                <w:szCs w:val="24"/>
              </w:rPr>
            </w:pPr>
          </w:p>
        </w:tc>
      </w:tr>
      <w:tr w:rsidR="009F2DFA" w:rsidRPr="005D6754" w:rsidTr="007B71A4">
        <w:tc>
          <w:tcPr>
            <w:tcW w:w="9212" w:type="dxa"/>
            <w:shd w:val="clear" w:color="auto" w:fill="D9D9D9" w:themeFill="background1" w:themeFillShade="D9"/>
          </w:tcPr>
          <w:p w:rsidR="009F2DFA" w:rsidRPr="005D6754" w:rsidRDefault="002B1108" w:rsidP="005D6754">
            <w:pPr>
              <w:rPr>
                <w:b/>
                <w:sz w:val="24"/>
                <w:szCs w:val="24"/>
              </w:rPr>
            </w:pPr>
            <w:r w:rsidRPr="005D6754">
              <w:rPr>
                <w:b/>
                <w:sz w:val="24"/>
                <w:szCs w:val="24"/>
              </w:rPr>
              <w:t>3</w:t>
            </w:r>
            <w:r w:rsidR="009F2DFA" w:rsidRPr="005D6754">
              <w:rPr>
                <w:b/>
                <w:sz w:val="24"/>
                <w:szCs w:val="24"/>
              </w:rPr>
              <w:t xml:space="preserve">.5 Inovácie </w:t>
            </w:r>
          </w:p>
          <w:p w:rsidR="009F2DFA" w:rsidRPr="005D6754" w:rsidRDefault="009F2DFA" w:rsidP="005D6754">
            <w:pPr>
              <w:rPr>
                <w:b/>
                <w:sz w:val="24"/>
                <w:szCs w:val="24"/>
              </w:rPr>
            </w:pPr>
            <w:r w:rsidRPr="005D6754">
              <w:rPr>
                <w:sz w:val="24"/>
                <w:szCs w:val="24"/>
              </w:rPr>
              <w:t xml:space="preserve">       - </w:t>
            </w:r>
            <w:r w:rsidRPr="005D6754">
              <w:rPr>
                <w:b/>
                <w:sz w:val="24"/>
                <w:szCs w:val="24"/>
              </w:rPr>
              <w:t>z toho MSP</w:t>
            </w:r>
          </w:p>
        </w:tc>
      </w:tr>
      <w:tr w:rsidR="009F2DFA" w:rsidRPr="005D6754" w:rsidTr="007B71A4">
        <w:tc>
          <w:tcPr>
            <w:tcW w:w="9212" w:type="dxa"/>
          </w:tcPr>
          <w:p w:rsidR="009F2DFA" w:rsidRPr="005D6754" w:rsidRDefault="009F2DFA" w:rsidP="005D6754">
            <w:pPr>
              <w:rPr>
                <w:i/>
                <w:sz w:val="24"/>
                <w:szCs w:val="24"/>
              </w:rPr>
            </w:pPr>
            <w:r w:rsidRPr="005D6754">
              <w:rPr>
                <w:i/>
                <w:sz w:val="24"/>
                <w:szCs w:val="24"/>
              </w:rPr>
              <w:t>Uveďte, ako podporuje navrhovaná zmena inovácie.</w:t>
            </w:r>
          </w:p>
          <w:p w:rsidR="009F2DFA" w:rsidRPr="005D6754" w:rsidRDefault="009F2DFA" w:rsidP="005D6754">
            <w:pPr>
              <w:rPr>
                <w:i/>
                <w:sz w:val="24"/>
                <w:szCs w:val="24"/>
              </w:rPr>
            </w:pPr>
            <w:r w:rsidRPr="005D6754">
              <w:rPr>
                <w:i/>
                <w:sz w:val="24"/>
                <w:szCs w:val="24"/>
              </w:rPr>
              <w:t>Zjednodušuje uvedenie alebo rozšírenie nových výrobných metód, technológií a výrobkov na trh?</w:t>
            </w:r>
          </w:p>
          <w:p w:rsidR="009F2DFA" w:rsidRPr="005D6754" w:rsidRDefault="009F2DFA" w:rsidP="005D6754">
            <w:pPr>
              <w:rPr>
                <w:i/>
                <w:sz w:val="24"/>
                <w:szCs w:val="24"/>
              </w:rPr>
            </w:pPr>
            <w:r w:rsidRPr="005D6754">
              <w:rPr>
                <w:i/>
                <w:sz w:val="24"/>
                <w:szCs w:val="24"/>
              </w:rPr>
              <w:t xml:space="preserve">Uveďte, ako vplýva navrhovaná zmena na </w:t>
            </w:r>
            <w:r w:rsidR="00904C9B" w:rsidRPr="005D6754">
              <w:rPr>
                <w:i/>
                <w:sz w:val="24"/>
                <w:szCs w:val="24"/>
              </w:rPr>
              <w:t xml:space="preserve">jednotlivé </w:t>
            </w:r>
            <w:r w:rsidRPr="005D6754">
              <w:rPr>
                <w:i/>
                <w:sz w:val="24"/>
                <w:szCs w:val="24"/>
              </w:rPr>
              <w:t>práva duševného vlastníctva (</w:t>
            </w:r>
            <w:r w:rsidR="00904C9B" w:rsidRPr="005D6754">
              <w:rPr>
                <w:i/>
                <w:sz w:val="24"/>
                <w:szCs w:val="24"/>
              </w:rPr>
              <w:t xml:space="preserve">napr. </w:t>
            </w:r>
            <w:r w:rsidRPr="005D6754">
              <w:rPr>
                <w:i/>
                <w:sz w:val="24"/>
                <w:szCs w:val="24"/>
              </w:rPr>
              <w:t xml:space="preserve">patenty, ochranné známky, </w:t>
            </w:r>
            <w:r w:rsidR="00904C9B" w:rsidRPr="005D6754">
              <w:rPr>
                <w:i/>
                <w:sz w:val="24"/>
                <w:szCs w:val="24"/>
              </w:rPr>
              <w:t>autorské práva</w:t>
            </w:r>
            <w:r w:rsidRPr="005D6754">
              <w:rPr>
                <w:i/>
                <w:sz w:val="24"/>
                <w:szCs w:val="24"/>
              </w:rPr>
              <w:t xml:space="preserve">, vlastníctvo </w:t>
            </w:r>
            <w:proofErr w:type="spellStart"/>
            <w:r w:rsidRPr="005D6754">
              <w:rPr>
                <w:i/>
                <w:sz w:val="24"/>
                <w:szCs w:val="24"/>
              </w:rPr>
              <w:t>know-how</w:t>
            </w:r>
            <w:proofErr w:type="spellEnd"/>
            <w:r w:rsidRPr="005D6754">
              <w:rPr>
                <w:i/>
                <w:sz w:val="24"/>
                <w:szCs w:val="24"/>
              </w:rPr>
              <w:t>).</w:t>
            </w:r>
          </w:p>
          <w:p w:rsidR="009F2DFA" w:rsidRPr="005D6754" w:rsidRDefault="009F2DFA" w:rsidP="005D6754">
            <w:pPr>
              <w:rPr>
                <w:i/>
                <w:sz w:val="24"/>
                <w:szCs w:val="24"/>
              </w:rPr>
            </w:pPr>
            <w:r w:rsidRPr="005D6754">
              <w:rPr>
                <w:i/>
                <w:sz w:val="24"/>
                <w:szCs w:val="24"/>
              </w:rPr>
              <w:t>Podporuje vyššiu efektivitu výroby/využívania zdrojov? Ak áno, ako?</w:t>
            </w:r>
          </w:p>
          <w:p w:rsidR="00837639" w:rsidRPr="005D6754" w:rsidRDefault="00837639" w:rsidP="005D6754">
            <w:pPr>
              <w:rPr>
                <w:sz w:val="24"/>
                <w:szCs w:val="24"/>
              </w:rPr>
            </w:pPr>
            <w:r w:rsidRPr="005D6754">
              <w:rPr>
                <w:i/>
                <w:sz w:val="24"/>
                <w:szCs w:val="24"/>
              </w:rPr>
              <w:t>Vytvorí zmena nové pracovné miesta pre zamestnancov výskumu a vývoja v SR?</w:t>
            </w:r>
          </w:p>
        </w:tc>
      </w:tr>
      <w:tr w:rsidR="009F2DFA" w:rsidRPr="005D6754" w:rsidTr="001310FC">
        <w:trPr>
          <w:trHeight w:val="70"/>
        </w:trPr>
        <w:tc>
          <w:tcPr>
            <w:tcW w:w="9212" w:type="dxa"/>
          </w:tcPr>
          <w:p w:rsidR="009F2DFA" w:rsidRPr="005D6754" w:rsidRDefault="00A258B2" w:rsidP="005D6754">
            <w:pPr>
              <w:rPr>
                <w:i/>
                <w:sz w:val="24"/>
                <w:szCs w:val="24"/>
              </w:rPr>
            </w:pPr>
            <w:r w:rsidRPr="005D6754">
              <w:rPr>
                <w:sz w:val="24"/>
                <w:szCs w:val="24"/>
              </w:rPr>
              <w:t xml:space="preserve">Nedochádza k vplyvu na inovácie.  </w:t>
            </w:r>
          </w:p>
        </w:tc>
      </w:tr>
    </w:tbl>
    <w:p w:rsidR="003E09E2" w:rsidRPr="005D6754" w:rsidRDefault="003E09E2" w:rsidP="005D6754">
      <w:pPr>
        <w:rPr>
          <w:b/>
          <w:sz w:val="24"/>
          <w:szCs w:val="24"/>
        </w:rPr>
        <w:sectPr w:rsidR="003E09E2" w:rsidRPr="005D6754" w:rsidSect="0022044A">
          <w:footerReference w:type="default" r:id="rId9"/>
          <w:pgSz w:w="11906" w:h="16838"/>
          <w:pgMar w:top="1418" w:right="1418" w:bottom="1418" w:left="1418" w:header="709" w:footer="709" w:gutter="0"/>
          <w:cols w:space="708"/>
          <w:titlePg/>
          <w:docGrid w:linePitch="360"/>
        </w:sectPr>
      </w:pPr>
    </w:p>
    <w:p w:rsidR="00D27533" w:rsidRPr="005D6754" w:rsidRDefault="00D27533" w:rsidP="005D6754">
      <w:pPr>
        <w:rPr>
          <w:b/>
          <w:sz w:val="24"/>
          <w:szCs w:val="24"/>
        </w:rPr>
      </w:pPr>
    </w:p>
    <w:sectPr w:rsidR="00D27533" w:rsidRPr="005D6754" w:rsidSect="0022044A">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5C" w:rsidRDefault="0008195C" w:rsidP="009F2DFA">
      <w:r>
        <w:separator/>
      </w:r>
    </w:p>
  </w:endnote>
  <w:endnote w:type="continuationSeparator" w:id="0">
    <w:p w:rsidR="0008195C" w:rsidRDefault="0008195C"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15" w:rsidRPr="00010615" w:rsidRDefault="00010615">
    <w:pPr>
      <w:pStyle w:val="Pta"/>
      <w:jc w:val="center"/>
      <w:rPr>
        <w:sz w:val="24"/>
        <w:szCs w:val="24"/>
      </w:rPr>
    </w:pPr>
    <w:r w:rsidRPr="00010615">
      <w:rPr>
        <w:sz w:val="24"/>
        <w:szCs w:val="24"/>
      </w:rPr>
      <w:fldChar w:fldCharType="begin"/>
    </w:r>
    <w:r w:rsidRPr="00010615">
      <w:rPr>
        <w:sz w:val="24"/>
        <w:szCs w:val="24"/>
      </w:rPr>
      <w:instrText>PAGE   \* MERGEFORMAT</w:instrText>
    </w:r>
    <w:r w:rsidRPr="00010615">
      <w:rPr>
        <w:sz w:val="24"/>
        <w:szCs w:val="24"/>
      </w:rPr>
      <w:fldChar w:fldCharType="separate"/>
    </w:r>
    <w:r w:rsidR="00A11A2A">
      <w:rPr>
        <w:noProof/>
        <w:sz w:val="24"/>
        <w:szCs w:val="24"/>
      </w:rPr>
      <w:t>2</w:t>
    </w:r>
    <w:r w:rsidRPr="00010615">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5C" w:rsidRDefault="0008195C" w:rsidP="009F2DFA">
      <w:r>
        <w:separator/>
      </w:r>
    </w:p>
  </w:footnote>
  <w:footnote w:type="continuationSeparator" w:id="0">
    <w:p w:rsidR="0008195C" w:rsidRDefault="0008195C" w:rsidP="009F2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tplc="E85A495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tplc="E85A495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tplc="328A388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0055DA"/>
    <w:rsid w:val="00010615"/>
    <w:rsid w:val="00013156"/>
    <w:rsid w:val="00034CDC"/>
    <w:rsid w:val="00042255"/>
    <w:rsid w:val="00042C66"/>
    <w:rsid w:val="0004470A"/>
    <w:rsid w:val="00046F61"/>
    <w:rsid w:val="000476AD"/>
    <w:rsid w:val="0005303A"/>
    <w:rsid w:val="00061B2C"/>
    <w:rsid w:val="000632F4"/>
    <w:rsid w:val="00065566"/>
    <w:rsid w:val="0007726B"/>
    <w:rsid w:val="0008195C"/>
    <w:rsid w:val="00081E89"/>
    <w:rsid w:val="00082954"/>
    <w:rsid w:val="000837DD"/>
    <w:rsid w:val="00090726"/>
    <w:rsid w:val="00094B4F"/>
    <w:rsid w:val="000B187B"/>
    <w:rsid w:val="000D2622"/>
    <w:rsid w:val="000E5E65"/>
    <w:rsid w:val="0010106D"/>
    <w:rsid w:val="00110D2E"/>
    <w:rsid w:val="00111388"/>
    <w:rsid w:val="00126556"/>
    <w:rsid w:val="00127795"/>
    <w:rsid w:val="001310FC"/>
    <w:rsid w:val="00132E59"/>
    <w:rsid w:val="00153569"/>
    <w:rsid w:val="00154881"/>
    <w:rsid w:val="001564A4"/>
    <w:rsid w:val="001720C6"/>
    <w:rsid w:val="00174022"/>
    <w:rsid w:val="00175268"/>
    <w:rsid w:val="00175A58"/>
    <w:rsid w:val="001862EB"/>
    <w:rsid w:val="00186D0D"/>
    <w:rsid w:val="00190FF9"/>
    <w:rsid w:val="001A12AD"/>
    <w:rsid w:val="001A59B0"/>
    <w:rsid w:val="001A7475"/>
    <w:rsid w:val="001A74D1"/>
    <w:rsid w:val="001B5B42"/>
    <w:rsid w:val="001C0F95"/>
    <w:rsid w:val="001C281B"/>
    <w:rsid w:val="001C6AC1"/>
    <w:rsid w:val="001E7CEB"/>
    <w:rsid w:val="001F6DD4"/>
    <w:rsid w:val="00206904"/>
    <w:rsid w:val="00207E2C"/>
    <w:rsid w:val="0022044A"/>
    <w:rsid w:val="00226F6D"/>
    <w:rsid w:val="00231ED3"/>
    <w:rsid w:val="00233560"/>
    <w:rsid w:val="00240E2A"/>
    <w:rsid w:val="002473EB"/>
    <w:rsid w:val="002649B5"/>
    <w:rsid w:val="00265D45"/>
    <w:rsid w:val="00266005"/>
    <w:rsid w:val="00270039"/>
    <w:rsid w:val="00274280"/>
    <w:rsid w:val="00274BAE"/>
    <w:rsid w:val="0028562A"/>
    <w:rsid w:val="00285D81"/>
    <w:rsid w:val="002865F6"/>
    <w:rsid w:val="00292F88"/>
    <w:rsid w:val="002A6AC9"/>
    <w:rsid w:val="002B1108"/>
    <w:rsid w:val="002B295C"/>
    <w:rsid w:val="002B5520"/>
    <w:rsid w:val="002C415A"/>
    <w:rsid w:val="002D2791"/>
    <w:rsid w:val="002D5A3A"/>
    <w:rsid w:val="002E2738"/>
    <w:rsid w:val="002E3314"/>
    <w:rsid w:val="002F3815"/>
    <w:rsid w:val="002F6744"/>
    <w:rsid w:val="002F6CB5"/>
    <w:rsid w:val="002F702C"/>
    <w:rsid w:val="003049F9"/>
    <w:rsid w:val="00314578"/>
    <w:rsid w:val="00315666"/>
    <w:rsid w:val="00321333"/>
    <w:rsid w:val="00327786"/>
    <w:rsid w:val="00330381"/>
    <w:rsid w:val="00336F5E"/>
    <w:rsid w:val="003431F2"/>
    <w:rsid w:val="0034673C"/>
    <w:rsid w:val="00347F2C"/>
    <w:rsid w:val="003531B1"/>
    <w:rsid w:val="003533B1"/>
    <w:rsid w:val="003737EE"/>
    <w:rsid w:val="00380A70"/>
    <w:rsid w:val="0038185E"/>
    <w:rsid w:val="00394FEA"/>
    <w:rsid w:val="00395559"/>
    <w:rsid w:val="003A5C12"/>
    <w:rsid w:val="003C0811"/>
    <w:rsid w:val="003C3F89"/>
    <w:rsid w:val="003D06F0"/>
    <w:rsid w:val="003E09E2"/>
    <w:rsid w:val="003E1AF3"/>
    <w:rsid w:val="003E6175"/>
    <w:rsid w:val="003F1D59"/>
    <w:rsid w:val="003F4F15"/>
    <w:rsid w:val="003F66FF"/>
    <w:rsid w:val="004047E5"/>
    <w:rsid w:val="004100A9"/>
    <w:rsid w:val="00411BD1"/>
    <w:rsid w:val="004338B6"/>
    <w:rsid w:val="00437B21"/>
    <w:rsid w:val="00440303"/>
    <w:rsid w:val="00450A0C"/>
    <w:rsid w:val="00452F25"/>
    <w:rsid w:val="0047571B"/>
    <w:rsid w:val="00477BCF"/>
    <w:rsid w:val="00481A92"/>
    <w:rsid w:val="00482A7E"/>
    <w:rsid w:val="00497D70"/>
    <w:rsid w:val="004A4B3B"/>
    <w:rsid w:val="004B124E"/>
    <w:rsid w:val="004B1B25"/>
    <w:rsid w:val="004B23A0"/>
    <w:rsid w:val="004B26F6"/>
    <w:rsid w:val="004B6339"/>
    <w:rsid w:val="004C4F30"/>
    <w:rsid w:val="004C65A5"/>
    <w:rsid w:val="004D0ACD"/>
    <w:rsid w:val="004D5FB1"/>
    <w:rsid w:val="004F5CA5"/>
    <w:rsid w:val="004F7E8E"/>
    <w:rsid w:val="00503151"/>
    <w:rsid w:val="00506BB4"/>
    <w:rsid w:val="0051340B"/>
    <w:rsid w:val="0051741B"/>
    <w:rsid w:val="0052297F"/>
    <w:rsid w:val="00523EE7"/>
    <w:rsid w:val="00540C93"/>
    <w:rsid w:val="0054105B"/>
    <w:rsid w:val="00545EB8"/>
    <w:rsid w:val="00575E10"/>
    <w:rsid w:val="00592E05"/>
    <w:rsid w:val="00596D73"/>
    <w:rsid w:val="005A01C6"/>
    <w:rsid w:val="005A0D1B"/>
    <w:rsid w:val="005A0E4F"/>
    <w:rsid w:val="005A45D3"/>
    <w:rsid w:val="005B099D"/>
    <w:rsid w:val="005B5DE4"/>
    <w:rsid w:val="005B77D1"/>
    <w:rsid w:val="005C33C1"/>
    <w:rsid w:val="005D6754"/>
    <w:rsid w:val="005D7D66"/>
    <w:rsid w:val="005E6DB0"/>
    <w:rsid w:val="005E721A"/>
    <w:rsid w:val="005F02C5"/>
    <w:rsid w:val="006063DB"/>
    <w:rsid w:val="00622108"/>
    <w:rsid w:val="00626CE4"/>
    <w:rsid w:val="00627C27"/>
    <w:rsid w:val="00632DB0"/>
    <w:rsid w:val="0063352D"/>
    <w:rsid w:val="006358D5"/>
    <w:rsid w:val="00644573"/>
    <w:rsid w:val="006461C4"/>
    <w:rsid w:val="006502A7"/>
    <w:rsid w:val="00651ADE"/>
    <w:rsid w:val="0065419B"/>
    <w:rsid w:val="0067638D"/>
    <w:rsid w:val="006A16A8"/>
    <w:rsid w:val="006A361E"/>
    <w:rsid w:val="006A367F"/>
    <w:rsid w:val="006B2634"/>
    <w:rsid w:val="006C4164"/>
    <w:rsid w:val="006C549E"/>
    <w:rsid w:val="006D02BF"/>
    <w:rsid w:val="006D3CCE"/>
    <w:rsid w:val="006D5B4D"/>
    <w:rsid w:val="006F1759"/>
    <w:rsid w:val="006F3DED"/>
    <w:rsid w:val="007038A6"/>
    <w:rsid w:val="00703EF7"/>
    <w:rsid w:val="00704CCD"/>
    <w:rsid w:val="0071067F"/>
    <w:rsid w:val="00725779"/>
    <w:rsid w:val="007323FE"/>
    <w:rsid w:val="00733646"/>
    <w:rsid w:val="00736241"/>
    <w:rsid w:val="00740BB6"/>
    <w:rsid w:val="00752503"/>
    <w:rsid w:val="007530F3"/>
    <w:rsid w:val="00764FD4"/>
    <w:rsid w:val="007670EC"/>
    <w:rsid w:val="007703A6"/>
    <w:rsid w:val="00777AF4"/>
    <w:rsid w:val="00780BA6"/>
    <w:rsid w:val="0078135D"/>
    <w:rsid w:val="00787153"/>
    <w:rsid w:val="007922DE"/>
    <w:rsid w:val="00797253"/>
    <w:rsid w:val="00797415"/>
    <w:rsid w:val="007A1C48"/>
    <w:rsid w:val="007A3F7E"/>
    <w:rsid w:val="007A4160"/>
    <w:rsid w:val="007A624D"/>
    <w:rsid w:val="007B50D6"/>
    <w:rsid w:val="007B58A9"/>
    <w:rsid w:val="007B71A4"/>
    <w:rsid w:val="007C2190"/>
    <w:rsid w:val="007C32AF"/>
    <w:rsid w:val="007D643A"/>
    <w:rsid w:val="007E0400"/>
    <w:rsid w:val="007E3616"/>
    <w:rsid w:val="007F0FBF"/>
    <w:rsid w:val="007F665C"/>
    <w:rsid w:val="00805BC1"/>
    <w:rsid w:val="008277E0"/>
    <w:rsid w:val="00837639"/>
    <w:rsid w:val="0084578A"/>
    <w:rsid w:val="00864CF0"/>
    <w:rsid w:val="00864DE4"/>
    <w:rsid w:val="00873EC1"/>
    <w:rsid w:val="008845C7"/>
    <w:rsid w:val="0088583C"/>
    <w:rsid w:val="00890AB2"/>
    <w:rsid w:val="00891038"/>
    <w:rsid w:val="008A10AF"/>
    <w:rsid w:val="008A1252"/>
    <w:rsid w:val="008A7657"/>
    <w:rsid w:val="008A7E20"/>
    <w:rsid w:val="008B0CAB"/>
    <w:rsid w:val="008B0F16"/>
    <w:rsid w:val="008B6134"/>
    <w:rsid w:val="008D1B15"/>
    <w:rsid w:val="008D2160"/>
    <w:rsid w:val="008D4C8D"/>
    <w:rsid w:val="008D5F20"/>
    <w:rsid w:val="008E061C"/>
    <w:rsid w:val="008E6AA6"/>
    <w:rsid w:val="008F41F4"/>
    <w:rsid w:val="00904C9B"/>
    <w:rsid w:val="00913F1D"/>
    <w:rsid w:val="00933CD6"/>
    <w:rsid w:val="0094272A"/>
    <w:rsid w:val="00943B27"/>
    <w:rsid w:val="00947757"/>
    <w:rsid w:val="00954D60"/>
    <w:rsid w:val="00972066"/>
    <w:rsid w:val="00972902"/>
    <w:rsid w:val="00981994"/>
    <w:rsid w:val="00987532"/>
    <w:rsid w:val="009A1C54"/>
    <w:rsid w:val="009B649C"/>
    <w:rsid w:val="009D38A5"/>
    <w:rsid w:val="009E6289"/>
    <w:rsid w:val="009E754C"/>
    <w:rsid w:val="009F2DFA"/>
    <w:rsid w:val="00A012E9"/>
    <w:rsid w:val="00A04432"/>
    <w:rsid w:val="00A11A2A"/>
    <w:rsid w:val="00A15AA2"/>
    <w:rsid w:val="00A23B80"/>
    <w:rsid w:val="00A258B2"/>
    <w:rsid w:val="00A36C26"/>
    <w:rsid w:val="00A4753B"/>
    <w:rsid w:val="00A6041E"/>
    <w:rsid w:val="00A75004"/>
    <w:rsid w:val="00A852D4"/>
    <w:rsid w:val="00A90AEE"/>
    <w:rsid w:val="00A91B57"/>
    <w:rsid w:val="00A91E2C"/>
    <w:rsid w:val="00A9327B"/>
    <w:rsid w:val="00AB16C3"/>
    <w:rsid w:val="00AB4094"/>
    <w:rsid w:val="00AB52DF"/>
    <w:rsid w:val="00AB6D14"/>
    <w:rsid w:val="00AC0CBF"/>
    <w:rsid w:val="00AC14B6"/>
    <w:rsid w:val="00AD0AB6"/>
    <w:rsid w:val="00AD0F0F"/>
    <w:rsid w:val="00AD4B40"/>
    <w:rsid w:val="00AE3D8D"/>
    <w:rsid w:val="00AE4F07"/>
    <w:rsid w:val="00AE54C7"/>
    <w:rsid w:val="00AE5B5F"/>
    <w:rsid w:val="00AE6633"/>
    <w:rsid w:val="00AF2ABD"/>
    <w:rsid w:val="00B23958"/>
    <w:rsid w:val="00B24DD2"/>
    <w:rsid w:val="00B26038"/>
    <w:rsid w:val="00B31A8E"/>
    <w:rsid w:val="00B36451"/>
    <w:rsid w:val="00B366B1"/>
    <w:rsid w:val="00B470AA"/>
    <w:rsid w:val="00B57021"/>
    <w:rsid w:val="00B617CC"/>
    <w:rsid w:val="00B84BB3"/>
    <w:rsid w:val="00B930BE"/>
    <w:rsid w:val="00B94836"/>
    <w:rsid w:val="00BA073A"/>
    <w:rsid w:val="00BA713F"/>
    <w:rsid w:val="00BB5C76"/>
    <w:rsid w:val="00BC04B0"/>
    <w:rsid w:val="00BC2211"/>
    <w:rsid w:val="00BC6A49"/>
    <w:rsid w:val="00BD7321"/>
    <w:rsid w:val="00BE4FB8"/>
    <w:rsid w:val="00BF0381"/>
    <w:rsid w:val="00BF3547"/>
    <w:rsid w:val="00BF4807"/>
    <w:rsid w:val="00BF646E"/>
    <w:rsid w:val="00C01F24"/>
    <w:rsid w:val="00C02125"/>
    <w:rsid w:val="00C17BD8"/>
    <w:rsid w:val="00C31E5F"/>
    <w:rsid w:val="00C359B9"/>
    <w:rsid w:val="00C37924"/>
    <w:rsid w:val="00C41152"/>
    <w:rsid w:val="00C5114B"/>
    <w:rsid w:val="00C51AD6"/>
    <w:rsid w:val="00C575FF"/>
    <w:rsid w:val="00C61487"/>
    <w:rsid w:val="00C647A3"/>
    <w:rsid w:val="00C67219"/>
    <w:rsid w:val="00C70BEF"/>
    <w:rsid w:val="00C72124"/>
    <w:rsid w:val="00C741B1"/>
    <w:rsid w:val="00C8286A"/>
    <w:rsid w:val="00C8443B"/>
    <w:rsid w:val="00C87362"/>
    <w:rsid w:val="00C93673"/>
    <w:rsid w:val="00C9485A"/>
    <w:rsid w:val="00CB0938"/>
    <w:rsid w:val="00CB0AB0"/>
    <w:rsid w:val="00CB1CBB"/>
    <w:rsid w:val="00CB3623"/>
    <w:rsid w:val="00CC70FF"/>
    <w:rsid w:val="00CD13D3"/>
    <w:rsid w:val="00CD45CA"/>
    <w:rsid w:val="00CD5B16"/>
    <w:rsid w:val="00CE4897"/>
    <w:rsid w:val="00CF057F"/>
    <w:rsid w:val="00CF1EB0"/>
    <w:rsid w:val="00CF4449"/>
    <w:rsid w:val="00D01BB0"/>
    <w:rsid w:val="00D10942"/>
    <w:rsid w:val="00D11AAD"/>
    <w:rsid w:val="00D11E71"/>
    <w:rsid w:val="00D22906"/>
    <w:rsid w:val="00D25A70"/>
    <w:rsid w:val="00D27533"/>
    <w:rsid w:val="00D37640"/>
    <w:rsid w:val="00D3769E"/>
    <w:rsid w:val="00D37D37"/>
    <w:rsid w:val="00D44342"/>
    <w:rsid w:val="00D51666"/>
    <w:rsid w:val="00D52DA5"/>
    <w:rsid w:val="00D60318"/>
    <w:rsid w:val="00D60356"/>
    <w:rsid w:val="00D65027"/>
    <w:rsid w:val="00D71B03"/>
    <w:rsid w:val="00D75D01"/>
    <w:rsid w:val="00D76BC2"/>
    <w:rsid w:val="00D83756"/>
    <w:rsid w:val="00D87531"/>
    <w:rsid w:val="00D92EB2"/>
    <w:rsid w:val="00D933A7"/>
    <w:rsid w:val="00D9741C"/>
    <w:rsid w:val="00DA0C62"/>
    <w:rsid w:val="00DA322C"/>
    <w:rsid w:val="00DA6291"/>
    <w:rsid w:val="00DB20B6"/>
    <w:rsid w:val="00DB4C7B"/>
    <w:rsid w:val="00DB666F"/>
    <w:rsid w:val="00DC05A5"/>
    <w:rsid w:val="00DC4715"/>
    <w:rsid w:val="00DD2454"/>
    <w:rsid w:val="00DE702A"/>
    <w:rsid w:val="00E11615"/>
    <w:rsid w:val="00E1266D"/>
    <w:rsid w:val="00E1696C"/>
    <w:rsid w:val="00E20F6A"/>
    <w:rsid w:val="00E26542"/>
    <w:rsid w:val="00E65BFA"/>
    <w:rsid w:val="00E678CB"/>
    <w:rsid w:val="00E72CAB"/>
    <w:rsid w:val="00E74B56"/>
    <w:rsid w:val="00E85F2F"/>
    <w:rsid w:val="00E86AD1"/>
    <w:rsid w:val="00E969E2"/>
    <w:rsid w:val="00EA388D"/>
    <w:rsid w:val="00EA3FEB"/>
    <w:rsid w:val="00EA45B0"/>
    <w:rsid w:val="00EB29C7"/>
    <w:rsid w:val="00EC6BC4"/>
    <w:rsid w:val="00ED38A6"/>
    <w:rsid w:val="00ED4E83"/>
    <w:rsid w:val="00EE222C"/>
    <w:rsid w:val="00EE39AF"/>
    <w:rsid w:val="00EE3F2D"/>
    <w:rsid w:val="00EE50A2"/>
    <w:rsid w:val="00F04CCD"/>
    <w:rsid w:val="00F10268"/>
    <w:rsid w:val="00F35EC5"/>
    <w:rsid w:val="00F37E0C"/>
    <w:rsid w:val="00F41620"/>
    <w:rsid w:val="00F54126"/>
    <w:rsid w:val="00F70845"/>
    <w:rsid w:val="00F75442"/>
    <w:rsid w:val="00F763E5"/>
    <w:rsid w:val="00F77CC0"/>
    <w:rsid w:val="00F80680"/>
    <w:rsid w:val="00F81727"/>
    <w:rsid w:val="00F90E6E"/>
    <w:rsid w:val="00FA2133"/>
    <w:rsid w:val="00FA393E"/>
    <w:rsid w:val="00FA4FB8"/>
    <w:rsid w:val="00FA6872"/>
    <w:rsid w:val="00FA712A"/>
    <w:rsid w:val="00FA7DCD"/>
    <w:rsid w:val="00FB5BFD"/>
    <w:rsid w:val="00FB5C13"/>
    <w:rsid w:val="00FC184B"/>
    <w:rsid w:val="00FC75C8"/>
    <w:rsid w:val="00FD2D0C"/>
    <w:rsid w:val="00FD58A2"/>
    <w:rsid w:val="00FE44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hAnsiTheme="minorHAnsi"/>
      <w:sz w:val="22"/>
      <w:szCs w:val="22"/>
      <w:lang w:eastAsia="en-US"/>
    </w:rPr>
  </w:style>
  <w:style w:type="paragraph" w:customStyle="1" w:styleId="BodyText1">
    <w:name w:val="Body Text1"/>
    <w:qFormat/>
    <w:rsid w:val="009F2DFA"/>
    <w:pPr>
      <w:spacing w:after="120" w:line="240" w:lineRule="auto"/>
    </w:pPr>
    <w:rPr>
      <w:rFonts w:ascii="Arial"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hAnsi="Arial" w:cs="Times New Roman"/>
      <w:color w:val="000000"/>
      <w:szCs w:val="48"/>
    </w:rPr>
  </w:style>
  <w:style w:type="paragraph" w:customStyle="1" w:styleId="TableColumnheader">
    <w:name w:val="Table Column header"/>
    <w:basedOn w:val="Normlny"/>
    <w:rsid w:val="009F2DFA"/>
    <w:pPr>
      <w:spacing w:before="80" w:after="80"/>
    </w:pPr>
    <w:rPr>
      <w:rFonts w:ascii="Arial"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F2DFA"/>
    <w:rPr>
      <w:rFonts w:ascii="Tahoma" w:hAnsi="Tahoma" w:cs="Tahoma"/>
      <w:sz w:val="16"/>
      <w:szCs w:val="16"/>
      <w:lang w:val="x-none"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locked/>
    <w:rsid w:val="009F2DFA"/>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locked/>
    <w:rsid w:val="009F2DFA"/>
    <w:rPr>
      <w:rFonts w:ascii="Times New Roman" w:hAnsi="Times New Roman" w:cs="Times New Roman"/>
      <w:sz w:val="20"/>
      <w:szCs w:val="20"/>
      <w:lang w:val="x-none" w:eastAsia="sk-SK"/>
    </w:rPr>
  </w:style>
  <w:style w:type="character" w:styleId="Odkaznakomentr">
    <w:name w:val="annotation reference"/>
    <w:basedOn w:val="Predvolenpsmoodseku"/>
    <w:uiPriority w:val="99"/>
    <w:semiHidden/>
    <w:unhideWhenUsed/>
    <w:rsid w:val="00EA3FEB"/>
    <w:rPr>
      <w:rFonts w:cs="Times New Roman"/>
      <w:sz w:val="16"/>
      <w:szCs w:val="16"/>
    </w:rPr>
  </w:style>
  <w:style w:type="paragraph" w:styleId="Textkomentra">
    <w:name w:val="annotation text"/>
    <w:basedOn w:val="Normlny"/>
    <w:link w:val="TextkomentraChar"/>
    <w:uiPriority w:val="99"/>
    <w:unhideWhenUsed/>
    <w:rsid w:val="00EA3FEB"/>
  </w:style>
  <w:style w:type="character" w:customStyle="1" w:styleId="TextkomentraChar">
    <w:name w:val="Text komentára Char"/>
    <w:basedOn w:val="Predvolenpsmoodseku"/>
    <w:link w:val="Textkomentra"/>
    <w:uiPriority w:val="99"/>
    <w:locked/>
    <w:rsid w:val="00EA3FEB"/>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EA3FEB"/>
    <w:rPr>
      <w:b/>
      <w:bCs/>
    </w:rPr>
  </w:style>
  <w:style w:type="character" w:customStyle="1" w:styleId="PredmetkomentraChar">
    <w:name w:val="Predmet komentára Char"/>
    <w:basedOn w:val="TextkomentraChar"/>
    <w:link w:val="Predmetkomentra"/>
    <w:uiPriority w:val="99"/>
    <w:semiHidden/>
    <w:locked/>
    <w:rsid w:val="00EA3FEB"/>
    <w:rPr>
      <w:rFonts w:ascii="Times New Roman" w:hAnsi="Times New Roman" w:cs="Times New Roman"/>
      <w:b/>
      <w:bCs/>
      <w:sz w:val="2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hAnsiTheme="minorHAnsi"/>
      <w:sz w:val="22"/>
      <w:szCs w:val="22"/>
      <w:lang w:eastAsia="en-US"/>
    </w:rPr>
  </w:style>
  <w:style w:type="paragraph" w:customStyle="1" w:styleId="BodyText1">
    <w:name w:val="Body Text1"/>
    <w:qFormat/>
    <w:rsid w:val="009F2DFA"/>
    <w:pPr>
      <w:spacing w:after="120" w:line="240" w:lineRule="auto"/>
    </w:pPr>
    <w:rPr>
      <w:rFonts w:ascii="Arial"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hAnsi="Arial" w:cs="Times New Roman"/>
      <w:color w:val="000000"/>
      <w:szCs w:val="48"/>
    </w:rPr>
  </w:style>
  <w:style w:type="paragraph" w:customStyle="1" w:styleId="TableColumnheader">
    <w:name w:val="Table Column header"/>
    <w:basedOn w:val="Normlny"/>
    <w:rsid w:val="009F2DFA"/>
    <w:pPr>
      <w:spacing w:before="80" w:after="80"/>
    </w:pPr>
    <w:rPr>
      <w:rFonts w:ascii="Arial"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F2DFA"/>
    <w:rPr>
      <w:rFonts w:ascii="Tahoma" w:hAnsi="Tahoma" w:cs="Tahoma"/>
      <w:sz w:val="16"/>
      <w:szCs w:val="16"/>
      <w:lang w:val="x-none"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locked/>
    <w:rsid w:val="009F2DFA"/>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locked/>
    <w:rsid w:val="009F2DFA"/>
    <w:rPr>
      <w:rFonts w:ascii="Times New Roman" w:hAnsi="Times New Roman" w:cs="Times New Roman"/>
      <w:sz w:val="20"/>
      <w:szCs w:val="20"/>
      <w:lang w:val="x-none" w:eastAsia="sk-SK"/>
    </w:rPr>
  </w:style>
  <w:style w:type="character" w:styleId="Odkaznakomentr">
    <w:name w:val="annotation reference"/>
    <w:basedOn w:val="Predvolenpsmoodseku"/>
    <w:uiPriority w:val="99"/>
    <w:semiHidden/>
    <w:unhideWhenUsed/>
    <w:rsid w:val="00EA3FEB"/>
    <w:rPr>
      <w:rFonts w:cs="Times New Roman"/>
      <w:sz w:val="16"/>
      <w:szCs w:val="16"/>
    </w:rPr>
  </w:style>
  <w:style w:type="paragraph" w:styleId="Textkomentra">
    <w:name w:val="annotation text"/>
    <w:basedOn w:val="Normlny"/>
    <w:link w:val="TextkomentraChar"/>
    <w:uiPriority w:val="99"/>
    <w:unhideWhenUsed/>
    <w:rsid w:val="00EA3FEB"/>
  </w:style>
  <w:style w:type="character" w:customStyle="1" w:styleId="TextkomentraChar">
    <w:name w:val="Text komentára Char"/>
    <w:basedOn w:val="Predvolenpsmoodseku"/>
    <w:link w:val="Textkomentra"/>
    <w:uiPriority w:val="99"/>
    <w:locked/>
    <w:rsid w:val="00EA3FEB"/>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EA3FEB"/>
    <w:rPr>
      <w:b/>
      <w:bCs/>
    </w:rPr>
  </w:style>
  <w:style w:type="character" w:customStyle="1" w:styleId="PredmetkomentraChar">
    <w:name w:val="Predmet komentára Char"/>
    <w:basedOn w:val="TextkomentraChar"/>
    <w:link w:val="Predmetkomentra"/>
    <w:uiPriority w:val="99"/>
    <w:semiHidden/>
    <w:locked/>
    <w:rsid w:val="00EA3FEB"/>
    <w:rPr>
      <w:rFonts w:ascii="Times New Roman" w:hAnsi="Times New Roman" w:cs="Times New Roman"/>
      <w:b/>
      <w:bCs/>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9854">
      <w:bodyDiv w:val="1"/>
      <w:marLeft w:val="0"/>
      <w:marRight w:val="0"/>
      <w:marTop w:val="0"/>
      <w:marBottom w:val="0"/>
      <w:divBdr>
        <w:top w:val="none" w:sz="0" w:space="0" w:color="auto"/>
        <w:left w:val="none" w:sz="0" w:space="0" w:color="auto"/>
        <w:bottom w:val="none" w:sz="0" w:space="0" w:color="auto"/>
        <w:right w:val="none" w:sz="0" w:space="0" w:color="auto"/>
      </w:divBdr>
    </w:div>
    <w:div w:id="306129324">
      <w:bodyDiv w:val="1"/>
      <w:marLeft w:val="0"/>
      <w:marRight w:val="0"/>
      <w:marTop w:val="0"/>
      <w:marBottom w:val="0"/>
      <w:divBdr>
        <w:top w:val="none" w:sz="0" w:space="0" w:color="auto"/>
        <w:left w:val="none" w:sz="0" w:space="0" w:color="auto"/>
        <w:bottom w:val="none" w:sz="0" w:space="0" w:color="auto"/>
        <w:right w:val="none" w:sz="0" w:space="0" w:color="auto"/>
      </w:divBdr>
    </w:div>
    <w:div w:id="472602276">
      <w:bodyDiv w:val="1"/>
      <w:marLeft w:val="0"/>
      <w:marRight w:val="0"/>
      <w:marTop w:val="0"/>
      <w:marBottom w:val="0"/>
      <w:divBdr>
        <w:top w:val="none" w:sz="0" w:space="0" w:color="auto"/>
        <w:left w:val="none" w:sz="0" w:space="0" w:color="auto"/>
        <w:bottom w:val="none" w:sz="0" w:space="0" w:color="auto"/>
        <w:right w:val="none" w:sz="0" w:space="0" w:color="auto"/>
      </w:divBdr>
    </w:div>
    <w:div w:id="804198234">
      <w:bodyDiv w:val="1"/>
      <w:marLeft w:val="0"/>
      <w:marRight w:val="0"/>
      <w:marTop w:val="0"/>
      <w:marBottom w:val="0"/>
      <w:divBdr>
        <w:top w:val="none" w:sz="0" w:space="0" w:color="auto"/>
        <w:left w:val="none" w:sz="0" w:space="0" w:color="auto"/>
        <w:bottom w:val="none" w:sz="0" w:space="0" w:color="auto"/>
        <w:right w:val="none" w:sz="0" w:space="0" w:color="auto"/>
      </w:divBdr>
    </w:div>
    <w:div w:id="1026176490">
      <w:bodyDiv w:val="1"/>
      <w:marLeft w:val="0"/>
      <w:marRight w:val="0"/>
      <w:marTop w:val="0"/>
      <w:marBottom w:val="0"/>
      <w:divBdr>
        <w:top w:val="none" w:sz="0" w:space="0" w:color="auto"/>
        <w:left w:val="none" w:sz="0" w:space="0" w:color="auto"/>
        <w:bottom w:val="none" w:sz="0" w:space="0" w:color="auto"/>
        <w:right w:val="none" w:sz="0" w:space="0" w:color="auto"/>
      </w:divBdr>
    </w:div>
    <w:div w:id="1154302056">
      <w:bodyDiv w:val="1"/>
      <w:marLeft w:val="0"/>
      <w:marRight w:val="0"/>
      <w:marTop w:val="0"/>
      <w:marBottom w:val="0"/>
      <w:divBdr>
        <w:top w:val="none" w:sz="0" w:space="0" w:color="auto"/>
        <w:left w:val="none" w:sz="0" w:space="0" w:color="auto"/>
        <w:bottom w:val="none" w:sz="0" w:space="0" w:color="auto"/>
        <w:right w:val="none" w:sz="0" w:space="0" w:color="auto"/>
      </w:divBdr>
    </w:div>
    <w:div w:id="1526140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89406-8716-4C15-925F-E0E318AE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10961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2</cp:revision>
  <cp:lastPrinted>2020-10-21T12:31:00Z</cp:lastPrinted>
  <dcterms:created xsi:type="dcterms:W3CDTF">2020-11-04T09:54:00Z</dcterms:created>
  <dcterms:modified xsi:type="dcterms:W3CDTF">2020-11-04T09:54:00Z</dcterms:modified>
</cp:coreProperties>
</file>