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815104" w:rsidRDefault="00815104">
      <w:pPr>
        <w:pStyle w:val="Zkladntext"/>
        <w:jc w:val="center"/>
        <w:rPr>
          <w:rFonts w:ascii="Times New Roman" w:hAnsi="Times New Roman"/>
          <w:b/>
          <w:bCs/>
        </w:rPr>
      </w:pPr>
    </w:p>
    <w:p w:rsidR="00111F75" w:rsidRDefault="007B1873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z 3. novem</w:t>
      </w:r>
      <w:r w:rsidR="00406AC7">
        <w:rPr>
          <w:rFonts w:ascii="Times New Roman" w:hAnsi="Times New Roman"/>
          <w:bCs/>
          <w:iCs/>
        </w:rPr>
        <w:t>bra</w:t>
      </w:r>
      <w:r w:rsidR="00DE1ECB">
        <w:rPr>
          <w:rFonts w:ascii="Times New Roman" w:hAnsi="Times New Roman"/>
          <w:bCs/>
          <w:iCs/>
        </w:rPr>
        <w:t xml:space="preserve"> 2020,</w:t>
      </w:r>
    </w:p>
    <w:p w:rsidR="00111F75" w:rsidRDefault="00111F75">
      <w:pPr>
        <w:pStyle w:val="Zkladntext"/>
        <w:jc w:val="center"/>
        <w:rPr>
          <w:rFonts w:ascii="Times New Roman" w:hAnsi="Times New Roman"/>
          <w:b/>
          <w:bCs/>
          <w:iCs/>
        </w:rPr>
      </w:pPr>
    </w:p>
    <w:p w:rsidR="00111F75" w:rsidRDefault="00DE1ECB">
      <w:pPr>
        <w:pStyle w:val="Zkladntext"/>
        <w:jc w:val="center"/>
      </w:pPr>
      <w:r>
        <w:rPr>
          <w:rStyle w:val="awspan"/>
          <w:rFonts w:ascii="Times New Roman" w:hAnsi="Times New Roman"/>
          <w:b/>
          <w:bCs/>
          <w:color w:val="000000"/>
        </w:rPr>
        <w:t xml:space="preserve">ktorým sa mení a dopĺňa zákon č. 308/2000 Z. z. o vysielaní a retransmisii a o zmene zákona  č. 195/2000 Z. z. o telekomunikáciách v znení neskorších predpisov </w:t>
      </w:r>
    </w:p>
    <w:p w:rsidR="00111F75" w:rsidRDefault="00111F75">
      <w:pPr>
        <w:pStyle w:val="Zkladntext"/>
        <w:ind w:left="374" w:hanging="374"/>
        <w:jc w:val="center"/>
        <w:rPr>
          <w:rFonts w:ascii="Times New Roman" w:hAnsi="Times New Roman"/>
        </w:rPr>
      </w:pPr>
    </w:p>
    <w:p w:rsidR="00111F75" w:rsidRDefault="00DE1ECB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111F75" w:rsidRDefault="00111F7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111F75" w:rsidRDefault="00DE1ECB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Čl. I</w:t>
      </w:r>
    </w:p>
    <w:p w:rsidR="00111F75" w:rsidRDefault="00111F7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111F75" w:rsidRDefault="00DE1EC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</w:t>
      </w:r>
      <w:r>
        <w:rPr>
          <w:rFonts w:ascii="Times New Roman" w:hAnsi="Times New Roman"/>
          <w:color w:val="000000"/>
        </w:rPr>
        <w:t>č. 308/2000 Z. z. o vysielaní a retransmisii a o zmene zákona č. 195/2000 Z. z. o telekomunikáciách v znení zákona č. 147/2001 Z. z., zákona č. 206/2002 Z. z., zákona č. 289/2005 Z. z., zákona č. 95/2006 Z. z., zákona č. 121/2006 Z. z., zákona č. 13/2007 Z. z., zákona č. 220/2007 Z. z., zákona č. 343/2007 Z. z., zákona č. 654/2007 Z. z., zákona č. 167/2008 Z. z., zákona č. 287/2008 Z. z., zákona č. 516/2008 Z. z., zákona č. 77/2009 Z. z., zákona č. 318/2009 Z. z., zákona č. 498/2009 Z. z., zákona č. 532/2010 Z. z., zákona č. 221/2011 Z. z., zákona č. 397/2011 Z. z., zákona č. 547/2011 Z. z., zákona č. 342/2012 Z. z., zákona č. 352/2013 Z. z., zákona č. 373/2013 Z. z., zákona č. 40/2015 Z. z., zákona č. 278/2015 Z. z., zákona č. 91/2016 Z. z., zákona č. 125/2016 Z. z., zákona č. 177/2018 Z. z., zákona č. 221/2019 Z. z., zákona č. 314/2019 Z. z. a zákona č. 129/2020 Z. z. sa mení a dopĺňa takto</w:t>
      </w:r>
      <w:r>
        <w:rPr>
          <w:rFonts w:ascii="Times New Roman" w:hAnsi="Times New Roman"/>
        </w:rPr>
        <w:t>:</w:t>
      </w:r>
    </w:p>
    <w:p w:rsidR="00111F75" w:rsidRDefault="00111F75">
      <w:pPr>
        <w:spacing w:line="276" w:lineRule="auto"/>
        <w:jc w:val="both"/>
        <w:rPr>
          <w:rFonts w:ascii="Times New Roman" w:hAnsi="Times New Roman"/>
        </w:rPr>
      </w:pPr>
    </w:p>
    <w:p w:rsidR="00111F75" w:rsidRDefault="00DE1EC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6 sa za odsek 1 vkladá nový odsek 2, ktorý znie:</w:t>
      </w:r>
    </w:p>
    <w:p w:rsidR="00111F75" w:rsidRDefault="00DE1ECB" w:rsidP="006A15BB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„(2) Národná rada volí členov rady po verejnom vypočutí </w:t>
      </w:r>
      <w:r w:rsidR="00B66D11" w:rsidRPr="00B66D11">
        <w:rPr>
          <w:rFonts w:ascii="Times New Roman" w:hAnsi="Times New Roman" w:cs="Times New Roman"/>
          <w:bCs/>
          <w:sz w:val="24"/>
          <w:szCs w:val="24"/>
        </w:rPr>
        <w:t>kandidátov navrhnutých podľa odseku 3</w:t>
      </w:r>
      <w:r>
        <w:rPr>
          <w:rFonts w:ascii="Times New Roman" w:hAnsi="Times New Roman" w:cs="Times New Roman"/>
          <w:bCs/>
          <w:sz w:val="24"/>
          <w:szCs w:val="24"/>
        </w:rPr>
        <w:t xml:space="preserve">. Verejné vypočutie kandidáta zabezpečuje príslušný výbor národnej rady. Verejné vypočutie je vysielané naživo na webovom sídle národnej rady.“. </w:t>
      </w:r>
    </w:p>
    <w:p w:rsidR="00111F75" w:rsidRDefault="00DE1ECB" w:rsidP="006A15BB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Doterajšie odseky 2 až 4 sa označujú ako odseky 3 </w:t>
      </w:r>
      <w:r w:rsidRPr="00DE1ECB">
        <w:rPr>
          <w:rFonts w:ascii="Times New Roman" w:hAnsi="Times New Roman" w:cs="Times New Roman"/>
          <w:bCs/>
          <w:color w:val="000000"/>
          <w:sz w:val="24"/>
          <w:szCs w:val="24"/>
        </w:rPr>
        <w:t>až 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11F75" w:rsidRDefault="00111F75">
      <w:pPr>
        <w:pStyle w:val="Odsekzoznamu"/>
        <w:ind w:left="1440"/>
        <w:jc w:val="both"/>
        <w:rPr>
          <w:color w:val="000000"/>
        </w:rPr>
      </w:pPr>
    </w:p>
    <w:p w:rsidR="00111F75" w:rsidRPr="00AA5085" w:rsidRDefault="00DE1EC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3 sa za slovo „môžu“ vkladá slovo „príslušnému“.</w:t>
      </w:r>
    </w:p>
    <w:p w:rsidR="00AA5085" w:rsidRPr="00A96513" w:rsidRDefault="00AA5085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AA5085" w:rsidRDefault="00A96513" w:rsidP="00AA508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lastRenderedPageBreak/>
        <w:t>V § 11 ods. 4 prvá veta znie: „Rokovania rady sú verejné.“.</w:t>
      </w:r>
    </w:p>
    <w:p w:rsidR="00815104" w:rsidRPr="00815104" w:rsidRDefault="00815104" w:rsidP="00815104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A96513" w:rsidRPr="00A96513" w:rsidRDefault="00A96513" w:rsidP="00A96513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 xml:space="preserve">V § 47 sa odsek 1 dopĺňa písmenom h), ktoré znie: </w:t>
      </w:r>
    </w:p>
    <w:p w:rsidR="00A96513" w:rsidRDefault="00A96513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>„h) riziko, že by priamo alebo v spojení s cudzou mocou mohlo dôjsť k zneužitiu licencie na diskrimináciu, podnecovanie neznášanlivosti alebo ohrozenie ústavného zriadenia a demokratického systému základných práv a slobôd garantovaného Ústavou Slovenskej republiky.“.</w:t>
      </w:r>
    </w:p>
    <w:p w:rsidR="00AA5085" w:rsidRDefault="00AA5085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A96513" w:rsidRDefault="00A96513" w:rsidP="009241F3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>V § 48 ods. 4 sa na konci pripája táto veta: „Rada môže zmeniť základné podmienky konania, a to najneskôr do dátumu verejného vypočutia žiadateľov o licenciu.“.</w:t>
      </w:r>
    </w:p>
    <w:p w:rsidR="00AA5085" w:rsidRPr="00A96513" w:rsidRDefault="00AA5085" w:rsidP="00AA5085">
      <w:pPr>
        <w:pStyle w:val="Odsekzoznamu"/>
        <w:rPr>
          <w:rFonts w:ascii="Times New Roman" w:hAnsi="Times New Roman"/>
          <w:sz w:val="24"/>
          <w:szCs w:val="24"/>
        </w:rPr>
      </w:pPr>
    </w:p>
    <w:p w:rsidR="00A96513" w:rsidRDefault="00A96513" w:rsidP="009241F3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 xml:space="preserve">V § 48 ods. 8 sa na konci pripája táto veta: „Licenciu na </w:t>
      </w:r>
      <w:proofErr w:type="spellStart"/>
      <w:r w:rsidRPr="00A96513">
        <w:rPr>
          <w:rFonts w:ascii="Times New Roman" w:hAnsi="Times New Roman"/>
          <w:sz w:val="24"/>
          <w:szCs w:val="24"/>
        </w:rPr>
        <w:t>terestriálne</w:t>
      </w:r>
      <w:proofErr w:type="spellEnd"/>
      <w:r w:rsidRPr="00A96513">
        <w:rPr>
          <w:rFonts w:ascii="Times New Roman" w:hAnsi="Times New Roman"/>
          <w:sz w:val="24"/>
          <w:szCs w:val="24"/>
        </w:rPr>
        <w:t xml:space="preserve"> vysielanie rada neudelí žiadnemu z účastníkov konania o udelenie licencie na </w:t>
      </w:r>
      <w:proofErr w:type="spellStart"/>
      <w:r w:rsidRPr="00A96513">
        <w:rPr>
          <w:rFonts w:ascii="Times New Roman" w:hAnsi="Times New Roman"/>
          <w:sz w:val="24"/>
          <w:szCs w:val="24"/>
        </w:rPr>
        <w:t>terestriálne</w:t>
      </w:r>
      <w:proofErr w:type="spellEnd"/>
      <w:r w:rsidRPr="00A96513">
        <w:rPr>
          <w:rFonts w:ascii="Times New Roman" w:hAnsi="Times New Roman"/>
          <w:sz w:val="24"/>
          <w:szCs w:val="24"/>
        </w:rPr>
        <w:t xml:space="preserve"> vysielanie, ak nie sú splnené kritériá a podmienky podľa § 47 ods. 1, ktoré rada posudzuje a je povinná na </w:t>
      </w:r>
      <w:proofErr w:type="spellStart"/>
      <w:r w:rsidRPr="00A96513">
        <w:rPr>
          <w:rFonts w:ascii="Times New Roman" w:hAnsi="Times New Roman"/>
          <w:sz w:val="24"/>
          <w:szCs w:val="24"/>
        </w:rPr>
        <w:t>ne</w:t>
      </w:r>
      <w:proofErr w:type="spellEnd"/>
      <w:r w:rsidRPr="00A96513">
        <w:rPr>
          <w:rFonts w:ascii="Times New Roman" w:hAnsi="Times New Roman"/>
          <w:sz w:val="24"/>
          <w:szCs w:val="24"/>
        </w:rPr>
        <w:t xml:space="preserve"> prihliadať, alebo existujú u žiadateľov iné dôvody pre zamietnutie žiadostí podľa tohto zákona; konanie o udelenie licencie na </w:t>
      </w:r>
      <w:proofErr w:type="spellStart"/>
      <w:r w:rsidRPr="00A96513">
        <w:rPr>
          <w:rFonts w:ascii="Times New Roman" w:hAnsi="Times New Roman"/>
          <w:sz w:val="24"/>
          <w:szCs w:val="24"/>
        </w:rPr>
        <w:t>terestriálne</w:t>
      </w:r>
      <w:proofErr w:type="spellEnd"/>
      <w:r w:rsidRPr="00A96513">
        <w:rPr>
          <w:rFonts w:ascii="Times New Roman" w:hAnsi="Times New Roman"/>
          <w:sz w:val="24"/>
          <w:szCs w:val="24"/>
        </w:rPr>
        <w:t xml:space="preserve"> vysielanie sa v takom prípade končí vydaním rozhodnutí o zamietnutí žiadostí.“. </w:t>
      </w:r>
    </w:p>
    <w:p w:rsidR="00AA5085" w:rsidRPr="00A96513" w:rsidRDefault="00AA5085" w:rsidP="00AA5085">
      <w:pPr>
        <w:pStyle w:val="Odsekzoznamu"/>
        <w:rPr>
          <w:rFonts w:ascii="Times New Roman" w:hAnsi="Times New Roman"/>
          <w:sz w:val="24"/>
          <w:szCs w:val="24"/>
        </w:rPr>
      </w:pPr>
    </w:p>
    <w:p w:rsidR="00A96513" w:rsidRDefault="00A96513" w:rsidP="00A96513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>Za § 76dm sa vkladá § 76dn, ktorý vrátane nadpisu znie:</w:t>
      </w:r>
    </w:p>
    <w:p w:rsidR="006A15BB" w:rsidRPr="00A96513" w:rsidRDefault="006A15BB" w:rsidP="006A15BB">
      <w:pPr>
        <w:pStyle w:val="Odsekzoznamu"/>
        <w:rPr>
          <w:rFonts w:ascii="Times New Roman" w:hAnsi="Times New Roman"/>
          <w:sz w:val="24"/>
          <w:szCs w:val="24"/>
        </w:rPr>
      </w:pPr>
    </w:p>
    <w:p w:rsidR="00A96513" w:rsidRPr="00A96513" w:rsidRDefault="00A96513" w:rsidP="00AA5085">
      <w:pPr>
        <w:pStyle w:val="Odsekzoznamu"/>
        <w:jc w:val="center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>„§ 76dn</w:t>
      </w:r>
    </w:p>
    <w:p w:rsidR="00A96513" w:rsidRPr="00A96513" w:rsidRDefault="00A96513" w:rsidP="00AA5085">
      <w:pPr>
        <w:pStyle w:val="Odsekzoznamu"/>
        <w:jc w:val="center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>Prechodné ustanovenie účinné dňom vyhlásenia</w:t>
      </w:r>
    </w:p>
    <w:p w:rsidR="00A96513" w:rsidRPr="00A96513" w:rsidRDefault="00A96513" w:rsidP="00A9651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A96513" w:rsidRDefault="00A96513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A96513">
        <w:rPr>
          <w:rFonts w:ascii="Times New Roman" w:hAnsi="Times New Roman"/>
          <w:sz w:val="24"/>
          <w:szCs w:val="24"/>
        </w:rPr>
        <w:t xml:space="preserve">Konania o udelenie alebo zmenu licencie na rozhlasové </w:t>
      </w:r>
      <w:proofErr w:type="spellStart"/>
      <w:r w:rsidRPr="00A96513">
        <w:rPr>
          <w:rFonts w:ascii="Times New Roman" w:hAnsi="Times New Roman"/>
          <w:sz w:val="24"/>
          <w:szCs w:val="24"/>
        </w:rPr>
        <w:t>terestriálne</w:t>
      </w:r>
      <w:proofErr w:type="spellEnd"/>
      <w:r w:rsidRPr="00A96513">
        <w:rPr>
          <w:rFonts w:ascii="Times New Roman" w:hAnsi="Times New Roman"/>
          <w:sz w:val="24"/>
          <w:szCs w:val="24"/>
        </w:rPr>
        <w:t xml:space="preserve"> vysielanie podľa ustanovenia § 48, ktoré sa začali podľa doterajších právnych predpisov a ktoré sa ku dňu nadobudnutia účinnosti tohto zákona neskončili, sa týmto dňom prerušujú do ukončenia núdzového stavu vyhláseného v súvislosti s ochorením COVID-19 (ďalej len „núdzový stav“). Lehoty podľa tohto zákona v čase prerušenia konania neplynú; lehoty určené radou podľa § 48 sa predlžujú o čas trvania núdzového stavu, lehota na predkladanie žiadostí však neuplynie skôr než na 45. deň odo dňa skončenia núdzového stavu.“.</w:t>
      </w: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815104" w:rsidRDefault="00815104" w:rsidP="00AA508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111F75" w:rsidRDefault="00DE1ECB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Čl. II</w:t>
      </w:r>
    </w:p>
    <w:p w:rsidR="00111F75" w:rsidRDefault="00111F75">
      <w:pPr>
        <w:spacing w:line="276" w:lineRule="auto"/>
        <w:jc w:val="center"/>
        <w:rPr>
          <w:rFonts w:ascii="Times New Roman" w:hAnsi="Times New Roman"/>
        </w:rPr>
      </w:pPr>
    </w:p>
    <w:p w:rsidR="00111F75" w:rsidRDefault="00DE1ECB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A96513" w:rsidRPr="00A96513">
        <w:rPr>
          <w:rFonts w:ascii="Times New Roman" w:hAnsi="Times New Roman"/>
        </w:rPr>
        <w:t>dňom vyhlásenia</w:t>
      </w:r>
      <w:r>
        <w:rPr>
          <w:rFonts w:ascii="Times New Roman" w:hAnsi="Times New Roman"/>
        </w:rPr>
        <w:t>.</w:t>
      </w: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prezident</w:t>
      </w:r>
      <w:r>
        <w:rPr>
          <w:rFonts w:ascii="Times New Roman" w:eastAsia="Times New Roman" w:hAnsi="Times New Roman" w:cs="Times New Roman"/>
        </w:rPr>
        <w:t>ka</w:t>
      </w:r>
      <w:r w:rsidRPr="00E106F1">
        <w:rPr>
          <w:rFonts w:ascii="Times New Roman" w:eastAsia="Times New Roman" w:hAnsi="Times New Roman" w:cs="Times New Roman"/>
        </w:rPr>
        <w:t xml:space="preserve">  Slovenskej republiky</w:t>
      </w: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Národnej rady Slovenskej republiky</w:t>
      </w: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815104" w:rsidRPr="00E106F1" w:rsidRDefault="00815104" w:rsidP="00815104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vlády Slovenskej republiky</w:t>
      </w:r>
    </w:p>
    <w:p w:rsidR="00815104" w:rsidRDefault="00815104">
      <w:pPr>
        <w:spacing w:line="276" w:lineRule="auto"/>
        <w:ind w:firstLine="708"/>
        <w:jc w:val="both"/>
        <w:rPr>
          <w:rFonts w:ascii="Times New Roman" w:hAnsi="Times New Roman"/>
        </w:rPr>
      </w:pPr>
    </w:p>
    <w:sectPr w:rsidR="00815104">
      <w:foot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04" w:rsidRDefault="00815104" w:rsidP="00815104">
      <w:r>
        <w:separator/>
      </w:r>
    </w:p>
  </w:endnote>
  <w:endnote w:type="continuationSeparator" w:id="0">
    <w:p w:rsidR="00815104" w:rsidRDefault="00815104" w:rsidP="0081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649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104" w:rsidRPr="00815104" w:rsidRDefault="00815104">
        <w:pPr>
          <w:pStyle w:val="Pta"/>
          <w:jc w:val="center"/>
          <w:rPr>
            <w:rFonts w:ascii="Times New Roman" w:hAnsi="Times New Roman" w:cs="Times New Roman"/>
          </w:rPr>
        </w:pPr>
        <w:r w:rsidRPr="00815104">
          <w:rPr>
            <w:rFonts w:ascii="Times New Roman" w:hAnsi="Times New Roman" w:cs="Times New Roman"/>
          </w:rPr>
          <w:fldChar w:fldCharType="begin"/>
        </w:r>
        <w:r w:rsidRPr="00815104">
          <w:rPr>
            <w:rFonts w:ascii="Times New Roman" w:hAnsi="Times New Roman" w:cs="Times New Roman"/>
          </w:rPr>
          <w:instrText>PAGE   \* MERGEFORMAT</w:instrText>
        </w:r>
        <w:r w:rsidRPr="00815104">
          <w:rPr>
            <w:rFonts w:ascii="Times New Roman" w:hAnsi="Times New Roman" w:cs="Times New Roman"/>
          </w:rPr>
          <w:fldChar w:fldCharType="separate"/>
        </w:r>
        <w:r w:rsidR="007B1873">
          <w:rPr>
            <w:rFonts w:ascii="Times New Roman" w:hAnsi="Times New Roman" w:cs="Times New Roman"/>
            <w:noProof/>
          </w:rPr>
          <w:t>3</w:t>
        </w:r>
        <w:r w:rsidRPr="00815104">
          <w:rPr>
            <w:rFonts w:ascii="Times New Roman" w:hAnsi="Times New Roman" w:cs="Times New Roman"/>
          </w:rPr>
          <w:fldChar w:fldCharType="end"/>
        </w:r>
      </w:p>
    </w:sdtContent>
  </w:sdt>
  <w:p w:rsidR="00815104" w:rsidRDefault="008151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04" w:rsidRDefault="00815104" w:rsidP="00815104">
      <w:r>
        <w:separator/>
      </w:r>
    </w:p>
  </w:footnote>
  <w:footnote w:type="continuationSeparator" w:id="0">
    <w:p w:rsidR="00815104" w:rsidRDefault="00815104" w:rsidP="0081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80F"/>
    <w:multiLevelType w:val="multilevel"/>
    <w:tmpl w:val="BC5C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806AF7"/>
    <w:multiLevelType w:val="multilevel"/>
    <w:tmpl w:val="B7EC47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94949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75"/>
    <w:rsid w:val="00111F75"/>
    <w:rsid w:val="002E139C"/>
    <w:rsid w:val="003711CA"/>
    <w:rsid w:val="00406AC7"/>
    <w:rsid w:val="00581846"/>
    <w:rsid w:val="00625809"/>
    <w:rsid w:val="006A15BB"/>
    <w:rsid w:val="007B1873"/>
    <w:rsid w:val="00815104"/>
    <w:rsid w:val="009241F3"/>
    <w:rsid w:val="00A96513"/>
    <w:rsid w:val="00AA5085"/>
    <w:rsid w:val="00B66D11"/>
    <w:rsid w:val="00C60486"/>
    <w:rsid w:val="00D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623A"/>
  <w15:docId w15:val="{B2681CD7-CAB8-488D-A013-6454F7F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qFormat/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1EC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ECB"/>
    <w:rPr>
      <w:rFonts w:ascii="Segoe UI" w:hAnsi="Segoe UI"/>
      <w:sz w:val="18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15104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815104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815104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81510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Dušenka</dc:creator>
  <dc:description/>
  <cp:lastModifiedBy>Forišová, Lívia, Mgr.</cp:lastModifiedBy>
  <cp:revision>3</cp:revision>
  <dcterms:created xsi:type="dcterms:W3CDTF">2020-10-26T13:31:00Z</dcterms:created>
  <dcterms:modified xsi:type="dcterms:W3CDTF">2020-11-03T08:27:00Z</dcterms:modified>
  <dc:language>sk-SK</dc:language>
</cp:coreProperties>
</file>