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F6322" w14:textId="77777777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75F81A0D" w14:textId="77777777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599F7D39" w14:textId="77777777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0285BFE7" w14:textId="77777777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39C8CA58" w14:textId="77777777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1FFC95B0" w14:textId="77777777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09D3FCC4" w14:textId="77777777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75D47CA7" w14:textId="3B4F6BA9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70E1F6CD" w14:textId="27C61075" w:rsidR="00753B1F" w:rsidRDefault="00753B1F">
      <w:pPr>
        <w:pStyle w:val="Zkladntext"/>
        <w:spacing w:line="276" w:lineRule="auto"/>
        <w:jc w:val="center"/>
        <w:rPr>
          <w:b/>
          <w:bCs/>
          <w:iCs/>
        </w:rPr>
      </w:pPr>
    </w:p>
    <w:p w14:paraId="74722740" w14:textId="77777777" w:rsidR="00753B1F" w:rsidRDefault="00753B1F">
      <w:pPr>
        <w:pStyle w:val="Zkladntext"/>
        <w:spacing w:line="276" w:lineRule="auto"/>
        <w:jc w:val="center"/>
        <w:rPr>
          <w:b/>
          <w:bCs/>
          <w:iCs/>
        </w:rPr>
      </w:pPr>
    </w:p>
    <w:p w14:paraId="0540BB62" w14:textId="77777777" w:rsidR="00A830D5" w:rsidRDefault="00A830D5">
      <w:pPr>
        <w:pStyle w:val="Zkladntext"/>
        <w:spacing w:line="276" w:lineRule="auto"/>
        <w:jc w:val="center"/>
        <w:rPr>
          <w:b/>
          <w:bCs/>
          <w:iCs/>
        </w:rPr>
      </w:pPr>
    </w:p>
    <w:p w14:paraId="5034BC83" w14:textId="151E3361" w:rsidR="004C7749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42A5D519" w14:textId="77777777" w:rsidR="00490C6A" w:rsidRDefault="00490C6A">
      <w:pPr>
        <w:pStyle w:val="Zkladntext"/>
        <w:spacing w:line="276" w:lineRule="auto"/>
        <w:jc w:val="center"/>
        <w:rPr>
          <w:b/>
          <w:bCs/>
          <w:iCs/>
        </w:rPr>
      </w:pPr>
    </w:p>
    <w:p w14:paraId="1230D7FE" w14:textId="3900FD32" w:rsidR="004C7749" w:rsidRDefault="0045501F">
      <w:pPr>
        <w:pStyle w:val="Zkladntext"/>
        <w:spacing w:line="276" w:lineRule="auto"/>
        <w:jc w:val="center"/>
      </w:pPr>
      <w:r>
        <w:rPr>
          <w:bCs/>
          <w:iCs/>
        </w:rPr>
        <w:t>z</w:t>
      </w:r>
      <w:r w:rsidR="00753B1F">
        <w:rPr>
          <w:bCs/>
          <w:iCs/>
        </w:rPr>
        <w:t xml:space="preserve"> 3</w:t>
      </w:r>
      <w:r w:rsidR="00490C6A">
        <w:rPr>
          <w:bCs/>
          <w:iCs/>
        </w:rPr>
        <w:t xml:space="preserve">. </w:t>
      </w:r>
      <w:r w:rsidR="00464D83">
        <w:rPr>
          <w:bCs/>
          <w:iCs/>
        </w:rPr>
        <w:t>novembra</w:t>
      </w:r>
      <w:r>
        <w:rPr>
          <w:bCs/>
          <w:iCs/>
        </w:rPr>
        <w:t xml:space="preserve"> 2020,</w:t>
      </w:r>
    </w:p>
    <w:p w14:paraId="76DADC0C" w14:textId="77777777" w:rsidR="004C7749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4538C214" w14:textId="77777777" w:rsidR="004C7749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2D7A4DB6" w14:textId="77777777" w:rsidR="004C7749" w:rsidRDefault="0045501F">
      <w:pPr>
        <w:pStyle w:val="Zkladntext"/>
        <w:spacing w:line="276" w:lineRule="auto"/>
        <w:jc w:val="center"/>
      </w:pPr>
      <w:r>
        <w:rPr>
          <w:rStyle w:val="awspan"/>
          <w:b/>
          <w:bCs/>
          <w:color w:val="000000"/>
        </w:rPr>
        <w:t xml:space="preserve">ktorým sa mení a dopĺňa zákon č. 305/2005 Z. z. </w:t>
      </w:r>
      <w:r>
        <w:rPr>
          <w:b/>
        </w:rPr>
        <w:t>o sociálnoprávnej ochrane detí a o sociálnej kuratele a o zmene a doplnení niektorých zákonov</w:t>
      </w:r>
      <w:r>
        <w:t xml:space="preserve"> </w:t>
      </w:r>
      <w:r>
        <w:rPr>
          <w:rStyle w:val="awspan"/>
          <w:b/>
          <w:bCs/>
          <w:color w:val="000000"/>
        </w:rPr>
        <w:t xml:space="preserve">v znení neskorších predpisov </w:t>
      </w:r>
    </w:p>
    <w:p w14:paraId="48040DCB" w14:textId="77777777" w:rsidR="004C7749" w:rsidRDefault="004C7749">
      <w:pPr>
        <w:pStyle w:val="Zkladntext"/>
        <w:spacing w:line="276" w:lineRule="auto"/>
        <w:ind w:left="374" w:hanging="374"/>
        <w:jc w:val="center"/>
      </w:pPr>
    </w:p>
    <w:p w14:paraId="5E91F3F2" w14:textId="77777777" w:rsidR="004C7749" w:rsidRDefault="0045501F">
      <w:pPr>
        <w:spacing w:line="276" w:lineRule="auto"/>
        <w:ind w:firstLine="708"/>
      </w:pPr>
      <w:r>
        <w:t>Národná rada Slovenskej republiky sa uzniesla na tomto zákone:</w:t>
      </w:r>
    </w:p>
    <w:p w14:paraId="20486488" w14:textId="77777777" w:rsidR="004C7749" w:rsidRDefault="004C7749">
      <w:pPr>
        <w:spacing w:line="276" w:lineRule="auto"/>
        <w:jc w:val="center"/>
        <w:rPr>
          <w:b/>
          <w:bCs/>
        </w:rPr>
      </w:pPr>
    </w:p>
    <w:p w14:paraId="1445722D" w14:textId="77777777" w:rsidR="004C7749" w:rsidRDefault="0045501F">
      <w:pPr>
        <w:spacing w:line="276" w:lineRule="auto"/>
        <w:jc w:val="center"/>
      </w:pPr>
      <w:r>
        <w:rPr>
          <w:b/>
          <w:bCs/>
        </w:rPr>
        <w:t>Čl. I</w:t>
      </w:r>
    </w:p>
    <w:p w14:paraId="4739E7BD" w14:textId="77777777" w:rsidR="004C7749" w:rsidRDefault="004C7749">
      <w:pPr>
        <w:spacing w:line="276" w:lineRule="auto"/>
        <w:jc w:val="center"/>
        <w:rPr>
          <w:b/>
          <w:bCs/>
        </w:rPr>
      </w:pPr>
    </w:p>
    <w:p w14:paraId="137C0AC4" w14:textId="77777777" w:rsidR="004C7749" w:rsidRDefault="0045501F">
      <w:pPr>
        <w:spacing w:line="276" w:lineRule="auto"/>
        <w:jc w:val="both"/>
      </w:pPr>
      <w:r>
        <w:tab/>
        <w:t xml:space="preserve">Zákon č. </w:t>
      </w:r>
      <w:hyperlink r:id="rId7" w:tgtFrame="Odkaz na predpis alebo ustanovenie">
        <w:r>
          <w:rPr>
            <w:rStyle w:val="ListLabel3"/>
          </w:rPr>
          <w:t>305/2005 Z. z.</w:t>
        </w:r>
      </w:hyperlink>
      <w:r>
        <w:t xml:space="preserve"> o sociálnoprávnej ochrane detí a o sociálnej kuratele a o zmene a doplnení niektorých zákonov v znení zákona č. 330/2007 Z. z., zákona č. 643/2007 Z. z., zákona č. 215/2008 Z. z., zákona č. 466/2008 Z. z., zákona č. 317/2009 Z. z., zákona č. 180/2011 Z. z., zákona č. 185/2014 Z. z., zákona č. </w:t>
      </w:r>
      <w:r>
        <w:lastRenderedPageBreak/>
        <w:t>219/2014 Z. z., zákona č. 310/2014 Z. z., zákona č. 131/2015 Z. z., zákona č. 175/2015 Z. z., zákona č. 378/2015 Z. z., zákona č. 91/2016 Z. z., zákona č. 125/2016 Z. z., zákona č. 351/2017 Z. z., zákona č. 61/2018 Z. z., zákona č. 177/2018 Z. z., zákona č. 231/2019 Z. z. a zákona č. 89/2020 Z. z.sa mení a dopĺňa takto:</w:t>
      </w:r>
    </w:p>
    <w:p w14:paraId="18B5B129" w14:textId="77777777" w:rsidR="004C7749" w:rsidRDefault="004C7749">
      <w:pPr>
        <w:spacing w:line="276" w:lineRule="auto"/>
        <w:jc w:val="both"/>
      </w:pPr>
    </w:p>
    <w:p w14:paraId="0D5A2EF7" w14:textId="77777777" w:rsidR="004C7749" w:rsidRDefault="0045501F">
      <w:pPr>
        <w:pStyle w:val="Odsekzoznamu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§ 49 sa dopĺňa odsekom 8, ktorý znie: </w:t>
      </w:r>
    </w:p>
    <w:p w14:paraId="57C86EA1" w14:textId="7603EDDE" w:rsidR="004C7749" w:rsidRDefault="0045501F" w:rsidP="00DB05B2">
      <w:pPr>
        <w:pStyle w:val="Odsekzoznamu"/>
        <w:ind w:left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„(8) Z prijatého výživného, sirotského dôchodku alebo sirotského výsluhového dôchodku dieťaťa tvorí centrum dieťaťu úspory</w:t>
      </w:r>
      <w:r w:rsidR="00C310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017" w:rsidRPr="004044E1">
        <w:rPr>
          <w:rFonts w:ascii="Times New Roman" w:hAnsi="Times New Roman" w:cs="Times New Roman"/>
          <w:sz w:val="24"/>
          <w:szCs w:val="24"/>
        </w:rPr>
        <w:t>na osobnom účte dieťaťa alebo na vkladnej knižke dieťaťa zriadených podľa odseku 7</w:t>
      </w:r>
      <w:r>
        <w:rPr>
          <w:rFonts w:ascii="Times New Roman" w:hAnsi="Times New Roman" w:cs="Times New Roman"/>
          <w:bCs/>
          <w:sz w:val="24"/>
          <w:szCs w:val="24"/>
        </w:rPr>
        <w:t>.“.</w:t>
      </w:r>
    </w:p>
    <w:p w14:paraId="3F48F978" w14:textId="77777777" w:rsidR="004C7749" w:rsidRDefault="004C7749" w:rsidP="00DB05B2">
      <w:pPr>
        <w:pStyle w:val="Odsekzoznamu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974868" w14:textId="77777777" w:rsidR="004C7749" w:rsidRDefault="0045501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§ 55 ods. 1  sa slová „do jedného roka“ nahrádzajú slovami „do dvoch rokov“. </w:t>
      </w:r>
    </w:p>
    <w:p w14:paraId="5FC1B97C" w14:textId="77777777" w:rsidR="004C7749" w:rsidRDefault="004C774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5F5C60E" w14:textId="77777777" w:rsidR="004C7749" w:rsidRDefault="0045501F">
      <w:pPr>
        <w:pStyle w:val="Odsekzoznamu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55 ods.  2 sa na konci pripája táto veta: </w:t>
      </w:r>
    </w:p>
    <w:p w14:paraId="60BBD22A" w14:textId="37B72206" w:rsidR="004C7749" w:rsidRDefault="0045501F" w:rsidP="00DB05B2">
      <w:pPr>
        <w:pStyle w:val="Odsekzoznamu"/>
        <w:ind w:left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„Ak sa centrum z dôvodov na strane centra s mladým dospelým nedohodne na podmienkach jeho zotrvania v centre, do siedmich dní odo dňa doručenia žiadosti podľa </w:t>
      </w:r>
      <w:r w:rsidR="00791CF8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A425E6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791CF8">
        <w:rPr>
          <w:rFonts w:ascii="Times New Roman" w:eastAsia="Times New Roman" w:hAnsi="Times New Roman" w:cs="Times New Roman"/>
          <w:sz w:val="24"/>
          <w:szCs w:val="24"/>
          <w:lang w:eastAsia="sk-SK"/>
        </w:rPr>
        <w:t>ku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 písomne oznámi dôvody neuzatvorenia dohody.“.</w:t>
      </w:r>
    </w:p>
    <w:p w14:paraId="29C88515" w14:textId="199BD44D" w:rsidR="00613958" w:rsidRDefault="00613958">
      <w:pPr>
        <w:pStyle w:val="Odsekzoznamu"/>
        <w:ind w:left="1440"/>
        <w:jc w:val="both"/>
        <w:rPr>
          <w:rFonts w:eastAsia="Times New Roman" w:cs="Times New Roman"/>
          <w:lang w:eastAsia="sk-SK"/>
        </w:rPr>
      </w:pPr>
    </w:p>
    <w:p w14:paraId="4D232D6B" w14:textId="5EB4F6C2" w:rsidR="00226226" w:rsidRPr="00753B1F" w:rsidRDefault="009D655C" w:rsidP="00753B1F">
      <w:pPr>
        <w:pStyle w:val="Odsekzoznamu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3B1F">
        <w:rPr>
          <w:rFonts w:ascii="Times New Roman" w:hAnsi="Times New Roman" w:cs="Times New Roman"/>
          <w:b/>
          <w:sz w:val="24"/>
          <w:szCs w:val="24"/>
        </w:rPr>
        <w:t>4</w:t>
      </w:r>
      <w:r w:rsidR="00226226" w:rsidRPr="00753B1F">
        <w:rPr>
          <w:rFonts w:ascii="Times New Roman" w:hAnsi="Times New Roman" w:cs="Times New Roman"/>
          <w:b/>
          <w:sz w:val="24"/>
          <w:szCs w:val="24"/>
        </w:rPr>
        <w:t>.</w:t>
      </w:r>
      <w:r w:rsidR="00226226" w:rsidRPr="00753B1F">
        <w:rPr>
          <w:rFonts w:ascii="Times New Roman" w:hAnsi="Times New Roman" w:cs="Times New Roman"/>
          <w:sz w:val="24"/>
          <w:szCs w:val="24"/>
        </w:rPr>
        <w:t xml:space="preserve"> V § 55 ods. 3 sa na konci pripájajú tieto vety: „Centrum pokračuje v poskytovaní starostlivosti podľa odseku 1, ak mladý dospelý podľa prvej vety nie je schopný z dôvodu svojho zdravotného postihnutia požiadať o pokračovanie v poskytovaní starostlivosti podľa odseku 1 a nemá súdom ustanoveného opatrovníka. Uzavretie písomnej dohody podľa odseku 2 sa až do ustanovenia opatrovníka súdom nevyžaduje.“. </w:t>
      </w:r>
    </w:p>
    <w:p w14:paraId="59923FD4" w14:textId="77777777" w:rsidR="00226226" w:rsidRPr="00753B1F" w:rsidRDefault="00226226" w:rsidP="00753B1F">
      <w:pPr>
        <w:pStyle w:val="Odsekzoznamu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A79FAD" w14:textId="5F6B58B3" w:rsidR="00226226" w:rsidRPr="00753B1F" w:rsidRDefault="009D655C" w:rsidP="00753B1F">
      <w:pPr>
        <w:pStyle w:val="Odsekzoznamu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3B1F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26226" w:rsidRPr="00753B1F">
        <w:rPr>
          <w:rFonts w:ascii="Times New Roman" w:hAnsi="Times New Roman" w:cs="Times New Roman"/>
          <w:b/>
          <w:sz w:val="24"/>
          <w:szCs w:val="24"/>
        </w:rPr>
        <w:t>.</w:t>
      </w:r>
      <w:r w:rsidR="00226226" w:rsidRPr="00753B1F">
        <w:rPr>
          <w:rFonts w:ascii="Times New Roman" w:hAnsi="Times New Roman" w:cs="Times New Roman"/>
          <w:sz w:val="24"/>
          <w:szCs w:val="24"/>
        </w:rPr>
        <w:t xml:space="preserve">  V § 55 ods. 7 sa na konci pripája táto veta: „Mladému dospelému, ktorý si po uplynutí lehoty na podanie žiadosti podľa odseku 1 nedokáže zabezpečiť bývanie, môže centrum na základe písomnej dohody poskytovať starostlivosť pobytovou formou, najdlhšie však do 25 rokov veku mladého dospelého; dĺžka starostlivosti pobytovou formou nesmie presiahnuť 90 po sebe nasledujúcich dní v priebehu 12 po sebe nasledujúcich mesiacov.“.</w:t>
      </w:r>
    </w:p>
    <w:p w14:paraId="7121F8D8" w14:textId="77777777" w:rsidR="00613958" w:rsidRPr="00753B1F" w:rsidRDefault="00613958" w:rsidP="00753B1F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3E348AB9" w14:textId="2B7D9600" w:rsidR="004C7749" w:rsidRPr="00753B1F" w:rsidRDefault="009D655C" w:rsidP="00753B1F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3B1F">
        <w:rPr>
          <w:rFonts w:ascii="Times New Roman" w:hAnsi="Times New Roman" w:cs="Times New Roman"/>
          <w:b/>
          <w:kern w:val="2"/>
          <w:sz w:val="24"/>
          <w:szCs w:val="24"/>
          <w:lang w:bidi="hi-IN"/>
        </w:rPr>
        <w:t>6.</w:t>
      </w:r>
      <w:r w:rsidRPr="00753B1F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</w:t>
      </w:r>
      <w:r w:rsidR="0045501F" w:rsidRPr="00753B1F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§ 61 </w:t>
      </w:r>
      <w:r w:rsidR="00684FA6" w:rsidRPr="00753B1F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vrátane nadpisu </w:t>
      </w:r>
      <w:r w:rsidR="0045501F" w:rsidRPr="00753B1F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znie: </w:t>
      </w:r>
    </w:p>
    <w:p w14:paraId="00BAA949" w14:textId="77777777" w:rsidR="004C7749" w:rsidRDefault="0045501F">
      <w:pPr>
        <w:pStyle w:val="Odsekzoznamu"/>
        <w:ind w:left="1440"/>
        <w:jc w:val="center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„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bidi="hi-IN"/>
        </w:rPr>
        <w:t>§ 61</w:t>
      </w:r>
    </w:p>
    <w:p w14:paraId="13FD1357" w14:textId="77777777" w:rsidR="004C7749" w:rsidRDefault="0045501F">
      <w:pPr>
        <w:pStyle w:val="Odsekzoznamu"/>
        <w:ind w:left="144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bidi="hi-IN"/>
        </w:rPr>
        <w:t>Úhrada za vykonávanie opatrení sociálnoprávnej ochrany detí a sociálnej kurately v centre</w:t>
      </w:r>
    </w:p>
    <w:p w14:paraId="6EDB9E76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(1) Úhrada za vykonávanie opatrení pobytovou formou sa určuje pre</w:t>
      </w:r>
    </w:p>
    <w:p w14:paraId="7A5B0080" w14:textId="55F7A19C" w:rsidR="004C7749" w:rsidRPr="00B716D9" w:rsidRDefault="0045501F" w:rsidP="00B716D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dieťa, ktoré je umiestnené v centre na základe písomnej dohody s rodičom dieťaťa alebo osobou, ktorá sa osobne stará o dieťa</w:t>
      </w:r>
      <w:r w:rsidR="0072279C"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,</w:t>
      </w:r>
    </w:p>
    <w:p w14:paraId="102F18D4" w14:textId="17FFCA9F" w:rsidR="004C7749" w:rsidRPr="00B716D9" w:rsidRDefault="0045501F" w:rsidP="00B716D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plnoletú fyzickú osobu,</w:t>
      </w:r>
    </w:p>
    <w:p w14:paraId="79D826E6" w14:textId="77777777" w:rsidR="004C7749" w:rsidRDefault="0045501F" w:rsidP="00B716D9">
      <w:pPr>
        <w:pStyle w:val="Odsekzoznamu"/>
        <w:ind w:left="1416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1. ktorá je prijatá do centra s dieťaťom podľa § 47 ods. 5,</w:t>
      </w:r>
    </w:p>
    <w:p w14:paraId="745933FF" w14:textId="77777777" w:rsidR="004C7749" w:rsidRDefault="0045501F" w:rsidP="00B716D9">
      <w:pPr>
        <w:pStyle w:val="Odsekzoznamu"/>
        <w:ind w:left="1416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2. pre ktorú sa vykonávajú odborné metódy práce podľa § 46 ods. 11 a 12,</w:t>
      </w:r>
    </w:p>
    <w:p w14:paraId="1D2CB3F3" w14:textId="77777777" w:rsidR="004C7749" w:rsidRDefault="0045501F" w:rsidP="00B716D9">
      <w:pPr>
        <w:pStyle w:val="Odsekzoznamu"/>
        <w:ind w:left="1416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3. pre ktorú sa vykonáva resocializačný program,</w:t>
      </w:r>
    </w:p>
    <w:p w14:paraId="570043EC" w14:textId="77777777" w:rsidR="004C7749" w:rsidRDefault="0072279C" w:rsidP="00B716D9">
      <w:pPr>
        <w:pStyle w:val="Odsekzoznamu"/>
        <w:ind w:left="0" w:firstLine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    </w:t>
      </w:r>
      <w:r w:rsidR="0045501F">
        <w:rPr>
          <w:rFonts w:ascii="Times New Roman" w:hAnsi="Times New Roman" w:cs="Times New Roman"/>
          <w:kern w:val="2"/>
          <w:sz w:val="24"/>
          <w:szCs w:val="24"/>
          <w:lang w:bidi="hi-IN"/>
        </w:rPr>
        <w:t>c) tehotnú ženu a túto ženu po pôrode a jej dieťa podľa § 46 ods. 8.</w:t>
      </w:r>
    </w:p>
    <w:p w14:paraId="403A9BFC" w14:textId="77777777" w:rsidR="004C7749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237EF7ED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(2) Centrum môže dohodnúť</w:t>
      </w:r>
    </w:p>
    <w:p w14:paraId="58FA0FB8" w14:textId="4B0CED49" w:rsidR="004C7749" w:rsidRPr="00B716D9" w:rsidRDefault="0045501F" w:rsidP="00B716D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úhradu výdavkov na ošatenie a obuv, zvýšených výdavkov na zdravotnú starostlivosť, povinnú školskú dochádzku alebo prípravu na povolanie, ak na základe rozhodnutia súdu bola dieťaťu ulo</w:t>
      </w:r>
      <w:r w:rsidRP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>žená povinnosť zúčastniť sa na resocializačnom programe; tieto výdavky sa nezahŕňajú do preukázateľných skutočných výdavkov podľa § 89a,</w:t>
      </w:r>
    </w:p>
    <w:p w14:paraId="0C39F0C5" w14:textId="49F7D3D9" w:rsidR="004C7749" w:rsidRPr="00B716D9" w:rsidRDefault="0045501F" w:rsidP="00B716D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lastRenderedPageBreak/>
        <w:t>úhradu výdavkov za pobyt dieťaťa podľa § 57 ods. 6 písm. b),</w:t>
      </w:r>
    </w:p>
    <w:p w14:paraId="25D670C3" w14:textId="43870CDD" w:rsidR="004C7749" w:rsidRPr="00B716D9" w:rsidRDefault="0045501F" w:rsidP="00B716D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úhradu za materiálno-technické výdavky spojené s prí</w:t>
      </w:r>
      <w:r w:rsidRP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>pravou na profesionálne vykonávanie náhradnej starostlivosti; tieto výdavky sa nezahŕňajú do preukázateľných skutočných výdavkov podľa § 89a.</w:t>
      </w:r>
    </w:p>
    <w:p w14:paraId="2EB0AF59" w14:textId="77777777" w:rsidR="004C7749" w:rsidRPr="0072279C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4B43C040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(3) Rodič dieťaťa alebo osoba, ktorá sa osobne stará o dieťa, hradí úhradu za vykonávanie opatrení pobytovou formou pre dieťa, ktoré je umiestnené v centre na základe písomnej dohody s rodičom dieťaťa alebo osobou, ktorá sa osobne stará o dieťa, vo výške jednej tridsatiny sumy prídavku na dieťa</w:t>
      </w:r>
      <w:r w:rsid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</w:t>
      </w:r>
      <w:r w:rsidRPr="00B716D9">
        <w:rPr>
          <w:rFonts w:ascii="Times New Roman" w:hAnsi="Times New Roman" w:cs="Times New Roman"/>
          <w:kern w:val="2"/>
          <w:sz w:val="24"/>
          <w:szCs w:val="24"/>
          <w:vertAlign w:val="superscript"/>
          <w:lang w:bidi="hi-IN"/>
        </w:rPr>
        <w:t>43</w:t>
      </w:r>
      <w:r w:rsidRP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) 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za každý deň pobytu dieťaťa v centre.</w:t>
      </w:r>
    </w:p>
    <w:p w14:paraId="013325B4" w14:textId="77777777" w:rsidR="004C7749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223A24B0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(4) Plnoletá fyzická osoba podľa odseku 1 písm. b) prvého bodu hradí úhradu za poskytnuté bývanie vo výške jednej tridsatiny 10 % sumy životného minima pre jednu plnoletú fyzickú osobu</w:t>
      </w:r>
      <w:r w:rsidRPr="00B716D9">
        <w:rPr>
          <w:rFonts w:ascii="Times New Roman" w:hAnsi="Times New Roman" w:cs="Times New Roman"/>
          <w:kern w:val="2"/>
          <w:sz w:val="24"/>
          <w:szCs w:val="24"/>
          <w:vertAlign w:val="superscript"/>
          <w:lang w:bidi="hi-IN"/>
        </w:rPr>
        <w:t>45c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) za každý deň pobytu v centre. Ak súčasťou vykonávania opatrení pobytovou formou je aj poskytovanie stravy, centrum môže určiť úhradu za stravu, a to najviac vo výške ustanovenej dennej stravnej jednotky na mladého dospelého na každý deň pobytu.</w:t>
      </w:r>
    </w:p>
    <w:p w14:paraId="2B9E338E" w14:textId="77777777" w:rsidR="004C7749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6F2C95BA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(5) Plnoletá fyzická osoba podľa odseku 1 písm. b) druhého bodu a písm. c) hradí úhradu za stravu, ak súčasťou vykonávaných opatrení pobytovou formou je aj poskytovanie stravy, a to najviac vo výške ustanovenej dennej stravnej jednotky na mladého dospelého na každý deň pobytu.</w:t>
      </w:r>
    </w:p>
    <w:p w14:paraId="1C78FF8A" w14:textId="77777777" w:rsidR="004C7749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68F00FD8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(6) Plnoletá fyzická osoba podľa odseku 1 písm. b) tretieho bodu hradí úhradu za vykonávanie opatrení pobytovou formou vo výške jednej tridsatiny sumy 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lastRenderedPageBreak/>
        <w:t>dávky v hmotnej núdzi na jednotlivca</w:t>
      </w:r>
      <w:r w:rsidRPr="00B716D9">
        <w:rPr>
          <w:rFonts w:ascii="Times New Roman" w:hAnsi="Times New Roman" w:cs="Times New Roman"/>
          <w:kern w:val="2"/>
          <w:sz w:val="24"/>
          <w:szCs w:val="24"/>
          <w:vertAlign w:val="superscript"/>
          <w:lang w:bidi="hi-IN"/>
        </w:rPr>
        <w:t>45d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) za každý deň vykonávania resocializačného programu. Plnoletá fyzická osoba podľa § 57 ods. 6 písm. a) hradí úhradu vo výške dohodnutej s centrom.“.</w:t>
      </w:r>
    </w:p>
    <w:p w14:paraId="7A01BD34" w14:textId="77777777" w:rsidR="000274A4" w:rsidRDefault="000274A4">
      <w:pPr>
        <w:pStyle w:val="Odsekzoznamu"/>
        <w:jc w:val="both"/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</w:pPr>
    </w:p>
    <w:p w14:paraId="5C9CD2F2" w14:textId="527D22F0" w:rsidR="004C7749" w:rsidRDefault="000274A4">
      <w:pPr>
        <w:pStyle w:val="Odsekzoznamu"/>
        <w:jc w:val="both"/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  <w:t>Poznámky pod čiarou k odkazom 45a a 45b sa vypúšťajú.</w:t>
      </w:r>
    </w:p>
    <w:p w14:paraId="08B63E35" w14:textId="5EDCDFCC" w:rsidR="000274A4" w:rsidRDefault="000274A4">
      <w:pPr>
        <w:pStyle w:val="Odsekzoznamu"/>
        <w:jc w:val="both"/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</w:pPr>
    </w:p>
    <w:p w14:paraId="5A826BCD" w14:textId="7DD4212E" w:rsidR="004A5A88" w:rsidRPr="00B716D9" w:rsidRDefault="004A5A88" w:rsidP="00747C6B">
      <w:pPr>
        <w:pStyle w:val="Odsekzoznamu"/>
        <w:ind w:left="284"/>
        <w:jc w:val="both"/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</w:pPr>
      <w:r w:rsidRPr="00972750">
        <w:rPr>
          <w:rFonts w:ascii="Times New Roman" w:eastAsia="Calibri" w:hAnsi="Times New Roman"/>
          <w:b/>
          <w:kern w:val="2"/>
          <w:sz w:val="24"/>
          <w:szCs w:val="24"/>
          <w:lang w:eastAsia="zh-CN" w:bidi="hi-IN"/>
        </w:rPr>
        <w:t>7</w:t>
      </w:r>
      <w:r w:rsidRPr="004A5A88">
        <w:rPr>
          <w:rFonts w:ascii="Times New Roman" w:eastAsia="Calibri" w:hAnsi="Times New Roman"/>
          <w:b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  <w:t xml:space="preserve"> </w:t>
      </w:r>
      <w:r w:rsidR="00972750"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  <w:t>Za § 100aa sa vkladá § 100ab, ktorý vrátane nadpisu znie:</w:t>
      </w:r>
    </w:p>
    <w:p w14:paraId="4AF2B9C0" w14:textId="77777777" w:rsidR="009D655C" w:rsidRPr="00D3414C" w:rsidRDefault="009D655C" w:rsidP="009D655C">
      <w:pPr>
        <w:ind w:left="567"/>
        <w:contextualSpacing/>
        <w:jc w:val="center"/>
      </w:pPr>
      <w:r w:rsidRPr="00D3414C">
        <w:t>„</w:t>
      </w:r>
      <w:r w:rsidRPr="00D3414C">
        <w:rPr>
          <w:b/>
          <w:bCs/>
        </w:rPr>
        <w:t>§ 100ab</w:t>
      </w:r>
    </w:p>
    <w:p w14:paraId="5CCCDDF4" w14:textId="77777777" w:rsidR="009D655C" w:rsidRPr="00AD2263" w:rsidRDefault="009D655C" w:rsidP="009D655C">
      <w:pPr>
        <w:ind w:left="567"/>
        <w:contextualSpacing/>
        <w:jc w:val="center"/>
      </w:pPr>
      <w:r w:rsidRPr="00AD2263">
        <w:rPr>
          <w:b/>
          <w:bCs/>
        </w:rPr>
        <w:t>Prechodné ustanovenie k úpravám účinným od 1. januára 2021</w:t>
      </w:r>
    </w:p>
    <w:p w14:paraId="3A6BC65D" w14:textId="77777777" w:rsidR="009D655C" w:rsidRPr="00AD2263" w:rsidRDefault="009D655C" w:rsidP="009D655C">
      <w:pPr>
        <w:ind w:left="567"/>
        <w:jc w:val="both"/>
      </w:pPr>
    </w:p>
    <w:p w14:paraId="53A5A6C4" w14:textId="5F401EDC" w:rsidR="009D655C" w:rsidRPr="003F6B34" w:rsidRDefault="009D655C" w:rsidP="00747C6B">
      <w:pPr>
        <w:ind w:left="567"/>
        <w:jc w:val="both"/>
      </w:pPr>
      <w:r w:rsidRPr="00AD2263">
        <w:t xml:space="preserve">Z výživného, sirotského dôchodku alebo </w:t>
      </w:r>
      <w:r w:rsidRPr="003F6B34">
        <w:t>sirotského výsluhového dôchodku dieťaťa, na ktoré</w:t>
      </w:r>
      <w:r w:rsidR="003F4D51">
        <w:t xml:space="preserve"> mu</w:t>
      </w:r>
      <w:r w:rsidRPr="003F6B34">
        <w:t xml:space="preserve"> vznikol nárok pred 1. januárom 2021 a ktoré centrum prijalo po 31. decembri 2020, </w:t>
      </w:r>
    </w:p>
    <w:p w14:paraId="14FB83E6" w14:textId="77777777" w:rsidR="009D655C" w:rsidRPr="003F6B34" w:rsidRDefault="009D655C" w:rsidP="004442EC">
      <w:pPr>
        <w:pStyle w:val="Odsekzoznamu"/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34">
        <w:rPr>
          <w:rFonts w:ascii="Times New Roman" w:hAnsi="Times New Roman" w:cs="Times New Roman"/>
          <w:sz w:val="24"/>
          <w:szCs w:val="24"/>
        </w:rPr>
        <w:t>sa úhrada podľa § 61 ods. 1 písm. a) a písm. b) prvého bodu v znení účinnom do 31. decembra 2020 neurčuje,</w:t>
      </w:r>
    </w:p>
    <w:p w14:paraId="3A826E8F" w14:textId="28530A0A" w:rsidR="004C7749" w:rsidRPr="003F6B34" w:rsidRDefault="009D655C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B34">
        <w:rPr>
          <w:rFonts w:ascii="Times New Roman" w:hAnsi="Times New Roman" w:cs="Times New Roman"/>
          <w:sz w:val="24"/>
          <w:szCs w:val="24"/>
        </w:rPr>
        <w:t>tvorí centrum úspory podľa § 49 ods. 8 v znení účinnom od 1. januára 2021.“.</w:t>
      </w:r>
      <w:r w:rsidR="0045501F" w:rsidRPr="003F6B3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8D84069" w14:textId="53FF0523" w:rsidR="004C7749" w:rsidRDefault="004C7749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  <w:bookmarkStart w:id="0" w:name="_GoBack"/>
      <w:bookmarkEnd w:id="0"/>
    </w:p>
    <w:p w14:paraId="7974E4FB" w14:textId="14816626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4338881C" w14:textId="6ACA7EE0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75723602" w14:textId="398ED473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37792502" w14:textId="3D8D806A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78842F4E" w14:textId="0217CA83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65C0AAC6" w14:textId="2B646E10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46DF1728" w14:textId="77882DF9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3E589E7F" w14:textId="68C53D7C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71D4A598" w14:textId="05E1B979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3F95172C" w14:textId="55A6C002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79210270" w14:textId="02676A3E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54638132" w14:textId="08604F9C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71DAC220" w14:textId="70563724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368E411C" w14:textId="0A64B1B5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54021AC2" w14:textId="77777777" w:rsidR="00753B1F" w:rsidRDefault="00753B1F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5B2BDB87" w14:textId="77777777" w:rsidR="004C7749" w:rsidRDefault="0045501F">
      <w:pPr>
        <w:spacing w:line="276" w:lineRule="auto"/>
        <w:jc w:val="center"/>
      </w:pPr>
      <w:r>
        <w:rPr>
          <w:b/>
          <w:bCs/>
        </w:rPr>
        <w:t>Čl. II</w:t>
      </w:r>
    </w:p>
    <w:p w14:paraId="3C91ACA6" w14:textId="77777777" w:rsidR="004C7749" w:rsidRDefault="004C7749">
      <w:pPr>
        <w:spacing w:line="276" w:lineRule="auto"/>
        <w:jc w:val="center"/>
      </w:pPr>
    </w:p>
    <w:p w14:paraId="3B9937A5" w14:textId="2CC166BD" w:rsidR="004C7749" w:rsidRDefault="0045501F" w:rsidP="00753B1F">
      <w:pPr>
        <w:spacing w:line="276" w:lineRule="auto"/>
        <w:ind w:left="567"/>
      </w:pPr>
      <w:r>
        <w:t>Tento zákon nadobúda účinnosť 1. januára  2021.</w:t>
      </w:r>
    </w:p>
    <w:p w14:paraId="128F36E8" w14:textId="1B3A1862" w:rsidR="00D81891" w:rsidRDefault="00D81891" w:rsidP="00753B1F">
      <w:pPr>
        <w:spacing w:line="276" w:lineRule="auto"/>
        <w:ind w:left="567"/>
      </w:pPr>
    </w:p>
    <w:p w14:paraId="1EC620A0" w14:textId="31DE565E" w:rsidR="00D81891" w:rsidRDefault="00D81891" w:rsidP="00753B1F">
      <w:pPr>
        <w:spacing w:line="276" w:lineRule="auto"/>
        <w:ind w:left="567"/>
      </w:pPr>
    </w:p>
    <w:p w14:paraId="39A42F7D" w14:textId="6ABE91FE" w:rsidR="00D81891" w:rsidRDefault="00D81891" w:rsidP="00753B1F">
      <w:pPr>
        <w:spacing w:line="276" w:lineRule="auto"/>
        <w:ind w:left="567"/>
      </w:pPr>
    </w:p>
    <w:p w14:paraId="2BF3B755" w14:textId="3FCD0D99" w:rsidR="00D81891" w:rsidRDefault="00D81891" w:rsidP="00753B1F">
      <w:pPr>
        <w:spacing w:line="276" w:lineRule="auto"/>
        <w:ind w:left="567"/>
      </w:pPr>
    </w:p>
    <w:p w14:paraId="388F78A1" w14:textId="1F5288B3" w:rsidR="00D81891" w:rsidRDefault="00D81891" w:rsidP="00753B1F">
      <w:pPr>
        <w:spacing w:line="276" w:lineRule="auto"/>
        <w:ind w:left="567"/>
      </w:pPr>
    </w:p>
    <w:p w14:paraId="3C52FC5E" w14:textId="56A8649C" w:rsidR="00D81891" w:rsidRDefault="00D81891" w:rsidP="00753B1F">
      <w:pPr>
        <w:spacing w:line="276" w:lineRule="auto"/>
        <w:ind w:left="567"/>
      </w:pPr>
    </w:p>
    <w:p w14:paraId="152892EF" w14:textId="5099A1A1" w:rsidR="00D81891" w:rsidRDefault="00D81891" w:rsidP="00753B1F">
      <w:pPr>
        <w:spacing w:line="276" w:lineRule="auto"/>
        <w:ind w:left="567"/>
      </w:pPr>
    </w:p>
    <w:p w14:paraId="30DA9048" w14:textId="1568CE96" w:rsidR="00D81891" w:rsidRDefault="00D81891" w:rsidP="00753B1F">
      <w:pPr>
        <w:spacing w:line="276" w:lineRule="auto"/>
        <w:ind w:left="567"/>
      </w:pPr>
    </w:p>
    <w:p w14:paraId="70CA17AC" w14:textId="77777777" w:rsidR="00D81891" w:rsidRDefault="00D81891" w:rsidP="00753B1F">
      <w:pPr>
        <w:spacing w:line="276" w:lineRule="auto"/>
        <w:ind w:left="567"/>
      </w:pPr>
    </w:p>
    <w:p w14:paraId="5049190B" w14:textId="77777777" w:rsidR="00D81891" w:rsidRDefault="00D81891" w:rsidP="00753B1F">
      <w:pPr>
        <w:spacing w:line="276" w:lineRule="auto"/>
        <w:ind w:left="567"/>
      </w:pPr>
    </w:p>
    <w:p w14:paraId="7FF87886" w14:textId="77777777" w:rsidR="004C7749" w:rsidRDefault="004C7749">
      <w:pPr>
        <w:spacing w:line="276" w:lineRule="auto"/>
        <w:jc w:val="both"/>
        <w:rPr>
          <w:rFonts w:eastAsia="Calibri"/>
        </w:rPr>
      </w:pPr>
    </w:p>
    <w:p w14:paraId="3BBFFFC8" w14:textId="77777777" w:rsidR="00753B1F" w:rsidRPr="00E106F1" w:rsidRDefault="00753B1F" w:rsidP="00753B1F">
      <w:pPr>
        <w:ind w:firstLine="426"/>
        <w:jc w:val="center"/>
      </w:pPr>
      <w:r w:rsidRPr="00E106F1">
        <w:t>prezident</w:t>
      </w:r>
      <w:r>
        <w:t>ka</w:t>
      </w:r>
      <w:r w:rsidRPr="00E106F1">
        <w:t xml:space="preserve">  Slovenskej republiky</w:t>
      </w:r>
    </w:p>
    <w:p w14:paraId="4FC479FE" w14:textId="77777777" w:rsidR="00753B1F" w:rsidRPr="00E106F1" w:rsidRDefault="00753B1F" w:rsidP="00753B1F">
      <w:pPr>
        <w:ind w:firstLine="426"/>
        <w:jc w:val="center"/>
      </w:pPr>
    </w:p>
    <w:p w14:paraId="3F88D30D" w14:textId="77777777" w:rsidR="00753B1F" w:rsidRPr="00E106F1" w:rsidRDefault="00753B1F" w:rsidP="00753B1F">
      <w:pPr>
        <w:ind w:firstLine="426"/>
        <w:jc w:val="center"/>
      </w:pPr>
    </w:p>
    <w:p w14:paraId="7F156206" w14:textId="77777777" w:rsidR="00753B1F" w:rsidRPr="00E106F1" w:rsidRDefault="00753B1F" w:rsidP="00753B1F">
      <w:pPr>
        <w:ind w:firstLine="426"/>
        <w:jc w:val="center"/>
      </w:pPr>
    </w:p>
    <w:p w14:paraId="725E8B3E" w14:textId="77777777" w:rsidR="00753B1F" w:rsidRPr="00E106F1" w:rsidRDefault="00753B1F" w:rsidP="00753B1F">
      <w:pPr>
        <w:ind w:firstLine="426"/>
        <w:jc w:val="center"/>
      </w:pPr>
    </w:p>
    <w:p w14:paraId="3010CE86" w14:textId="77777777" w:rsidR="00753B1F" w:rsidRPr="00E106F1" w:rsidRDefault="00753B1F" w:rsidP="00753B1F">
      <w:pPr>
        <w:ind w:firstLine="426"/>
        <w:jc w:val="center"/>
      </w:pPr>
    </w:p>
    <w:p w14:paraId="0FCFAE0B" w14:textId="77777777" w:rsidR="00753B1F" w:rsidRPr="00E106F1" w:rsidRDefault="00753B1F" w:rsidP="00753B1F">
      <w:pPr>
        <w:ind w:firstLine="426"/>
        <w:jc w:val="center"/>
      </w:pPr>
    </w:p>
    <w:p w14:paraId="2D549ACA" w14:textId="77777777" w:rsidR="00753B1F" w:rsidRPr="00E106F1" w:rsidRDefault="00753B1F" w:rsidP="00753B1F">
      <w:pPr>
        <w:ind w:firstLine="426"/>
        <w:jc w:val="center"/>
      </w:pPr>
    </w:p>
    <w:p w14:paraId="21C2F31A" w14:textId="77777777" w:rsidR="00753B1F" w:rsidRPr="00E106F1" w:rsidRDefault="00753B1F" w:rsidP="00753B1F">
      <w:pPr>
        <w:ind w:firstLine="426"/>
        <w:jc w:val="center"/>
      </w:pPr>
    </w:p>
    <w:p w14:paraId="4EF4FD5E" w14:textId="77777777" w:rsidR="00753B1F" w:rsidRPr="00E106F1" w:rsidRDefault="00753B1F" w:rsidP="00753B1F">
      <w:pPr>
        <w:ind w:firstLine="426"/>
        <w:jc w:val="center"/>
      </w:pPr>
      <w:r w:rsidRPr="00E106F1">
        <w:t>predseda Národnej rady Slovenskej republiky</w:t>
      </w:r>
    </w:p>
    <w:p w14:paraId="27A8DF95" w14:textId="77777777" w:rsidR="00753B1F" w:rsidRPr="00E106F1" w:rsidRDefault="00753B1F" w:rsidP="00753B1F">
      <w:pPr>
        <w:ind w:firstLine="426"/>
        <w:jc w:val="center"/>
      </w:pPr>
    </w:p>
    <w:p w14:paraId="14962834" w14:textId="77777777" w:rsidR="00753B1F" w:rsidRPr="00E106F1" w:rsidRDefault="00753B1F" w:rsidP="00753B1F">
      <w:pPr>
        <w:ind w:firstLine="426"/>
        <w:jc w:val="center"/>
      </w:pPr>
    </w:p>
    <w:p w14:paraId="5F911AE5" w14:textId="77777777" w:rsidR="00753B1F" w:rsidRPr="00E106F1" w:rsidRDefault="00753B1F" w:rsidP="00753B1F">
      <w:pPr>
        <w:ind w:firstLine="426"/>
        <w:jc w:val="center"/>
      </w:pPr>
    </w:p>
    <w:p w14:paraId="5CC1B262" w14:textId="77777777" w:rsidR="00753B1F" w:rsidRPr="00E106F1" w:rsidRDefault="00753B1F" w:rsidP="00753B1F">
      <w:pPr>
        <w:ind w:firstLine="426"/>
        <w:jc w:val="center"/>
      </w:pPr>
    </w:p>
    <w:p w14:paraId="0DE548B9" w14:textId="77777777" w:rsidR="00753B1F" w:rsidRPr="00E106F1" w:rsidRDefault="00753B1F" w:rsidP="00753B1F">
      <w:pPr>
        <w:ind w:firstLine="426"/>
        <w:jc w:val="center"/>
      </w:pPr>
    </w:p>
    <w:p w14:paraId="3023A2FF" w14:textId="77777777" w:rsidR="00753B1F" w:rsidRPr="00E106F1" w:rsidRDefault="00753B1F" w:rsidP="00753B1F">
      <w:pPr>
        <w:ind w:firstLine="426"/>
        <w:jc w:val="center"/>
      </w:pPr>
    </w:p>
    <w:p w14:paraId="6230D68B" w14:textId="77777777" w:rsidR="00753B1F" w:rsidRPr="00E106F1" w:rsidRDefault="00753B1F" w:rsidP="00753B1F">
      <w:pPr>
        <w:ind w:firstLine="426"/>
        <w:jc w:val="center"/>
      </w:pPr>
    </w:p>
    <w:p w14:paraId="06A37E66" w14:textId="77777777" w:rsidR="00753B1F" w:rsidRPr="00E106F1" w:rsidRDefault="00753B1F" w:rsidP="00753B1F">
      <w:pPr>
        <w:ind w:firstLine="426"/>
        <w:jc w:val="center"/>
      </w:pPr>
    </w:p>
    <w:p w14:paraId="4934B1BF" w14:textId="77777777" w:rsidR="00753B1F" w:rsidRPr="00E106F1" w:rsidRDefault="00753B1F" w:rsidP="00753B1F">
      <w:pPr>
        <w:ind w:firstLine="426"/>
        <w:jc w:val="center"/>
      </w:pPr>
    </w:p>
    <w:p w14:paraId="0593CA0D" w14:textId="77777777" w:rsidR="00753B1F" w:rsidRPr="00E106F1" w:rsidRDefault="00753B1F" w:rsidP="00753B1F">
      <w:pPr>
        <w:ind w:firstLine="426"/>
        <w:jc w:val="center"/>
      </w:pPr>
      <w:r w:rsidRPr="00E106F1">
        <w:t>predseda vlády Slovenskej republiky</w:t>
      </w:r>
    </w:p>
    <w:p w14:paraId="11BB0A26" w14:textId="77777777" w:rsidR="00753B1F" w:rsidRPr="00E106F1" w:rsidRDefault="00753B1F" w:rsidP="00753B1F">
      <w:pPr>
        <w:ind w:firstLine="426"/>
        <w:jc w:val="both"/>
      </w:pPr>
    </w:p>
    <w:p w14:paraId="7A34A6BC" w14:textId="77777777" w:rsidR="004C7749" w:rsidRDefault="004C7749">
      <w:pPr>
        <w:spacing w:line="276" w:lineRule="auto"/>
        <w:jc w:val="both"/>
      </w:pPr>
    </w:p>
    <w:sectPr w:rsidR="004C7749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A9F1" w14:textId="77777777" w:rsidR="00D81891" w:rsidRDefault="00D81891" w:rsidP="00D81891">
      <w:r>
        <w:separator/>
      </w:r>
    </w:p>
  </w:endnote>
  <w:endnote w:type="continuationSeparator" w:id="0">
    <w:p w14:paraId="60721893" w14:textId="77777777" w:rsidR="00D81891" w:rsidRDefault="00D81891" w:rsidP="00D8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207657"/>
      <w:docPartObj>
        <w:docPartGallery w:val="Page Numbers (Bottom of Page)"/>
        <w:docPartUnique/>
      </w:docPartObj>
    </w:sdtPr>
    <w:sdtContent>
      <w:p w14:paraId="331BB147" w14:textId="488AA636" w:rsidR="00D81891" w:rsidRDefault="00D818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96D">
          <w:rPr>
            <w:noProof/>
          </w:rPr>
          <w:t>4</w:t>
        </w:r>
        <w:r>
          <w:fldChar w:fldCharType="end"/>
        </w:r>
      </w:p>
    </w:sdtContent>
  </w:sdt>
  <w:p w14:paraId="69BE3358" w14:textId="77777777" w:rsidR="00D81891" w:rsidRDefault="00D818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BA4B" w14:textId="77777777" w:rsidR="00D81891" w:rsidRDefault="00D81891" w:rsidP="00D81891">
      <w:r>
        <w:separator/>
      </w:r>
    </w:p>
  </w:footnote>
  <w:footnote w:type="continuationSeparator" w:id="0">
    <w:p w14:paraId="73F05487" w14:textId="77777777" w:rsidR="00D81891" w:rsidRDefault="00D81891" w:rsidP="00D8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319"/>
    <w:multiLevelType w:val="hybridMultilevel"/>
    <w:tmpl w:val="1C985F48"/>
    <w:lvl w:ilvl="0" w:tplc="40B23E22">
      <w:start w:val="1"/>
      <w:numFmt w:val="lowerLetter"/>
      <w:lvlText w:val="%1)"/>
      <w:lvlJc w:val="left"/>
      <w:pPr>
        <w:ind w:left="1080" w:hanging="372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1B27D2"/>
    <w:multiLevelType w:val="hybridMultilevel"/>
    <w:tmpl w:val="B28AD02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976107"/>
    <w:multiLevelType w:val="hybridMultilevel"/>
    <w:tmpl w:val="3D204D6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123757"/>
    <w:multiLevelType w:val="multilevel"/>
    <w:tmpl w:val="86E6B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B04BD3"/>
    <w:multiLevelType w:val="hybridMultilevel"/>
    <w:tmpl w:val="777AFF4E"/>
    <w:lvl w:ilvl="0" w:tplc="00C860A0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26003"/>
    <w:multiLevelType w:val="hybridMultilevel"/>
    <w:tmpl w:val="34E81D9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8D3758"/>
    <w:multiLevelType w:val="multilevel"/>
    <w:tmpl w:val="B5B2F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494949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C7213"/>
    <w:multiLevelType w:val="hybridMultilevel"/>
    <w:tmpl w:val="5D3C2508"/>
    <w:lvl w:ilvl="0" w:tplc="D95882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49"/>
    <w:rsid w:val="000274A4"/>
    <w:rsid w:val="00073B90"/>
    <w:rsid w:val="0008696D"/>
    <w:rsid w:val="000A0868"/>
    <w:rsid w:val="000A5A2E"/>
    <w:rsid w:val="00166C5B"/>
    <w:rsid w:val="001C3E5A"/>
    <w:rsid w:val="001D7122"/>
    <w:rsid w:val="002102DB"/>
    <w:rsid w:val="00226226"/>
    <w:rsid w:val="0029554A"/>
    <w:rsid w:val="002A33AC"/>
    <w:rsid w:val="00373183"/>
    <w:rsid w:val="003D432C"/>
    <w:rsid w:val="003F4D51"/>
    <w:rsid w:val="003F6B34"/>
    <w:rsid w:val="004442EC"/>
    <w:rsid w:val="0045501F"/>
    <w:rsid w:val="00464D83"/>
    <w:rsid w:val="00490C6A"/>
    <w:rsid w:val="004A5A88"/>
    <w:rsid w:val="004C7749"/>
    <w:rsid w:val="0052083E"/>
    <w:rsid w:val="005818AE"/>
    <w:rsid w:val="00585E3B"/>
    <w:rsid w:val="00613958"/>
    <w:rsid w:val="00674A49"/>
    <w:rsid w:val="00684FA6"/>
    <w:rsid w:val="007056FD"/>
    <w:rsid w:val="0072279C"/>
    <w:rsid w:val="00722B3D"/>
    <w:rsid w:val="00747C6B"/>
    <w:rsid w:val="00753B1F"/>
    <w:rsid w:val="00791CF8"/>
    <w:rsid w:val="007B1034"/>
    <w:rsid w:val="007F7C30"/>
    <w:rsid w:val="00972750"/>
    <w:rsid w:val="009A47A5"/>
    <w:rsid w:val="009D655C"/>
    <w:rsid w:val="00A200DD"/>
    <w:rsid w:val="00A425E6"/>
    <w:rsid w:val="00A830D5"/>
    <w:rsid w:val="00AC3505"/>
    <w:rsid w:val="00AD2263"/>
    <w:rsid w:val="00B716D9"/>
    <w:rsid w:val="00C17252"/>
    <w:rsid w:val="00C31017"/>
    <w:rsid w:val="00C41948"/>
    <w:rsid w:val="00CC129C"/>
    <w:rsid w:val="00D3414C"/>
    <w:rsid w:val="00D81891"/>
    <w:rsid w:val="00DA3945"/>
    <w:rsid w:val="00DB05B2"/>
    <w:rsid w:val="00E674A4"/>
    <w:rsid w:val="00F361F3"/>
    <w:rsid w:val="00F8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CEE9"/>
  <w15:docId w15:val="{8CDB4BFA-6737-47B5-BE2A-86B9481E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F2A6F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qFormat/>
    <w:rsid w:val="001F2A6F"/>
  </w:style>
  <w:style w:type="character" w:customStyle="1" w:styleId="ZkladntextChar1">
    <w:name w:val="Základný text Char1"/>
    <w:basedOn w:val="Predvolenpsmoodseku"/>
    <w:uiPriority w:val="99"/>
    <w:semiHidden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41AE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ListLabel1">
    <w:name w:val="ListLabel 1"/>
    <w:qFormat/>
    <w:rPr>
      <w:rFonts w:ascii="Times New Roman" w:hAnsi="Times New Roman"/>
      <w:b/>
      <w:color w:val="494949"/>
      <w:sz w:val="24"/>
    </w:rPr>
  </w:style>
  <w:style w:type="character" w:customStyle="1" w:styleId="ListLabel2">
    <w:name w:val="ListLabel 2"/>
    <w:qFormat/>
    <w:rPr>
      <w:b w:val="0"/>
      <w:color w:val="494949"/>
    </w:rPr>
  </w:style>
  <w:style w:type="character" w:customStyle="1" w:styleId="ListLabel3">
    <w:name w:val="ListLabel 3"/>
    <w:qFormat/>
    <w:rPr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customStyle="1" w:styleId="ListLabel4">
    <w:name w:val="ListLabel 4"/>
    <w:qFormat/>
    <w:rPr>
      <w:rFonts w:ascii="Times New Roman" w:hAnsi="Times New Roman"/>
      <w:b/>
      <w:color w:val="494949"/>
      <w:sz w:val="24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color w:val="5F1675"/>
      <w:u w:val="single"/>
      <w:vertAlign w:val="superscript"/>
    </w:rPr>
  </w:style>
  <w:style w:type="character" w:customStyle="1" w:styleId="ListLabel8">
    <w:name w:val="ListLabel 8"/>
    <w:qFormat/>
    <w:rPr>
      <w:vertAlign w:val="superscrip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C4661"/>
    <w:rPr>
      <w:rFonts w:ascii="Times New Roman" w:eastAsia="Times New Roman" w:hAnsi="Times New Roman" w:cs="Times New Roman"/>
      <w:b/>
      <w:bCs/>
      <w:szCs w:val="20"/>
      <w:lang w:eastAsia="sk-SK"/>
    </w:rPr>
  </w:style>
  <w:style w:type="character" w:customStyle="1" w:styleId="ListLabel9">
    <w:name w:val="ListLabel 9"/>
    <w:qFormat/>
    <w:rPr>
      <w:rFonts w:ascii="Times New Roman" w:hAnsi="Times New Roman"/>
      <w:b/>
      <w:color w:val="494949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ascii="Times New Roman" w:hAnsi="Times New Roman"/>
      <w:b/>
      <w:color w:val="494949"/>
      <w:sz w:val="24"/>
    </w:rPr>
  </w:style>
  <w:style w:type="character" w:customStyle="1" w:styleId="ListLabel14">
    <w:name w:val="ListLabel 14"/>
    <w:qFormat/>
    <w:rPr>
      <w:b/>
      <w:color w:val="494949"/>
      <w:sz w:val="24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17">
    <w:name w:val="ListLabel 17"/>
    <w:qFormat/>
    <w:rPr>
      <w:rFonts w:eastAsiaTheme="minorHAnsi"/>
      <w:kern w:val="2"/>
      <w:u w:val="single"/>
      <w:lang w:bidi="hi-IN"/>
    </w:rPr>
  </w:style>
  <w:style w:type="character" w:customStyle="1" w:styleId="ListLabel18">
    <w:name w:val="ListLabel 18"/>
    <w:qFormat/>
    <w:rPr>
      <w:rFonts w:ascii="Times New Roman" w:hAnsi="Times New Roman"/>
      <w:b/>
      <w:color w:val="494949"/>
      <w:sz w:val="24"/>
    </w:rPr>
  </w:style>
  <w:style w:type="character" w:customStyle="1" w:styleId="ListLabel19">
    <w:name w:val="ListLabel 19"/>
    <w:qFormat/>
    <w:rPr>
      <w:rFonts w:ascii="Times New Roman" w:hAnsi="Times New Roman"/>
      <w:sz w:val="24"/>
      <w:szCs w:val="24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21">
    <w:name w:val="ListLabel 21"/>
    <w:qFormat/>
    <w:rPr>
      <w:rFonts w:ascii="Times New Roman" w:eastAsiaTheme="minorHAnsi" w:hAnsi="Times New Roman"/>
      <w:kern w:val="2"/>
      <w:sz w:val="24"/>
      <w:szCs w:val="24"/>
      <w:u w:val="none"/>
      <w:lang w:bidi="hi-IN"/>
    </w:rPr>
  </w:style>
  <w:style w:type="character" w:customStyle="1" w:styleId="ListLabel22">
    <w:name w:val="ListLabel 22"/>
    <w:qFormat/>
    <w:rPr>
      <w:rFonts w:ascii="Times New Roman" w:eastAsiaTheme="minorHAnsi" w:hAnsi="Times New Roman" w:cs="Times New Roman"/>
      <w:kern w:val="2"/>
      <w:sz w:val="24"/>
      <w:szCs w:val="24"/>
      <w:u w:val="none"/>
      <w:lang w:bidi="hi-I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1F2A6F"/>
    <w:pPr>
      <w:jc w:val="both"/>
    </w:pPr>
    <w:rPr>
      <w:rFonts w:eastAsiaTheme="minorEastAsia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aliases w:val="body,Odsek zoznamu2,Odsek,Odsek zoznamu1,Odsek 1."/>
    <w:basedOn w:val="Normlny"/>
    <w:link w:val="OdsekzoznamuChar"/>
    <w:uiPriority w:val="34"/>
    <w:qFormat/>
    <w:rsid w:val="001F2A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41AE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C4661"/>
    <w:rPr>
      <w:b/>
      <w:bCs/>
    </w:rPr>
  </w:style>
  <w:style w:type="paragraph" w:styleId="Normlnywebov">
    <w:name w:val="Normal (Web)"/>
    <w:basedOn w:val="Normlny"/>
    <w:uiPriority w:val="99"/>
    <w:unhideWhenUsed/>
    <w:rsid w:val="00613958"/>
    <w:pPr>
      <w:spacing w:before="144" w:after="144"/>
    </w:pPr>
  </w:style>
  <w:style w:type="character" w:customStyle="1" w:styleId="OdsekzoznamuChar">
    <w:name w:val="Odsek zoznamu Char"/>
    <w:aliases w:val="body Char,Odsek zoznamu2 Char,Odsek Char,Odsek zoznamu1 Char,Odsek 1. Char"/>
    <w:link w:val="Odsekzoznamu"/>
    <w:uiPriority w:val="34"/>
    <w:locked/>
    <w:rsid w:val="00226226"/>
    <w:rPr>
      <w:sz w:val="22"/>
    </w:rPr>
  </w:style>
  <w:style w:type="paragraph" w:styleId="Hlavika">
    <w:name w:val="header"/>
    <w:basedOn w:val="Normlny"/>
    <w:link w:val="HlavikaChar"/>
    <w:uiPriority w:val="99"/>
    <w:unhideWhenUsed/>
    <w:rsid w:val="00D818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18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18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189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5/3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Forišová, Lívia, Mgr.</cp:lastModifiedBy>
  <cp:revision>12</cp:revision>
  <cp:lastPrinted>2020-11-02T07:31:00Z</cp:lastPrinted>
  <dcterms:created xsi:type="dcterms:W3CDTF">2020-11-03T07:30:00Z</dcterms:created>
  <dcterms:modified xsi:type="dcterms:W3CDTF">2020-11-03T07:32:00Z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