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99" w:rsidRPr="00F96C71" w:rsidRDefault="00B326AA">
      <w:pPr>
        <w:jc w:val="center"/>
        <w:rPr>
          <w:b/>
          <w:caps/>
          <w:spacing w:val="30"/>
          <w:szCs w:val="22"/>
        </w:rPr>
      </w:pPr>
      <w:r w:rsidRPr="00F96C71">
        <w:rPr>
          <w:b/>
          <w:caps/>
          <w:spacing w:val="30"/>
          <w:szCs w:val="22"/>
        </w:rPr>
        <w:t>Doložka zlučiteľnosti</w:t>
      </w:r>
    </w:p>
    <w:p w:rsidR="001F0AA3" w:rsidRPr="00F96C71" w:rsidRDefault="00325CAA" w:rsidP="00DC377E">
      <w:pPr>
        <w:jc w:val="center"/>
        <w:rPr>
          <w:b/>
          <w:szCs w:val="22"/>
        </w:rPr>
      </w:pPr>
      <w:r w:rsidRPr="00F96C71">
        <w:rPr>
          <w:b/>
          <w:szCs w:val="22"/>
        </w:rPr>
        <w:t>n</w:t>
      </w:r>
      <w:r w:rsidR="00F8123F">
        <w:rPr>
          <w:b/>
          <w:szCs w:val="22"/>
        </w:rPr>
        <w:t xml:space="preserve">ávrhu zákona </w:t>
      </w:r>
      <w:r w:rsidR="00DC377E" w:rsidRPr="00F96C71">
        <w:rPr>
          <w:b/>
          <w:szCs w:val="22"/>
        </w:rPr>
        <w:t>s právom Európskej únie</w:t>
      </w:r>
    </w:p>
    <w:p w:rsidR="001E22B5" w:rsidRPr="00F96C71" w:rsidRDefault="001E22B5" w:rsidP="00EF7E02">
      <w:pPr>
        <w:ind w:left="425"/>
        <w:jc w:val="center"/>
        <w:rPr>
          <w:b/>
          <w:szCs w:val="22"/>
        </w:rPr>
      </w:pPr>
    </w:p>
    <w:p w:rsidR="00EF7E02" w:rsidRPr="00F96C71" w:rsidRDefault="0072772E" w:rsidP="007519E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>Navrhova</w:t>
      </w:r>
      <w:r w:rsidR="00EF7E02" w:rsidRPr="00F96C71">
        <w:rPr>
          <w:b/>
          <w:bCs/>
          <w:szCs w:val="22"/>
        </w:rPr>
        <w:t xml:space="preserve">teľ </w:t>
      </w:r>
      <w:r w:rsidR="00F8123F">
        <w:rPr>
          <w:b/>
          <w:bCs/>
          <w:szCs w:val="22"/>
        </w:rPr>
        <w:t>zákona</w:t>
      </w:r>
      <w:r w:rsidR="00EF7E02" w:rsidRPr="00F96C71">
        <w:rPr>
          <w:b/>
          <w:bCs/>
          <w:szCs w:val="22"/>
        </w:rPr>
        <w:t>:</w:t>
      </w:r>
      <w:r w:rsidR="00EF7E02" w:rsidRPr="00F96C71">
        <w:rPr>
          <w:szCs w:val="22"/>
        </w:rPr>
        <w:t xml:space="preserve"> </w:t>
      </w:r>
      <w:r w:rsidR="00AE1EAF">
        <w:rPr>
          <w:szCs w:val="22"/>
        </w:rPr>
        <w:t>vláda</w:t>
      </w:r>
      <w:r w:rsidR="007519EA" w:rsidRPr="007519EA">
        <w:rPr>
          <w:szCs w:val="22"/>
        </w:rPr>
        <w:t xml:space="preserve"> Slovenskej republiky</w:t>
      </w:r>
    </w:p>
    <w:p w:rsidR="00EF7E02" w:rsidRPr="00F96C71" w:rsidRDefault="00EF7E02" w:rsidP="00EF7E02">
      <w:pPr>
        <w:jc w:val="both"/>
        <w:rPr>
          <w:bCs/>
          <w:szCs w:val="22"/>
        </w:rPr>
      </w:pPr>
    </w:p>
    <w:p w:rsidR="007F1FAD" w:rsidRPr="007F1FAD" w:rsidRDefault="00EF7E02" w:rsidP="007519EA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 xml:space="preserve">Názov </w:t>
      </w:r>
      <w:r w:rsidR="00F8123F">
        <w:rPr>
          <w:b/>
          <w:bCs/>
          <w:szCs w:val="22"/>
        </w:rPr>
        <w:t>návrhu zákona</w:t>
      </w:r>
      <w:r w:rsidRPr="00F96C71">
        <w:rPr>
          <w:b/>
          <w:bCs/>
          <w:szCs w:val="22"/>
        </w:rPr>
        <w:t xml:space="preserve">: </w:t>
      </w:r>
      <w:r w:rsidR="00AE1EAF" w:rsidRPr="00AE1EAF">
        <w:rPr>
          <w:bCs/>
          <w:szCs w:val="22"/>
        </w:rPr>
        <w:t>vládny n</w:t>
      </w:r>
      <w:r w:rsidR="007519EA" w:rsidRPr="00AE1EAF">
        <w:rPr>
          <w:bCs/>
          <w:szCs w:val="22"/>
        </w:rPr>
        <w:t>ávrh</w:t>
      </w:r>
      <w:r w:rsidR="007519EA" w:rsidRPr="007519EA">
        <w:rPr>
          <w:bCs/>
          <w:szCs w:val="22"/>
        </w:rPr>
        <w:t xml:space="preserve"> zákona, ktorým sa dopĺňa zákon č. 461/2003 Z. z. o sociálnom poistení v znení neskorších predpisov</w:t>
      </w:r>
    </w:p>
    <w:p w:rsidR="009E7FF1" w:rsidRPr="00F96C71" w:rsidRDefault="009E7FF1" w:rsidP="009E7FF1">
      <w:pPr>
        <w:widowControl/>
        <w:autoSpaceDE/>
        <w:autoSpaceDN/>
        <w:adjustRightInd/>
        <w:jc w:val="both"/>
        <w:rPr>
          <w:szCs w:val="22"/>
        </w:rPr>
      </w:pPr>
    </w:p>
    <w:p w:rsidR="00F96C71" w:rsidRPr="00F96C71" w:rsidRDefault="00F96C71" w:rsidP="00F96C7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 xml:space="preserve">Predmet návrhu </w:t>
      </w:r>
      <w:r w:rsidR="00F8123F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upravený v práve Európskej únie:</w:t>
      </w:r>
      <w:bookmarkStart w:id="0" w:name="_GoBack"/>
      <w:bookmarkEnd w:id="0"/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>v primárnom práve, a to</w:t>
      </w:r>
    </w:p>
    <w:p w:rsidR="00F96C71" w:rsidRDefault="00F96C71" w:rsidP="00F96C71">
      <w:pPr>
        <w:pStyle w:val="Zkladntext"/>
        <w:spacing w:after="0"/>
        <w:ind w:left="850"/>
        <w:rPr>
          <w:i/>
          <w:szCs w:val="22"/>
        </w:rPr>
      </w:pPr>
      <w:r w:rsidRPr="00F96C71">
        <w:rPr>
          <w:i/>
          <w:szCs w:val="22"/>
        </w:rPr>
        <w:t>čl. 151 a 153 Zmluvy o fungovaní Európskej úni</w:t>
      </w:r>
      <w:r w:rsidR="001474A5">
        <w:rPr>
          <w:i/>
          <w:szCs w:val="22"/>
        </w:rPr>
        <w:t xml:space="preserve">e (Ú. v. </w:t>
      </w:r>
      <w:r w:rsidR="0084679A">
        <w:rPr>
          <w:i/>
          <w:szCs w:val="22"/>
        </w:rPr>
        <w:t xml:space="preserve">ES </w:t>
      </w:r>
      <w:r w:rsidR="001474A5">
        <w:rPr>
          <w:i/>
          <w:szCs w:val="22"/>
        </w:rPr>
        <w:t xml:space="preserve">C </w:t>
      </w:r>
      <w:r w:rsidR="0084679A" w:rsidRPr="0084679A">
        <w:rPr>
          <w:i/>
          <w:szCs w:val="22"/>
        </w:rPr>
        <w:t>202, 7.6.2016</w:t>
      </w:r>
      <w:r w:rsidR="001474A5">
        <w:rPr>
          <w:i/>
          <w:szCs w:val="22"/>
        </w:rPr>
        <w:t>)</w:t>
      </w:r>
      <w:r w:rsidRPr="00F96C71">
        <w:rPr>
          <w:i/>
          <w:szCs w:val="22"/>
        </w:rPr>
        <w:t xml:space="preserve"> </w:t>
      </w:r>
    </w:p>
    <w:p w:rsidR="000C29C2" w:rsidRPr="00F96C71" w:rsidRDefault="000C29C2" w:rsidP="00F96C71">
      <w:pPr>
        <w:pStyle w:val="Zkladntext"/>
        <w:spacing w:after="0"/>
        <w:ind w:left="850"/>
        <w:rPr>
          <w:i/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rPr>
          <w:szCs w:val="22"/>
        </w:rPr>
      </w:pPr>
      <w:r w:rsidRPr="00F96C71">
        <w:rPr>
          <w:szCs w:val="22"/>
        </w:rPr>
        <w:t xml:space="preserve">v sekundárnom práve, a to  </w:t>
      </w:r>
    </w:p>
    <w:p w:rsidR="00F96C71" w:rsidRPr="00F96C71" w:rsidRDefault="00F96C71" w:rsidP="00F96C71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F96C71">
        <w:rPr>
          <w:i/>
          <w:szCs w:val="22"/>
        </w:rPr>
        <w:t xml:space="preserve">Nariadenie (ES) Európskeho parlamentu a Rady 883/2004 z 29. apríla 2004 o koordinácii systémov sociálneho zabezpečenia </w:t>
      </w:r>
      <w:r w:rsidR="00201942">
        <w:rPr>
          <w:i/>
          <w:szCs w:val="22"/>
        </w:rPr>
        <w:t>(</w:t>
      </w:r>
      <w:r w:rsidR="00AD7950">
        <w:rPr>
          <w:i/>
          <w:szCs w:val="22"/>
        </w:rPr>
        <w:t>Ú. v. EÚ L 166, 30.4.2004;</w:t>
      </w:r>
      <w:r w:rsidR="00436E70">
        <w:rPr>
          <w:i/>
          <w:szCs w:val="22"/>
        </w:rPr>
        <w:t xml:space="preserve"> </w:t>
      </w:r>
      <w:r w:rsidRPr="00F96C71">
        <w:rPr>
          <w:i/>
          <w:szCs w:val="22"/>
        </w:rPr>
        <w:t>Mimoriadne vydanie Ú. v. EÚ, kap. 5/zv. 5</w:t>
      </w:r>
      <w:r w:rsidR="00201942">
        <w:rPr>
          <w:i/>
          <w:szCs w:val="22"/>
        </w:rPr>
        <w:t>)</w:t>
      </w:r>
      <w:r w:rsidR="00201942" w:rsidRPr="00201942">
        <w:rPr>
          <w:i/>
          <w:szCs w:val="22"/>
        </w:rPr>
        <w:t xml:space="preserve"> </w:t>
      </w:r>
      <w:r w:rsidR="00201942" w:rsidRPr="00F96C71">
        <w:rPr>
          <w:i/>
          <w:szCs w:val="22"/>
        </w:rPr>
        <w:t>v platnom znení</w:t>
      </w:r>
      <w:r w:rsidR="00013D2A">
        <w:rPr>
          <w:i/>
          <w:szCs w:val="22"/>
        </w:rPr>
        <w:t xml:space="preserve">, </w:t>
      </w:r>
      <w:r w:rsidR="00201942">
        <w:rPr>
          <w:i/>
          <w:szCs w:val="22"/>
        </w:rPr>
        <w:t>gestor: MPSVR SR</w:t>
      </w:r>
    </w:p>
    <w:p w:rsidR="000C29C2" w:rsidRDefault="00F96C71" w:rsidP="00201942">
      <w:pPr>
        <w:pStyle w:val="Zkladntext"/>
        <w:numPr>
          <w:ilvl w:val="0"/>
          <w:numId w:val="13"/>
        </w:numPr>
        <w:spacing w:after="0"/>
        <w:ind w:left="1210"/>
        <w:jc w:val="both"/>
        <w:rPr>
          <w:i/>
          <w:szCs w:val="22"/>
        </w:rPr>
      </w:pPr>
      <w:r w:rsidRPr="00F96C71">
        <w:rPr>
          <w:i/>
          <w:szCs w:val="22"/>
        </w:rPr>
        <w:t>Nariadenie Európskeho parlamentu a Rady (ES) č. 987/2009 zo 16. septembra 2009, ktorým sa stanovuje postup vykonávania nariadenia (ES) č. 883/2004 o koordinácii systémov sociálneho zabezpečenia (Ú. v. EÚ L 2</w:t>
      </w:r>
      <w:r w:rsidR="00F74596">
        <w:rPr>
          <w:i/>
          <w:szCs w:val="22"/>
        </w:rPr>
        <w:t>84, 30.10.2009) v platnom znení,</w:t>
      </w:r>
      <w:r w:rsidRPr="00F96C71">
        <w:rPr>
          <w:i/>
          <w:szCs w:val="22"/>
        </w:rPr>
        <w:t xml:space="preserve"> </w:t>
      </w:r>
      <w:r w:rsidR="00201942">
        <w:rPr>
          <w:i/>
          <w:szCs w:val="22"/>
        </w:rPr>
        <w:t>gestor: MPSVR SR</w:t>
      </w:r>
    </w:p>
    <w:p w:rsidR="000C29C2" w:rsidRPr="00F96C71" w:rsidRDefault="000C29C2" w:rsidP="008517A4">
      <w:pPr>
        <w:pStyle w:val="Zkladntext"/>
        <w:spacing w:after="0"/>
        <w:ind w:left="1210"/>
        <w:jc w:val="both"/>
        <w:rPr>
          <w:i/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spacing w:after="0"/>
        <w:ind w:left="896"/>
        <w:jc w:val="both"/>
        <w:rPr>
          <w:szCs w:val="22"/>
        </w:rPr>
      </w:pPr>
      <w:r w:rsidRPr="00F96C71">
        <w:rPr>
          <w:szCs w:val="22"/>
        </w:rPr>
        <w:t xml:space="preserve">judikatúre Súdneho dvora Európskej únie </w:t>
      </w:r>
    </w:p>
    <w:p w:rsidR="00F96C71" w:rsidRPr="00F96C71" w:rsidRDefault="00F96C71" w:rsidP="00F96C71">
      <w:pPr>
        <w:ind w:left="896"/>
        <w:jc w:val="both"/>
        <w:rPr>
          <w:i/>
          <w:szCs w:val="22"/>
        </w:rPr>
      </w:pPr>
      <w:r w:rsidRPr="00F96C71">
        <w:rPr>
          <w:i/>
          <w:szCs w:val="22"/>
        </w:rPr>
        <w:t>nie je upravená.</w:t>
      </w:r>
    </w:p>
    <w:p w:rsidR="00F96C71" w:rsidRPr="00F96C71" w:rsidRDefault="00F96C71" w:rsidP="00F96C71">
      <w:pPr>
        <w:ind w:left="896"/>
        <w:jc w:val="both"/>
        <w:rPr>
          <w:szCs w:val="22"/>
        </w:rPr>
      </w:pPr>
    </w:p>
    <w:p w:rsidR="00F96C71" w:rsidRPr="005B093B" w:rsidRDefault="00F96C71" w:rsidP="005B093B">
      <w:pPr>
        <w:widowControl/>
        <w:numPr>
          <w:ilvl w:val="0"/>
          <w:numId w:val="8"/>
        </w:numPr>
        <w:tabs>
          <w:tab w:val="left" w:pos="340"/>
        </w:tabs>
        <w:autoSpaceDE/>
        <w:autoSpaceDN/>
        <w:adjustRightInd/>
        <w:jc w:val="both"/>
        <w:rPr>
          <w:b/>
          <w:bCs/>
          <w:szCs w:val="22"/>
        </w:rPr>
      </w:pPr>
      <w:r w:rsidRPr="00F96C71">
        <w:rPr>
          <w:b/>
          <w:bCs/>
          <w:szCs w:val="22"/>
        </w:rPr>
        <w:t>Záväzky Slovenskej republiky vo vzťahu k Európskej únii:</w:t>
      </w: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>Lehota na prebranie príslušného právneho aktu Európskej únie, príp. aj osobitná lehota účinnosti jeho ustanovení</w:t>
      </w:r>
      <w:r w:rsidRPr="00F96C71">
        <w:rPr>
          <w:szCs w:val="22"/>
        </w:rPr>
        <w:t xml:space="preserve"> 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szCs w:val="22"/>
        </w:rPr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bezpredmetné,</w:t>
      </w:r>
    </w:p>
    <w:p w:rsidR="00F96C71" w:rsidRPr="00F96C71" w:rsidRDefault="00F96C71" w:rsidP="00F96C71">
      <w:pPr>
        <w:pStyle w:val="Zkladntext"/>
        <w:tabs>
          <w:tab w:val="left" w:pos="360"/>
        </w:tabs>
        <w:spacing w:after="0"/>
        <w:ind w:left="850"/>
        <w:jc w:val="both"/>
        <w:rPr>
          <w:szCs w:val="22"/>
        </w:rPr>
      </w:pPr>
    </w:p>
    <w:p w:rsidR="00F96C71" w:rsidRPr="00F96C71" w:rsidRDefault="00F96C71" w:rsidP="00F96C71">
      <w:pPr>
        <w:pStyle w:val="Zkladntext"/>
        <w:numPr>
          <w:ilvl w:val="1"/>
          <w:numId w:val="8"/>
        </w:numPr>
        <w:tabs>
          <w:tab w:val="left" w:pos="360"/>
        </w:tabs>
        <w:spacing w:after="0"/>
        <w:jc w:val="both"/>
        <w:rPr>
          <w:szCs w:val="22"/>
        </w:rPr>
      </w:pPr>
      <w:r w:rsidRPr="00F96C71">
        <w:rPr>
          <w:bCs/>
          <w:szCs w:val="22"/>
        </w:rPr>
        <w:t xml:space="preserve">Informácia o právnych predpisoch, v ktorých sú uvádzané právne akty Európskej únie už prebrané, spolu s uvedením rozsahu ich prebrania, príp. potreby prijatia ďalších úprav  </w:t>
      </w:r>
    </w:p>
    <w:p w:rsidR="00F96C71" w:rsidRDefault="00F96C71" w:rsidP="00AA3FBC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  <w:r w:rsidRPr="00F96C71">
        <w:rPr>
          <w:i/>
          <w:szCs w:val="22"/>
        </w:rPr>
        <w:t>bezpredmetné.</w:t>
      </w:r>
    </w:p>
    <w:p w:rsidR="005B093B" w:rsidRPr="00AA3FBC" w:rsidRDefault="005B093B" w:rsidP="00AA3FBC">
      <w:pPr>
        <w:pStyle w:val="Zkladntext"/>
        <w:tabs>
          <w:tab w:val="left" w:pos="360"/>
        </w:tabs>
        <w:spacing w:after="0"/>
        <w:ind w:left="850"/>
        <w:jc w:val="both"/>
        <w:rPr>
          <w:i/>
          <w:szCs w:val="22"/>
        </w:rPr>
      </w:pPr>
    </w:p>
    <w:p w:rsidR="00B42045" w:rsidRPr="005B093B" w:rsidRDefault="00F96C71" w:rsidP="005B093B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2"/>
        </w:rPr>
      </w:pPr>
      <w:r w:rsidRPr="00F96C71">
        <w:rPr>
          <w:b/>
          <w:bCs/>
          <w:szCs w:val="22"/>
        </w:rPr>
        <w:t xml:space="preserve">Návrh </w:t>
      </w:r>
      <w:r w:rsidR="00F8123F">
        <w:rPr>
          <w:b/>
          <w:bCs/>
          <w:szCs w:val="22"/>
        </w:rPr>
        <w:t>zákona</w:t>
      </w:r>
      <w:r w:rsidRPr="00F96C71">
        <w:rPr>
          <w:b/>
          <w:bCs/>
          <w:szCs w:val="22"/>
        </w:rPr>
        <w:t xml:space="preserve"> je zlučiteľný s právom Európskej únie:  </w:t>
      </w:r>
      <w:r w:rsidRPr="00F96C71">
        <w:rPr>
          <w:bCs/>
          <w:i/>
          <w:szCs w:val="22"/>
        </w:rPr>
        <w:t>úplne.</w:t>
      </w:r>
      <w:r w:rsidRPr="00F96C71">
        <w:rPr>
          <w:szCs w:val="22"/>
        </w:rPr>
        <w:t xml:space="preserve"> </w:t>
      </w:r>
      <w:r w:rsidRPr="005B093B">
        <w:rPr>
          <w:szCs w:val="22"/>
        </w:rPr>
        <w:t xml:space="preserve"> </w:t>
      </w:r>
    </w:p>
    <w:sectPr w:rsidR="00B42045" w:rsidRPr="005B093B" w:rsidSect="006575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2E" w:rsidRDefault="00992A2E" w:rsidP="00BD43E1">
      <w:r>
        <w:separator/>
      </w:r>
    </w:p>
  </w:endnote>
  <w:endnote w:type="continuationSeparator" w:id="0">
    <w:p w:rsidR="00992A2E" w:rsidRDefault="00992A2E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2E" w:rsidRDefault="00992A2E" w:rsidP="00BD43E1">
      <w:r>
        <w:separator/>
      </w:r>
    </w:p>
  </w:footnote>
  <w:footnote w:type="continuationSeparator" w:id="0">
    <w:p w:rsidR="00992A2E" w:rsidRDefault="00992A2E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8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3A5A62"/>
    <w:multiLevelType w:val="hybridMultilevel"/>
    <w:tmpl w:val="6B38BBAA"/>
    <w:lvl w:ilvl="0" w:tplc="041B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13D2A"/>
    <w:rsid w:val="0002374E"/>
    <w:rsid w:val="000276FB"/>
    <w:rsid w:val="00037977"/>
    <w:rsid w:val="00054456"/>
    <w:rsid w:val="00071467"/>
    <w:rsid w:val="0007247F"/>
    <w:rsid w:val="000725AE"/>
    <w:rsid w:val="0008795F"/>
    <w:rsid w:val="000A348D"/>
    <w:rsid w:val="000B1A59"/>
    <w:rsid w:val="000C03E4"/>
    <w:rsid w:val="000C29C2"/>
    <w:rsid w:val="000C5887"/>
    <w:rsid w:val="000E0681"/>
    <w:rsid w:val="000E1E24"/>
    <w:rsid w:val="00107EDE"/>
    <w:rsid w:val="00113E98"/>
    <w:rsid w:val="00117A7E"/>
    <w:rsid w:val="00124FC2"/>
    <w:rsid w:val="001344F1"/>
    <w:rsid w:val="001357E2"/>
    <w:rsid w:val="0013695E"/>
    <w:rsid w:val="00142762"/>
    <w:rsid w:val="001474A5"/>
    <w:rsid w:val="0015003A"/>
    <w:rsid w:val="0015027E"/>
    <w:rsid w:val="00155B35"/>
    <w:rsid w:val="001575EC"/>
    <w:rsid w:val="00181543"/>
    <w:rsid w:val="00182BF7"/>
    <w:rsid w:val="001D60ED"/>
    <w:rsid w:val="001E22B5"/>
    <w:rsid w:val="001F0AA3"/>
    <w:rsid w:val="0020025E"/>
    <w:rsid w:val="00201942"/>
    <w:rsid w:val="002071DE"/>
    <w:rsid w:val="00211C71"/>
    <w:rsid w:val="00215E62"/>
    <w:rsid w:val="0023485C"/>
    <w:rsid w:val="00240FDA"/>
    <w:rsid w:val="002445DC"/>
    <w:rsid w:val="00246C78"/>
    <w:rsid w:val="00250D76"/>
    <w:rsid w:val="002526D6"/>
    <w:rsid w:val="002659D1"/>
    <w:rsid w:val="00271585"/>
    <w:rsid w:val="002735ED"/>
    <w:rsid w:val="00276BB9"/>
    <w:rsid w:val="00281A3F"/>
    <w:rsid w:val="00283500"/>
    <w:rsid w:val="00285E47"/>
    <w:rsid w:val="002B14DD"/>
    <w:rsid w:val="002B4595"/>
    <w:rsid w:val="002B6DE4"/>
    <w:rsid w:val="002B7C84"/>
    <w:rsid w:val="002C08EE"/>
    <w:rsid w:val="002C7C9B"/>
    <w:rsid w:val="002E435F"/>
    <w:rsid w:val="002E6AC0"/>
    <w:rsid w:val="002E791C"/>
    <w:rsid w:val="00300793"/>
    <w:rsid w:val="003215E6"/>
    <w:rsid w:val="00325CAA"/>
    <w:rsid w:val="00340C1E"/>
    <w:rsid w:val="00341EC3"/>
    <w:rsid w:val="00344702"/>
    <w:rsid w:val="0035100C"/>
    <w:rsid w:val="0035400A"/>
    <w:rsid w:val="00366367"/>
    <w:rsid w:val="003718B0"/>
    <w:rsid w:val="003841E0"/>
    <w:rsid w:val="003C31FC"/>
    <w:rsid w:val="003D0DA4"/>
    <w:rsid w:val="003D1B1F"/>
    <w:rsid w:val="003D28B1"/>
    <w:rsid w:val="003D2BE7"/>
    <w:rsid w:val="003D5590"/>
    <w:rsid w:val="003F1ADA"/>
    <w:rsid w:val="003F45C5"/>
    <w:rsid w:val="00404DEA"/>
    <w:rsid w:val="00424278"/>
    <w:rsid w:val="00426895"/>
    <w:rsid w:val="004306CC"/>
    <w:rsid w:val="00432A16"/>
    <w:rsid w:val="004354FA"/>
    <w:rsid w:val="00435BB9"/>
    <w:rsid w:val="00436E70"/>
    <w:rsid w:val="0044691D"/>
    <w:rsid w:val="00450D5C"/>
    <w:rsid w:val="00454837"/>
    <w:rsid w:val="0047240E"/>
    <w:rsid w:val="00482868"/>
    <w:rsid w:val="004A3CCB"/>
    <w:rsid w:val="004B021D"/>
    <w:rsid w:val="004B1E6E"/>
    <w:rsid w:val="004B53DD"/>
    <w:rsid w:val="004B65EC"/>
    <w:rsid w:val="004D2B1E"/>
    <w:rsid w:val="004E54FC"/>
    <w:rsid w:val="004E7F23"/>
    <w:rsid w:val="00507EDE"/>
    <w:rsid w:val="005104A3"/>
    <w:rsid w:val="00516D1E"/>
    <w:rsid w:val="005552A8"/>
    <w:rsid w:val="005622BE"/>
    <w:rsid w:val="005658B5"/>
    <w:rsid w:val="00567CA2"/>
    <w:rsid w:val="005767BB"/>
    <w:rsid w:val="00586E55"/>
    <w:rsid w:val="00587BE5"/>
    <w:rsid w:val="00596545"/>
    <w:rsid w:val="005B093B"/>
    <w:rsid w:val="005D7F10"/>
    <w:rsid w:val="005E2740"/>
    <w:rsid w:val="005E6D46"/>
    <w:rsid w:val="00607B48"/>
    <w:rsid w:val="00614F78"/>
    <w:rsid w:val="00616DE2"/>
    <w:rsid w:val="00621CBC"/>
    <w:rsid w:val="00630AAA"/>
    <w:rsid w:val="00632C56"/>
    <w:rsid w:val="006341A1"/>
    <w:rsid w:val="006544A1"/>
    <w:rsid w:val="0065501E"/>
    <w:rsid w:val="006553F6"/>
    <w:rsid w:val="00657530"/>
    <w:rsid w:val="00660F2E"/>
    <w:rsid w:val="0066285B"/>
    <w:rsid w:val="00666BFE"/>
    <w:rsid w:val="00686D1F"/>
    <w:rsid w:val="00687F86"/>
    <w:rsid w:val="00695786"/>
    <w:rsid w:val="006B4937"/>
    <w:rsid w:val="006B6EA7"/>
    <w:rsid w:val="006B7FBC"/>
    <w:rsid w:val="006C0FA0"/>
    <w:rsid w:val="006E1D9C"/>
    <w:rsid w:val="006E2064"/>
    <w:rsid w:val="006F3E6F"/>
    <w:rsid w:val="0070526D"/>
    <w:rsid w:val="00707A48"/>
    <w:rsid w:val="00713CCB"/>
    <w:rsid w:val="0072332C"/>
    <w:rsid w:val="00723D18"/>
    <w:rsid w:val="007257D3"/>
    <w:rsid w:val="0072772E"/>
    <w:rsid w:val="00730DF6"/>
    <w:rsid w:val="00733620"/>
    <w:rsid w:val="00736478"/>
    <w:rsid w:val="007519EA"/>
    <w:rsid w:val="00751A6F"/>
    <w:rsid w:val="0075334B"/>
    <w:rsid w:val="00755D81"/>
    <w:rsid w:val="0076250F"/>
    <w:rsid w:val="007727E6"/>
    <w:rsid w:val="00775725"/>
    <w:rsid w:val="0077683C"/>
    <w:rsid w:val="00782FB0"/>
    <w:rsid w:val="007836B5"/>
    <w:rsid w:val="00785F65"/>
    <w:rsid w:val="007A7118"/>
    <w:rsid w:val="007D0A60"/>
    <w:rsid w:val="007D53DD"/>
    <w:rsid w:val="007D7422"/>
    <w:rsid w:val="007D7D7B"/>
    <w:rsid w:val="007E6612"/>
    <w:rsid w:val="007E6B87"/>
    <w:rsid w:val="007F1FAD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679A"/>
    <w:rsid w:val="00847169"/>
    <w:rsid w:val="00850567"/>
    <w:rsid w:val="008517A4"/>
    <w:rsid w:val="00855F3C"/>
    <w:rsid w:val="008570D4"/>
    <w:rsid w:val="008655C8"/>
    <w:rsid w:val="008703B8"/>
    <w:rsid w:val="0087220B"/>
    <w:rsid w:val="00872B90"/>
    <w:rsid w:val="00873DC1"/>
    <w:rsid w:val="0087586A"/>
    <w:rsid w:val="00887A34"/>
    <w:rsid w:val="008979A9"/>
    <w:rsid w:val="008C1615"/>
    <w:rsid w:val="008C23C0"/>
    <w:rsid w:val="008C37F1"/>
    <w:rsid w:val="008C4CEE"/>
    <w:rsid w:val="008D6EBE"/>
    <w:rsid w:val="008E2891"/>
    <w:rsid w:val="009225C1"/>
    <w:rsid w:val="009303DE"/>
    <w:rsid w:val="00933205"/>
    <w:rsid w:val="009342B8"/>
    <w:rsid w:val="00950474"/>
    <w:rsid w:val="0095394A"/>
    <w:rsid w:val="00954AB4"/>
    <w:rsid w:val="00965482"/>
    <w:rsid w:val="00965A45"/>
    <w:rsid w:val="00970F68"/>
    <w:rsid w:val="0098365B"/>
    <w:rsid w:val="00992A2E"/>
    <w:rsid w:val="009C3C41"/>
    <w:rsid w:val="009C5B0D"/>
    <w:rsid w:val="009C63EB"/>
    <w:rsid w:val="009C6FE2"/>
    <w:rsid w:val="009E0371"/>
    <w:rsid w:val="009E18FC"/>
    <w:rsid w:val="009E504F"/>
    <w:rsid w:val="009E7FF1"/>
    <w:rsid w:val="00A006F0"/>
    <w:rsid w:val="00A025FE"/>
    <w:rsid w:val="00A029EA"/>
    <w:rsid w:val="00A1469A"/>
    <w:rsid w:val="00A21745"/>
    <w:rsid w:val="00A263FB"/>
    <w:rsid w:val="00A3595E"/>
    <w:rsid w:val="00A37D84"/>
    <w:rsid w:val="00A60A2B"/>
    <w:rsid w:val="00A73284"/>
    <w:rsid w:val="00A7348C"/>
    <w:rsid w:val="00A849F8"/>
    <w:rsid w:val="00A90EF1"/>
    <w:rsid w:val="00AA3FBC"/>
    <w:rsid w:val="00AA4E34"/>
    <w:rsid w:val="00AB1DB9"/>
    <w:rsid w:val="00AB6F16"/>
    <w:rsid w:val="00AD1244"/>
    <w:rsid w:val="00AD3B70"/>
    <w:rsid w:val="00AD7950"/>
    <w:rsid w:val="00AE1EAF"/>
    <w:rsid w:val="00AF2690"/>
    <w:rsid w:val="00AF544A"/>
    <w:rsid w:val="00B0195B"/>
    <w:rsid w:val="00B0680D"/>
    <w:rsid w:val="00B10CAB"/>
    <w:rsid w:val="00B128CD"/>
    <w:rsid w:val="00B2011F"/>
    <w:rsid w:val="00B323CC"/>
    <w:rsid w:val="00B326AA"/>
    <w:rsid w:val="00B42045"/>
    <w:rsid w:val="00B50DEE"/>
    <w:rsid w:val="00B5341B"/>
    <w:rsid w:val="00B55DE7"/>
    <w:rsid w:val="00B56913"/>
    <w:rsid w:val="00B64281"/>
    <w:rsid w:val="00B744D0"/>
    <w:rsid w:val="00B77262"/>
    <w:rsid w:val="00B84C26"/>
    <w:rsid w:val="00B8534D"/>
    <w:rsid w:val="00BA351C"/>
    <w:rsid w:val="00BB4538"/>
    <w:rsid w:val="00BD3088"/>
    <w:rsid w:val="00BD43E1"/>
    <w:rsid w:val="00C12975"/>
    <w:rsid w:val="00C14EA0"/>
    <w:rsid w:val="00C210D0"/>
    <w:rsid w:val="00C24A30"/>
    <w:rsid w:val="00C25041"/>
    <w:rsid w:val="00C377CF"/>
    <w:rsid w:val="00C447A2"/>
    <w:rsid w:val="00C45BC3"/>
    <w:rsid w:val="00C544A3"/>
    <w:rsid w:val="00C6515D"/>
    <w:rsid w:val="00C65F88"/>
    <w:rsid w:val="00C71160"/>
    <w:rsid w:val="00C73111"/>
    <w:rsid w:val="00C83404"/>
    <w:rsid w:val="00C850C2"/>
    <w:rsid w:val="00C90146"/>
    <w:rsid w:val="00C90471"/>
    <w:rsid w:val="00CA43BA"/>
    <w:rsid w:val="00CA5D08"/>
    <w:rsid w:val="00CB2297"/>
    <w:rsid w:val="00CC2F0F"/>
    <w:rsid w:val="00CC4CA2"/>
    <w:rsid w:val="00CD2723"/>
    <w:rsid w:val="00CF581F"/>
    <w:rsid w:val="00D0004A"/>
    <w:rsid w:val="00D03462"/>
    <w:rsid w:val="00D04078"/>
    <w:rsid w:val="00D07920"/>
    <w:rsid w:val="00D14B99"/>
    <w:rsid w:val="00D23CEF"/>
    <w:rsid w:val="00D3580A"/>
    <w:rsid w:val="00D465F6"/>
    <w:rsid w:val="00D5344B"/>
    <w:rsid w:val="00D564C6"/>
    <w:rsid w:val="00D64EA3"/>
    <w:rsid w:val="00D7275F"/>
    <w:rsid w:val="00D75FDD"/>
    <w:rsid w:val="00D97C69"/>
    <w:rsid w:val="00DA4F85"/>
    <w:rsid w:val="00DB3DB1"/>
    <w:rsid w:val="00DB419D"/>
    <w:rsid w:val="00DC377E"/>
    <w:rsid w:val="00DC3BFE"/>
    <w:rsid w:val="00DC75EB"/>
    <w:rsid w:val="00DD419F"/>
    <w:rsid w:val="00DE554C"/>
    <w:rsid w:val="00E01A11"/>
    <w:rsid w:val="00E034C0"/>
    <w:rsid w:val="00E1013A"/>
    <w:rsid w:val="00E13C02"/>
    <w:rsid w:val="00E70215"/>
    <w:rsid w:val="00E756A2"/>
    <w:rsid w:val="00E85F6B"/>
    <w:rsid w:val="00E94A41"/>
    <w:rsid w:val="00EB27AC"/>
    <w:rsid w:val="00EB2A4A"/>
    <w:rsid w:val="00EB2D0A"/>
    <w:rsid w:val="00EB625F"/>
    <w:rsid w:val="00EC0E8B"/>
    <w:rsid w:val="00EC2AB6"/>
    <w:rsid w:val="00EC5BF8"/>
    <w:rsid w:val="00EE1A2D"/>
    <w:rsid w:val="00EF7E02"/>
    <w:rsid w:val="00F0081A"/>
    <w:rsid w:val="00F169A3"/>
    <w:rsid w:val="00F172C6"/>
    <w:rsid w:val="00F41028"/>
    <w:rsid w:val="00F54A03"/>
    <w:rsid w:val="00F55A2E"/>
    <w:rsid w:val="00F603FF"/>
    <w:rsid w:val="00F74596"/>
    <w:rsid w:val="00F7726E"/>
    <w:rsid w:val="00F8123F"/>
    <w:rsid w:val="00F9624F"/>
    <w:rsid w:val="00F96C71"/>
    <w:rsid w:val="00F96CC3"/>
    <w:rsid w:val="00FA32F7"/>
    <w:rsid w:val="00FB5574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  <w:style w:type="character" w:customStyle="1" w:styleId="awspan1">
    <w:name w:val="awspan1"/>
    <w:basedOn w:val="Predvolenpsmoodseku"/>
    <w:rsid w:val="000C29C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30079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eastAsia="cs-CZ"/>
    </w:rPr>
  </w:style>
  <w:style w:type="character" w:customStyle="1" w:styleId="awspan">
    <w:name w:val="awspan"/>
    <w:basedOn w:val="Predvolenpsmoodseku"/>
    <w:rsid w:val="00B0195B"/>
  </w:style>
  <w:style w:type="character" w:styleId="Hypertextovprepojenie">
    <w:name w:val="Hyperlink"/>
    <w:basedOn w:val="Predvolenpsmoodseku"/>
    <w:uiPriority w:val="99"/>
    <w:unhideWhenUsed/>
    <w:rsid w:val="002526D6"/>
    <w:rPr>
      <w:color w:val="0000FF" w:themeColor="hyperlink"/>
      <w:u w:val="single"/>
    </w:rPr>
  </w:style>
  <w:style w:type="character" w:customStyle="1" w:styleId="awspan1">
    <w:name w:val="awspan1"/>
    <w:basedOn w:val="Predvolenpsmoodseku"/>
    <w:rsid w:val="000C29C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FDC8D28-AC86-4484-A057-B873849C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4</cp:revision>
  <cp:lastPrinted>2019-03-27T08:25:00Z</cp:lastPrinted>
  <dcterms:created xsi:type="dcterms:W3CDTF">2020-10-13T13:52:00Z</dcterms:created>
  <dcterms:modified xsi:type="dcterms:W3CDTF">2020-10-14T07:09:00Z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