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7DC" w:rsidRDefault="001B67DC" w:rsidP="001B67DC">
      <w:pPr>
        <w:pStyle w:val="Bezriadkovania"/>
        <w:jc w:val="center"/>
        <w:rPr>
          <w:rFonts w:ascii="Times New Roman" w:hAnsi="Times New Roman" w:cs="Times New Roman"/>
          <w:b/>
          <w:sz w:val="24"/>
        </w:rPr>
      </w:pPr>
      <w:r>
        <w:rPr>
          <w:rFonts w:ascii="Times New Roman" w:hAnsi="Times New Roman" w:cs="Times New Roman"/>
          <w:b/>
          <w:sz w:val="28"/>
          <w:szCs w:val="28"/>
        </w:rPr>
        <w:t>DÔVODOVÁ SPRÁVA</w:t>
      </w:r>
    </w:p>
    <w:p w:rsidR="001B67DC" w:rsidRDefault="001B67DC" w:rsidP="001B67DC">
      <w:pPr>
        <w:pStyle w:val="Bezriadkovania"/>
        <w:jc w:val="both"/>
        <w:rPr>
          <w:rFonts w:ascii="Times New Roman" w:hAnsi="Times New Roman" w:cs="Times New Roman"/>
          <w:b/>
          <w:sz w:val="24"/>
        </w:rPr>
      </w:pPr>
    </w:p>
    <w:p w:rsidR="001B67DC" w:rsidRDefault="001B67DC" w:rsidP="006254BF">
      <w:pPr>
        <w:pStyle w:val="Bezriadkovania"/>
        <w:jc w:val="both"/>
        <w:rPr>
          <w:rFonts w:ascii="Times New Roman" w:hAnsi="Times New Roman" w:cs="Times New Roman"/>
          <w:b/>
          <w:sz w:val="24"/>
        </w:rPr>
      </w:pPr>
      <w:r>
        <w:rPr>
          <w:rFonts w:ascii="Times New Roman" w:hAnsi="Times New Roman" w:cs="Times New Roman"/>
          <w:b/>
          <w:sz w:val="24"/>
        </w:rPr>
        <w:t>Všeobecná časť</w:t>
      </w:r>
    </w:p>
    <w:p w:rsidR="001B67DC" w:rsidRDefault="001B67DC" w:rsidP="001B67DC">
      <w:pPr>
        <w:pStyle w:val="Bezriadkovania"/>
        <w:rPr>
          <w:rFonts w:ascii="Times New Roman" w:hAnsi="Times New Roman" w:cs="Times New Roman"/>
          <w:b/>
          <w:sz w:val="24"/>
        </w:rPr>
      </w:pPr>
    </w:p>
    <w:p w:rsidR="00A82405" w:rsidRDefault="00A26ABB" w:rsidP="002171F7">
      <w:pPr>
        <w:pStyle w:val="Bezriadkovania"/>
        <w:ind w:firstLine="426"/>
        <w:jc w:val="both"/>
        <w:rPr>
          <w:rFonts w:ascii="Times New Roman" w:hAnsi="Times New Roman" w:cs="Times New Roman"/>
          <w:sz w:val="24"/>
          <w:szCs w:val="24"/>
        </w:rPr>
      </w:pPr>
      <w:r>
        <w:rPr>
          <w:rFonts w:ascii="Times New Roman" w:hAnsi="Times New Roman" w:cs="Times New Roman"/>
          <w:sz w:val="24"/>
        </w:rPr>
        <w:t>Návrh z</w:t>
      </w:r>
      <w:r w:rsidR="00B42031">
        <w:rPr>
          <w:rFonts w:ascii="Times New Roman" w:hAnsi="Times New Roman" w:cs="Times New Roman"/>
          <w:sz w:val="24"/>
        </w:rPr>
        <w:t>ákon</w:t>
      </w:r>
      <w:r>
        <w:rPr>
          <w:rFonts w:ascii="Times New Roman" w:hAnsi="Times New Roman" w:cs="Times New Roman"/>
          <w:sz w:val="24"/>
        </w:rPr>
        <w:t xml:space="preserve">a </w:t>
      </w:r>
      <w:r w:rsidR="00A82405" w:rsidRPr="00A82405">
        <w:rPr>
          <w:rFonts w:ascii="Times New Roman" w:hAnsi="Times New Roman" w:cs="Times New Roman"/>
          <w:sz w:val="24"/>
          <w:szCs w:val="24"/>
        </w:rPr>
        <w:t>o poskytovaní dotácií v pôsobnosti Ministerst</w:t>
      </w:r>
      <w:r w:rsidR="000420B4">
        <w:rPr>
          <w:rFonts w:ascii="Times New Roman" w:hAnsi="Times New Roman" w:cs="Times New Roman"/>
          <w:sz w:val="24"/>
          <w:szCs w:val="24"/>
        </w:rPr>
        <w:t xml:space="preserve">va kultúry Slovenskej republiky </w:t>
      </w:r>
      <w:r>
        <w:rPr>
          <w:rFonts w:ascii="Times New Roman" w:hAnsi="Times New Roman" w:cs="Times New Roman"/>
          <w:sz w:val="24"/>
          <w:szCs w:val="24"/>
        </w:rPr>
        <w:t xml:space="preserve">(ďalej len „návrh zákona“) </w:t>
      </w:r>
      <w:r w:rsidR="00A82405">
        <w:rPr>
          <w:rFonts w:ascii="Times New Roman" w:hAnsi="Times New Roman" w:cs="Times New Roman"/>
          <w:sz w:val="24"/>
          <w:szCs w:val="24"/>
        </w:rPr>
        <w:t xml:space="preserve">sa predkladá </w:t>
      </w:r>
      <w:r w:rsidR="0022132B">
        <w:rPr>
          <w:rFonts w:ascii="Times New Roman" w:hAnsi="Times New Roman" w:cs="Times New Roman"/>
          <w:sz w:val="24"/>
          <w:szCs w:val="24"/>
        </w:rPr>
        <w:t>ako iniciatívny materiál</w:t>
      </w:r>
      <w:r w:rsidR="00A82405">
        <w:rPr>
          <w:rFonts w:ascii="Times New Roman" w:hAnsi="Times New Roman" w:cs="Times New Roman"/>
          <w:sz w:val="24"/>
          <w:szCs w:val="24"/>
        </w:rPr>
        <w:t>.</w:t>
      </w:r>
      <w:r w:rsidR="00A82405" w:rsidRPr="00A82405">
        <w:rPr>
          <w:rFonts w:ascii="Times New Roman" w:hAnsi="Times New Roman" w:cs="Times New Roman"/>
          <w:sz w:val="24"/>
          <w:szCs w:val="24"/>
        </w:rPr>
        <w:t xml:space="preserve"> </w:t>
      </w:r>
      <w:r w:rsidR="00A82405">
        <w:rPr>
          <w:rFonts w:ascii="Times New Roman" w:hAnsi="Times New Roman" w:cs="Times New Roman"/>
          <w:sz w:val="24"/>
          <w:szCs w:val="24"/>
        </w:rPr>
        <w:t xml:space="preserve"> </w:t>
      </w:r>
    </w:p>
    <w:p w:rsidR="00A82405" w:rsidRDefault="00A82405" w:rsidP="00A82405">
      <w:pPr>
        <w:pStyle w:val="Bezriadkovania"/>
        <w:ind w:firstLine="426"/>
        <w:jc w:val="both"/>
        <w:rPr>
          <w:rFonts w:ascii="Times New Roman" w:hAnsi="Times New Roman" w:cs="Times New Roman"/>
          <w:sz w:val="24"/>
          <w:szCs w:val="24"/>
        </w:rPr>
      </w:pPr>
    </w:p>
    <w:p w:rsidR="005B0F33" w:rsidRDefault="0022132B" w:rsidP="00A82405">
      <w:pPr>
        <w:pStyle w:val="Bezriadkovania"/>
        <w:ind w:firstLine="426"/>
        <w:jc w:val="both"/>
        <w:rPr>
          <w:rFonts w:ascii="Times New Roman" w:hAnsi="Times New Roman" w:cs="Times New Roman"/>
          <w:sz w:val="24"/>
          <w:szCs w:val="24"/>
        </w:rPr>
      </w:pPr>
      <w:r>
        <w:rPr>
          <w:rFonts w:ascii="Times New Roman" w:hAnsi="Times New Roman" w:cs="Times New Roman"/>
          <w:sz w:val="24"/>
          <w:szCs w:val="24"/>
        </w:rPr>
        <w:t>D</w:t>
      </w:r>
      <w:r w:rsidR="0031401C">
        <w:rPr>
          <w:rFonts w:ascii="Times New Roman" w:hAnsi="Times New Roman" w:cs="Times New Roman"/>
          <w:sz w:val="24"/>
          <w:szCs w:val="24"/>
        </w:rPr>
        <w:t xml:space="preserve">ôvodmi </w:t>
      </w:r>
      <w:r w:rsidR="00F3174D">
        <w:rPr>
          <w:rFonts w:ascii="Times New Roman" w:hAnsi="Times New Roman" w:cs="Times New Roman"/>
          <w:sz w:val="24"/>
          <w:szCs w:val="24"/>
        </w:rPr>
        <w:t>vypracovania návrhu</w:t>
      </w:r>
      <w:r w:rsidR="00A82405">
        <w:rPr>
          <w:rFonts w:ascii="Times New Roman" w:hAnsi="Times New Roman" w:cs="Times New Roman"/>
          <w:sz w:val="24"/>
          <w:szCs w:val="24"/>
        </w:rPr>
        <w:t xml:space="preserve"> </w:t>
      </w:r>
      <w:r w:rsidR="0031401C">
        <w:rPr>
          <w:rFonts w:ascii="Times New Roman" w:hAnsi="Times New Roman" w:cs="Times New Roman"/>
          <w:sz w:val="24"/>
          <w:szCs w:val="24"/>
        </w:rPr>
        <w:t>zákona je potreba</w:t>
      </w:r>
      <w:r w:rsidR="005B0F33" w:rsidRPr="005B0F33">
        <w:rPr>
          <w:rFonts w:ascii="Times New Roman" w:hAnsi="Times New Roman" w:cs="Times New Roman"/>
          <w:sz w:val="24"/>
          <w:szCs w:val="24"/>
        </w:rPr>
        <w:t xml:space="preserve"> </w:t>
      </w:r>
    </w:p>
    <w:p w:rsidR="005B0F33" w:rsidRDefault="005B0F33" w:rsidP="00A82405">
      <w:pPr>
        <w:pStyle w:val="Bezriadkovania"/>
        <w:ind w:firstLine="426"/>
        <w:jc w:val="both"/>
        <w:rPr>
          <w:rFonts w:ascii="Times New Roman" w:hAnsi="Times New Roman" w:cs="Times New Roman"/>
          <w:sz w:val="24"/>
          <w:szCs w:val="24"/>
        </w:rPr>
      </w:pPr>
    </w:p>
    <w:p w:rsidR="005B0F33" w:rsidRDefault="0031401C" w:rsidP="005B0F33">
      <w:pPr>
        <w:pStyle w:val="Bezriadkovania"/>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upraviť niektoré doterajšie ustanovenia</w:t>
      </w:r>
      <w:r w:rsidR="005B0F33" w:rsidRPr="00A82405">
        <w:rPr>
          <w:rFonts w:ascii="Times New Roman" w:hAnsi="Times New Roman" w:cs="Times New Roman"/>
          <w:sz w:val="24"/>
          <w:szCs w:val="24"/>
        </w:rPr>
        <w:t xml:space="preserve"> zákona vzhľadom na aplikačné problémy v sú</w:t>
      </w:r>
      <w:r w:rsidR="007C2A09">
        <w:rPr>
          <w:rFonts w:ascii="Times New Roman" w:hAnsi="Times New Roman" w:cs="Times New Roman"/>
          <w:sz w:val="24"/>
          <w:szCs w:val="24"/>
        </w:rPr>
        <w:t>vislosti s poskytovaním dotácií</w:t>
      </w:r>
      <w:r w:rsidR="00D1134D">
        <w:rPr>
          <w:rFonts w:ascii="Times New Roman" w:hAnsi="Times New Roman" w:cs="Times New Roman"/>
          <w:sz w:val="24"/>
          <w:szCs w:val="24"/>
        </w:rPr>
        <w:t xml:space="preserve"> </w:t>
      </w:r>
      <w:r w:rsidR="005B0F33" w:rsidRPr="005B0F33">
        <w:rPr>
          <w:rFonts w:ascii="Times New Roman" w:hAnsi="Times New Roman" w:cs="Times New Roman"/>
          <w:sz w:val="24"/>
          <w:szCs w:val="24"/>
        </w:rPr>
        <w:t xml:space="preserve">(najmä precizovanie niektorých ustanovení, </w:t>
      </w:r>
      <w:r w:rsidR="00F1303B">
        <w:rPr>
          <w:rFonts w:ascii="Times New Roman" w:hAnsi="Times New Roman" w:cs="Times New Roman"/>
          <w:sz w:val="24"/>
          <w:szCs w:val="24"/>
        </w:rPr>
        <w:t>určenie</w:t>
      </w:r>
      <w:r w:rsidR="005B0F33" w:rsidRPr="005B0F33">
        <w:rPr>
          <w:rFonts w:ascii="Times New Roman" w:hAnsi="Times New Roman" w:cs="Times New Roman"/>
          <w:sz w:val="24"/>
          <w:szCs w:val="24"/>
        </w:rPr>
        <w:t xml:space="preserve"> subjektov, ktoré môžu byť žiadateľmi</w:t>
      </w:r>
      <w:r w:rsidR="005B0F33">
        <w:rPr>
          <w:rFonts w:ascii="Times New Roman" w:hAnsi="Times New Roman" w:cs="Times New Roman"/>
          <w:sz w:val="24"/>
          <w:szCs w:val="24"/>
        </w:rPr>
        <w:t xml:space="preserve"> o poskytnutie dotácie), </w:t>
      </w:r>
    </w:p>
    <w:p w:rsidR="005B0F33" w:rsidRDefault="0031401C" w:rsidP="005B0F33">
      <w:pPr>
        <w:pStyle w:val="Bezriadkovania"/>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upraviť podmien</w:t>
      </w:r>
      <w:r w:rsidR="005B0F33" w:rsidRPr="005B0F33">
        <w:rPr>
          <w:rFonts w:ascii="Times New Roman" w:hAnsi="Times New Roman" w:cs="Times New Roman"/>
          <w:sz w:val="24"/>
          <w:szCs w:val="24"/>
        </w:rPr>
        <w:t>k</w:t>
      </w:r>
      <w:r>
        <w:rPr>
          <w:rFonts w:ascii="Times New Roman" w:hAnsi="Times New Roman" w:cs="Times New Roman"/>
          <w:sz w:val="24"/>
          <w:szCs w:val="24"/>
        </w:rPr>
        <w:t>y</w:t>
      </w:r>
      <w:r w:rsidR="005B0F33" w:rsidRPr="005B0F33">
        <w:rPr>
          <w:rFonts w:ascii="Times New Roman" w:hAnsi="Times New Roman" w:cs="Times New Roman"/>
          <w:sz w:val="24"/>
          <w:szCs w:val="24"/>
        </w:rPr>
        <w:t xml:space="preserve"> poskytnutia dotácie, </w:t>
      </w:r>
    </w:p>
    <w:p w:rsidR="005B0F33" w:rsidRDefault="0022132B" w:rsidP="005B0F33">
      <w:pPr>
        <w:pStyle w:val="Bezriadkovania"/>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reflektovať skúsenosti pri poskytovaní dotácií v súvislosti s krízou spôsobenou ochorením COVID-19</w:t>
      </w:r>
      <w:r w:rsidR="00D1134D">
        <w:rPr>
          <w:rFonts w:ascii="Times New Roman" w:hAnsi="Times New Roman" w:cs="Times New Roman"/>
          <w:sz w:val="24"/>
          <w:szCs w:val="24"/>
        </w:rPr>
        <w:t>,</w:t>
      </w:r>
      <w:r w:rsidR="005B0F33" w:rsidRPr="005B0F33">
        <w:rPr>
          <w:rFonts w:ascii="Times New Roman" w:hAnsi="Times New Roman" w:cs="Times New Roman"/>
          <w:sz w:val="24"/>
          <w:szCs w:val="24"/>
        </w:rPr>
        <w:t xml:space="preserve"> </w:t>
      </w:r>
    </w:p>
    <w:p w:rsidR="005B0F33" w:rsidRDefault="00237DDC" w:rsidP="005B0F33">
      <w:pPr>
        <w:pStyle w:val="Bezriadkovania"/>
        <w:numPr>
          <w:ilvl w:val="0"/>
          <w:numId w:val="2"/>
        </w:numPr>
        <w:ind w:left="709" w:hanging="283"/>
        <w:jc w:val="both"/>
        <w:rPr>
          <w:rFonts w:ascii="Times New Roman" w:hAnsi="Times New Roman" w:cs="Times New Roman"/>
          <w:sz w:val="24"/>
          <w:szCs w:val="24"/>
        </w:rPr>
      </w:pPr>
      <w:r>
        <w:rPr>
          <w:rFonts w:ascii="Times New Roman" w:hAnsi="Times New Roman" w:cs="Times New Roman"/>
          <w:sz w:val="24"/>
          <w:szCs w:val="24"/>
        </w:rPr>
        <w:t>znižovania</w:t>
      </w:r>
      <w:r w:rsidR="005B0F33" w:rsidRPr="005B0F33">
        <w:rPr>
          <w:rFonts w:ascii="Times New Roman" w:hAnsi="Times New Roman" w:cs="Times New Roman"/>
          <w:sz w:val="24"/>
          <w:szCs w:val="24"/>
        </w:rPr>
        <w:t xml:space="preserve"> </w:t>
      </w:r>
      <w:r w:rsidR="005B0F33" w:rsidRPr="00A82405">
        <w:rPr>
          <w:rFonts w:ascii="Times New Roman" w:hAnsi="Times New Roman" w:cs="Times New Roman"/>
          <w:sz w:val="24"/>
          <w:szCs w:val="24"/>
        </w:rPr>
        <w:t>administratívnej záťaže pre žiadateľov o poskytnutie dotácie.</w:t>
      </w:r>
    </w:p>
    <w:p w:rsidR="005B0F33" w:rsidRDefault="005B0F33" w:rsidP="00A82405">
      <w:pPr>
        <w:pStyle w:val="Bezriadkovania"/>
        <w:ind w:firstLine="426"/>
        <w:jc w:val="both"/>
        <w:rPr>
          <w:rFonts w:ascii="Times New Roman" w:hAnsi="Times New Roman" w:cs="Times New Roman"/>
          <w:sz w:val="24"/>
          <w:szCs w:val="24"/>
        </w:rPr>
      </w:pPr>
    </w:p>
    <w:p w:rsidR="00F3174D" w:rsidRDefault="00D1134D" w:rsidP="00D1134D">
      <w:pPr>
        <w:pStyle w:val="Bezriadkovania"/>
        <w:ind w:firstLine="426"/>
        <w:jc w:val="both"/>
        <w:rPr>
          <w:rFonts w:ascii="Times New Roman" w:hAnsi="Times New Roman" w:cs="Times New Roman"/>
          <w:sz w:val="24"/>
          <w:szCs w:val="24"/>
        </w:rPr>
      </w:pPr>
      <w:r>
        <w:rPr>
          <w:rFonts w:ascii="Times New Roman" w:hAnsi="Times New Roman" w:cs="Times New Roman"/>
          <w:sz w:val="24"/>
          <w:szCs w:val="24"/>
        </w:rPr>
        <w:t>Znižovanie administratívnej záťaže spočíva v tom, že ž</w:t>
      </w:r>
      <w:r w:rsidR="00A82405" w:rsidRPr="00A82405">
        <w:rPr>
          <w:rFonts w:ascii="Times New Roman" w:hAnsi="Times New Roman" w:cs="Times New Roman"/>
          <w:sz w:val="24"/>
          <w:szCs w:val="24"/>
        </w:rPr>
        <w:t>iadateľ o poskytnutie dotácie už nebude vybrané údaje preukazovať ministerstvu kultúry predl</w:t>
      </w:r>
      <w:r>
        <w:rPr>
          <w:rFonts w:ascii="Times New Roman" w:hAnsi="Times New Roman" w:cs="Times New Roman"/>
          <w:sz w:val="24"/>
          <w:szCs w:val="24"/>
        </w:rPr>
        <w:t>ožením dokladov, ale tieto údaje</w:t>
      </w:r>
      <w:r w:rsidR="00A82405" w:rsidRPr="00A82405">
        <w:rPr>
          <w:rFonts w:ascii="Times New Roman" w:hAnsi="Times New Roman" w:cs="Times New Roman"/>
          <w:sz w:val="24"/>
          <w:szCs w:val="24"/>
        </w:rPr>
        <w:t xml:space="preserve"> ministerstvo kultúry získa samo z informačných systémov verejnej správy. </w:t>
      </w:r>
    </w:p>
    <w:p w:rsidR="00F3174D" w:rsidRDefault="00F3174D" w:rsidP="002171F7">
      <w:pPr>
        <w:pStyle w:val="Bezriadkovania"/>
        <w:jc w:val="both"/>
        <w:rPr>
          <w:rFonts w:ascii="Times New Roman" w:hAnsi="Times New Roman" w:cs="Times New Roman"/>
          <w:sz w:val="24"/>
          <w:szCs w:val="24"/>
        </w:rPr>
      </w:pPr>
    </w:p>
    <w:p w:rsidR="00A82405" w:rsidRDefault="00A82405" w:rsidP="005B0F33">
      <w:pPr>
        <w:pStyle w:val="Bezriadkovania"/>
        <w:ind w:firstLine="426"/>
        <w:jc w:val="both"/>
        <w:rPr>
          <w:rFonts w:ascii="Times New Roman" w:hAnsi="Times New Roman" w:cs="Times New Roman"/>
          <w:sz w:val="24"/>
          <w:szCs w:val="24"/>
        </w:rPr>
      </w:pPr>
      <w:r w:rsidRPr="00A82405">
        <w:rPr>
          <w:rFonts w:ascii="Times New Roman" w:hAnsi="Times New Roman" w:cs="Times New Roman"/>
          <w:sz w:val="24"/>
          <w:szCs w:val="24"/>
        </w:rPr>
        <w:t xml:space="preserve">Vzhľadom na rozsah úprav a prehľadnosť sa namiesto novelizácie doterajšieho zákona </w:t>
      </w:r>
      <w:r w:rsidR="00F3174D">
        <w:rPr>
          <w:rFonts w:ascii="Times New Roman" w:hAnsi="Times New Roman" w:cs="Times New Roman"/>
          <w:sz w:val="24"/>
          <w:szCs w:val="24"/>
        </w:rPr>
        <w:t>predkladá návrh nového</w:t>
      </w:r>
      <w:r w:rsidRPr="00A82405">
        <w:rPr>
          <w:rFonts w:ascii="Times New Roman" w:hAnsi="Times New Roman" w:cs="Times New Roman"/>
          <w:sz w:val="24"/>
          <w:szCs w:val="24"/>
        </w:rPr>
        <w:t xml:space="preserve"> zákona.       </w:t>
      </w:r>
    </w:p>
    <w:p w:rsidR="00F3174D" w:rsidRDefault="00F3174D" w:rsidP="00A82405">
      <w:pPr>
        <w:pStyle w:val="Bezriadkovania"/>
        <w:ind w:firstLine="426"/>
        <w:jc w:val="both"/>
        <w:rPr>
          <w:rFonts w:ascii="Times New Roman" w:hAnsi="Times New Roman" w:cs="Times New Roman"/>
          <w:sz w:val="24"/>
          <w:szCs w:val="24"/>
        </w:rPr>
      </w:pPr>
    </w:p>
    <w:p w:rsidR="005B0F33" w:rsidRDefault="005B0F33" w:rsidP="005B0F33">
      <w:pPr>
        <w:spacing w:line="276" w:lineRule="auto"/>
        <w:ind w:firstLine="426"/>
        <w:jc w:val="both"/>
      </w:pPr>
      <w:r w:rsidRPr="00451EA2">
        <w:t xml:space="preserve">Návrh zákona je v súlade s Ústavou Slovenskej republiky, ústavnými zákonmi, zákonmi a medzinárodnými zmluvami, ktorými je Slovenská republika viazaná, ako aj s právom Európskej únie.  </w:t>
      </w:r>
    </w:p>
    <w:p w:rsidR="005B0F33" w:rsidRDefault="005B0F33" w:rsidP="005B0F33">
      <w:pPr>
        <w:spacing w:line="276" w:lineRule="auto"/>
        <w:ind w:firstLine="708"/>
        <w:jc w:val="both"/>
      </w:pPr>
    </w:p>
    <w:p w:rsidR="001B67DC" w:rsidRDefault="005B0F33" w:rsidP="00F1303B">
      <w:pPr>
        <w:spacing w:line="276" w:lineRule="auto"/>
        <w:ind w:firstLine="426"/>
        <w:jc w:val="both"/>
      </w:pPr>
      <w:r w:rsidRPr="00575288">
        <w:t>Predkladaný návrh zákona nemá vplyv</w:t>
      </w:r>
      <w:r w:rsidR="00277037">
        <w:t xml:space="preserve"> na rozpočet verejnej správy,</w:t>
      </w:r>
      <w:r w:rsidR="00CD0BF1">
        <w:t xml:space="preserve"> na manželstvo, rodičovstvo a rodinu,</w:t>
      </w:r>
      <w:r w:rsidR="00277037">
        <w:t xml:space="preserve"> na podnikateľské prostredie, </w:t>
      </w:r>
      <w:r w:rsidRPr="00575288">
        <w:t>na životné prostredie</w:t>
      </w:r>
      <w:r w:rsidR="00101009" w:rsidRPr="00101009">
        <w:t>, na informatizáciu spoločnosti</w:t>
      </w:r>
      <w:r w:rsidR="00101009">
        <w:t>, na služby verejnej správy pre občana a nemá sociálne</w:t>
      </w:r>
      <w:r w:rsidR="00277037">
        <w:t xml:space="preserve"> vplyv</w:t>
      </w:r>
      <w:r w:rsidR="00101009">
        <w:t>y</w:t>
      </w:r>
      <w:r w:rsidR="00277037">
        <w:t xml:space="preserve">. </w:t>
      </w: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AA59F4" w:rsidRDefault="00AA59F4" w:rsidP="00AA59F4">
      <w:pPr>
        <w:pStyle w:val="Normlnywebov"/>
        <w:spacing w:before="0" w:beforeAutospacing="0" w:after="0" w:afterAutospacing="0"/>
        <w:jc w:val="center"/>
        <w:rPr>
          <w:b/>
          <w:bCs/>
          <w:sz w:val="28"/>
          <w:szCs w:val="28"/>
        </w:rPr>
      </w:pPr>
      <w:r w:rsidRPr="00C579E9">
        <w:rPr>
          <w:b/>
          <w:bCs/>
          <w:sz w:val="28"/>
          <w:szCs w:val="28"/>
        </w:rPr>
        <w:lastRenderedPageBreak/>
        <w:t>Doložka vybraných vplyvov</w:t>
      </w:r>
    </w:p>
    <w:p w:rsidR="00AA59F4" w:rsidRDefault="00AA59F4" w:rsidP="00AA59F4">
      <w:pPr>
        <w:pStyle w:val="Normlnywebov"/>
        <w:spacing w:before="0" w:beforeAutospacing="0" w:after="0" w:afterAutospacing="0"/>
        <w:rPr>
          <w:bCs/>
          <w:sz w:val="22"/>
          <w:szCs w:val="22"/>
        </w:rPr>
      </w:pPr>
    </w:p>
    <w:p w:rsidR="00E20FC3" w:rsidRDefault="00E20FC3" w:rsidP="00AA59F4">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AA59F4" w:rsidTr="000C0202">
        <w:trPr>
          <w:jc w:val="center"/>
        </w:trPr>
        <w:tc>
          <w:tcPr>
            <w:tcW w:w="250" w:type="pct"/>
            <w:gridSpan w:val="2"/>
            <w:tcBorders>
              <w:top w:val="outset" w:sz="6" w:space="0" w:color="000000"/>
              <w:bottom w:val="outset" w:sz="6" w:space="0" w:color="000000"/>
            </w:tcBorders>
            <w:shd w:val="clear" w:color="auto" w:fill="E6E6E6"/>
            <w:hideMark/>
          </w:tcPr>
          <w:p w:rsidR="00AA59F4" w:rsidRDefault="00AA59F4" w:rsidP="000C0202">
            <w:pPr>
              <w:rPr>
                <w:rFonts w:ascii="Times" w:hAnsi="Times" w:cs="Times"/>
                <w:b/>
                <w:bCs/>
                <w:sz w:val="22"/>
                <w:szCs w:val="22"/>
              </w:rPr>
            </w:pPr>
            <w:r>
              <w:rPr>
                <w:rFonts w:ascii="Times" w:hAnsi="Times" w:cs="Times"/>
                <w:b/>
                <w:bCs/>
                <w:sz w:val="22"/>
                <w:szCs w:val="22"/>
              </w:rPr>
              <w:t>  1.  Základné údaje</w:t>
            </w:r>
          </w:p>
        </w:tc>
      </w:tr>
      <w:tr w:rsidR="00AA59F4" w:rsidTr="000C0202">
        <w:trPr>
          <w:trHeight w:val="450"/>
          <w:jc w:val="center"/>
        </w:trPr>
        <w:tc>
          <w:tcPr>
            <w:tcW w:w="250" w:type="pct"/>
            <w:gridSpan w:val="2"/>
            <w:tcBorders>
              <w:top w:val="outset" w:sz="6" w:space="0" w:color="000000"/>
              <w:bottom w:val="outset" w:sz="6" w:space="0" w:color="000000"/>
            </w:tcBorders>
            <w:shd w:val="clear" w:color="auto" w:fill="E6E6E6"/>
            <w:hideMark/>
          </w:tcPr>
          <w:p w:rsidR="00AA59F4" w:rsidRDefault="00AA59F4" w:rsidP="000C0202">
            <w:pPr>
              <w:rPr>
                <w:rFonts w:ascii="Times" w:hAnsi="Times" w:cs="Times"/>
                <w:b/>
                <w:bCs/>
                <w:sz w:val="22"/>
                <w:szCs w:val="22"/>
              </w:rPr>
            </w:pPr>
            <w:r>
              <w:rPr>
                <w:rFonts w:ascii="Times" w:hAnsi="Times" w:cs="Times"/>
                <w:b/>
                <w:bCs/>
                <w:sz w:val="22"/>
                <w:szCs w:val="22"/>
              </w:rPr>
              <w:t>  Názov materiálu</w:t>
            </w:r>
          </w:p>
        </w:tc>
      </w:tr>
      <w:tr w:rsidR="00AA59F4" w:rsidTr="000C0202">
        <w:trPr>
          <w:trHeight w:val="450"/>
          <w:jc w:val="center"/>
        </w:trPr>
        <w:tc>
          <w:tcPr>
            <w:tcW w:w="250" w:type="pct"/>
            <w:gridSpan w:val="2"/>
            <w:tcBorders>
              <w:top w:val="outset" w:sz="6" w:space="0" w:color="000000"/>
              <w:bottom w:val="outset" w:sz="6" w:space="0" w:color="000000"/>
            </w:tcBorders>
            <w:hideMark/>
          </w:tcPr>
          <w:p w:rsidR="00AA59F4" w:rsidRDefault="00AA59F4" w:rsidP="000C0202">
            <w:pPr>
              <w:rPr>
                <w:rFonts w:ascii="Times" w:hAnsi="Times" w:cs="Times"/>
                <w:sz w:val="20"/>
                <w:szCs w:val="20"/>
              </w:rPr>
            </w:pPr>
            <w:r>
              <w:rPr>
                <w:rFonts w:ascii="Times" w:hAnsi="Times" w:cs="Times"/>
                <w:sz w:val="20"/>
                <w:szCs w:val="20"/>
              </w:rPr>
              <w:t>Návrh zákona o poskytovaní dotácií v pôsobnosti Ministerstva kultúry Slovenskej republiky- upravené nové znenie</w:t>
            </w:r>
          </w:p>
        </w:tc>
      </w:tr>
      <w:tr w:rsidR="00AA59F4" w:rsidTr="000C0202">
        <w:trPr>
          <w:trHeight w:val="450"/>
          <w:jc w:val="center"/>
        </w:trPr>
        <w:tc>
          <w:tcPr>
            <w:tcW w:w="250" w:type="pct"/>
            <w:gridSpan w:val="2"/>
            <w:tcBorders>
              <w:top w:val="outset" w:sz="6" w:space="0" w:color="000000"/>
              <w:bottom w:val="outset" w:sz="6" w:space="0" w:color="000000"/>
            </w:tcBorders>
            <w:shd w:val="clear" w:color="auto" w:fill="E6E6E6"/>
            <w:hideMark/>
          </w:tcPr>
          <w:p w:rsidR="00AA59F4" w:rsidRDefault="00AA59F4" w:rsidP="000C0202">
            <w:pPr>
              <w:rPr>
                <w:rFonts w:ascii="Times" w:hAnsi="Times" w:cs="Times"/>
                <w:b/>
                <w:bCs/>
                <w:sz w:val="22"/>
                <w:szCs w:val="22"/>
              </w:rPr>
            </w:pPr>
            <w:r>
              <w:rPr>
                <w:rFonts w:ascii="Times" w:hAnsi="Times" w:cs="Times"/>
                <w:b/>
                <w:bCs/>
                <w:sz w:val="22"/>
                <w:szCs w:val="22"/>
              </w:rPr>
              <w:t>  Predkladateľ (a spolupredkladateľ)</w:t>
            </w:r>
          </w:p>
        </w:tc>
      </w:tr>
      <w:tr w:rsidR="00AA59F4" w:rsidTr="00836970">
        <w:trPr>
          <w:trHeight w:val="295"/>
          <w:jc w:val="center"/>
        </w:trPr>
        <w:tc>
          <w:tcPr>
            <w:tcW w:w="250" w:type="pct"/>
            <w:gridSpan w:val="2"/>
            <w:tcBorders>
              <w:top w:val="outset" w:sz="6" w:space="0" w:color="000000"/>
              <w:bottom w:val="outset" w:sz="6" w:space="0" w:color="000000"/>
            </w:tcBorders>
            <w:hideMark/>
          </w:tcPr>
          <w:p w:rsidR="00AA59F4" w:rsidRDefault="00AA59F4" w:rsidP="000C0202">
            <w:pPr>
              <w:rPr>
                <w:rFonts w:ascii="Times" w:hAnsi="Times" w:cs="Times"/>
                <w:sz w:val="20"/>
                <w:szCs w:val="20"/>
              </w:rPr>
            </w:pPr>
            <w:r>
              <w:rPr>
                <w:rFonts w:ascii="Times" w:hAnsi="Times" w:cs="Times"/>
                <w:sz w:val="20"/>
                <w:szCs w:val="20"/>
              </w:rPr>
              <w:t>Ministerstvo kultúry Slovenskej republiky</w:t>
            </w:r>
          </w:p>
          <w:p w:rsidR="00E20FC3" w:rsidRDefault="00E20FC3" w:rsidP="000C0202">
            <w:pPr>
              <w:rPr>
                <w:rFonts w:ascii="Times" w:hAnsi="Times" w:cs="Times"/>
                <w:sz w:val="20"/>
                <w:szCs w:val="20"/>
              </w:rPr>
            </w:pPr>
          </w:p>
        </w:tc>
      </w:tr>
      <w:tr w:rsidR="00AA59F4" w:rsidTr="000C0202">
        <w:trPr>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rsidR="00AA59F4" w:rsidRDefault="00AA59F4" w:rsidP="000C0202">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AA59F4" w:rsidTr="000C0202">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AA59F4" w:rsidRDefault="00AA59F4" w:rsidP="000C0202">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AA59F4" w:rsidTr="000C0202">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AA59F4" w:rsidRDefault="00AA59F4" w:rsidP="000C0202">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AA59F4" w:rsidTr="00836970">
        <w:trPr>
          <w:trHeight w:val="342"/>
          <w:jc w:val="center"/>
        </w:trPr>
        <w:tc>
          <w:tcPr>
            <w:tcW w:w="0" w:type="auto"/>
            <w:gridSpan w:val="2"/>
            <w:tcBorders>
              <w:top w:val="outset" w:sz="6" w:space="0" w:color="000000"/>
              <w:bottom w:val="outset" w:sz="6" w:space="0" w:color="000000"/>
            </w:tcBorders>
            <w:hideMark/>
          </w:tcPr>
          <w:p w:rsidR="00AA59F4" w:rsidRDefault="00AA59F4" w:rsidP="000C0202">
            <w:pPr>
              <w:rPr>
                <w:rFonts w:ascii="Times" w:hAnsi="Times" w:cs="Times"/>
                <w:sz w:val="20"/>
                <w:szCs w:val="20"/>
              </w:rPr>
            </w:pPr>
          </w:p>
        </w:tc>
      </w:tr>
      <w:tr w:rsidR="00AA59F4" w:rsidTr="000C0202">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AA59F4" w:rsidRDefault="00AA59F4" w:rsidP="000C0202">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tcBorders>
            <w:hideMark/>
          </w:tcPr>
          <w:p w:rsidR="00AA59F4" w:rsidRDefault="00AA59F4" w:rsidP="000C0202">
            <w:pPr>
              <w:rPr>
                <w:rFonts w:ascii="Times" w:hAnsi="Times" w:cs="Times"/>
                <w:sz w:val="20"/>
                <w:szCs w:val="20"/>
              </w:rPr>
            </w:pPr>
            <w:r>
              <w:rPr>
                <w:rFonts w:ascii="Times" w:hAnsi="Times" w:cs="Times"/>
                <w:sz w:val="20"/>
                <w:szCs w:val="20"/>
              </w:rPr>
              <w:t>Začiatok:    ..</w:t>
            </w:r>
            <w:r>
              <w:rPr>
                <w:rFonts w:ascii="Times" w:hAnsi="Times" w:cs="Times"/>
                <w:sz w:val="20"/>
                <w:szCs w:val="20"/>
              </w:rPr>
              <w:br/>
              <w:t>Ukončenie: ..</w:t>
            </w:r>
          </w:p>
        </w:tc>
      </w:tr>
      <w:tr w:rsidR="00AA59F4" w:rsidTr="000C0202">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AA59F4" w:rsidRDefault="00AA59F4" w:rsidP="000C0202">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tcBorders>
            <w:hideMark/>
          </w:tcPr>
          <w:p w:rsidR="00AA59F4" w:rsidRDefault="00AA59F4" w:rsidP="000C0202">
            <w:pPr>
              <w:rPr>
                <w:rFonts w:ascii="Times" w:hAnsi="Times" w:cs="Times"/>
                <w:sz w:val="20"/>
                <w:szCs w:val="20"/>
              </w:rPr>
            </w:pPr>
            <w:r>
              <w:rPr>
                <w:rFonts w:ascii="Times" w:hAnsi="Times" w:cs="Times"/>
                <w:sz w:val="20"/>
                <w:szCs w:val="20"/>
              </w:rPr>
              <w:t>august 2020</w:t>
            </w:r>
          </w:p>
        </w:tc>
      </w:tr>
      <w:tr w:rsidR="00AA59F4" w:rsidTr="000C0202">
        <w:trPr>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rsidR="00AA59F4" w:rsidRDefault="00AA59F4" w:rsidP="000C0202">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tcBorders>
            <w:hideMark/>
          </w:tcPr>
          <w:p w:rsidR="00AA59F4" w:rsidRDefault="00AA59F4" w:rsidP="000C0202">
            <w:pPr>
              <w:rPr>
                <w:rFonts w:ascii="Times" w:hAnsi="Times" w:cs="Times"/>
                <w:b/>
                <w:bCs/>
                <w:sz w:val="22"/>
                <w:szCs w:val="22"/>
              </w:rPr>
            </w:pPr>
            <w:r w:rsidRPr="00AA0F31">
              <w:rPr>
                <w:rFonts w:ascii="Times" w:hAnsi="Times" w:cs="Times"/>
                <w:sz w:val="20"/>
                <w:szCs w:val="20"/>
              </w:rPr>
              <w:t>september 2020</w:t>
            </w:r>
          </w:p>
        </w:tc>
      </w:tr>
    </w:tbl>
    <w:p w:rsidR="00AA59F4" w:rsidRDefault="00AA59F4" w:rsidP="00AA59F4">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AA59F4" w:rsidTr="000C0202">
        <w:trPr>
          <w:jc w:val="center"/>
        </w:trPr>
        <w:tc>
          <w:tcPr>
            <w:tcW w:w="250" w:type="pct"/>
            <w:tcBorders>
              <w:top w:val="outset" w:sz="6" w:space="0" w:color="000000"/>
              <w:bottom w:val="outset" w:sz="6" w:space="0" w:color="000000"/>
            </w:tcBorders>
            <w:shd w:val="clear" w:color="auto" w:fill="E6E6E6"/>
            <w:hideMark/>
          </w:tcPr>
          <w:p w:rsidR="00AA59F4" w:rsidRDefault="00AA59F4" w:rsidP="000C0202">
            <w:pPr>
              <w:rPr>
                <w:rFonts w:ascii="Times" w:hAnsi="Times" w:cs="Times"/>
                <w:b/>
                <w:bCs/>
                <w:sz w:val="22"/>
                <w:szCs w:val="22"/>
              </w:rPr>
            </w:pPr>
            <w:r>
              <w:rPr>
                <w:rFonts w:ascii="Times" w:hAnsi="Times" w:cs="Times"/>
                <w:b/>
                <w:bCs/>
                <w:sz w:val="22"/>
                <w:szCs w:val="22"/>
              </w:rPr>
              <w:t>  2.  Definícia problému</w:t>
            </w:r>
          </w:p>
        </w:tc>
      </w:tr>
      <w:tr w:rsidR="00AA59F4" w:rsidTr="000C0202">
        <w:trPr>
          <w:trHeight w:val="600"/>
          <w:jc w:val="center"/>
        </w:trPr>
        <w:tc>
          <w:tcPr>
            <w:tcW w:w="250" w:type="pct"/>
            <w:tcBorders>
              <w:top w:val="outset" w:sz="6" w:space="0" w:color="000000"/>
              <w:bottom w:val="outset" w:sz="6" w:space="0" w:color="000000"/>
            </w:tcBorders>
            <w:hideMark/>
          </w:tcPr>
          <w:p w:rsidR="00AA59F4" w:rsidRPr="00D73BCD" w:rsidRDefault="00AA59F4" w:rsidP="000C0202">
            <w:pPr>
              <w:rPr>
                <w:rFonts w:ascii="Times" w:hAnsi="Times" w:cs="Times"/>
                <w:sz w:val="20"/>
                <w:szCs w:val="20"/>
              </w:rPr>
            </w:pPr>
            <w:r w:rsidRPr="00D73BCD">
              <w:rPr>
                <w:rFonts w:ascii="Times" w:hAnsi="Times" w:cs="Times"/>
                <w:sz w:val="20"/>
                <w:szCs w:val="20"/>
              </w:rPr>
              <w:t xml:space="preserve">Návrh zákona nahrádza doterajší zákon č. 434/2010 Z. z. o poskytovaní dotácií v pôsobnosti Ministerstva kultúry Slovenskej republiky v znení neskorších predpisov. Je vypracovaný </w:t>
            </w:r>
            <w:r>
              <w:rPr>
                <w:rFonts w:ascii="Times" w:hAnsi="Times" w:cs="Times"/>
                <w:sz w:val="20"/>
                <w:szCs w:val="20"/>
              </w:rPr>
              <w:t>ako iniciatívny materiál</w:t>
            </w:r>
            <w:r w:rsidRPr="00D73BCD">
              <w:rPr>
                <w:rFonts w:ascii="Times" w:hAnsi="Times" w:cs="Times"/>
                <w:sz w:val="20"/>
                <w:szCs w:val="20"/>
              </w:rPr>
              <w:t xml:space="preserve"> na základe poznatkov z aplikačnej praxe. </w:t>
            </w:r>
            <w:r>
              <w:rPr>
                <w:rFonts w:ascii="Times" w:hAnsi="Times" w:cs="Times"/>
                <w:sz w:val="20"/>
                <w:szCs w:val="20"/>
              </w:rPr>
              <w:t>D</w:t>
            </w:r>
            <w:r w:rsidRPr="00D73BCD">
              <w:rPr>
                <w:rFonts w:ascii="Times" w:hAnsi="Times" w:cs="Times"/>
                <w:sz w:val="20"/>
                <w:szCs w:val="20"/>
              </w:rPr>
              <w:t>ôvodmi vypracovania návrhu zákona je potreba</w:t>
            </w:r>
            <w:r>
              <w:rPr>
                <w:rFonts w:ascii="Times" w:hAnsi="Times" w:cs="Times"/>
                <w:sz w:val="20"/>
                <w:szCs w:val="20"/>
              </w:rPr>
              <w:t>:</w:t>
            </w:r>
          </w:p>
          <w:p w:rsidR="00AA59F4" w:rsidRPr="00D73BCD" w:rsidRDefault="00AA59F4" w:rsidP="00AA59F4">
            <w:pPr>
              <w:numPr>
                <w:ilvl w:val="0"/>
                <w:numId w:val="2"/>
              </w:numPr>
              <w:rPr>
                <w:rFonts w:ascii="Times" w:hAnsi="Times" w:cs="Times"/>
                <w:sz w:val="20"/>
                <w:szCs w:val="20"/>
              </w:rPr>
            </w:pPr>
            <w:r w:rsidRPr="00D73BCD">
              <w:rPr>
                <w:rFonts w:ascii="Times" w:hAnsi="Times" w:cs="Times"/>
                <w:sz w:val="20"/>
                <w:szCs w:val="20"/>
              </w:rPr>
              <w:t xml:space="preserve">upraviť niektoré doterajšie ustanovenia zákona vzhľadom na aplikačné problémy v súvislosti s poskytovaním dotácií (najmä precizovanie niektorých ustanovení, určenie subjektov, ktoré môžu byť žiadateľmi o poskytnutie dotácie), </w:t>
            </w:r>
          </w:p>
          <w:p w:rsidR="00AA59F4" w:rsidRPr="00D73BCD" w:rsidRDefault="00AA59F4" w:rsidP="00AA59F4">
            <w:pPr>
              <w:numPr>
                <w:ilvl w:val="0"/>
                <w:numId w:val="2"/>
              </w:numPr>
              <w:rPr>
                <w:rFonts w:ascii="Times" w:hAnsi="Times" w:cs="Times"/>
                <w:sz w:val="20"/>
                <w:szCs w:val="20"/>
              </w:rPr>
            </w:pPr>
            <w:r w:rsidRPr="00D73BCD">
              <w:rPr>
                <w:rFonts w:ascii="Times" w:hAnsi="Times" w:cs="Times"/>
                <w:sz w:val="20"/>
                <w:szCs w:val="20"/>
              </w:rPr>
              <w:t xml:space="preserve">upraviť podmienky poskytnutia dotácie, </w:t>
            </w:r>
          </w:p>
          <w:p w:rsidR="00AA59F4" w:rsidRDefault="00AA59F4" w:rsidP="00AA59F4">
            <w:pPr>
              <w:numPr>
                <w:ilvl w:val="0"/>
                <w:numId w:val="2"/>
              </w:numPr>
              <w:rPr>
                <w:rFonts w:ascii="Times" w:hAnsi="Times" w:cs="Times"/>
                <w:sz w:val="20"/>
                <w:szCs w:val="20"/>
              </w:rPr>
            </w:pPr>
            <w:r w:rsidRPr="00AA0F31">
              <w:rPr>
                <w:rFonts w:ascii="Times" w:hAnsi="Times" w:cs="Times"/>
                <w:sz w:val="20"/>
                <w:szCs w:val="20"/>
              </w:rPr>
              <w:t>reflektovať skúsenosti pri poskytovaní dotácií v súvislosti s krízou spôsobenou ochorením COVID-19</w:t>
            </w:r>
            <w:r w:rsidRPr="00D73BCD">
              <w:rPr>
                <w:rFonts w:ascii="Times" w:hAnsi="Times" w:cs="Times"/>
                <w:sz w:val="20"/>
                <w:szCs w:val="20"/>
              </w:rPr>
              <w:t xml:space="preserve">, </w:t>
            </w:r>
          </w:p>
          <w:p w:rsidR="00AA59F4" w:rsidRPr="00D73BCD" w:rsidRDefault="00AA59F4" w:rsidP="00AA59F4">
            <w:pPr>
              <w:numPr>
                <w:ilvl w:val="0"/>
                <w:numId w:val="2"/>
              </w:numPr>
              <w:rPr>
                <w:rFonts w:ascii="Times" w:hAnsi="Times" w:cs="Times"/>
                <w:sz w:val="20"/>
                <w:szCs w:val="20"/>
              </w:rPr>
            </w:pPr>
            <w:r w:rsidRPr="00D73BCD">
              <w:rPr>
                <w:rFonts w:ascii="Times" w:hAnsi="Times" w:cs="Times"/>
                <w:sz w:val="20"/>
                <w:szCs w:val="20"/>
              </w:rPr>
              <w:t>znižovania administratívnej záťaže pre žiadateľov o poskytnutie dotácie.</w:t>
            </w:r>
          </w:p>
        </w:tc>
      </w:tr>
      <w:tr w:rsidR="00AA59F4" w:rsidTr="000C0202">
        <w:trPr>
          <w:jc w:val="center"/>
        </w:trPr>
        <w:tc>
          <w:tcPr>
            <w:tcW w:w="250" w:type="pct"/>
            <w:tcBorders>
              <w:top w:val="outset" w:sz="6" w:space="0" w:color="000000"/>
              <w:bottom w:val="outset" w:sz="6" w:space="0" w:color="000000"/>
            </w:tcBorders>
            <w:shd w:val="clear" w:color="auto" w:fill="E6E6E6"/>
            <w:hideMark/>
          </w:tcPr>
          <w:p w:rsidR="00AA59F4" w:rsidRDefault="00AA59F4" w:rsidP="000C0202">
            <w:pPr>
              <w:rPr>
                <w:rFonts w:ascii="Times" w:hAnsi="Times" w:cs="Times"/>
                <w:b/>
                <w:bCs/>
                <w:sz w:val="22"/>
                <w:szCs w:val="22"/>
              </w:rPr>
            </w:pPr>
            <w:r>
              <w:rPr>
                <w:rFonts w:ascii="Times" w:hAnsi="Times" w:cs="Times"/>
                <w:b/>
                <w:bCs/>
                <w:sz w:val="22"/>
                <w:szCs w:val="22"/>
              </w:rPr>
              <w:t>  3.  Ciele a výsledný stav</w:t>
            </w:r>
          </w:p>
        </w:tc>
      </w:tr>
      <w:tr w:rsidR="00AA59F4" w:rsidTr="000C0202">
        <w:trPr>
          <w:trHeight w:val="600"/>
          <w:jc w:val="center"/>
        </w:trPr>
        <w:tc>
          <w:tcPr>
            <w:tcW w:w="250" w:type="pct"/>
            <w:tcBorders>
              <w:top w:val="outset" w:sz="6" w:space="0" w:color="000000"/>
              <w:bottom w:val="outset" w:sz="6" w:space="0" w:color="000000"/>
            </w:tcBorders>
            <w:hideMark/>
          </w:tcPr>
          <w:p w:rsidR="00AA59F4" w:rsidRDefault="00AA59F4" w:rsidP="000C0202">
            <w:pPr>
              <w:rPr>
                <w:rFonts w:ascii="Times" w:hAnsi="Times" w:cs="Times"/>
                <w:sz w:val="20"/>
                <w:szCs w:val="20"/>
              </w:rPr>
            </w:pPr>
            <w:r>
              <w:rPr>
                <w:rFonts w:ascii="Times" w:hAnsi="Times" w:cs="Times"/>
                <w:sz w:val="20"/>
                <w:szCs w:val="20"/>
              </w:rPr>
              <w:t xml:space="preserve">Cieľom návrhu nového zákona je </w:t>
            </w:r>
            <w:r w:rsidRPr="00D73BCD">
              <w:rPr>
                <w:rFonts w:ascii="Times" w:hAnsi="Times" w:cs="Times"/>
                <w:sz w:val="20"/>
                <w:szCs w:val="20"/>
              </w:rPr>
              <w:t>upraviť niektoré doterajšie ustanovenia zákona vzhľadom na aplikačné problémy v súvislosti s poskytovaním dotácií (najmä precizovanie niektorých ustanovení, určenie subjektov, ktoré môžu byť žiadateľmi o poskytnutie dotácie)</w:t>
            </w:r>
            <w:r>
              <w:rPr>
                <w:rFonts w:ascii="Times" w:hAnsi="Times" w:cs="Times"/>
                <w:sz w:val="20"/>
                <w:szCs w:val="20"/>
              </w:rPr>
              <w:t>.</w:t>
            </w:r>
          </w:p>
        </w:tc>
      </w:tr>
      <w:tr w:rsidR="00AA59F4" w:rsidTr="000C0202">
        <w:trPr>
          <w:jc w:val="center"/>
        </w:trPr>
        <w:tc>
          <w:tcPr>
            <w:tcW w:w="250" w:type="pct"/>
            <w:tcBorders>
              <w:top w:val="outset" w:sz="6" w:space="0" w:color="000000"/>
              <w:bottom w:val="outset" w:sz="6" w:space="0" w:color="000000"/>
            </w:tcBorders>
            <w:shd w:val="clear" w:color="auto" w:fill="E6E6E6"/>
            <w:hideMark/>
          </w:tcPr>
          <w:p w:rsidR="00AA59F4" w:rsidRDefault="00AA59F4" w:rsidP="000C0202">
            <w:pPr>
              <w:rPr>
                <w:rFonts w:ascii="Times" w:hAnsi="Times" w:cs="Times"/>
                <w:b/>
                <w:bCs/>
                <w:sz w:val="22"/>
                <w:szCs w:val="22"/>
              </w:rPr>
            </w:pPr>
            <w:r>
              <w:rPr>
                <w:rFonts w:ascii="Times" w:hAnsi="Times" w:cs="Times"/>
                <w:b/>
                <w:bCs/>
                <w:sz w:val="22"/>
                <w:szCs w:val="22"/>
              </w:rPr>
              <w:t>  4.  Dotknuté subjekty</w:t>
            </w:r>
          </w:p>
        </w:tc>
      </w:tr>
      <w:tr w:rsidR="00AA59F4" w:rsidTr="00836970">
        <w:trPr>
          <w:trHeight w:val="257"/>
          <w:jc w:val="center"/>
        </w:trPr>
        <w:tc>
          <w:tcPr>
            <w:tcW w:w="250" w:type="pct"/>
            <w:tcBorders>
              <w:top w:val="outset" w:sz="6" w:space="0" w:color="000000"/>
              <w:bottom w:val="outset" w:sz="6" w:space="0" w:color="000000"/>
            </w:tcBorders>
            <w:hideMark/>
          </w:tcPr>
          <w:p w:rsidR="00AA59F4" w:rsidRDefault="00AA59F4" w:rsidP="000C0202">
            <w:pPr>
              <w:rPr>
                <w:rFonts w:ascii="Times" w:hAnsi="Times" w:cs="Times"/>
                <w:sz w:val="20"/>
                <w:szCs w:val="20"/>
              </w:rPr>
            </w:pPr>
            <w:r>
              <w:rPr>
                <w:rFonts w:ascii="Times" w:hAnsi="Times" w:cs="Times"/>
                <w:sz w:val="20"/>
                <w:szCs w:val="20"/>
              </w:rPr>
              <w:t>Žiadatelia o poskytnutie dotácie</w:t>
            </w:r>
          </w:p>
          <w:p w:rsidR="00E20FC3" w:rsidRDefault="00E20FC3" w:rsidP="000C0202">
            <w:pPr>
              <w:rPr>
                <w:rFonts w:ascii="Times" w:hAnsi="Times" w:cs="Times"/>
                <w:sz w:val="20"/>
                <w:szCs w:val="20"/>
              </w:rPr>
            </w:pPr>
          </w:p>
        </w:tc>
      </w:tr>
      <w:tr w:rsidR="00AA59F4" w:rsidTr="000C0202">
        <w:trPr>
          <w:jc w:val="center"/>
        </w:trPr>
        <w:tc>
          <w:tcPr>
            <w:tcW w:w="250" w:type="pct"/>
            <w:tcBorders>
              <w:top w:val="outset" w:sz="6" w:space="0" w:color="000000"/>
              <w:bottom w:val="outset" w:sz="6" w:space="0" w:color="000000"/>
            </w:tcBorders>
            <w:shd w:val="clear" w:color="auto" w:fill="E6E6E6"/>
            <w:hideMark/>
          </w:tcPr>
          <w:p w:rsidR="00AA59F4" w:rsidRDefault="00AA59F4" w:rsidP="000C0202">
            <w:pPr>
              <w:rPr>
                <w:rFonts w:ascii="Times" w:hAnsi="Times" w:cs="Times"/>
                <w:b/>
                <w:bCs/>
                <w:sz w:val="22"/>
                <w:szCs w:val="22"/>
              </w:rPr>
            </w:pPr>
            <w:r>
              <w:rPr>
                <w:rFonts w:ascii="Times" w:hAnsi="Times" w:cs="Times"/>
                <w:b/>
                <w:bCs/>
                <w:sz w:val="22"/>
                <w:szCs w:val="22"/>
              </w:rPr>
              <w:t>  5.  Alternatívne riešenia</w:t>
            </w:r>
          </w:p>
        </w:tc>
      </w:tr>
      <w:tr w:rsidR="00AA59F4" w:rsidTr="00836970">
        <w:trPr>
          <w:trHeight w:val="293"/>
          <w:jc w:val="center"/>
        </w:trPr>
        <w:tc>
          <w:tcPr>
            <w:tcW w:w="250" w:type="pct"/>
            <w:tcBorders>
              <w:top w:val="outset" w:sz="6" w:space="0" w:color="000000"/>
              <w:bottom w:val="outset" w:sz="6" w:space="0" w:color="000000"/>
            </w:tcBorders>
            <w:hideMark/>
          </w:tcPr>
          <w:p w:rsidR="00AA59F4" w:rsidRDefault="00AA59F4" w:rsidP="000C0202">
            <w:pPr>
              <w:rPr>
                <w:rFonts w:ascii="Times" w:hAnsi="Times" w:cs="Times"/>
                <w:sz w:val="20"/>
                <w:szCs w:val="20"/>
              </w:rPr>
            </w:pPr>
          </w:p>
          <w:p w:rsidR="00E20FC3" w:rsidRDefault="00E20FC3" w:rsidP="000C0202">
            <w:pPr>
              <w:rPr>
                <w:rFonts w:ascii="Times" w:hAnsi="Times" w:cs="Times"/>
                <w:sz w:val="20"/>
                <w:szCs w:val="20"/>
              </w:rPr>
            </w:pPr>
          </w:p>
          <w:p w:rsidR="00E20FC3" w:rsidRDefault="00E20FC3" w:rsidP="000C0202">
            <w:pPr>
              <w:rPr>
                <w:rFonts w:ascii="Times" w:hAnsi="Times" w:cs="Times"/>
                <w:sz w:val="20"/>
                <w:szCs w:val="20"/>
              </w:rPr>
            </w:pPr>
          </w:p>
        </w:tc>
      </w:tr>
      <w:tr w:rsidR="00AA59F4" w:rsidTr="000C0202">
        <w:trPr>
          <w:jc w:val="center"/>
        </w:trPr>
        <w:tc>
          <w:tcPr>
            <w:tcW w:w="250" w:type="pct"/>
            <w:tcBorders>
              <w:top w:val="outset" w:sz="6" w:space="0" w:color="000000"/>
              <w:bottom w:val="outset" w:sz="6" w:space="0" w:color="000000"/>
            </w:tcBorders>
            <w:shd w:val="clear" w:color="auto" w:fill="E6E6E6"/>
            <w:hideMark/>
          </w:tcPr>
          <w:p w:rsidR="00AA59F4" w:rsidRDefault="00AA59F4" w:rsidP="000C0202">
            <w:pPr>
              <w:rPr>
                <w:rFonts w:ascii="Times" w:hAnsi="Times" w:cs="Times"/>
                <w:b/>
                <w:bCs/>
                <w:sz w:val="22"/>
                <w:szCs w:val="22"/>
              </w:rPr>
            </w:pPr>
            <w:r>
              <w:rPr>
                <w:rFonts w:ascii="Times" w:hAnsi="Times" w:cs="Times"/>
                <w:b/>
                <w:bCs/>
                <w:sz w:val="22"/>
                <w:szCs w:val="22"/>
              </w:rPr>
              <w:t>  6.  Vykonávacie predpisy</w:t>
            </w:r>
          </w:p>
        </w:tc>
      </w:tr>
      <w:tr w:rsidR="00AA59F4" w:rsidTr="00836970">
        <w:trPr>
          <w:trHeight w:val="415"/>
          <w:jc w:val="center"/>
        </w:trPr>
        <w:tc>
          <w:tcPr>
            <w:tcW w:w="250" w:type="pct"/>
            <w:tcBorders>
              <w:top w:val="outset" w:sz="6" w:space="0" w:color="000000"/>
              <w:bottom w:val="outset" w:sz="6" w:space="0" w:color="000000"/>
            </w:tcBorders>
            <w:hideMark/>
          </w:tcPr>
          <w:p w:rsidR="00AA59F4" w:rsidRDefault="00AA59F4" w:rsidP="000C0202">
            <w:pPr>
              <w:rPr>
                <w:rFonts w:ascii="Times" w:hAnsi="Times" w:cs="Times"/>
                <w:sz w:val="20"/>
                <w:szCs w:val="20"/>
              </w:rPr>
            </w:pPr>
            <w:r>
              <w:rPr>
                <w:rFonts w:ascii="Times" w:hAnsi="Times" w:cs="Times"/>
                <w:sz w:val="20"/>
                <w:szCs w:val="20"/>
              </w:rPr>
              <w:t xml:space="preserve">Predpokladá sa prijatie/zmena vykonávacích predpisov?                             </w:t>
            </w:r>
            <w:r w:rsidRPr="00D73BCD">
              <w:rPr>
                <w:rFonts w:ascii="Times" w:hAnsi="Times" w:cs="Times"/>
                <w:sz w:val="20"/>
                <w:szCs w:val="20"/>
                <w:u w:val="single"/>
              </w:rPr>
              <w:t>Áno</w:t>
            </w:r>
            <w:r>
              <w:rPr>
                <w:rFonts w:ascii="Times" w:hAnsi="Times" w:cs="Times"/>
                <w:sz w:val="20"/>
                <w:szCs w:val="20"/>
              </w:rPr>
              <w:t xml:space="preserve">              Nie</w:t>
            </w:r>
          </w:p>
          <w:p w:rsidR="00E20FC3" w:rsidRDefault="00E20FC3" w:rsidP="000C0202">
            <w:pPr>
              <w:rPr>
                <w:rFonts w:ascii="Times" w:hAnsi="Times" w:cs="Times"/>
                <w:sz w:val="20"/>
                <w:szCs w:val="20"/>
              </w:rPr>
            </w:pPr>
          </w:p>
          <w:p w:rsidR="00E20FC3" w:rsidRDefault="00E20FC3" w:rsidP="000C0202">
            <w:pPr>
              <w:rPr>
                <w:rFonts w:ascii="Times" w:hAnsi="Times" w:cs="Times"/>
                <w:sz w:val="20"/>
                <w:szCs w:val="20"/>
              </w:rPr>
            </w:pPr>
          </w:p>
        </w:tc>
      </w:tr>
      <w:tr w:rsidR="00AA59F4" w:rsidTr="000C0202">
        <w:trPr>
          <w:jc w:val="center"/>
        </w:trPr>
        <w:tc>
          <w:tcPr>
            <w:tcW w:w="250" w:type="pct"/>
            <w:tcBorders>
              <w:top w:val="outset" w:sz="6" w:space="0" w:color="000000"/>
              <w:bottom w:val="outset" w:sz="6" w:space="0" w:color="000000"/>
            </w:tcBorders>
            <w:shd w:val="clear" w:color="auto" w:fill="E6E6E6"/>
            <w:hideMark/>
          </w:tcPr>
          <w:p w:rsidR="00AA59F4" w:rsidRDefault="00AA59F4" w:rsidP="000C0202">
            <w:pPr>
              <w:rPr>
                <w:rFonts w:ascii="Times" w:hAnsi="Times" w:cs="Times"/>
                <w:b/>
                <w:bCs/>
                <w:sz w:val="22"/>
                <w:szCs w:val="22"/>
              </w:rPr>
            </w:pPr>
            <w:r>
              <w:rPr>
                <w:rFonts w:ascii="Times" w:hAnsi="Times" w:cs="Times"/>
                <w:b/>
                <w:bCs/>
                <w:sz w:val="22"/>
                <w:szCs w:val="22"/>
              </w:rPr>
              <w:t xml:space="preserve">  7.  Transpozícia práva EÚ </w:t>
            </w:r>
          </w:p>
        </w:tc>
      </w:tr>
      <w:tr w:rsidR="00AA59F4" w:rsidTr="00836970">
        <w:trPr>
          <w:trHeight w:val="439"/>
          <w:jc w:val="center"/>
        </w:trPr>
        <w:tc>
          <w:tcPr>
            <w:tcW w:w="250" w:type="pct"/>
            <w:tcBorders>
              <w:top w:val="outset" w:sz="6" w:space="0" w:color="000000"/>
              <w:bottom w:val="outset" w:sz="6" w:space="0" w:color="000000"/>
            </w:tcBorders>
            <w:hideMark/>
          </w:tcPr>
          <w:p w:rsidR="00AA59F4" w:rsidRDefault="00AA59F4" w:rsidP="000C0202">
            <w:pPr>
              <w:rPr>
                <w:rFonts w:ascii="Times" w:hAnsi="Times" w:cs="Times"/>
                <w:sz w:val="20"/>
                <w:szCs w:val="20"/>
              </w:rPr>
            </w:pPr>
            <w:r>
              <w:rPr>
                <w:rFonts w:ascii="Times" w:hAnsi="Times" w:cs="Times"/>
                <w:sz w:val="20"/>
                <w:szCs w:val="20"/>
              </w:rPr>
              <w:t xml:space="preserve">Bezpredmetné. </w:t>
            </w:r>
          </w:p>
          <w:p w:rsidR="00E20FC3" w:rsidRDefault="00E20FC3" w:rsidP="000C0202">
            <w:pPr>
              <w:rPr>
                <w:rFonts w:ascii="Times" w:hAnsi="Times" w:cs="Times"/>
                <w:sz w:val="20"/>
                <w:szCs w:val="20"/>
              </w:rPr>
            </w:pPr>
          </w:p>
          <w:p w:rsidR="00E20FC3" w:rsidRDefault="00E20FC3" w:rsidP="000C0202">
            <w:pPr>
              <w:rPr>
                <w:rFonts w:ascii="Times" w:hAnsi="Times" w:cs="Times"/>
                <w:sz w:val="20"/>
                <w:szCs w:val="20"/>
              </w:rPr>
            </w:pPr>
          </w:p>
        </w:tc>
      </w:tr>
      <w:tr w:rsidR="00AA59F4" w:rsidTr="000C0202">
        <w:trPr>
          <w:jc w:val="center"/>
        </w:trPr>
        <w:tc>
          <w:tcPr>
            <w:tcW w:w="250" w:type="pct"/>
            <w:tcBorders>
              <w:top w:val="outset" w:sz="6" w:space="0" w:color="000000"/>
              <w:bottom w:val="outset" w:sz="6" w:space="0" w:color="000000"/>
            </w:tcBorders>
            <w:shd w:val="clear" w:color="auto" w:fill="E6E6E6"/>
            <w:hideMark/>
          </w:tcPr>
          <w:p w:rsidR="00AA59F4" w:rsidRDefault="00AA59F4" w:rsidP="000C0202">
            <w:pPr>
              <w:rPr>
                <w:rFonts w:ascii="Times" w:hAnsi="Times" w:cs="Times"/>
                <w:b/>
                <w:bCs/>
                <w:sz w:val="22"/>
                <w:szCs w:val="22"/>
              </w:rPr>
            </w:pPr>
            <w:r>
              <w:rPr>
                <w:rFonts w:ascii="Times" w:hAnsi="Times" w:cs="Times"/>
                <w:b/>
                <w:bCs/>
                <w:sz w:val="22"/>
                <w:szCs w:val="22"/>
              </w:rPr>
              <w:t>  8.  Preskúmanie účelnosti**</w:t>
            </w:r>
          </w:p>
        </w:tc>
      </w:tr>
      <w:tr w:rsidR="00AA59F4" w:rsidTr="000C0202">
        <w:trPr>
          <w:trHeight w:val="600"/>
          <w:jc w:val="center"/>
        </w:trPr>
        <w:tc>
          <w:tcPr>
            <w:tcW w:w="250" w:type="pct"/>
            <w:tcBorders>
              <w:top w:val="outset" w:sz="6" w:space="0" w:color="000000"/>
              <w:bottom w:val="outset" w:sz="6" w:space="0" w:color="000000"/>
            </w:tcBorders>
            <w:hideMark/>
          </w:tcPr>
          <w:p w:rsidR="00AA59F4" w:rsidRDefault="00AA59F4" w:rsidP="000C0202">
            <w:pPr>
              <w:rPr>
                <w:rFonts w:ascii="Times" w:hAnsi="Times" w:cs="Times"/>
                <w:b/>
                <w:bCs/>
                <w:sz w:val="22"/>
                <w:szCs w:val="22"/>
              </w:rPr>
            </w:pPr>
          </w:p>
        </w:tc>
      </w:tr>
    </w:tbl>
    <w:p w:rsidR="00AA59F4" w:rsidRPr="00543B8E" w:rsidRDefault="00AA59F4" w:rsidP="00AA59F4">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AA59F4" w:rsidRDefault="00AA59F4" w:rsidP="00AA59F4">
      <w:pPr>
        <w:pStyle w:val="Normlnywebov"/>
        <w:spacing w:before="0" w:beforeAutospacing="0" w:after="0" w:afterAutospacing="0"/>
        <w:rPr>
          <w:sz w:val="20"/>
          <w:szCs w:val="20"/>
        </w:rPr>
      </w:pPr>
      <w:r w:rsidRPr="00543B8E">
        <w:rPr>
          <w:sz w:val="20"/>
          <w:szCs w:val="20"/>
        </w:rPr>
        <w:t>** nepovinné</w:t>
      </w:r>
    </w:p>
    <w:p w:rsidR="00836970" w:rsidRDefault="00836970" w:rsidP="00AA59F4">
      <w:pPr>
        <w:pStyle w:val="Normlnywebov"/>
        <w:spacing w:before="0" w:beforeAutospacing="0" w:after="0" w:afterAutospacing="0"/>
        <w:rPr>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3"/>
        <w:gridCol w:w="1818"/>
        <w:gridCol w:w="1818"/>
        <w:gridCol w:w="1819"/>
      </w:tblGrid>
      <w:tr w:rsidR="00AA59F4" w:rsidTr="000C0202">
        <w:trPr>
          <w:trHeight w:val="450"/>
          <w:jc w:val="center"/>
        </w:trPr>
        <w:tc>
          <w:tcPr>
            <w:tcW w:w="5000" w:type="pct"/>
            <w:gridSpan w:val="4"/>
            <w:tcBorders>
              <w:top w:val="outset" w:sz="6" w:space="0" w:color="000000"/>
              <w:bottom w:val="outset" w:sz="6" w:space="0" w:color="000000"/>
            </w:tcBorders>
            <w:shd w:val="clear" w:color="auto" w:fill="E6E6E6"/>
            <w:hideMark/>
          </w:tcPr>
          <w:p w:rsidR="00AA59F4" w:rsidRDefault="00AA59F4" w:rsidP="000C0202">
            <w:pPr>
              <w:rPr>
                <w:rFonts w:ascii="Times" w:hAnsi="Times" w:cs="Times"/>
                <w:b/>
                <w:bCs/>
                <w:sz w:val="20"/>
                <w:szCs w:val="20"/>
              </w:rPr>
            </w:pPr>
            <w:r>
              <w:rPr>
                <w:rFonts w:ascii="Times" w:hAnsi="Times" w:cs="Times"/>
                <w:b/>
                <w:bCs/>
                <w:sz w:val="20"/>
                <w:szCs w:val="20"/>
              </w:rPr>
              <w:t>  9.   Vplyvy navrhovaného materiálu</w:t>
            </w:r>
          </w:p>
        </w:tc>
      </w:tr>
      <w:tr w:rsidR="00AA59F4" w:rsidTr="000C0202">
        <w:trPr>
          <w:trHeight w:val="270"/>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AA59F4" w:rsidRDefault="00AA59F4" w:rsidP="000C0202">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A59F4" w:rsidTr="000C0202">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AA59F4" w:rsidRDefault="00AA59F4" w:rsidP="000C0202">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1" w:type="pct"/>
            <w:tcBorders>
              <w:top w:val="outset" w:sz="6" w:space="0" w:color="000000"/>
              <w:left w:val="outset" w:sz="6" w:space="0" w:color="000000"/>
              <w:bottom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AA59F4" w:rsidTr="000C0202">
        <w:trPr>
          <w:trHeight w:val="270"/>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AA59F4" w:rsidRDefault="00AA59F4" w:rsidP="000C0202">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A59F4" w:rsidTr="000C0202">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AA59F4" w:rsidRDefault="00AA59F4" w:rsidP="000C0202">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A59F4" w:rsidTr="000C0202">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AA59F4" w:rsidRDefault="00AA59F4" w:rsidP="000C0202">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A59F4" w:rsidTr="000C0202">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AA59F4" w:rsidRDefault="00AA59F4" w:rsidP="000C0202">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A59F4" w:rsidTr="000C0202">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AA59F4" w:rsidRDefault="00AA59F4" w:rsidP="000C0202">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A59F4" w:rsidTr="000C0202">
        <w:trPr>
          <w:trHeight w:val="675"/>
          <w:jc w:val="center"/>
        </w:trPr>
        <w:tc>
          <w:tcPr>
            <w:tcW w:w="1999" w:type="pct"/>
            <w:tcBorders>
              <w:top w:val="outset" w:sz="6" w:space="0" w:color="000000"/>
              <w:bottom w:val="outset" w:sz="6" w:space="0" w:color="000000"/>
              <w:right w:val="outset" w:sz="6" w:space="0" w:color="000000"/>
            </w:tcBorders>
            <w:shd w:val="clear" w:color="auto" w:fill="E6E6E6"/>
            <w:vAlign w:val="center"/>
          </w:tcPr>
          <w:p w:rsidR="00AA59F4" w:rsidRPr="00A51D96" w:rsidRDefault="00AA59F4" w:rsidP="000C0202">
            <w:pPr>
              <w:rPr>
                <w:rFonts w:ascii="Times" w:hAnsi="Times" w:cs="Times"/>
                <w:b/>
                <w:bC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tcPr>
          <w:p w:rsidR="00AA59F4" w:rsidRDefault="00AA59F4" w:rsidP="000C0202">
            <w:pPr>
              <w:rPr>
                <w:rFonts w:ascii="Times" w:hAnsi="Times" w:cs="Times"/>
                <w:sz w:val="20"/>
                <w:szCs w:val="20"/>
              </w:rPr>
            </w:pPr>
            <w:r>
              <w:rPr>
                <w:rFonts w:ascii="Times" w:hAnsi="Times" w:cs="Times"/>
                <w:sz w:val="20"/>
                <w:szCs w:val="20"/>
              </w:rPr>
              <w:t xml:space="preserve">  </w:t>
            </w:r>
            <w:r w:rsidRPr="00A51D96">
              <w:rPr>
                <w:rFonts w:ascii="Times" w:hAnsi="Times"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tcPr>
          <w:p w:rsidR="00AA59F4" w:rsidRDefault="00AA59F4" w:rsidP="000C0202">
            <w:pPr>
              <w:rPr>
                <w:rFonts w:ascii="Times" w:hAnsi="Times" w:cs="Times"/>
                <w:sz w:val="20"/>
                <w:szCs w:val="20"/>
              </w:rPr>
            </w:pPr>
            <w:r>
              <w:rPr>
                <w:rFonts w:ascii="Times" w:hAnsi="Times" w:cs="Times"/>
                <w:sz w:val="20"/>
                <w:szCs w:val="20"/>
              </w:rPr>
              <w:t xml:space="preserve">  </w:t>
            </w:r>
            <w:r w:rsidRPr="00A51D96">
              <w:rPr>
                <w:rFonts w:ascii="Times" w:hAnsi="Times" w:cs="Times"/>
                <w:sz w:val="20"/>
                <w:szCs w:val="20"/>
              </w:rPr>
              <w:t></w:t>
            </w:r>
            <w:r>
              <w:rPr>
                <w:rFonts w:ascii="Times" w:hAnsi="Times" w:cs="Times"/>
                <w:sz w:val="20"/>
                <w:szCs w:val="20"/>
              </w:rPr>
              <w:t xml:space="preserve">   Negatívne</w:t>
            </w:r>
          </w:p>
        </w:tc>
      </w:tr>
      <w:tr w:rsidR="00AA59F4" w:rsidTr="000C0202">
        <w:trPr>
          <w:trHeight w:val="675"/>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AA59F4" w:rsidRDefault="00AA59F4" w:rsidP="000C0202">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AA59F4" w:rsidTr="000C0202">
        <w:trPr>
          <w:trHeight w:val="150"/>
          <w:jc w:val="center"/>
        </w:trPr>
        <w:tc>
          <w:tcPr>
            <w:tcW w:w="0" w:type="auto"/>
            <w:vMerge/>
            <w:tcBorders>
              <w:top w:val="outset" w:sz="6" w:space="0" w:color="000000"/>
              <w:bottom w:val="outset" w:sz="6" w:space="0" w:color="000000"/>
              <w:right w:val="outset" w:sz="6" w:space="0" w:color="000000"/>
            </w:tcBorders>
            <w:vAlign w:val="center"/>
            <w:hideMark/>
          </w:tcPr>
          <w:p w:rsidR="00AA59F4" w:rsidRDefault="00AA59F4" w:rsidP="000C0202">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AA59F4" w:rsidRDefault="00AA59F4" w:rsidP="000C020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AA59F4" w:rsidRDefault="00AA59F4" w:rsidP="00AA59F4">
      <w:pPr>
        <w:pStyle w:val="Normlnywebov"/>
        <w:spacing w:before="0" w:beforeAutospacing="0" w:after="0" w:afterAutospacing="0"/>
        <w:rPr>
          <w:sz w:val="20"/>
          <w:szCs w:val="20"/>
        </w:rPr>
      </w:pPr>
    </w:p>
    <w:p w:rsidR="00AA59F4" w:rsidRDefault="00AA59F4" w:rsidP="00AA59F4">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AA59F4" w:rsidTr="000C0202">
        <w:trPr>
          <w:jc w:val="center"/>
        </w:trPr>
        <w:tc>
          <w:tcPr>
            <w:tcW w:w="250" w:type="pct"/>
            <w:tcBorders>
              <w:top w:val="outset" w:sz="6" w:space="0" w:color="000000"/>
              <w:bottom w:val="outset" w:sz="6" w:space="0" w:color="000000"/>
            </w:tcBorders>
            <w:shd w:val="clear" w:color="auto" w:fill="E6E6E6"/>
            <w:hideMark/>
          </w:tcPr>
          <w:p w:rsidR="00AA59F4" w:rsidRDefault="00AA59F4" w:rsidP="000C0202">
            <w:pPr>
              <w:rPr>
                <w:rFonts w:ascii="Times" w:hAnsi="Times" w:cs="Times"/>
                <w:b/>
                <w:bCs/>
                <w:sz w:val="22"/>
                <w:szCs w:val="22"/>
              </w:rPr>
            </w:pPr>
            <w:r>
              <w:rPr>
                <w:rFonts w:ascii="Times" w:hAnsi="Times" w:cs="Times"/>
                <w:b/>
                <w:bCs/>
                <w:sz w:val="22"/>
                <w:szCs w:val="22"/>
              </w:rPr>
              <w:t>  10.  Poznámky</w:t>
            </w:r>
          </w:p>
        </w:tc>
      </w:tr>
      <w:tr w:rsidR="00AA59F4" w:rsidTr="000C0202">
        <w:trPr>
          <w:trHeight w:val="600"/>
          <w:jc w:val="center"/>
        </w:trPr>
        <w:tc>
          <w:tcPr>
            <w:tcW w:w="250" w:type="pct"/>
            <w:tcBorders>
              <w:top w:val="outset" w:sz="6" w:space="0" w:color="000000"/>
              <w:bottom w:val="outset" w:sz="6" w:space="0" w:color="000000"/>
            </w:tcBorders>
            <w:hideMark/>
          </w:tcPr>
          <w:p w:rsidR="00AA59F4" w:rsidRDefault="00AA59F4" w:rsidP="000C0202">
            <w:pPr>
              <w:rPr>
                <w:rFonts w:ascii="Times" w:hAnsi="Times" w:cs="Times"/>
                <w:b/>
                <w:bCs/>
                <w:sz w:val="22"/>
                <w:szCs w:val="22"/>
              </w:rPr>
            </w:pPr>
          </w:p>
        </w:tc>
      </w:tr>
      <w:tr w:rsidR="00AA59F4" w:rsidTr="000C0202">
        <w:trPr>
          <w:jc w:val="center"/>
        </w:trPr>
        <w:tc>
          <w:tcPr>
            <w:tcW w:w="250" w:type="pct"/>
            <w:tcBorders>
              <w:top w:val="outset" w:sz="6" w:space="0" w:color="000000"/>
              <w:bottom w:val="outset" w:sz="6" w:space="0" w:color="000000"/>
            </w:tcBorders>
            <w:shd w:val="clear" w:color="auto" w:fill="E6E6E6"/>
            <w:hideMark/>
          </w:tcPr>
          <w:p w:rsidR="00AA59F4" w:rsidRDefault="00AA59F4" w:rsidP="000C0202">
            <w:pPr>
              <w:rPr>
                <w:rFonts w:ascii="Times" w:hAnsi="Times" w:cs="Times"/>
                <w:b/>
                <w:bCs/>
                <w:sz w:val="22"/>
                <w:szCs w:val="22"/>
              </w:rPr>
            </w:pPr>
            <w:r>
              <w:rPr>
                <w:rFonts w:ascii="Times" w:hAnsi="Times" w:cs="Times"/>
                <w:b/>
                <w:bCs/>
                <w:sz w:val="22"/>
                <w:szCs w:val="22"/>
              </w:rPr>
              <w:t>  11.  Kontakt na spracovateľa</w:t>
            </w:r>
          </w:p>
        </w:tc>
      </w:tr>
      <w:tr w:rsidR="00AA59F4" w:rsidTr="000C0202">
        <w:trPr>
          <w:trHeight w:val="600"/>
          <w:jc w:val="center"/>
        </w:trPr>
        <w:tc>
          <w:tcPr>
            <w:tcW w:w="250" w:type="pct"/>
            <w:tcBorders>
              <w:top w:val="outset" w:sz="6" w:space="0" w:color="000000"/>
              <w:bottom w:val="outset" w:sz="6" w:space="0" w:color="000000"/>
            </w:tcBorders>
          </w:tcPr>
          <w:p w:rsidR="00AA59F4" w:rsidRDefault="00AA59F4" w:rsidP="000C0202">
            <w:pPr>
              <w:rPr>
                <w:rFonts w:ascii="Times" w:hAnsi="Times" w:cs="Times"/>
                <w:sz w:val="20"/>
                <w:szCs w:val="20"/>
              </w:rPr>
            </w:pPr>
            <w:r>
              <w:rPr>
                <w:rFonts w:ascii="Times" w:hAnsi="Times" w:cs="Times"/>
                <w:sz w:val="20"/>
                <w:szCs w:val="20"/>
              </w:rPr>
              <w:t>Ministerstvo kultúry SR</w:t>
            </w:r>
          </w:p>
          <w:p w:rsidR="00AA59F4" w:rsidRDefault="00AA59F4" w:rsidP="000C0202">
            <w:pPr>
              <w:rPr>
                <w:rFonts w:ascii="Times" w:hAnsi="Times" w:cs="Times"/>
                <w:sz w:val="20"/>
                <w:szCs w:val="20"/>
              </w:rPr>
            </w:pPr>
            <w:r>
              <w:rPr>
                <w:rFonts w:ascii="Times" w:hAnsi="Times" w:cs="Times"/>
                <w:sz w:val="20"/>
                <w:szCs w:val="20"/>
              </w:rPr>
              <w:t>Nám. SNP 33</w:t>
            </w:r>
          </w:p>
          <w:p w:rsidR="00AA59F4" w:rsidRDefault="00AA59F4" w:rsidP="000C0202">
            <w:pPr>
              <w:rPr>
                <w:rFonts w:ascii="Times" w:hAnsi="Times" w:cs="Times"/>
                <w:sz w:val="20"/>
                <w:szCs w:val="20"/>
              </w:rPr>
            </w:pPr>
            <w:r>
              <w:rPr>
                <w:rFonts w:ascii="Times" w:hAnsi="Times" w:cs="Times"/>
                <w:sz w:val="20"/>
                <w:szCs w:val="20"/>
              </w:rPr>
              <w:t>813 31  Bratislava</w:t>
            </w:r>
          </w:p>
          <w:p w:rsidR="00AA59F4" w:rsidRDefault="00AA59F4" w:rsidP="000C0202">
            <w:pPr>
              <w:rPr>
                <w:rFonts w:ascii="Times" w:hAnsi="Times" w:cs="Times"/>
                <w:sz w:val="20"/>
                <w:szCs w:val="20"/>
              </w:rPr>
            </w:pPr>
            <w:r>
              <w:rPr>
                <w:rFonts w:ascii="Times" w:hAnsi="Times" w:cs="Times"/>
                <w:sz w:val="20"/>
                <w:szCs w:val="20"/>
              </w:rPr>
              <w:t>Ing. Lýdia Hlavatá</w:t>
            </w:r>
          </w:p>
          <w:p w:rsidR="00AA59F4" w:rsidRDefault="00AA59F4" w:rsidP="000C0202">
            <w:pPr>
              <w:rPr>
                <w:rFonts w:ascii="Times" w:hAnsi="Times" w:cs="Times"/>
                <w:sz w:val="20"/>
                <w:szCs w:val="20"/>
              </w:rPr>
            </w:pPr>
            <w:r>
              <w:rPr>
                <w:rFonts w:ascii="Times" w:hAnsi="Times" w:cs="Times"/>
                <w:sz w:val="20"/>
                <w:szCs w:val="20"/>
              </w:rPr>
              <w:t>lydia.hlavata@culture.gov.sk</w:t>
            </w:r>
          </w:p>
        </w:tc>
      </w:tr>
      <w:tr w:rsidR="00AA59F4" w:rsidTr="000C0202">
        <w:trPr>
          <w:jc w:val="center"/>
        </w:trPr>
        <w:tc>
          <w:tcPr>
            <w:tcW w:w="250" w:type="pct"/>
            <w:tcBorders>
              <w:top w:val="outset" w:sz="6" w:space="0" w:color="000000"/>
              <w:bottom w:val="outset" w:sz="6" w:space="0" w:color="000000"/>
            </w:tcBorders>
            <w:shd w:val="clear" w:color="auto" w:fill="E6E6E6"/>
            <w:hideMark/>
          </w:tcPr>
          <w:p w:rsidR="00AA59F4" w:rsidRDefault="00AA59F4" w:rsidP="000C0202">
            <w:pPr>
              <w:rPr>
                <w:rFonts w:ascii="Times" w:hAnsi="Times" w:cs="Times"/>
                <w:b/>
                <w:bCs/>
                <w:sz w:val="22"/>
                <w:szCs w:val="22"/>
              </w:rPr>
            </w:pPr>
            <w:r>
              <w:rPr>
                <w:rFonts w:ascii="Times" w:hAnsi="Times" w:cs="Times"/>
                <w:b/>
                <w:bCs/>
                <w:sz w:val="22"/>
                <w:szCs w:val="22"/>
              </w:rPr>
              <w:t>  12.  Zdroje</w:t>
            </w:r>
          </w:p>
        </w:tc>
      </w:tr>
      <w:tr w:rsidR="00AA59F4" w:rsidTr="000C0202">
        <w:trPr>
          <w:trHeight w:val="600"/>
          <w:jc w:val="center"/>
        </w:trPr>
        <w:tc>
          <w:tcPr>
            <w:tcW w:w="250" w:type="pct"/>
            <w:tcBorders>
              <w:top w:val="outset" w:sz="6" w:space="0" w:color="000000"/>
              <w:bottom w:val="outset" w:sz="6" w:space="0" w:color="000000"/>
            </w:tcBorders>
            <w:hideMark/>
          </w:tcPr>
          <w:p w:rsidR="00AA59F4" w:rsidRDefault="00AA59F4" w:rsidP="000C0202">
            <w:pPr>
              <w:rPr>
                <w:rFonts w:ascii="Times" w:hAnsi="Times" w:cs="Times"/>
                <w:b/>
                <w:bCs/>
                <w:sz w:val="22"/>
                <w:szCs w:val="22"/>
              </w:rPr>
            </w:pPr>
          </w:p>
        </w:tc>
      </w:tr>
      <w:tr w:rsidR="00AA59F4" w:rsidTr="000C0202">
        <w:trPr>
          <w:jc w:val="center"/>
        </w:trPr>
        <w:tc>
          <w:tcPr>
            <w:tcW w:w="250" w:type="pct"/>
            <w:tcBorders>
              <w:top w:val="outset" w:sz="6" w:space="0" w:color="000000"/>
              <w:bottom w:val="outset" w:sz="6" w:space="0" w:color="000000"/>
            </w:tcBorders>
            <w:shd w:val="clear" w:color="auto" w:fill="E6E6E6"/>
            <w:hideMark/>
          </w:tcPr>
          <w:p w:rsidR="00AA59F4" w:rsidRDefault="00AA59F4" w:rsidP="000C0202">
            <w:pPr>
              <w:rPr>
                <w:rFonts w:ascii="Times" w:hAnsi="Times" w:cs="Times"/>
                <w:b/>
                <w:bCs/>
                <w:sz w:val="22"/>
                <w:szCs w:val="22"/>
              </w:rPr>
            </w:pPr>
            <w:r>
              <w:rPr>
                <w:rFonts w:ascii="Times" w:hAnsi="Times" w:cs="Times"/>
                <w:b/>
                <w:bCs/>
                <w:sz w:val="22"/>
                <w:szCs w:val="22"/>
              </w:rPr>
              <w:t>  13.  Stanovisko Komisie pre posudzovanie vybraných vplyvov z PPK</w:t>
            </w:r>
          </w:p>
        </w:tc>
      </w:tr>
      <w:tr w:rsidR="00AA59F4" w:rsidTr="000C0202">
        <w:trPr>
          <w:trHeight w:val="1200"/>
          <w:jc w:val="center"/>
        </w:trPr>
        <w:tc>
          <w:tcPr>
            <w:tcW w:w="250" w:type="pct"/>
            <w:tcBorders>
              <w:top w:val="outset" w:sz="6" w:space="0" w:color="000000"/>
              <w:bottom w:val="outset" w:sz="6" w:space="0" w:color="000000"/>
            </w:tcBorders>
            <w:hideMark/>
          </w:tcPr>
          <w:p w:rsidR="00AA59F4" w:rsidRDefault="00AA59F4" w:rsidP="000C0202">
            <w:pPr>
              <w:rPr>
                <w:rFonts w:ascii="Times" w:hAnsi="Times" w:cs="Times"/>
                <w:b/>
                <w:bCs/>
                <w:sz w:val="22"/>
                <w:szCs w:val="22"/>
              </w:rPr>
            </w:pPr>
          </w:p>
        </w:tc>
      </w:tr>
    </w:tbl>
    <w:p w:rsidR="00AA59F4" w:rsidRPr="00543B8E" w:rsidRDefault="00AA59F4" w:rsidP="00AA59F4">
      <w:pPr>
        <w:pStyle w:val="Normlnywebov"/>
        <w:spacing w:before="0" w:beforeAutospacing="0" w:after="0" w:afterAutospacing="0"/>
        <w:rPr>
          <w:bCs/>
          <w:sz w:val="20"/>
          <w:szCs w:val="20"/>
        </w:rPr>
      </w:pP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836970" w:rsidRDefault="00836970" w:rsidP="00F1303B">
      <w:pPr>
        <w:spacing w:line="276" w:lineRule="auto"/>
        <w:ind w:firstLine="426"/>
        <w:jc w:val="both"/>
      </w:pP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AA59F4" w:rsidRPr="00104145" w:rsidRDefault="00AA59F4" w:rsidP="00AA59F4">
      <w:pPr>
        <w:jc w:val="center"/>
        <w:rPr>
          <w:b/>
          <w:caps/>
          <w:spacing w:val="30"/>
        </w:rPr>
      </w:pPr>
      <w:r w:rsidRPr="00104145">
        <w:rPr>
          <w:b/>
          <w:caps/>
          <w:spacing w:val="30"/>
        </w:rPr>
        <w:t>Doložka zlučiteľnosti</w:t>
      </w:r>
    </w:p>
    <w:p w:rsidR="00AA59F4" w:rsidRPr="00104145" w:rsidRDefault="00AA59F4" w:rsidP="00AA59F4">
      <w:pPr>
        <w:jc w:val="center"/>
        <w:rPr>
          <w:b/>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892"/>
      </w:tblGrid>
      <w:tr w:rsidR="00AA59F4" w:rsidRPr="00104145" w:rsidTr="000C0202">
        <w:tc>
          <w:tcPr>
            <w:tcW w:w="206" w:type="pct"/>
          </w:tcPr>
          <w:p w:rsidR="00AA59F4" w:rsidRPr="00104145" w:rsidRDefault="00AA59F4" w:rsidP="000C0202">
            <w:pPr>
              <w:tabs>
                <w:tab w:val="left" w:pos="360"/>
              </w:tabs>
              <w:rPr>
                <w:b/>
              </w:rPr>
            </w:pPr>
            <w:r w:rsidRPr="00104145">
              <w:rPr>
                <w:b/>
              </w:rPr>
              <w:t>1.</w:t>
            </w:r>
          </w:p>
        </w:tc>
        <w:tc>
          <w:tcPr>
            <w:tcW w:w="4794" w:type="pct"/>
          </w:tcPr>
          <w:p w:rsidR="00AA59F4" w:rsidRPr="00104145" w:rsidRDefault="00AA59F4" w:rsidP="000C0202">
            <w:pPr>
              <w:tabs>
                <w:tab w:val="left" w:pos="360"/>
              </w:tabs>
            </w:pPr>
            <w:r w:rsidRPr="00104145">
              <w:rPr>
                <w:b/>
              </w:rPr>
              <w:t>Predkladateľ návrhu právneho predpisu:</w:t>
            </w:r>
            <w:r w:rsidRPr="00104145">
              <w:t xml:space="preserve"> </w:t>
            </w:r>
            <w:r w:rsidR="00E20FC3">
              <w:fldChar w:fldCharType="begin"/>
            </w:r>
            <w:r w:rsidR="00E20FC3">
              <w:instrText xml:space="preserve"> DOCPROPERTY  FSC#SKEDITIONSLOVLEX@103.510:zodpinstitucia  \* MERGEFORMAT </w:instrText>
            </w:r>
            <w:r w:rsidR="00E20FC3">
              <w:fldChar w:fldCharType="separate"/>
            </w:r>
            <w:r>
              <w:t>Ministerstvo kultúry Slovensk</w:t>
            </w:r>
            <w:r w:rsidRPr="00104145">
              <w:t>ej republiky</w:t>
            </w:r>
            <w:r w:rsidR="00E20FC3">
              <w:fldChar w:fldCharType="end"/>
            </w:r>
          </w:p>
        </w:tc>
      </w:tr>
      <w:tr w:rsidR="00AA59F4" w:rsidRPr="00104145" w:rsidTr="000C0202">
        <w:tc>
          <w:tcPr>
            <w:tcW w:w="206" w:type="pct"/>
          </w:tcPr>
          <w:p w:rsidR="00AA59F4" w:rsidRPr="00104145" w:rsidRDefault="00AA59F4" w:rsidP="000C0202">
            <w:pPr>
              <w:tabs>
                <w:tab w:val="left" w:pos="360"/>
              </w:tabs>
            </w:pPr>
          </w:p>
        </w:tc>
        <w:tc>
          <w:tcPr>
            <w:tcW w:w="4794" w:type="pct"/>
          </w:tcPr>
          <w:p w:rsidR="00AA59F4" w:rsidRPr="00104145" w:rsidRDefault="00AA59F4" w:rsidP="000C0202">
            <w:pPr>
              <w:tabs>
                <w:tab w:val="left" w:pos="360"/>
              </w:tabs>
            </w:pPr>
          </w:p>
        </w:tc>
      </w:tr>
      <w:tr w:rsidR="00AA59F4" w:rsidRPr="00104145" w:rsidTr="000C0202">
        <w:tc>
          <w:tcPr>
            <w:tcW w:w="206" w:type="pct"/>
          </w:tcPr>
          <w:p w:rsidR="00AA59F4" w:rsidRPr="00104145" w:rsidRDefault="00AA59F4" w:rsidP="000C0202">
            <w:pPr>
              <w:tabs>
                <w:tab w:val="left" w:pos="360"/>
              </w:tabs>
              <w:rPr>
                <w:b/>
              </w:rPr>
            </w:pPr>
            <w:r w:rsidRPr="00104145">
              <w:rPr>
                <w:b/>
              </w:rPr>
              <w:t>2.</w:t>
            </w:r>
          </w:p>
        </w:tc>
        <w:tc>
          <w:tcPr>
            <w:tcW w:w="4794" w:type="pct"/>
          </w:tcPr>
          <w:p w:rsidR="00AA59F4" w:rsidRPr="00104145" w:rsidRDefault="00AA59F4" w:rsidP="000C0202">
            <w:pPr>
              <w:tabs>
                <w:tab w:val="left" w:pos="360"/>
              </w:tabs>
              <w:jc w:val="both"/>
            </w:pPr>
            <w:r w:rsidRPr="00104145">
              <w:rPr>
                <w:b/>
              </w:rPr>
              <w:t>Názov návrhu právneho predpisu:</w:t>
            </w:r>
            <w:r w:rsidRPr="00104145">
              <w:t xml:space="preserve"> </w:t>
            </w:r>
            <w:r>
              <w:t>Návrh zákona o poskytovaní dotácií v pôsobnosti Ministerstva kultúry Slovenskej republiky</w:t>
            </w:r>
          </w:p>
        </w:tc>
      </w:tr>
      <w:tr w:rsidR="00AA59F4" w:rsidRPr="00104145" w:rsidTr="000C0202">
        <w:tc>
          <w:tcPr>
            <w:tcW w:w="206" w:type="pct"/>
          </w:tcPr>
          <w:p w:rsidR="00AA59F4" w:rsidRPr="00104145" w:rsidRDefault="00AA59F4" w:rsidP="000C0202">
            <w:pPr>
              <w:tabs>
                <w:tab w:val="left" w:pos="360"/>
              </w:tabs>
            </w:pPr>
          </w:p>
        </w:tc>
        <w:tc>
          <w:tcPr>
            <w:tcW w:w="4794" w:type="pct"/>
          </w:tcPr>
          <w:p w:rsidR="00AA59F4" w:rsidRPr="00104145" w:rsidRDefault="00AA59F4" w:rsidP="000C0202">
            <w:pPr>
              <w:tabs>
                <w:tab w:val="left" w:pos="360"/>
              </w:tabs>
            </w:pPr>
          </w:p>
        </w:tc>
      </w:tr>
      <w:tr w:rsidR="00AA59F4" w:rsidRPr="00104145" w:rsidTr="000C0202">
        <w:tc>
          <w:tcPr>
            <w:tcW w:w="206" w:type="pct"/>
          </w:tcPr>
          <w:p w:rsidR="00AA59F4" w:rsidRPr="00104145" w:rsidRDefault="00AA59F4" w:rsidP="000C0202">
            <w:pPr>
              <w:tabs>
                <w:tab w:val="left" w:pos="360"/>
              </w:tabs>
              <w:rPr>
                <w:b/>
              </w:rPr>
            </w:pPr>
            <w:r w:rsidRPr="00104145">
              <w:rPr>
                <w:b/>
              </w:rPr>
              <w:t>3.</w:t>
            </w:r>
          </w:p>
        </w:tc>
        <w:tc>
          <w:tcPr>
            <w:tcW w:w="4794" w:type="pct"/>
          </w:tcPr>
          <w:p w:rsidR="00AA59F4" w:rsidRPr="00104145" w:rsidRDefault="00AA59F4" w:rsidP="000C0202">
            <w:pPr>
              <w:tabs>
                <w:tab w:val="left" w:pos="360"/>
              </w:tabs>
              <w:rPr>
                <w:b/>
              </w:rPr>
            </w:pPr>
            <w:r w:rsidRPr="00104145">
              <w:rPr>
                <w:b/>
              </w:rPr>
              <w:t>Predmet návrhu opatrenia je</w:t>
            </w:r>
            <w:r>
              <w:rPr>
                <w:b/>
              </w:rPr>
              <w:t xml:space="preserve"> – nie je</w:t>
            </w:r>
            <w:r w:rsidRPr="00104145">
              <w:rPr>
                <w:b/>
              </w:rPr>
              <w:t xml:space="preserve"> upravený v práve Európskej únie</w:t>
            </w:r>
          </w:p>
          <w:p w:rsidR="00AA59F4" w:rsidRPr="00104145" w:rsidRDefault="00AA59F4" w:rsidP="000C0202">
            <w:pPr>
              <w:tabs>
                <w:tab w:val="left" w:pos="360"/>
              </w:tabs>
            </w:pPr>
          </w:p>
        </w:tc>
      </w:tr>
      <w:tr w:rsidR="00AA59F4" w:rsidRPr="00104145" w:rsidTr="000C0202">
        <w:tc>
          <w:tcPr>
            <w:tcW w:w="206" w:type="pct"/>
          </w:tcPr>
          <w:p w:rsidR="00AA59F4" w:rsidRPr="00104145" w:rsidRDefault="00AA59F4" w:rsidP="000C0202">
            <w:pPr>
              <w:tabs>
                <w:tab w:val="left" w:pos="360"/>
              </w:tabs>
            </w:pPr>
          </w:p>
        </w:tc>
        <w:tc>
          <w:tcPr>
            <w:tcW w:w="4794" w:type="pct"/>
          </w:tcPr>
          <w:p w:rsidR="00AA59F4" w:rsidRPr="00104145" w:rsidRDefault="00AA59F4" w:rsidP="00AA59F4">
            <w:pPr>
              <w:pStyle w:val="Odsekzoznamu"/>
              <w:numPr>
                <w:ilvl w:val="0"/>
                <w:numId w:val="3"/>
              </w:numPr>
              <w:jc w:val="both"/>
              <w:rPr>
                <w:iCs/>
              </w:rPr>
            </w:pPr>
            <w:r>
              <w:rPr>
                <w:iCs/>
              </w:rPr>
              <w:t xml:space="preserve">je upravený </w:t>
            </w:r>
            <w:r w:rsidRPr="00104145">
              <w:rPr>
                <w:iCs/>
              </w:rPr>
              <w:t>v primárnom práve</w:t>
            </w:r>
          </w:p>
          <w:p w:rsidR="00AA59F4" w:rsidRPr="00104145" w:rsidRDefault="00AA59F4" w:rsidP="00AA59F4">
            <w:pPr>
              <w:pStyle w:val="Odsekzoznamu"/>
              <w:numPr>
                <w:ilvl w:val="0"/>
                <w:numId w:val="4"/>
              </w:numPr>
              <w:jc w:val="both"/>
            </w:pPr>
            <w:r>
              <w:t>čl. 107 a 108</w:t>
            </w:r>
            <w:r w:rsidRPr="00104145">
              <w:t xml:space="preserve"> Zmluvy o fungovaní Európskej únie</w:t>
            </w:r>
            <w:r>
              <w:t xml:space="preserve"> (Ú. v. ES C 202, 7. 6. 2016)</w:t>
            </w:r>
            <w:r w:rsidRPr="00104145">
              <w:t>;</w:t>
            </w:r>
          </w:p>
          <w:p w:rsidR="00AA59F4" w:rsidRPr="00104145" w:rsidRDefault="00AA59F4" w:rsidP="000C0202">
            <w:pPr>
              <w:pStyle w:val="Odsekzoznamu"/>
              <w:tabs>
                <w:tab w:val="left" w:pos="360"/>
              </w:tabs>
              <w:ind w:left="360"/>
              <w:jc w:val="both"/>
            </w:pPr>
          </w:p>
          <w:p w:rsidR="00AA59F4" w:rsidRPr="00104145" w:rsidRDefault="00AA59F4" w:rsidP="00AA59F4">
            <w:pPr>
              <w:pStyle w:val="Odsekzoznamu"/>
              <w:numPr>
                <w:ilvl w:val="0"/>
                <w:numId w:val="3"/>
              </w:numPr>
              <w:jc w:val="both"/>
              <w:rPr>
                <w:iCs/>
              </w:rPr>
            </w:pPr>
            <w:r>
              <w:rPr>
                <w:iCs/>
              </w:rPr>
              <w:t xml:space="preserve">nie je upravený </w:t>
            </w:r>
            <w:r w:rsidRPr="00104145">
              <w:rPr>
                <w:iCs/>
              </w:rPr>
              <w:t>v sekundárnom práve</w:t>
            </w:r>
          </w:p>
          <w:p w:rsidR="00AA59F4" w:rsidRPr="00104145" w:rsidRDefault="00AA59F4" w:rsidP="000C0202">
            <w:pPr>
              <w:pStyle w:val="Odsekzoznamu"/>
              <w:jc w:val="both"/>
            </w:pPr>
          </w:p>
        </w:tc>
      </w:tr>
      <w:tr w:rsidR="00AA59F4" w:rsidRPr="00104145" w:rsidTr="000C0202">
        <w:tc>
          <w:tcPr>
            <w:tcW w:w="206" w:type="pct"/>
          </w:tcPr>
          <w:p w:rsidR="00AA59F4" w:rsidRPr="00104145" w:rsidRDefault="00AA59F4" w:rsidP="000C0202">
            <w:pPr>
              <w:tabs>
                <w:tab w:val="left" w:pos="360"/>
              </w:tabs>
            </w:pPr>
          </w:p>
        </w:tc>
        <w:tc>
          <w:tcPr>
            <w:tcW w:w="4794" w:type="pct"/>
          </w:tcPr>
          <w:p w:rsidR="00AA59F4" w:rsidRPr="00104145" w:rsidRDefault="00AA59F4" w:rsidP="00AA59F4">
            <w:pPr>
              <w:pStyle w:val="Odsekzoznamu"/>
              <w:numPr>
                <w:ilvl w:val="0"/>
                <w:numId w:val="3"/>
              </w:numPr>
              <w:jc w:val="both"/>
            </w:pPr>
            <w:r w:rsidRPr="00104145">
              <w:rPr>
                <w:iCs/>
              </w:rPr>
              <w:t>nie je upravený v judikatúre Súdneho dvora Európskej únie.</w:t>
            </w:r>
          </w:p>
        </w:tc>
      </w:tr>
      <w:tr w:rsidR="00AA59F4" w:rsidRPr="00104145" w:rsidTr="000C0202">
        <w:tc>
          <w:tcPr>
            <w:tcW w:w="206" w:type="pct"/>
          </w:tcPr>
          <w:p w:rsidR="00AA59F4" w:rsidRPr="00104145" w:rsidRDefault="00AA59F4" w:rsidP="000C0202">
            <w:pPr>
              <w:tabs>
                <w:tab w:val="left" w:pos="360"/>
              </w:tabs>
              <w:rPr>
                <w:b/>
              </w:rPr>
            </w:pPr>
          </w:p>
        </w:tc>
        <w:tc>
          <w:tcPr>
            <w:tcW w:w="4794" w:type="pct"/>
          </w:tcPr>
          <w:p w:rsidR="00AA59F4" w:rsidRPr="00104145" w:rsidRDefault="00AA59F4" w:rsidP="000C0202">
            <w:pPr>
              <w:tabs>
                <w:tab w:val="left" w:pos="360"/>
              </w:tabs>
            </w:pPr>
          </w:p>
        </w:tc>
      </w:tr>
    </w:tbl>
    <w:p w:rsidR="00AA59F4" w:rsidRPr="00104145" w:rsidRDefault="00AA59F4" w:rsidP="00AA59F4">
      <w:pPr>
        <w:tabs>
          <w:tab w:val="left" w:pos="360"/>
        </w:tabs>
      </w:pPr>
    </w:p>
    <w:tbl>
      <w:tblPr>
        <w:tblW w:w="5000" w:type="pct"/>
        <w:jc w:val="center"/>
        <w:tblCellMar>
          <w:left w:w="0" w:type="dxa"/>
          <w:right w:w="0" w:type="dxa"/>
        </w:tblCellMar>
        <w:tblLook w:val="04A0" w:firstRow="1" w:lastRow="0" w:firstColumn="1" w:lastColumn="0" w:noHBand="0" w:noVBand="1"/>
      </w:tblPr>
      <w:tblGrid>
        <w:gridCol w:w="454"/>
        <w:gridCol w:w="272"/>
        <w:gridCol w:w="8346"/>
      </w:tblGrid>
      <w:tr w:rsidR="00AA59F4" w:rsidRPr="00104145" w:rsidTr="000C0202">
        <w:trPr>
          <w:jc w:val="center"/>
        </w:trPr>
        <w:tc>
          <w:tcPr>
            <w:tcW w:w="250" w:type="pct"/>
            <w:tcBorders>
              <w:top w:val="nil"/>
              <w:left w:val="nil"/>
              <w:bottom w:val="nil"/>
              <w:right w:val="nil"/>
            </w:tcBorders>
            <w:hideMark/>
          </w:tcPr>
          <w:p w:rsidR="00AA59F4" w:rsidRPr="00104145" w:rsidRDefault="00AA59F4" w:rsidP="000C0202">
            <w:pPr>
              <w:rPr>
                <w:b/>
                <w:bCs/>
              </w:rPr>
            </w:pPr>
            <w:r w:rsidRPr="00104145">
              <w:rPr>
                <w:b/>
                <w:bCs/>
              </w:rPr>
              <w:t>4.</w:t>
            </w:r>
          </w:p>
        </w:tc>
        <w:tc>
          <w:tcPr>
            <w:tcW w:w="4750" w:type="pct"/>
            <w:gridSpan w:val="2"/>
            <w:tcBorders>
              <w:top w:val="nil"/>
              <w:left w:val="nil"/>
              <w:bottom w:val="nil"/>
              <w:right w:val="nil"/>
            </w:tcBorders>
            <w:vAlign w:val="center"/>
            <w:hideMark/>
          </w:tcPr>
          <w:p w:rsidR="00AA59F4" w:rsidRPr="00104145" w:rsidRDefault="00AA59F4" w:rsidP="000C0202">
            <w:pPr>
              <w:spacing w:after="250"/>
              <w:rPr>
                <w:b/>
                <w:bCs/>
              </w:rPr>
            </w:pPr>
            <w:r w:rsidRPr="00104145">
              <w:rPr>
                <w:b/>
                <w:bCs/>
              </w:rPr>
              <w:t>Záväzky Slovenskej republiky vo vzťahu k Európskej únii:</w:t>
            </w:r>
          </w:p>
        </w:tc>
      </w:tr>
      <w:tr w:rsidR="00AA59F4" w:rsidRPr="00104145" w:rsidTr="000C0202">
        <w:trPr>
          <w:jc w:val="center"/>
        </w:trPr>
        <w:tc>
          <w:tcPr>
            <w:tcW w:w="250" w:type="pct"/>
            <w:tcBorders>
              <w:top w:val="nil"/>
              <w:left w:val="nil"/>
              <w:bottom w:val="nil"/>
              <w:right w:val="nil"/>
            </w:tcBorders>
            <w:hideMark/>
          </w:tcPr>
          <w:p w:rsidR="00AA59F4" w:rsidRPr="00104145" w:rsidRDefault="00AA59F4" w:rsidP="000C0202">
            <w:pPr>
              <w:spacing w:after="250"/>
              <w:rPr>
                <w:b/>
                <w:bCs/>
              </w:rPr>
            </w:pPr>
          </w:p>
        </w:tc>
        <w:tc>
          <w:tcPr>
            <w:tcW w:w="150" w:type="pct"/>
            <w:tcBorders>
              <w:top w:val="nil"/>
              <w:left w:val="nil"/>
              <w:bottom w:val="nil"/>
              <w:right w:val="nil"/>
            </w:tcBorders>
            <w:hideMark/>
          </w:tcPr>
          <w:p w:rsidR="00AA59F4" w:rsidRPr="00104145" w:rsidRDefault="00AA59F4" w:rsidP="000C0202">
            <w:r w:rsidRPr="00104145">
              <w:t>a)</w:t>
            </w:r>
          </w:p>
        </w:tc>
        <w:tc>
          <w:tcPr>
            <w:tcW w:w="4600" w:type="pct"/>
            <w:tcBorders>
              <w:top w:val="nil"/>
              <w:left w:val="nil"/>
              <w:bottom w:val="nil"/>
              <w:right w:val="nil"/>
            </w:tcBorders>
            <w:vAlign w:val="center"/>
            <w:hideMark/>
          </w:tcPr>
          <w:p w:rsidR="00AA59F4" w:rsidRPr="00104145" w:rsidRDefault="00AA59F4" w:rsidP="000C0202">
            <w:pPr>
              <w:spacing w:after="250"/>
              <w:jc w:val="both"/>
            </w:pPr>
            <w:r w:rsidRPr="00104145">
              <w:t>lehota na prebratie smernice alebo lehota na implementáciu nariadenia alebo rozhodnutia</w:t>
            </w:r>
          </w:p>
        </w:tc>
      </w:tr>
      <w:tr w:rsidR="00AA59F4" w:rsidRPr="00104145" w:rsidTr="000C0202">
        <w:trPr>
          <w:jc w:val="center"/>
        </w:trPr>
        <w:tc>
          <w:tcPr>
            <w:tcW w:w="250" w:type="pct"/>
            <w:tcBorders>
              <w:top w:val="nil"/>
              <w:left w:val="nil"/>
              <w:bottom w:val="nil"/>
              <w:right w:val="nil"/>
            </w:tcBorders>
          </w:tcPr>
          <w:p w:rsidR="00AA59F4" w:rsidRPr="00104145" w:rsidRDefault="00AA59F4" w:rsidP="000C0202">
            <w:pPr>
              <w:spacing w:after="250"/>
            </w:pPr>
          </w:p>
        </w:tc>
        <w:tc>
          <w:tcPr>
            <w:tcW w:w="150" w:type="pct"/>
            <w:tcBorders>
              <w:top w:val="nil"/>
              <w:left w:val="nil"/>
              <w:bottom w:val="nil"/>
              <w:right w:val="nil"/>
            </w:tcBorders>
          </w:tcPr>
          <w:p w:rsidR="00AA59F4" w:rsidRPr="00104145" w:rsidRDefault="00AA59F4" w:rsidP="000C0202"/>
        </w:tc>
        <w:tc>
          <w:tcPr>
            <w:tcW w:w="4600" w:type="pct"/>
            <w:tcBorders>
              <w:top w:val="nil"/>
              <w:left w:val="nil"/>
              <w:bottom w:val="nil"/>
              <w:right w:val="nil"/>
            </w:tcBorders>
            <w:vAlign w:val="center"/>
          </w:tcPr>
          <w:p w:rsidR="00AA59F4" w:rsidRPr="00104145" w:rsidRDefault="00AA59F4" w:rsidP="000C0202">
            <w:pPr>
              <w:spacing w:after="250"/>
              <w:jc w:val="both"/>
            </w:pPr>
            <w:r>
              <w:t>bez predmetné</w:t>
            </w:r>
          </w:p>
        </w:tc>
      </w:tr>
      <w:tr w:rsidR="00AA59F4" w:rsidRPr="00104145" w:rsidTr="000C0202">
        <w:trPr>
          <w:jc w:val="center"/>
        </w:trPr>
        <w:tc>
          <w:tcPr>
            <w:tcW w:w="250" w:type="pct"/>
            <w:tcBorders>
              <w:top w:val="nil"/>
              <w:left w:val="nil"/>
              <w:bottom w:val="nil"/>
              <w:right w:val="nil"/>
            </w:tcBorders>
            <w:hideMark/>
          </w:tcPr>
          <w:p w:rsidR="00AA59F4" w:rsidRPr="00104145" w:rsidRDefault="00AA59F4" w:rsidP="000C0202">
            <w:pPr>
              <w:spacing w:after="250"/>
            </w:pPr>
          </w:p>
        </w:tc>
        <w:tc>
          <w:tcPr>
            <w:tcW w:w="150" w:type="pct"/>
            <w:tcBorders>
              <w:top w:val="nil"/>
              <w:left w:val="nil"/>
              <w:bottom w:val="nil"/>
              <w:right w:val="nil"/>
            </w:tcBorders>
            <w:hideMark/>
          </w:tcPr>
          <w:p w:rsidR="00AA59F4" w:rsidRPr="00104145" w:rsidRDefault="00AA59F4" w:rsidP="000C0202">
            <w:r w:rsidRPr="00104145">
              <w:t>b)</w:t>
            </w:r>
          </w:p>
        </w:tc>
        <w:tc>
          <w:tcPr>
            <w:tcW w:w="4600" w:type="pct"/>
            <w:tcBorders>
              <w:top w:val="nil"/>
              <w:left w:val="nil"/>
              <w:bottom w:val="nil"/>
              <w:right w:val="nil"/>
            </w:tcBorders>
            <w:vAlign w:val="center"/>
            <w:hideMark/>
          </w:tcPr>
          <w:p w:rsidR="00AA59F4" w:rsidRPr="00104145" w:rsidRDefault="00AA59F4" w:rsidP="000C0202">
            <w:pPr>
              <w:spacing w:after="250"/>
              <w:jc w:val="both"/>
            </w:pPr>
            <w:r w:rsidRPr="00104145">
              <w:t xml:space="preserve">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w:t>
            </w:r>
            <w:r w:rsidRPr="009645A1">
              <w:t>n</w:t>
            </w:r>
            <w:r w:rsidRPr="009645A1">
              <w:rPr>
                <w:bCs/>
              </w:rPr>
              <w:t>ariadenie Európskeho parlamentu a Rady (ES) č. 1049/2001 z 30. mája 2001 o prístupe verejnosti k dokumentom Európskeho parlamentu, Rady a Komisie</w:t>
            </w:r>
            <w:r w:rsidRPr="009645A1">
              <w:t>,</w:t>
            </w:r>
            <w:r w:rsidRPr="00104145">
              <w:t xml:space="preserve"> </w:t>
            </w:r>
          </w:p>
        </w:tc>
      </w:tr>
      <w:tr w:rsidR="00AA59F4" w:rsidRPr="00104145" w:rsidTr="000C0202">
        <w:trPr>
          <w:trHeight w:val="151"/>
          <w:jc w:val="center"/>
        </w:trPr>
        <w:tc>
          <w:tcPr>
            <w:tcW w:w="250" w:type="pct"/>
            <w:tcBorders>
              <w:top w:val="nil"/>
              <w:left w:val="nil"/>
              <w:bottom w:val="nil"/>
              <w:right w:val="nil"/>
            </w:tcBorders>
            <w:hideMark/>
          </w:tcPr>
          <w:p w:rsidR="00AA59F4" w:rsidRPr="00104145" w:rsidRDefault="00AA59F4" w:rsidP="000C0202">
            <w:pPr>
              <w:spacing w:after="250"/>
            </w:pPr>
          </w:p>
        </w:tc>
        <w:tc>
          <w:tcPr>
            <w:tcW w:w="150" w:type="pct"/>
            <w:tcBorders>
              <w:top w:val="nil"/>
              <w:left w:val="nil"/>
              <w:bottom w:val="nil"/>
              <w:right w:val="nil"/>
            </w:tcBorders>
            <w:hideMark/>
          </w:tcPr>
          <w:p w:rsidR="00AA59F4" w:rsidRPr="00104145" w:rsidRDefault="00AA59F4" w:rsidP="000C0202"/>
        </w:tc>
        <w:tc>
          <w:tcPr>
            <w:tcW w:w="4600" w:type="pct"/>
            <w:tcBorders>
              <w:top w:val="nil"/>
              <w:left w:val="nil"/>
              <w:bottom w:val="nil"/>
              <w:right w:val="nil"/>
            </w:tcBorders>
            <w:vAlign w:val="center"/>
            <w:hideMark/>
          </w:tcPr>
          <w:p w:rsidR="00AA59F4" w:rsidRPr="00104145" w:rsidRDefault="00AA59F4" w:rsidP="000C0202">
            <w:pPr>
              <w:spacing w:after="250"/>
              <w:jc w:val="both"/>
            </w:pPr>
            <w:r>
              <w:t>bezpredmetné</w:t>
            </w:r>
            <w:r w:rsidRPr="00104145">
              <w:br/>
            </w:r>
          </w:p>
        </w:tc>
      </w:tr>
      <w:tr w:rsidR="00AA59F4" w:rsidRPr="00104145" w:rsidTr="000C0202">
        <w:trPr>
          <w:jc w:val="center"/>
        </w:trPr>
        <w:tc>
          <w:tcPr>
            <w:tcW w:w="250" w:type="pct"/>
            <w:tcBorders>
              <w:top w:val="nil"/>
              <w:left w:val="nil"/>
              <w:bottom w:val="nil"/>
              <w:right w:val="nil"/>
            </w:tcBorders>
            <w:hideMark/>
          </w:tcPr>
          <w:p w:rsidR="00AA59F4" w:rsidRPr="00104145" w:rsidRDefault="00AA59F4" w:rsidP="000C0202">
            <w:pPr>
              <w:spacing w:after="250"/>
            </w:pPr>
          </w:p>
        </w:tc>
        <w:tc>
          <w:tcPr>
            <w:tcW w:w="150" w:type="pct"/>
            <w:tcBorders>
              <w:top w:val="nil"/>
              <w:left w:val="nil"/>
              <w:bottom w:val="nil"/>
              <w:right w:val="nil"/>
            </w:tcBorders>
            <w:hideMark/>
          </w:tcPr>
          <w:p w:rsidR="00AA59F4" w:rsidRPr="00104145" w:rsidRDefault="00AA59F4" w:rsidP="000C0202">
            <w:r w:rsidRPr="00104145">
              <w:t>c)</w:t>
            </w:r>
          </w:p>
        </w:tc>
        <w:tc>
          <w:tcPr>
            <w:tcW w:w="4600" w:type="pct"/>
            <w:tcBorders>
              <w:top w:val="nil"/>
              <w:left w:val="nil"/>
              <w:bottom w:val="nil"/>
              <w:right w:val="nil"/>
            </w:tcBorders>
            <w:vAlign w:val="center"/>
            <w:hideMark/>
          </w:tcPr>
          <w:p w:rsidR="00AA59F4" w:rsidRPr="00104145" w:rsidRDefault="00AA59F4" w:rsidP="000C0202">
            <w:pPr>
              <w:spacing w:after="250"/>
              <w:jc w:val="both"/>
            </w:pPr>
            <w:r w:rsidRPr="00104145">
              <w:t>informácia o právnych predpisoch, v ktorých sú preberané uvádzané právne akty Európskej únie už prebrané, spolu s uvedením rozsahu ich prebrania, príp. potreby prijatia ďalších úprav.</w:t>
            </w:r>
          </w:p>
        </w:tc>
      </w:tr>
      <w:tr w:rsidR="00AA59F4" w:rsidRPr="00104145" w:rsidTr="000C0202">
        <w:trPr>
          <w:jc w:val="center"/>
        </w:trPr>
        <w:tc>
          <w:tcPr>
            <w:tcW w:w="250" w:type="pct"/>
            <w:tcBorders>
              <w:top w:val="nil"/>
              <w:left w:val="nil"/>
              <w:bottom w:val="nil"/>
              <w:right w:val="nil"/>
            </w:tcBorders>
            <w:hideMark/>
          </w:tcPr>
          <w:p w:rsidR="00AA59F4" w:rsidRPr="00104145" w:rsidRDefault="00AA59F4" w:rsidP="000C0202">
            <w:pPr>
              <w:spacing w:after="250"/>
            </w:pPr>
          </w:p>
        </w:tc>
        <w:tc>
          <w:tcPr>
            <w:tcW w:w="150" w:type="pct"/>
            <w:tcBorders>
              <w:top w:val="nil"/>
              <w:left w:val="nil"/>
              <w:bottom w:val="nil"/>
              <w:right w:val="nil"/>
            </w:tcBorders>
            <w:hideMark/>
          </w:tcPr>
          <w:p w:rsidR="00AA59F4" w:rsidRPr="00104145" w:rsidRDefault="00AA59F4" w:rsidP="000C0202"/>
        </w:tc>
        <w:tc>
          <w:tcPr>
            <w:tcW w:w="4600" w:type="pct"/>
            <w:tcBorders>
              <w:top w:val="nil"/>
              <w:left w:val="nil"/>
              <w:bottom w:val="nil"/>
              <w:right w:val="nil"/>
            </w:tcBorders>
            <w:vAlign w:val="center"/>
            <w:hideMark/>
          </w:tcPr>
          <w:p w:rsidR="00AA59F4" w:rsidRPr="00104145" w:rsidRDefault="00AA59F4" w:rsidP="00AA59F4">
            <w:pPr>
              <w:pStyle w:val="Odsekzoznamu"/>
              <w:numPr>
                <w:ilvl w:val="0"/>
                <w:numId w:val="5"/>
              </w:numPr>
              <w:spacing w:after="250"/>
              <w:jc w:val="both"/>
            </w:pPr>
            <w:r>
              <w:t>bezpredmetné</w:t>
            </w:r>
          </w:p>
        </w:tc>
      </w:tr>
      <w:tr w:rsidR="00AA59F4" w:rsidRPr="00104145" w:rsidTr="000C0202">
        <w:trPr>
          <w:jc w:val="center"/>
        </w:trPr>
        <w:tc>
          <w:tcPr>
            <w:tcW w:w="250" w:type="pct"/>
            <w:tcBorders>
              <w:top w:val="nil"/>
              <w:left w:val="nil"/>
              <w:bottom w:val="nil"/>
              <w:right w:val="nil"/>
            </w:tcBorders>
            <w:hideMark/>
          </w:tcPr>
          <w:p w:rsidR="00AA59F4" w:rsidRPr="00104145" w:rsidRDefault="00AA59F4" w:rsidP="000C0202">
            <w:pPr>
              <w:rPr>
                <w:b/>
                <w:bCs/>
              </w:rPr>
            </w:pPr>
            <w:r w:rsidRPr="00104145">
              <w:rPr>
                <w:b/>
                <w:bCs/>
              </w:rPr>
              <w:t>5.</w:t>
            </w:r>
          </w:p>
        </w:tc>
        <w:tc>
          <w:tcPr>
            <w:tcW w:w="4750" w:type="pct"/>
            <w:gridSpan w:val="2"/>
            <w:tcBorders>
              <w:top w:val="nil"/>
              <w:left w:val="nil"/>
              <w:bottom w:val="nil"/>
              <w:right w:val="nil"/>
            </w:tcBorders>
            <w:hideMark/>
          </w:tcPr>
          <w:p w:rsidR="00AA59F4" w:rsidRPr="00104145" w:rsidRDefault="00AA59F4" w:rsidP="000C0202">
            <w:pPr>
              <w:spacing w:after="250"/>
              <w:rPr>
                <w:b/>
                <w:bCs/>
              </w:rPr>
            </w:pPr>
            <w:r w:rsidRPr="00104145">
              <w:rPr>
                <w:b/>
                <w:bCs/>
              </w:rPr>
              <w:t>Stupeň zlučiteľnosti návrhu opatrenia s právom Európskej únie:</w:t>
            </w:r>
          </w:p>
        </w:tc>
      </w:tr>
    </w:tbl>
    <w:p w:rsidR="00AA59F4" w:rsidRPr="00117A7E" w:rsidRDefault="00AA59F4" w:rsidP="00AA59F4">
      <w:pPr>
        <w:tabs>
          <w:tab w:val="left" w:pos="360"/>
        </w:tabs>
        <w:jc w:val="both"/>
      </w:pPr>
      <w:r>
        <w:t xml:space="preserve">         úplný</w:t>
      </w: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AA59F4" w:rsidRDefault="00AA59F4" w:rsidP="00F1303B">
      <w:pPr>
        <w:spacing w:line="276" w:lineRule="auto"/>
        <w:ind w:firstLine="426"/>
        <w:jc w:val="both"/>
      </w:pPr>
    </w:p>
    <w:p w:rsidR="006254BF" w:rsidRDefault="006254BF" w:rsidP="006254BF">
      <w:pPr>
        <w:pStyle w:val="Bezriadkovania"/>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DÔVODOVÁ SPRÁVA</w:t>
      </w:r>
    </w:p>
    <w:p w:rsidR="006254BF" w:rsidRDefault="006254BF" w:rsidP="006254BF">
      <w:pPr>
        <w:pStyle w:val="Bezriadkovania"/>
        <w:jc w:val="center"/>
        <w:rPr>
          <w:rFonts w:ascii="Times New Roman" w:hAnsi="Times New Roman" w:cs="Times New Roman"/>
          <w:b/>
          <w:sz w:val="24"/>
          <w:szCs w:val="24"/>
        </w:rPr>
      </w:pPr>
    </w:p>
    <w:p w:rsidR="00AA59F4" w:rsidRDefault="00AA59F4" w:rsidP="00AA59F4">
      <w:pPr>
        <w:pStyle w:val="Bezriadkovania"/>
        <w:rPr>
          <w:rFonts w:ascii="Times New Roman" w:hAnsi="Times New Roman" w:cs="Times New Roman"/>
          <w:b/>
          <w:sz w:val="24"/>
          <w:szCs w:val="24"/>
        </w:rPr>
      </w:pPr>
      <w:r>
        <w:rPr>
          <w:rFonts w:ascii="Times New Roman" w:hAnsi="Times New Roman" w:cs="Times New Roman"/>
          <w:b/>
          <w:sz w:val="24"/>
          <w:szCs w:val="24"/>
        </w:rPr>
        <w:t>Osobitná časť</w:t>
      </w:r>
    </w:p>
    <w:p w:rsidR="00AA59F4" w:rsidRDefault="00AA59F4" w:rsidP="00AA59F4">
      <w:pPr>
        <w:pStyle w:val="Bezriadkovania"/>
        <w:rPr>
          <w:rFonts w:ascii="Times New Roman" w:hAnsi="Times New Roman" w:cs="Times New Roman"/>
          <w:b/>
          <w:sz w:val="24"/>
          <w:szCs w:val="24"/>
        </w:rPr>
      </w:pPr>
    </w:p>
    <w:p w:rsidR="00AA59F4" w:rsidRDefault="00AA59F4" w:rsidP="00AA59F4">
      <w:pPr>
        <w:pStyle w:val="Bezriadkovania"/>
        <w:rPr>
          <w:rFonts w:ascii="Times New Roman" w:hAnsi="Times New Roman" w:cs="Times New Roman"/>
          <w:b/>
          <w:sz w:val="24"/>
          <w:szCs w:val="24"/>
        </w:rPr>
      </w:pPr>
      <w:r>
        <w:rPr>
          <w:rFonts w:ascii="Times New Roman" w:hAnsi="Times New Roman" w:cs="Times New Roman"/>
          <w:b/>
          <w:sz w:val="24"/>
          <w:szCs w:val="24"/>
        </w:rPr>
        <w:t>K § 1</w:t>
      </w:r>
    </w:p>
    <w:p w:rsidR="00AA59F4" w:rsidRDefault="00AA59F4" w:rsidP="00AA59F4">
      <w:pPr>
        <w:pStyle w:val="Bezriadkovania"/>
        <w:rPr>
          <w:rFonts w:ascii="Times New Roman" w:hAnsi="Times New Roman" w:cs="Times New Roman"/>
          <w:b/>
          <w:sz w:val="24"/>
          <w:szCs w:val="24"/>
        </w:rPr>
      </w:pPr>
    </w:p>
    <w:p w:rsidR="00AA59F4" w:rsidRPr="001A27AC" w:rsidRDefault="00AA59F4" w:rsidP="00AA59F4">
      <w:pPr>
        <w:pStyle w:val="Bezriadkovania"/>
        <w:rPr>
          <w:rFonts w:ascii="Times New Roman" w:hAnsi="Times New Roman" w:cs="Times New Roman"/>
          <w:sz w:val="24"/>
          <w:szCs w:val="24"/>
        </w:rPr>
      </w:pPr>
      <w:r>
        <w:rPr>
          <w:rFonts w:ascii="Times New Roman" w:hAnsi="Times New Roman" w:cs="Times New Roman"/>
          <w:b/>
          <w:sz w:val="24"/>
          <w:szCs w:val="24"/>
        </w:rPr>
        <w:tab/>
      </w:r>
      <w:r w:rsidRPr="001A27AC">
        <w:rPr>
          <w:rFonts w:ascii="Times New Roman" w:hAnsi="Times New Roman" w:cs="Times New Roman"/>
          <w:sz w:val="24"/>
          <w:szCs w:val="24"/>
        </w:rPr>
        <w:t>Ustanovuje sa predmet zákona.</w:t>
      </w:r>
      <w:r>
        <w:rPr>
          <w:rFonts w:ascii="Times New Roman" w:hAnsi="Times New Roman" w:cs="Times New Roman"/>
          <w:sz w:val="24"/>
          <w:szCs w:val="24"/>
        </w:rPr>
        <w:t xml:space="preserve"> </w:t>
      </w:r>
    </w:p>
    <w:p w:rsidR="00AA59F4" w:rsidRDefault="00AA59F4" w:rsidP="00AA59F4">
      <w:pPr>
        <w:pStyle w:val="Bezriadkovania"/>
        <w:rPr>
          <w:rFonts w:ascii="Times New Roman" w:hAnsi="Times New Roman" w:cs="Times New Roman"/>
          <w:b/>
          <w:sz w:val="24"/>
          <w:szCs w:val="24"/>
        </w:rPr>
      </w:pPr>
    </w:p>
    <w:p w:rsidR="00AA59F4" w:rsidRDefault="00AA59F4" w:rsidP="00AA59F4">
      <w:pPr>
        <w:pStyle w:val="Bezriadkovania"/>
        <w:rPr>
          <w:rFonts w:ascii="Times New Roman" w:hAnsi="Times New Roman" w:cs="Times New Roman"/>
          <w:b/>
          <w:sz w:val="24"/>
          <w:szCs w:val="24"/>
        </w:rPr>
      </w:pPr>
      <w:r>
        <w:rPr>
          <w:rFonts w:ascii="Times New Roman" w:hAnsi="Times New Roman" w:cs="Times New Roman"/>
          <w:b/>
          <w:sz w:val="24"/>
          <w:szCs w:val="24"/>
        </w:rPr>
        <w:t>K § 2</w:t>
      </w:r>
    </w:p>
    <w:p w:rsidR="00AA59F4" w:rsidRDefault="00AA59F4" w:rsidP="00AA59F4">
      <w:pPr>
        <w:pStyle w:val="Bezriadkovania"/>
        <w:rPr>
          <w:rFonts w:ascii="Times New Roman" w:hAnsi="Times New Roman" w:cs="Times New Roman"/>
          <w:b/>
          <w:sz w:val="24"/>
          <w:szCs w:val="24"/>
        </w:rPr>
      </w:pPr>
    </w:p>
    <w:p w:rsidR="00AA59F4" w:rsidRDefault="00AA59F4" w:rsidP="00AA59F4">
      <w:pPr>
        <w:pStyle w:val="Bezriadkovania"/>
        <w:ind w:firstLine="708"/>
        <w:jc w:val="both"/>
        <w:rPr>
          <w:rFonts w:ascii="Times New Roman" w:hAnsi="Times New Roman" w:cs="Times New Roman"/>
          <w:sz w:val="24"/>
          <w:szCs w:val="24"/>
        </w:rPr>
      </w:pPr>
      <w:r>
        <w:rPr>
          <w:rFonts w:ascii="Times New Roman" w:hAnsi="Times New Roman" w:cs="Times New Roman"/>
          <w:sz w:val="24"/>
          <w:szCs w:val="24"/>
        </w:rPr>
        <w:t xml:space="preserve">Ustanovujú sa účely, na ktoré môže ministerstvo kultúry poskytnúť dotáciu zo štátneho rozpočtu. </w:t>
      </w:r>
    </w:p>
    <w:p w:rsidR="00AA59F4" w:rsidRDefault="00AA59F4" w:rsidP="00AA59F4">
      <w:pPr>
        <w:pStyle w:val="Bezriadkovania"/>
        <w:ind w:firstLine="708"/>
        <w:jc w:val="both"/>
        <w:rPr>
          <w:rFonts w:ascii="Times New Roman" w:hAnsi="Times New Roman" w:cs="Times New Roman"/>
          <w:sz w:val="24"/>
          <w:szCs w:val="24"/>
        </w:rPr>
      </w:pPr>
      <w:r>
        <w:rPr>
          <w:rFonts w:ascii="Times New Roman" w:hAnsi="Times New Roman" w:cs="Times New Roman"/>
          <w:sz w:val="24"/>
          <w:szCs w:val="24"/>
        </w:rPr>
        <w:t xml:space="preserve">Obnova národných kultúrnych pamiatok (ďalej len „kultúrna pamiatka“) je podľa § 32 zákona č. 49/2002 Z. z. o ochrane pamiatkového fondu v znení neskorších predpisov (ďalej len „zákon o ochrane pamiatkového fondu“) </w:t>
      </w:r>
      <w:r w:rsidRPr="00524C2E">
        <w:rPr>
          <w:rFonts w:ascii="Times New Roman" w:hAnsi="Times New Roman" w:cs="Times New Roman"/>
          <w:sz w:val="24"/>
          <w:szCs w:val="24"/>
        </w:rPr>
        <w:t>súbor špecializovaných ume</w:t>
      </w:r>
      <w:r>
        <w:rPr>
          <w:rFonts w:ascii="Times New Roman" w:hAnsi="Times New Roman" w:cs="Times New Roman"/>
          <w:sz w:val="24"/>
          <w:szCs w:val="24"/>
        </w:rPr>
        <w:t xml:space="preserve">lecko-remeselných činností </w:t>
      </w:r>
      <w:r w:rsidRPr="00524C2E">
        <w:rPr>
          <w:rFonts w:ascii="Times New Roman" w:hAnsi="Times New Roman" w:cs="Times New Roman"/>
          <w:sz w:val="24"/>
          <w:szCs w:val="24"/>
        </w:rPr>
        <w:t>a iných odborných činností, ktorými sa vykonáva údržba, konzervovanie, oprava, ada</w:t>
      </w:r>
      <w:r>
        <w:rPr>
          <w:rFonts w:ascii="Times New Roman" w:hAnsi="Times New Roman" w:cs="Times New Roman"/>
          <w:sz w:val="24"/>
          <w:szCs w:val="24"/>
        </w:rPr>
        <w:t xml:space="preserve">ptácia alebo rekonštrukcia </w:t>
      </w:r>
      <w:r w:rsidRPr="00524C2E">
        <w:rPr>
          <w:rFonts w:ascii="Times New Roman" w:hAnsi="Times New Roman" w:cs="Times New Roman"/>
          <w:sz w:val="24"/>
          <w:szCs w:val="24"/>
        </w:rPr>
        <w:t>kultúrnej pamiatky alebo jej časti s cieľom zachovať jej pamiatkové hodnoty.</w:t>
      </w:r>
      <w:r>
        <w:rPr>
          <w:rFonts w:ascii="Times New Roman" w:hAnsi="Times New Roman" w:cs="Times New Roman"/>
          <w:sz w:val="24"/>
          <w:szCs w:val="24"/>
        </w:rPr>
        <w:t xml:space="preserve"> Podľa § 33 zákona o ochrane pamiatkového fondu je reštaurovanie osobitným druhom obnovy kultúrnej pamiatky. Zmyslom poskytovania dotácií na účel obnovy kultúrnych pamiatok je zachovanie kultúrnych pamiatok v dobrom stave tým, že sa podporí ich obnova.</w:t>
      </w:r>
    </w:p>
    <w:p w:rsidR="00AA59F4" w:rsidRDefault="00AA59F4" w:rsidP="00AA59F4">
      <w:pPr>
        <w:pStyle w:val="Bezriadkovania"/>
        <w:ind w:firstLine="708"/>
        <w:jc w:val="both"/>
        <w:rPr>
          <w:rFonts w:ascii="Times New Roman" w:hAnsi="Times New Roman" w:cs="Times New Roman"/>
          <w:sz w:val="24"/>
          <w:szCs w:val="24"/>
        </w:rPr>
      </w:pPr>
      <w:r>
        <w:rPr>
          <w:rFonts w:ascii="Times New Roman" w:hAnsi="Times New Roman" w:cs="Times New Roman"/>
          <w:sz w:val="24"/>
          <w:szCs w:val="24"/>
        </w:rPr>
        <w:t xml:space="preserve">Pri dotáciách na účel ochrany pamiatkového fondu je treba vychádzať z § 2 ods. 7 zákona o ochrane pamiatkového fondu, podľa ktorého je ochrana pamiatkového fondu </w:t>
      </w:r>
      <w:r w:rsidRPr="00C85D26">
        <w:rPr>
          <w:rFonts w:ascii="Times New Roman" w:hAnsi="Times New Roman" w:cs="Times New Roman"/>
          <w:sz w:val="24"/>
          <w:szCs w:val="24"/>
        </w:rPr>
        <w:t xml:space="preserve">súhrn činností a </w:t>
      </w:r>
      <w:r w:rsidRPr="00F611E6">
        <w:rPr>
          <w:rFonts w:ascii="Times New Roman" w:hAnsi="Times New Roman" w:cs="Times New Roman"/>
          <w:sz w:val="24"/>
          <w:szCs w:val="24"/>
        </w:rPr>
        <w:t>opatrení zameraných na identifikáciu, výskum, evidenciu, zachovanie, obnovu, reštaurovanie, regeneráciu, využívanie a prezentáciu</w:t>
      </w:r>
      <w:r w:rsidRPr="00C85D26">
        <w:rPr>
          <w:rFonts w:ascii="Times New Roman" w:hAnsi="Times New Roman" w:cs="Times New Roman"/>
          <w:sz w:val="24"/>
          <w:szCs w:val="24"/>
        </w:rPr>
        <w:t xml:space="preserve"> kultúrnych pamiatok a pamiatkových území.</w:t>
      </w:r>
      <w:r>
        <w:rPr>
          <w:rFonts w:ascii="Times New Roman" w:hAnsi="Times New Roman" w:cs="Times New Roman"/>
          <w:sz w:val="24"/>
          <w:szCs w:val="24"/>
        </w:rPr>
        <w:t xml:space="preserve"> </w:t>
      </w:r>
      <w:r w:rsidRPr="00F85E4E">
        <w:rPr>
          <w:rFonts w:ascii="Times New Roman" w:hAnsi="Times New Roman" w:cs="Times New Roman"/>
          <w:sz w:val="24"/>
          <w:szCs w:val="24"/>
        </w:rPr>
        <w:t>Pri tomto účele sa dotácie budú poskytovať na ochranu kultúrnych pamiatok a pamiatkových území (pamiatková rezervácia a pamiatková zóna) s výnimkou podpory samotnej obnovy kultúrnych pamiatok, vrátane reštaurovania kultúrnych pamiatok (odsek 4 zákona).</w:t>
      </w:r>
      <w:r>
        <w:rPr>
          <w:rFonts w:ascii="Times New Roman" w:hAnsi="Times New Roman" w:cs="Times New Roman"/>
          <w:sz w:val="24"/>
          <w:szCs w:val="24"/>
        </w:rPr>
        <w:t xml:space="preserve"> </w:t>
      </w:r>
      <w:r w:rsidRPr="00F85E4E">
        <w:rPr>
          <w:rFonts w:ascii="Times New Roman" w:hAnsi="Times New Roman" w:cs="Times New Roman"/>
          <w:sz w:val="24"/>
          <w:szCs w:val="24"/>
        </w:rPr>
        <w:t xml:space="preserve">Na účel podľa odseku 1 písm. </w:t>
      </w:r>
      <w:r>
        <w:rPr>
          <w:rFonts w:ascii="Times New Roman" w:hAnsi="Times New Roman" w:cs="Times New Roman"/>
          <w:sz w:val="24"/>
          <w:szCs w:val="24"/>
        </w:rPr>
        <w:t>a</w:t>
      </w:r>
      <w:r w:rsidRPr="00F85E4E">
        <w:rPr>
          <w:rFonts w:ascii="Times New Roman" w:hAnsi="Times New Roman" w:cs="Times New Roman"/>
          <w:sz w:val="24"/>
          <w:szCs w:val="24"/>
        </w:rPr>
        <w:t>) návrhu zákona bude možné podporiť napríklad činnosti zamerané na budovanie alebo skvalitnenie evidencií kultúrnych pamiatok alebo pamiatkových území, výstavy o kultúrnych pamiatkach alebo pamiatkových územiach, organizovanie seminárov a odborných podujatí v tejto oblasti, prípravu a tvorbu materiálov, knižných publikácií alebo audiovizuálnych diel zameraných na prezentáciu pamiatkového fondu alebo výskumu kultúrnych pamiatok a pamiatkových území.</w:t>
      </w:r>
      <w:r>
        <w:rPr>
          <w:rFonts w:ascii="Times New Roman" w:hAnsi="Times New Roman" w:cs="Times New Roman"/>
          <w:sz w:val="24"/>
          <w:szCs w:val="24"/>
        </w:rPr>
        <w:t xml:space="preserve"> Do tohto účelu budú patriť aj dotácie na podporu činností a opatrení súvisiacich s obnovou kultúrnych pamiatok, ktoré však nebudú predstavovať samotnú obnovu kultúrnych pamiatok. Činnosťami a opatreniami zameranými na obnovu kultúrnych pamiatok, ktoré nebudú samotnou obnovou kultúrnych pamiatok, budú napríklad zdokumentovanie aktuálneho stavu kultúrnej pamiatky, odborné posúdenie potreby jej obnovy (reštaurovania) alebo príprava projektovej dokumentácie na obnovu kultúrnej pamiatky.</w:t>
      </w:r>
    </w:p>
    <w:p w:rsidR="00AA59F4" w:rsidRDefault="00AA59F4" w:rsidP="00AA59F4">
      <w:pPr>
        <w:pStyle w:val="Bezriadkovania"/>
        <w:ind w:firstLine="708"/>
        <w:jc w:val="both"/>
        <w:rPr>
          <w:rFonts w:ascii="Times New Roman" w:hAnsi="Times New Roman" w:cs="Times New Roman"/>
          <w:sz w:val="24"/>
          <w:szCs w:val="24"/>
        </w:rPr>
      </w:pPr>
      <w:r>
        <w:rPr>
          <w:rFonts w:ascii="Times New Roman" w:hAnsi="Times New Roman" w:cs="Times New Roman"/>
          <w:sz w:val="24"/>
          <w:szCs w:val="24"/>
        </w:rPr>
        <w:t>Účel poskytovania dotácií podľa odseku 1 písm. b) vychádza z doterajšej úpravy. Z dôvodu spresnenia sa však v odseku 2 ustanovuje, čo sa považuje za kultúrnu aktivitu osôb so zdravotným postihnutím alebo inak znevýhodnených skupín obyvateľstva. Ide o kultúrnu aktivitu pripravovanú a vykonávanú takýmito osobami alebo skupinami alebo kultúrnu aktivitu</w:t>
      </w:r>
      <w:r w:rsidRPr="00304118">
        <w:rPr>
          <w:rFonts w:ascii="Times New Roman" w:hAnsi="Times New Roman" w:cs="Times New Roman"/>
          <w:sz w:val="24"/>
          <w:szCs w:val="24"/>
        </w:rPr>
        <w:t xml:space="preserve"> </w:t>
      </w:r>
      <w:r>
        <w:rPr>
          <w:rFonts w:ascii="Times New Roman" w:hAnsi="Times New Roman" w:cs="Times New Roman"/>
          <w:sz w:val="24"/>
          <w:szCs w:val="24"/>
        </w:rPr>
        <w:t>pripravovanú a vykonávanú inými subjektmi pre takéto osoby alebo skupiny.</w:t>
      </w:r>
      <w:r w:rsidRPr="00191696">
        <w:t xml:space="preserve"> </w:t>
      </w:r>
      <w:r w:rsidRPr="00191696">
        <w:rPr>
          <w:rFonts w:ascii="Times New Roman" w:hAnsi="Times New Roman" w:cs="Times New Roman"/>
          <w:sz w:val="24"/>
          <w:szCs w:val="24"/>
        </w:rPr>
        <w:t xml:space="preserve">Dotácia sa môže poskytnúť na podporu kultúry (kultúrneho dedičstva, kultúrno-osvetovej činnosti, umeleckých aktivít, kreatívneho priemyslu) znevýhodnených skupín obyvateľstva a podporu fyzickej a informačnej </w:t>
      </w:r>
      <w:proofErr w:type="spellStart"/>
      <w:r w:rsidRPr="00191696">
        <w:rPr>
          <w:rFonts w:ascii="Times New Roman" w:hAnsi="Times New Roman" w:cs="Times New Roman"/>
          <w:sz w:val="24"/>
          <w:szCs w:val="24"/>
        </w:rPr>
        <w:t>debarierizácie</w:t>
      </w:r>
      <w:proofErr w:type="spellEnd"/>
      <w:r w:rsidRPr="00191696">
        <w:rPr>
          <w:rFonts w:ascii="Times New Roman" w:hAnsi="Times New Roman" w:cs="Times New Roman"/>
          <w:sz w:val="24"/>
          <w:szCs w:val="24"/>
        </w:rPr>
        <w:t xml:space="preserve"> kultúry (sprístupňovanie kultúry, kultúrnych obsahov, kultúrneho dedičstva, kultúrnych inštitúcií a organizácií) pre osoby so zdravotným postihnutím. Kultúrou znevýhodnených skupín sa rozumie ochrana a podpora kultúrnych práv </w:t>
      </w:r>
      <w:r w:rsidRPr="00191696">
        <w:rPr>
          <w:rFonts w:ascii="Times New Roman" w:hAnsi="Times New Roman" w:cs="Times New Roman"/>
          <w:sz w:val="24"/>
          <w:szCs w:val="24"/>
        </w:rPr>
        <w:lastRenderedPageBreak/>
        <w:t>a predchádzanie diskriminácii a všetkým formám násilia voči znevýhodneným skupinám, napr.: ľudí so zdravotným postihnutím (telesné, mentálne, zrakové, sluchové postihnutie vrátane ochrany duševného zdravia – v zmysle Dohovoru o právach osôb so zdravotným postihnutím); detí a mládeže (najmä z centier pre deti a rodiny, reedukačných zariadení, diagnostických centier, liečebno-výchovných sanatórií, z centier pre deti a rodiny s resocializačným programom,</w:t>
      </w:r>
      <w:r>
        <w:rPr>
          <w:rFonts w:ascii="Times New Roman" w:hAnsi="Times New Roman" w:cs="Times New Roman"/>
          <w:sz w:val="24"/>
          <w:szCs w:val="24"/>
        </w:rPr>
        <w:t xml:space="preserve"> zo sociálne znevýhodneného prostredia, z menej rozvinutých okresov, </w:t>
      </w:r>
      <w:r w:rsidRPr="00191696">
        <w:rPr>
          <w:rFonts w:ascii="Times New Roman" w:hAnsi="Times New Roman" w:cs="Times New Roman"/>
          <w:sz w:val="24"/>
          <w:szCs w:val="24"/>
        </w:rPr>
        <w:t xml:space="preserve"> žijúce v </w:t>
      </w:r>
      <w:proofErr w:type="spellStart"/>
      <w:r w:rsidRPr="00191696">
        <w:rPr>
          <w:rFonts w:ascii="Times New Roman" w:hAnsi="Times New Roman" w:cs="Times New Roman"/>
          <w:sz w:val="24"/>
          <w:szCs w:val="24"/>
        </w:rPr>
        <w:t>marginalizovaných</w:t>
      </w:r>
      <w:proofErr w:type="spellEnd"/>
      <w:r w:rsidRPr="00191696">
        <w:rPr>
          <w:rFonts w:ascii="Times New Roman" w:hAnsi="Times New Roman" w:cs="Times New Roman"/>
          <w:sz w:val="24"/>
          <w:szCs w:val="24"/>
        </w:rPr>
        <w:t xml:space="preserve"> rómskych komunitách, utečencov, detské obete násilia); žien (podpora projektov v oblasti kultúry prispievajúcich k implementácii rovnosti mužov a žien, napr. nediskriminácia žien po 45. roku života, osamelé tehotné ženy a matky, obete násilia, ženy žijúce v </w:t>
      </w:r>
      <w:proofErr w:type="spellStart"/>
      <w:r w:rsidRPr="00191696">
        <w:rPr>
          <w:rFonts w:ascii="Times New Roman" w:hAnsi="Times New Roman" w:cs="Times New Roman"/>
          <w:sz w:val="24"/>
          <w:szCs w:val="24"/>
        </w:rPr>
        <w:t>marginalizovaných</w:t>
      </w:r>
      <w:proofErr w:type="spellEnd"/>
      <w:r w:rsidRPr="00191696">
        <w:rPr>
          <w:rFonts w:ascii="Times New Roman" w:hAnsi="Times New Roman" w:cs="Times New Roman"/>
          <w:sz w:val="24"/>
          <w:szCs w:val="24"/>
        </w:rPr>
        <w:t xml:space="preserve"> rómskych komunitách, ženy ohrozené chudobou); seniorov, najmä seniorov ohrozených chudobou a podpora projektov v oblasti kultúry zameraných na podporu aktívneho starnutia a podpory medzigeneračnej solidarity; cudzincov a migrantov (podpora projektov zameraných na podporu kultúrnej integrácie); ľudí ohrozených chudobou a sociálnym vylúčením (napr. mnohodetné rodiny, </w:t>
      </w:r>
      <w:proofErr w:type="spellStart"/>
      <w:r w:rsidRPr="00191696">
        <w:rPr>
          <w:rFonts w:ascii="Times New Roman" w:hAnsi="Times New Roman" w:cs="Times New Roman"/>
          <w:sz w:val="24"/>
          <w:szCs w:val="24"/>
        </w:rPr>
        <w:t>monoparentálne</w:t>
      </w:r>
      <w:proofErr w:type="spellEnd"/>
      <w:r w:rsidRPr="00191696">
        <w:rPr>
          <w:rFonts w:ascii="Times New Roman" w:hAnsi="Times New Roman" w:cs="Times New Roman"/>
          <w:sz w:val="24"/>
          <w:szCs w:val="24"/>
        </w:rPr>
        <w:t xml:space="preserve"> rodiny, </w:t>
      </w:r>
      <w:r>
        <w:rPr>
          <w:rFonts w:ascii="Times New Roman" w:hAnsi="Times New Roman" w:cs="Times New Roman"/>
          <w:sz w:val="24"/>
          <w:szCs w:val="24"/>
        </w:rPr>
        <w:t>mladí ľudia po ukončení starostlivosti v centrách pre deti a rodiny</w:t>
      </w:r>
      <w:r w:rsidRPr="00191696">
        <w:rPr>
          <w:rFonts w:ascii="Times New Roman" w:hAnsi="Times New Roman" w:cs="Times New Roman"/>
          <w:sz w:val="24"/>
          <w:szCs w:val="24"/>
        </w:rPr>
        <w:t xml:space="preserve">, </w:t>
      </w:r>
      <w:r>
        <w:rPr>
          <w:rFonts w:ascii="Times New Roman" w:hAnsi="Times New Roman" w:cs="Times New Roman"/>
          <w:sz w:val="24"/>
          <w:szCs w:val="24"/>
        </w:rPr>
        <w:t xml:space="preserve">mládež zo </w:t>
      </w:r>
      <w:r w:rsidRPr="00191696">
        <w:rPr>
          <w:rFonts w:ascii="Times New Roman" w:hAnsi="Times New Roman" w:cs="Times New Roman"/>
          <w:sz w:val="24"/>
          <w:szCs w:val="24"/>
        </w:rPr>
        <w:t>klienti centier pre deti a rodiny s resocializačným programom, ľudia vracajúci sa z výkonu trestu odňatia slobody, ľudia bez práce, ľudia bez domova, ľudia zo sociálne vylúčených spoločenstiev, obete obchodovania s ľuďmi, obete domáceho násilia)</w:t>
      </w:r>
      <w:r>
        <w:rPr>
          <w:rFonts w:ascii="Times New Roman" w:hAnsi="Times New Roman" w:cs="Times New Roman"/>
          <w:sz w:val="24"/>
          <w:szCs w:val="24"/>
        </w:rPr>
        <w:t>,</w:t>
      </w:r>
      <w:r w:rsidRPr="00191696">
        <w:rPr>
          <w:rFonts w:ascii="Times New Roman" w:hAnsi="Times New Roman" w:cs="Times New Roman"/>
          <w:sz w:val="24"/>
          <w:szCs w:val="24"/>
        </w:rPr>
        <w:t xml:space="preserve"> LGBTI ľudia a pod. Poskytovanie podpory v tejto oblasti slúži ako nástroj štátnej kultúrnej politiky v oblasti prevencie a eliminácie všetkých foriem intolerancie, diskriminácie, násilia a xenofóbie a na podporu rovnosti príležitostí, tolerancie a rozvoja </w:t>
      </w:r>
      <w:proofErr w:type="spellStart"/>
      <w:r w:rsidRPr="00191696">
        <w:rPr>
          <w:rFonts w:ascii="Times New Roman" w:hAnsi="Times New Roman" w:cs="Times New Roman"/>
          <w:sz w:val="24"/>
          <w:szCs w:val="24"/>
        </w:rPr>
        <w:t>medzikultúrneho</w:t>
      </w:r>
      <w:proofErr w:type="spellEnd"/>
      <w:r w:rsidRPr="00191696">
        <w:rPr>
          <w:rFonts w:ascii="Times New Roman" w:hAnsi="Times New Roman" w:cs="Times New Roman"/>
          <w:sz w:val="24"/>
          <w:szCs w:val="24"/>
        </w:rPr>
        <w:t xml:space="preserve"> dialógu (predchádzanie predsudkom, stereotypom a mýtom vo vzťahoch medzi majoritnou spoločnosťou a menšinami a </w:t>
      </w:r>
      <w:proofErr w:type="spellStart"/>
      <w:r w:rsidRPr="00191696">
        <w:rPr>
          <w:rFonts w:ascii="Times New Roman" w:hAnsi="Times New Roman" w:cs="Times New Roman"/>
          <w:sz w:val="24"/>
          <w:szCs w:val="24"/>
        </w:rPr>
        <w:t>marginalizovanými</w:t>
      </w:r>
      <w:proofErr w:type="spellEnd"/>
      <w:r w:rsidRPr="00191696">
        <w:rPr>
          <w:rFonts w:ascii="Times New Roman" w:hAnsi="Times New Roman" w:cs="Times New Roman"/>
          <w:sz w:val="24"/>
          <w:szCs w:val="24"/>
        </w:rPr>
        <w:t xml:space="preserve"> skupinami). Účelom poskytnutia dotácie nie je podpora kultúry národnostných menšín, ktorá sa riadi osobitným zákonom č. 138/2017 Z. z. o Fonde na podporu kultúry národnostných menšín a o zmene a doplnení niektorých zákonov v znení neskorších predpisov.</w:t>
      </w:r>
      <w:r>
        <w:rPr>
          <w:rFonts w:ascii="Times New Roman" w:hAnsi="Times New Roman" w:cs="Times New Roman"/>
          <w:sz w:val="24"/>
          <w:szCs w:val="24"/>
        </w:rPr>
        <w:t xml:space="preserve"> </w:t>
      </w:r>
    </w:p>
    <w:p w:rsidR="00AA59F4" w:rsidRDefault="00AA59F4" w:rsidP="00AA59F4">
      <w:pPr>
        <w:pStyle w:val="Bezriadkovania"/>
        <w:ind w:firstLine="709"/>
        <w:jc w:val="both"/>
        <w:rPr>
          <w:rFonts w:ascii="Times New Roman" w:hAnsi="Times New Roman" w:cs="Times New Roman"/>
          <w:sz w:val="24"/>
          <w:szCs w:val="24"/>
        </w:rPr>
      </w:pPr>
      <w:r>
        <w:rPr>
          <w:rFonts w:ascii="Times New Roman" w:hAnsi="Times New Roman" w:cs="Times New Roman"/>
          <w:sz w:val="24"/>
          <w:szCs w:val="24"/>
        </w:rPr>
        <w:t xml:space="preserve">Dotácie na účel sprístupnenia kultúrnych hodnôt žiakom základných škôl </w:t>
      </w:r>
      <w:r w:rsidRPr="00B30276">
        <w:rPr>
          <w:rFonts w:ascii="Times New Roman" w:hAnsi="Times New Roman" w:cs="Times New Roman"/>
          <w:sz w:val="24"/>
          <w:szCs w:val="24"/>
        </w:rPr>
        <w:t>a stredných škôl a pedagogickým zamestnancom z</w:t>
      </w:r>
      <w:r>
        <w:rPr>
          <w:rFonts w:ascii="Times New Roman" w:hAnsi="Times New Roman" w:cs="Times New Roman"/>
          <w:sz w:val="24"/>
          <w:szCs w:val="24"/>
        </w:rPr>
        <w:t>ákladných škôl a stredných škôl, ktoré sa poskytujú v súčasnosti, sa budú poskytovať bez zmeny aj podľa návrhu tohto zákona (formou kultúrnych poukazov). Z dôvodu spresnenia sa preto v odseku 3 ustanovuje, čo sa považuje za kultúrny poukaz.</w:t>
      </w:r>
    </w:p>
    <w:p w:rsidR="00AA59F4" w:rsidRDefault="00AA59F4" w:rsidP="00AA59F4">
      <w:pPr>
        <w:pStyle w:val="Bezriadkovania"/>
        <w:ind w:firstLine="709"/>
        <w:jc w:val="both"/>
        <w:rPr>
          <w:rFonts w:ascii="Times New Roman" w:hAnsi="Times New Roman" w:cs="Times New Roman"/>
          <w:sz w:val="24"/>
          <w:szCs w:val="24"/>
        </w:rPr>
      </w:pPr>
      <w:r>
        <w:rPr>
          <w:rFonts w:ascii="Times New Roman" w:hAnsi="Times New Roman" w:cs="Times New Roman"/>
          <w:sz w:val="24"/>
          <w:szCs w:val="24"/>
        </w:rPr>
        <w:t>D</w:t>
      </w:r>
      <w:r w:rsidRPr="00C625E6">
        <w:rPr>
          <w:rFonts w:ascii="Times New Roman" w:hAnsi="Times New Roman" w:cs="Times New Roman"/>
          <w:sz w:val="24"/>
          <w:szCs w:val="24"/>
        </w:rPr>
        <w:t>otáciu na účel podpory aktivity v oblasti kultúry, umenia a kultúrneho a kreatívneho priemyslu môže byť verejná vysoká škola, ktorá poskytuje vzdelávanie v akreditovanom umeleckom študijnom programe, najmä v študijných odboroch výtvarné umenie, dizajn, hudobné umenie, divadelné umenie, tanečné umenie, filmové umenie a multimédia.</w:t>
      </w:r>
      <w:r>
        <w:rPr>
          <w:rFonts w:ascii="Times New Roman" w:hAnsi="Times New Roman" w:cs="Times New Roman"/>
          <w:sz w:val="24"/>
          <w:szCs w:val="24"/>
        </w:rPr>
        <w:t xml:space="preserve"> </w:t>
      </w:r>
    </w:p>
    <w:p w:rsidR="00AA59F4" w:rsidRDefault="00AA59F4" w:rsidP="00AA59F4">
      <w:pPr>
        <w:pStyle w:val="Bezriadkovania"/>
        <w:ind w:firstLine="708"/>
        <w:jc w:val="both"/>
        <w:rPr>
          <w:rFonts w:ascii="Times New Roman" w:hAnsi="Times New Roman" w:cs="Times New Roman"/>
          <w:sz w:val="24"/>
          <w:szCs w:val="24"/>
        </w:rPr>
      </w:pPr>
      <w:r w:rsidRPr="00911B1A">
        <w:rPr>
          <w:rFonts w:ascii="Times New Roman" w:hAnsi="Times New Roman" w:cs="Times New Roman"/>
          <w:sz w:val="24"/>
          <w:szCs w:val="24"/>
        </w:rPr>
        <w:t xml:space="preserve">Dotáciu na účel </w:t>
      </w:r>
      <w:r>
        <w:rPr>
          <w:rFonts w:ascii="Times New Roman" w:hAnsi="Times New Roman" w:cs="Times New Roman"/>
          <w:sz w:val="24"/>
          <w:szCs w:val="24"/>
        </w:rPr>
        <w:t>podľa odseku 1 písm. e) je možné použiť na podporu kultúry, umenia a kreatívneho priemyslu pri vyhlásených mimoriadnych opatreniach, živelných pohromách a pod.</w:t>
      </w:r>
    </w:p>
    <w:p w:rsidR="00AA59F4" w:rsidRPr="00911B1A" w:rsidRDefault="00AA59F4" w:rsidP="00AA59F4">
      <w:pPr>
        <w:pStyle w:val="Bezriadkovania"/>
        <w:ind w:firstLine="708"/>
        <w:jc w:val="both"/>
        <w:rPr>
          <w:rFonts w:ascii="Times New Roman" w:hAnsi="Times New Roman" w:cs="Times New Roman"/>
          <w:sz w:val="24"/>
          <w:szCs w:val="24"/>
        </w:rPr>
      </w:pPr>
      <w:r>
        <w:rPr>
          <w:rFonts w:ascii="Times New Roman" w:hAnsi="Times New Roman" w:cs="Times New Roman"/>
          <w:sz w:val="24"/>
          <w:szCs w:val="24"/>
        </w:rPr>
        <w:t>Dotáciu na účel</w:t>
      </w:r>
      <w:r w:rsidRPr="004C002B">
        <w:rPr>
          <w:rFonts w:ascii="Times New Roman" w:hAnsi="Times New Roman" w:cs="Times New Roman"/>
          <w:sz w:val="24"/>
          <w:szCs w:val="24"/>
        </w:rPr>
        <w:t xml:space="preserve"> </w:t>
      </w:r>
      <w:r>
        <w:rPr>
          <w:rFonts w:ascii="Times New Roman" w:hAnsi="Times New Roman" w:cs="Times New Roman"/>
          <w:sz w:val="24"/>
          <w:szCs w:val="24"/>
        </w:rPr>
        <w:t xml:space="preserve">podľa odseku 1 písm. f) je možné použiť na podporu a rozvoj mediálnej výchovy, ako aj na podporu projektov skúmajúcich šírenie dezinformácií. </w:t>
      </w:r>
    </w:p>
    <w:p w:rsidR="00AA59F4" w:rsidRDefault="00AA59F4" w:rsidP="00AA59F4">
      <w:pPr>
        <w:pStyle w:val="Bezriadkovania"/>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A59F4" w:rsidRDefault="00AA59F4" w:rsidP="00AA59F4">
      <w:pPr>
        <w:pStyle w:val="Bezriadkovania"/>
        <w:jc w:val="both"/>
        <w:rPr>
          <w:rFonts w:ascii="Times New Roman" w:hAnsi="Times New Roman" w:cs="Times New Roman"/>
          <w:sz w:val="24"/>
          <w:szCs w:val="24"/>
        </w:rPr>
      </w:pPr>
    </w:p>
    <w:p w:rsidR="00AA59F4" w:rsidRDefault="00AA59F4" w:rsidP="00AA59F4">
      <w:pPr>
        <w:pStyle w:val="Bezriadkovania"/>
        <w:jc w:val="both"/>
        <w:rPr>
          <w:rFonts w:ascii="Times New Roman" w:hAnsi="Times New Roman" w:cs="Times New Roman"/>
          <w:b/>
          <w:sz w:val="24"/>
          <w:szCs w:val="24"/>
        </w:rPr>
      </w:pPr>
      <w:r>
        <w:rPr>
          <w:rFonts w:ascii="Times New Roman" w:hAnsi="Times New Roman" w:cs="Times New Roman"/>
          <w:b/>
          <w:sz w:val="24"/>
          <w:szCs w:val="24"/>
        </w:rPr>
        <w:t>K § 3</w:t>
      </w:r>
    </w:p>
    <w:p w:rsidR="00AA59F4" w:rsidRDefault="00AA59F4" w:rsidP="00AA59F4">
      <w:pPr>
        <w:pStyle w:val="Bezriadkovania"/>
        <w:jc w:val="both"/>
        <w:rPr>
          <w:rFonts w:ascii="Times New Roman" w:hAnsi="Times New Roman" w:cs="Times New Roman"/>
          <w:b/>
          <w:sz w:val="24"/>
          <w:szCs w:val="24"/>
        </w:rPr>
      </w:pPr>
    </w:p>
    <w:p w:rsidR="00AA59F4" w:rsidRDefault="00AA59F4" w:rsidP="00AA59F4">
      <w:pPr>
        <w:pStyle w:val="Bezriadkovania"/>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Dotácia sa môže poskytnúť na základe žiadosti, ktorú podá žiadateľ. Zákon ustanovuje, že žiadateľom môže byť fyzická osoba alebo právnická osoba, pričom okruh osôb, ktoré môžu byť žiadateľmi o poskytnutie dotácie, bližšie určí ministerstvo kultúry vo výzve na predkladanie žiadostí. Pri dotáciách na obnovu kultúrnych pamiatok však musia byť súčasne splnené aj ďalšie podmienky ustanovené v odsekoch 3 až 6. </w:t>
      </w:r>
    </w:p>
    <w:p w:rsidR="00AA59F4" w:rsidRDefault="00AA59F4" w:rsidP="00AA59F4">
      <w:pPr>
        <w:pStyle w:val="Bezriadkovania"/>
        <w:jc w:val="both"/>
        <w:rPr>
          <w:rFonts w:ascii="Times New Roman" w:hAnsi="Times New Roman" w:cs="Times New Roman"/>
          <w:sz w:val="24"/>
          <w:szCs w:val="24"/>
        </w:rPr>
      </w:pPr>
      <w:r>
        <w:rPr>
          <w:rFonts w:ascii="Times New Roman" w:hAnsi="Times New Roman" w:cs="Times New Roman"/>
          <w:sz w:val="24"/>
          <w:szCs w:val="24"/>
        </w:rPr>
        <w:lastRenderedPageBreak/>
        <w:tab/>
        <w:t xml:space="preserve">Žiadateľom o poskytnutie dotácie na obnovu kultúrnej pamiatky podľa § 2 ods. 1 písm. a) môže byť v zásade iba jej vlastník. Z tohto pravidla sa ustanovujú výnimky. </w:t>
      </w:r>
    </w:p>
    <w:p w:rsidR="00AA59F4" w:rsidRDefault="00AA59F4" w:rsidP="00AA59F4">
      <w:pPr>
        <w:pStyle w:val="Bezriadkovania"/>
        <w:jc w:val="both"/>
        <w:rPr>
          <w:rFonts w:ascii="Times New Roman" w:hAnsi="Times New Roman" w:cs="Times New Roman"/>
          <w:sz w:val="24"/>
          <w:szCs w:val="24"/>
        </w:rPr>
      </w:pPr>
      <w:r>
        <w:rPr>
          <w:rFonts w:ascii="Times New Roman" w:hAnsi="Times New Roman" w:cs="Times New Roman"/>
          <w:sz w:val="24"/>
          <w:szCs w:val="24"/>
        </w:rPr>
        <w:tab/>
        <w:t xml:space="preserve">Ak je kultúrna pamiatka vo vlastníctve obce alebo vyššieho územného celku, žiadateľom o dotáciu na jej obnovu môže byť okrem jej vlastníka, t.j. obce a vyššieho územného celku aj nimi zriadená rozpočtová alebo príspevková organizácia, ktorá má túto kultúrnu pamiatku v správe.    </w:t>
      </w:r>
    </w:p>
    <w:p w:rsidR="00AA59F4" w:rsidRDefault="00AA59F4" w:rsidP="00AA59F4">
      <w:pPr>
        <w:pStyle w:val="Bezriadkovania"/>
        <w:jc w:val="both"/>
        <w:rPr>
          <w:rFonts w:ascii="Times New Roman" w:hAnsi="Times New Roman" w:cs="Times New Roman"/>
          <w:sz w:val="24"/>
          <w:szCs w:val="24"/>
        </w:rPr>
      </w:pPr>
      <w:r>
        <w:rPr>
          <w:rFonts w:ascii="Times New Roman" w:hAnsi="Times New Roman" w:cs="Times New Roman"/>
          <w:sz w:val="24"/>
          <w:szCs w:val="24"/>
        </w:rPr>
        <w:tab/>
        <w:t xml:space="preserve">O dotáciu na obnovu kultúrnej pamiatky, ktorá je bytovým domom, môže požiadať osoba vykonávajúca správu bytového domu podľa zákona Národnej rady Slovenskej republiky č. 182/1993 Z. z. </w:t>
      </w:r>
      <w:r w:rsidRPr="008B3DBA">
        <w:rPr>
          <w:rFonts w:ascii="Times New Roman" w:hAnsi="Times New Roman" w:cs="Times New Roman"/>
          <w:sz w:val="24"/>
          <w:szCs w:val="24"/>
        </w:rPr>
        <w:t>o vlastníctve bytov a nebytových priestorov</w:t>
      </w:r>
      <w:r>
        <w:rPr>
          <w:rFonts w:ascii="Times New Roman" w:hAnsi="Times New Roman" w:cs="Times New Roman"/>
          <w:sz w:val="24"/>
          <w:szCs w:val="24"/>
        </w:rPr>
        <w:t xml:space="preserve"> v znení neskorších predpisov, t.j. spoločenstvo vlastníkov bytov a nebytových priestorov v bytovom dome (ďalej len „spoločenstvo“) alebo správca bytového domu. V tomto prípade žiadateľom nebudú samotní vlastníci bytov a nebytových priestorov v bytovom dome, ale spoločenstvo, ktoré je samostatnou právnickou osobou, alebo správca bytového domu, ktorým môže byť právnická osoba alebo fyzická osoba podnikateľ.  </w:t>
      </w:r>
      <w:r>
        <w:rPr>
          <w:rFonts w:ascii="Times New Roman" w:hAnsi="Times New Roman" w:cs="Times New Roman"/>
          <w:sz w:val="24"/>
          <w:szCs w:val="24"/>
        </w:rPr>
        <w:tab/>
      </w:r>
    </w:p>
    <w:p w:rsidR="00AA59F4" w:rsidRDefault="00AA59F4" w:rsidP="00AA59F4">
      <w:pPr>
        <w:pStyle w:val="Bezriadkovania"/>
        <w:jc w:val="both"/>
        <w:rPr>
          <w:rFonts w:ascii="Times New Roman" w:hAnsi="Times New Roman" w:cs="Times New Roman"/>
          <w:sz w:val="24"/>
          <w:szCs w:val="24"/>
        </w:rPr>
      </w:pPr>
      <w:r>
        <w:rPr>
          <w:rFonts w:ascii="Times New Roman" w:hAnsi="Times New Roman" w:cs="Times New Roman"/>
          <w:sz w:val="24"/>
          <w:szCs w:val="24"/>
        </w:rPr>
        <w:tab/>
        <w:t>Osobitný prípad predstavuje obnova kultúrnych pamiatok, ktoré sú</w:t>
      </w:r>
      <w:r w:rsidRPr="00CA2BCA">
        <w:rPr>
          <w:rFonts w:ascii="Times New Roman" w:hAnsi="Times New Roman" w:cs="Times New Roman"/>
          <w:sz w:val="24"/>
          <w:szCs w:val="24"/>
        </w:rPr>
        <w:t xml:space="preserve"> </w:t>
      </w:r>
      <w:r>
        <w:rPr>
          <w:rFonts w:ascii="Times New Roman" w:hAnsi="Times New Roman" w:cs="Times New Roman"/>
          <w:sz w:val="24"/>
          <w:szCs w:val="24"/>
        </w:rPr>
        <w:t>ruinou, historickým parkom,</w:t>
      </w:r>
      <w:r w:rsidRPr="00CA2BCA">
        <w:rPr>
          <w:rFonts w:ascii="Times New Roman" w:hAnsi="Times New Roman" w:cs="Times New Roman"/>
          <w:sz w:val="24"/>
          <w:szCs w:val="24"/>
        </w:rPr>
        <w:t> historickou zeleňou, archeologickým náleziskom,</w:t>
      </w:r>
      <w:r>
        <w:rPr>
          <w:rFonts w:ascii="Times New Roman" w:hAnsi="Times New Roman" w:cs="Times New Roman"/>
          <w:sz w:val="24"/>
          <w:szCs w:val="24"/>
        </w:rPr>
        <w:t xml:space="preserve"> </w:t>
      </w:r>
      <w:r w:rsidRPr="00CA2BCA">
        <w:rPr>
          <w:rFonts w:ascii="Times New Roman" w:hAnsi="Times New Roman" w:cs="Times New Roman"/>
          <w:sz w:val="24"/>
          <w:szCs w:val="24"/>
        </w:rPr>
        <w:t>kultúrnou pamiatkou sakrálneho alebo technického charakteru</w:t>
      </w:r>
      <w:r>
        <w:rPr>
          <w:rFonts w:ascii="Times New Roman" w:hAnsi="Times New Roman" w:cs="Times New Roman"/>
          <w:sz w:val="24"/>
          <w:szCs w:val="24"/>
        </w:rPr>
        <w:t>. Tieto kultúrne pamiatky sú nie zriedka v zlom stave a ich vlastník sa o nich buď nestará alebo ich vlastník nie je známy. Ide napríklad o situáciu, že</w:t>
      </w:r>
      <w:r w:rsidRPr="00C34C0C">
        <w:rPr>
          <w:rFonts w:ascii="Times New Roman" w:hAnsi="Times New Roman" w:cs="Times New Roman"/>
          <w:sz w:val="24"/>
          <w:szCs w:val="24"/>
        </w:rPr>
        <w:t xml:space="preserve"> </w:t>
      </w:r>
      <w:r>
        <w:rPr>
          <w:rFonts w:ascii="Times New Roman" w:hAnsi="Times New Roman" w:cs="Times New Roman"/>
          <w:sz w:val="24"/>
          <w:szCs w:val="24"/>
        </w:rPr>
        <w:t xml:space="preserve">vlastník vyššie uvedenej kultúrnej pamiatky žije dlhodobo v zahraničí, zdedil kultúrnu pamiatku, ale je občanom iného štátu a na území Slovenskej republiky sa vôbec nezdržiava alebo ide o nehnuteľnú kultúrnu pamiatku, ktorá nie je evidovaná v katastri nehnuteľností alebo list vlastníctva k takejto nehnuteľnej kultúrnej pamiatke nie je založený. Keďže je záujem aj na ochrane takýchto kultúrnych pamiatok, pripúšťa sa, aby o dotáciu na ich obnovu mohla požiadať okrem vlastníka aj iná osoba, ktorá na základe zmluvy užíva pozemok, na ktorom sa táto kultúrna pamiatka nachádza. Po splnení tejto podmienky bude môcť o dotáciu požiadať obec, nadácia, nezisková organizácia, občianske združenie a registrovaný sociálny podnik. Dotácia na obnovu sa síce poskytne osobe odlišnej od vlastníka kultúrnej pamiatky, ale účel dotácie, t.j. obnova kultúrnej pamiatky, bude naplnený. Môže ísť napríklad o prípad, ak kultúrnu pamiatku, ktorá je ruinou alebo historickým parkom, vlastní osoba, ktorá sa o ňu nijakým spôsobom nestará. V záujme obnovy takejto kultúrnej pamiatky sa dotácia môže poskytnúť napríklad obci, na území ktorej sa kultúrna pamiatka nachádza. </w:t>
      </w:r>
    </w:p>
    <w:p w:rsidR="00AA59F4" w:rsidRDefault="00AA59F4" w:rsidP="00AA59F4">
      <w:pPr>
        <w:pStyle w:val="Bezriadkovania"/>
        <w:jc w:val="both"/>
        <w:rPr>
          <w:rFonts w:ascii="Times New Roman" w:hAnsi="Times New Roman" w:cs="Times New Roman"/>
          <w:sz w:val="24"/>
          <w:szCs w:val="24"/>
        </w:rPr>
      </w:pPr>
      <w:r>
        <w:rPr>
          <w:rFonts w:ascii="Times New Roman" w:hAnsi="Times New Roman" w:cs="Times New Roman"/>
          <w:sz w:val="24"/>
          <w:szCs w:val="24"/>
        </w:rPr>
        <w:tab/>
        <w:t xml:space="preserve">    </w:t>
      </w:r>
    </w:p>
    <w:p w:rsidR="00AA59F4" w:rsidRDefault="00AA59F4" w:rsidP="00AA59F4">
      <w:pPr>
        <w:pStyle w:val="Bezriadkovania"/>
        <w:ind w:firstLine="708"/>
        <w:jc w:val="both"/>
        <w:rPr>
          <w:rFonts w:ascii="Times New Roman" w:hAnsi="Times New Roman" w:cs="Times New Roman"/>
          <w:sz w:val="24"/>
          <w:szCs w:val="24"/>
        </w:rPr>
      </w:pPr>
      <w:r>
        <w:rPr>
          <w:rFonts w:ascii="Times New Roman" w:hAnsi="Times New Roman" w:cs="Times New Roman"/>
          <w:sz w:val="24"/>
          <w:szCs w:val="24"/>
        </w:rPr>
        <w:t xml:space="preserve">Vyššie uvedené nevylučuje, aby sa dal žiadateľ pri podaní žiadosti o poskytnutie dotácie zastúpiť splnomocnencom. Pri inštitúte splnomocnenia treba vychádzať z ustanovení Občianskeho zákonníka. Vzhľadom na rozsah nadobúdaných práv a povinností by mal byť podpis splnomocniteľa na splnomocnení úradne osvedčený. Je treba zdôrazniť, že aj keď sa dá žiadateľ pri podaní žiadosti zastúpiť, žiadateľom o dotáciu je splnomocniteľ. Všetky doklady, ktoré sa k žiadosti prikladajú (potvrdenie konkurzného súdu, potvrdenie inšpektorátu práce, atď.), sa teda musia týkať splnomocniteľa.  </w:t>
      </w:r>
    </w:p>
    <w:p w:rsidR="00AA59F4" w:rsidRDefault="00AA59F4" w:rsidP="00AA59F4">
      <w:pPr>
        <w:pStyle w:val="Bezriadkovania"/>
        <w:ind w:firstLine="708"/>
        <w:jc w:val="both"/>
        <w:rPr>
          <w:rFonts w:ascii="Times New Roman" w:hAnsi="Times New Roman" w:cs="Times New Roman"/>
          <w:sz w:val="24"/>
          <w:szCs w:val="24"/>
        </w:rPr>
      </w:pPr>
    </w:p>
    <w:p w:rsidR="00AA59F4" w:rsidRPr="00931B2D" w:rsidRDefault="00AA59F4" w:rsidP="00AA59F4">
      <w:pPr>
        <w:pStyle w:val="Bezriadkovania"/>
        <w:ind w:firstLine="708"/>
        <w:jc w:val="both"/>
        <w:rPr>
          <w:rFonts w:ascii="Times New Roman" w:hAnsi="Times New Roman" w:cs="Times New Roman"/>
          <w:sz w:val="24"/>
          <w:szCs w:val="24"/>
        </w:rPr>
      </w:pPr>
      <w:r w:rsidRPr="00C625E6">
        <w:rPr>
          <w:rFonts w:ascii="Times New Roman" w:hAnsi="Times New Roman" w:cs="Times New Roman"/>
          <w:sz w:val="24"/>
          <w:szCs w:val="24"/>
        </w:rPr>
        <w:t>Žiadateľom o dotáciu na účel podpory aktivity v oblasti kultúry, umenia a kultúrneho a kreatívneho priemyslu môže byť verejná vysoká škola, ktorá poskytuje vzdelávanie v akreditovanom umeleckom študijnom programe, najmä v študijných odboroch výtvarné umenie, dizajn, hudobné umenie, divadelné umenie, tanečné umenie, filmové umenie a multimédia.</w:t>
      </w:r>
    </w:p>
    <w:p w:rsidR="00AA59F4" w:rsidRDefault="00AA59F4" w:rsidP="00AA59F4">
      <w:pPr>
        <w:pStyle w:val="Bezriadkovania"/>
        <w:jc w:val="both"/>
        <w:rPr>
          <w:rFonts w:ascii="Times New Roman" w:hAnsi="Times New Roman" w:cs="Times New Roman"/>
          <w:sz w:val="24"/>
          <w:szCs w:val="24"/>
        </w:rPr>
      </w:pPr>
    </w:p>
    <w:p w:rsidR="00AA59F4" w:rsidRDefault="00AA59F4" w:rsidP="00AA59F4">
      <w:pPr>
        <w:pStyle w:val="Bezriadkovania"/>
        <w:jc w:val="both"/>
        <w:rPr>
          <w:rFonts w:ascii="Times New Roman" w:hAnsi="Times New Roman" w:cs="Times New Roman"/>
          <w:b/>
          <w:sz w:val="24"/>
          <w:szCs w:val="24"/>
        </w:rPr>
      </w:pPr>
      <w:r>
        <w:rPr>
          <w:rFonts w:ascii="Times New Roman" w:hAnsi="Times New Roman" w:cs="Times New Roman"/>
          <w:b/>
          <w:sz w:val="24"/>
          <w:szCs w:val="24"/>
        </w:rPr>
        <w:t>K § 4</w:t>
      </w:r>
    </w:p>
    <w:p w:rsidR="00AA59F4" w:rsidRDefault="00AA59F4" w:rsidP="00AA59F4">
      <w:pPr>
        <w:pStyle w:val="Bezriadkovania"/>
        <w:jc w:val="both"/>
        <w:rPr>
          <w:rFonts w:ascii="Times New Roman" w:hAnsi="Times New Roman" w:cs="Times New Roman"/>
          <w:b/>
          <w:sz w:val="24"/>
          <w:szCs w:val="24"/>
        </w:rPr>
      </w:pPr>
    </w:p>
    <w:p w:rsidR="00AA59F4" w:rsidRDefault="00AA59F4" w:rsidP="00AA59F4">
      <w:pPr>
        <w:pStyle w:val="Bezriadkovania"/>
        <w:jc w:val="both"/>
        <w:rPr>
          <w:rFonts w:ascii="Times New Roman" w:hAnsi="Times New Roman" w:cs="Times New Roman"/>
          <w:sz w:val="24"/>
          <w:szCs w:val="24"/>
        </w:rPr>
      </w:pPr>
      <w:r>
        <w:rPr>
          <w:rFonts w:ascii="Times New Roman" w:hAnsi="Times New Roman" w:cs="Times New Roman"/>
          <w:b/>
          <w:sz w:val="24"/>
          <w:szCs w:val="24"/>
        </w:rPr>
        <w:lastRenderedPageBreak/>
        <w:tab/>
      </w:r>
      <w:r w:rsidRPr="00021C39">
        <w:rPr>
          <w:rFonts w:ascii="Times New Roman" w:hAnsi="Times New Roman" w:cs="Times New Roman"/>
          <w:sz w:val="24"/>
          <w:szCs w:val="24"/>
        </w:rPr>
        <w:t>Ustanovujú sa podmienky poskytnutia dotácie.</w:t>
      </w:r>
      <w:r>
        <w:rPr>
          <w:rFonts w:ascii="Times New Roman" w:hAnsi="Times New Roman" w:cs="Times New Roman"/>
          <w:sz w:val="24"/>
          <w:szCs w:val="24"/>
        </w:rPr>
        <w:t xml:space="preserve"> Žiadateľ musí spĺňať zároveň podmienky podľa § 8a ods. 4 a 8 zákona č. 523/2004 Z. z. </w:t>
      </w:r>
      <w:r w:rsidRPr="00021C39">
        <w:rPr>
          <w:rFonts w:ascii="Times New Roman" w:hAnsi="Times New Roman" w:cs="Times New Roman"/>
          <w:sz w:val="24"/>
          <w:szCs w:val="24"/>
        </w:rPr>
        <w:t>o rozpočtových pravidlách verejnej správy a o zmene a doplnení niektorých zákonov</w:t>
      </w:r>
      <w:r>
        <w:rPr>
          <w:rFonts w:ascii="Times New Roman" w:hAnsi="Times New Roman" w:cs="Times New Roman"/>
          <w:sz w:val="24"/>
          <w:szCs w:val="24"/>
        </w:rPr>
        <w:t xml:space="preserve"> v znení neskorších predpisov, ak tento zákon v § 13 ods. 2 neustanovuje inak a jednak podmienky podľa tohto zákona.     </w:t>
      </w:r>
    </w:p>
    <w:p w:rsidR="00AA59F4" w:rsidRDefault="00AA59F4" w:rsidP="00AA59F4">
      <w:pPr>
        <w:pStyle w:val="Bezriadkovania"/>
        <w:jc w:val="both"/>
        <w:rPr>
          <w:rFonts w:ascii="Times New Roman" w:hAnsi="Times New Roman" w:cs="Times New Roman"/>
          <w:sz w:val="24"/>
          <w:szCs w:val="24"/>
        </w:rPr>
      </w:pPr>
    </w:p>
    <w:p w:rsidR="00AA59F4" w:rsidRDefault="00AA59F4" w:rsidP="00AA59F4">
      <w:pPr>
        <w:pStyle w:val="Bezriadkovania"/>
        <w:jc w:val="both"/>
        <w:rPr>
          <w:rFonts w:ascii="Times New Roman" w:hAnsi="Times New Roman" w:cs="Times New Roman"/>
          <w:b/>
          <w:sz w:val="24"/>
          <w:szCs w:val="24"/>
        </w:rPr>
      </w:pPr>
      <w:r>
        <w:rPr>
          <w:rFonts w:ascii="Times New Roman" w:hAnsi="Times New Roman" w:cs="Times New Roman"/>
          <w:b/>
          <w:sz w:val="24"/>
          <w:szCs w:val="24"/>
        </w:rPr>
        <w:t>K § 5</w:t>
      </w:r>
      <w:r w:rsidRPr="00187D82">
        <w:rPr>
          <w:rFonts w:ascii="Times New Roman" w:hAnsi="Times New Roman" w:cs="Times New Roman"/>
          <w:b/>
          <w:sz w:val="24"/>
          <w:szCs w:val="24"/>
        </w:rPr>
        <w:t xml:space="preserve"> </w:t>
      </w:r>
    </w:p>
    <w:p w:rsidR="00AA59F4" w:rsidRDefault="00AA59F4" w:rsidP="00AA59F4">
      <w:pPr>
        <w:pStyle w:val="Bezriadkovania"/>
        <w:jc w:val="both"/>
        <w:rPr>
          <w:rFonts w:ascii="Times New Roman" w:hAnsi="Times New Roman" w:cs="Times New Roman"/>
          <w:b/>
          <w:sz w:val="24"/>
          <w:szCs w:val="24"/>
        </w:rPr>
      </w:pPr>
    </w:p>
    <w:p w:rsidR="00AA59F4" w:rsidRDefault="00AA59F4" w:rsidP="00AA59F4">
      <w:pPr>
        <w:pStyle w:val="Bezriadkovania"/>
        <w:jc w:val="both"/>
        <w:rPr>
          <w:rFonts w:ascii="Times New Roman" w:hAnsi="Times New Roman" w:cs="Times New Roman"/>
          <w:sz w:val="24"/>
          <w:szCs w:val="24"/>
        </w:rPr>
      </w:pPr>
      <w:r>
        <w:rPr>
          <w:rFonts w:ascii="Times New Roman" w:hAnsi="Times New Roman" w:cs="Times New Roman"/>
          <w:b/>
          <w:sz w:val="24"/>
          <w:szCs w:val="24"/>
        </w:rPr>
        <w:tab/>
      </w:r>
      <w:r w:rsidRPr="00C625E6">
        <w:rPr>
          <w:rFonts w:ascii="Times New Roman" w:hAnsi="Times New Roman" w:cs="Times New Roman"/>
          <w:sz w:val="24"/>
          <w:szCs w:val="24"/>
        </w:rPr>
        <w:t>Žiadosť o poskytnutie dotácie sa predkladá na základe výzvy na predkladanie žiadostí, ktorú zverejňuje ministerstvo kultúry sa svojom webovom sídle. Žiadateľ je povinný vyplniť formulár elektronickej registrácie žiadosti zverejnený na webovom sídle ministerstva kultúry</w:t>
      </w:r>
      <w:r>
        <w:rPr>
          <w:rFonts w:ascii="Times New Roman" w:hAnsi="Times New Roman" w:cs="Times New Roman"/>
          <w:sz w:val="24"/>
          <w:szCs w:val="24"/>
        </w:rPr>
        <w:t xml:space="preserve"> a následne si buď žiadosť vytlačiť</w:t>
      </w:r>
      <w:r w:rsidRPr="00C625E6">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C625E6">
        <w:rPr>
          <w:rFonts w:ascii="Times New Roman" w:hAnsi="Times New Roman" w:cs="Times New Roman"/>
          <w:sz w:val="24"/>
          <w:szCs w:val="24"/>
        </w:rPr>
        <w:t xml:space="preserve">predložiť </w:t>
      </w:r>
      <w:r>
        <w:rPr>
          <w:rFonts w:ascii="Times New Roman" w:hAnsi="Times New Roman" w:cs="Times New Roman"/>
          <w:sz w:val="24"/>
          <w:szCs w:val="24"/>
        </w:rPr>
        <w:t xml:space="preserve">ministerstvu kultúry </w:t>
      </w:r>
      <w:r w:rsidRPr="00C625E6">
        <w:rPr>
          <w:rFonts w:ascii="Times New Roman" w:hAnsi="Times New Roman" w:cs="Times New Roman"/>
          <w:sz w:val="24"/>
          <w:szCs w:val="24"/>
        </w:rPr>
        <w:t xml:space="preserve">v listinnej podobe alebo </w:t>
      </w:r>
      <w:r>
        <w:rPr>
          <w:rFonts w:ascii="Times New Roman" w:hAnsi="Times New Roman" w:cs="Times New Roman"/>
          <w:sz w:val="24"/>
          <w:szCs w:val="24"/>
        </w:rPr>
        <w:t xml:space="preserve">ju predložiť </w:t>
      </w:r>
      <w:r w:rsidRPr="00C625E6">
        <w:rPr>
          <w:rFonts w:ascii="Times New Roman" w:hAnsi="Times New Roman" w:cs="Times New Roman"/>
          <w:sz w:val="24"/>
          <w:szCs w:val="24"/>
        </w:rPr>
        <w:t xml:space="preserve">v elektronickej podobe. Druhý spôsob vyžaduje, aby </w:t>
      </w:r>
      <w:r>
        <w:rPr>
          <w:rFonts w:ascii="Times New Roman" w:hAnsi="Times New Roman" w:cs="Times New Roman"/>
          <w:sz w:val="24"/>
          <w:szCs w:val="24"/>
        </w:rPr>
        <w:t xml:space="preserve">elektronická identita žiadateľa bola preukázaná  </w:t>
      </w:r>
      <w:r w:rsidRPr="00C625E6">
        <w:rPr>
          <w:rFonts w:ascii="Times New Roman" w:hAnsi="Times New Roman" w:cs="Times New Roman"/>
          <w:sz w:val="24"/>
          <w:szCs w:val="24"/>
        </w:rPr>
        <w:t>podľa zákona o </w:t>
      </w:r>
      <w:proofErr w:type="spellStart"/>
      <w:r w:rsidRPr="00C625E6">
        <w:rPr>
          <w:rFonts w:ascii="Times New Roman" w:hAnsi="Times New Roman" w:cs="Times New Roman"/>
          <w:sz w:val="24"/>
          <w:szCs w:val="24"/>
        </w:rPr>
        <w:t>e-Governmente</w:t>
      </w:r>
      <w:proofErr w:type="spellEnd"/>
      <w:r w:rsidRPr="00C625E6">
        <w:rPr>
          <w:rFonts w:ascii="Times New Roman" w:hAnsi="Times New Roman" w:cs="Times New Roman"/>
          <w:sz w:val="24"/>
          <w:szCs w:val="24"/>
        </w:rPr>
        <w:t>.</w:t>
      </w:r>
      <w:r>
        <w:rPr>
          <w:rFonts w:ascii="Times New Roman" w:hAnsi="Times New Roman" w:cs="Times New Roman"/>
          <w:sz w:val="24"/>
          <w:szCs w:val="24"/>
        </w:rPr>
        <w:t xml:space="preserve">   </w:t>
      </w:r>
    </w:p>
    <w:p w:rsidR="00AA59F4" w:rsidRDefault="00AA59F4" w:rsidP="00AA59F4">
      <w:pPr>
        <w:pStyle w:val="Bezriadkovania"/>
        <w:jc w:val="both"/>
        <w:rPr>
          <w:rFonts w:ascii="Times New Roman" w:hAnsi="Times New Roman" w:cs="Times New Roman"/>
          <w:sz w:val="24"/>
          <w:szCs w:val="24"/>
        </w:rPr>
      </w:pPr>
      <w:r>
        <w:rPr>
          <w:rFonts w:ascii="Times New Roman" w:hAnsi="Times New Roman" w:cs="Times New Roman"/>
          <w:sz w:val="24"/>
          <w:szCs w:val="24"/>
        </w:rPr>
        <w:tab/>
        <w:t>V odseku 2 sa ustanovuje, čo má obsahovať</w:t>
      </w:r>
      <w:r w:rsidRPr="003A0976">
        <w:rPr>
          <w:rFonts w:ascii="Times New Roman" w:hAnsi="Times New Roman" w:cs="Times New Roman"/>
          <w:sz w:val="24"/>
          <w:szCs w:val="24"/>
        </w:rPr>
        <w:t xml:space="preserve"> </w:t>
      </w:r>
      <w:r>
        <w:rPr>
          <w:rFonts w:ascii="Times New Roman" w:hAnsi="Times New Roman" w:cs="Times New Roman"/>
          <w:sz w:val="24"/>
          <w:szCs w:val="24"/>
        </w:rPr>
        <w:t xml:space="preserve">výzva na predkladanie žiadostí. Vo výzve sa okrem iného bližšie uvedie okruh fyzických alebo právnických osôb, ktoré môžu požiadať o dotáciu. V nadväznosti na prijatie zákona o sociálnej ekonomike a sociálnych podnikoch môže byť v niektorých prípadoch žiadateľom sociálny podnik a vo výzve sa uvedú potrebné špecifiká pre poskytnutie dotácie týmto subjektom. </w:t>
      </w:r>
    </w:p>
    <w:p w:rsidR="00AA59F4" w:rsidRDefault="00AA59F4" w:rsidP="00AA59F4">
      <w:pPr>
        <w:pStyle w:val="Bezriadkovania"/>
        <w:jc w:val="both"/>
        <w:rPr>
          <w:rFonts w:ascii="Times New Roman" w:hAnsi="Times New Roman" w:cs="Times New Roman"/>
          <w:sz w:val="24"/>
          <w:szCs w:val="24"/>
        </w:rPr>
      </w:pPr>
      <w:r>
        <w:rPr>
          <w:rFonts w:ascii="Times New Roman" w:hAnsi="Times New Roman" w:cs="Times New Roman"/>
          <w:sz w:val="24"/>
          <w:szCs w:val="24"/>
        </w:rPr>
        <w:tab/>
        <w:t xml:space="preserve">V rámci Výzvy bude určená aj výška spolufinancovania projektu zo strany žiadateľa a to z vlastných alebo iných zdrojov. Iným zdrojom môžu byť finančné prostriedky získané od obce, vyššieho územného celku, nadácie, </w:t>
      </w:r>
      <w:proofErr w:type="spellStart"/>
      <w:r>
        <w:rPr>
          <w:rFonts w:ascii="Times New Roman" w:hAnsi="Times New Roman" w:cs="Times New Roman"/>
          <w:sz w:val="24"/>
          <w:szCs w:val="24"/>
        </w:rPr>
        <w:t>donora</w:t>
      </w:r>
      <w:proofErr w:type="spellEnd"/>
      <w:r>
        <w:rPr>
          <w:rFonts w:ascii="Times New Roman" w:hAnsi="Times New Roman" w:cs="Times New Roman"/>
          <w:sz w:val="24"/>
          <w:szCs w:val="24"/>
        </w:rPr>
        <w:t>, sponzora a pod.</w:t>
      </w:r>
    </w:p>
    <w:p w:rsidR="00AA59F4" w:rsidRDefault="00AA59F4" w:rsidP="00AA59F4">
      <w:pPr>
        <w:pStyle w:val="Bezriadkovania"/>
        <w:jc w:val="both"/>
        <w:rPr>
          <w:rFonts w:ascii="Times New Roman" w:hAnsi="Times New Roman" w:cs="Times New Roman"/>
          <w:sz w:val="24"/>
          <w:szCs w:val="24"/>
        </w:rPr>
      </w:pPr>
      <w:r>
        <w:rPr>
          <w:rFonts w:ascii="Times New Roman" w:hAnsi="Times New Roman" w:cs="Times New Roman"/>
          <w:sz w:val="24"/>
          <w:szCs w:val="24"/>
        </w:rPr>
        <w:tab/>
        <w:t xml:space="preserve">Návrh zákona ďalej ustanovuje, čo má obsahovať žiadosť o poskytnutie dotácie a aké prílohy sa prikladajú k žiadosti. </w:t>
      </w:r>
    </w:p>
    <w:p w:rsidR="00AA59F4" w:rsidRDefault="00AA59F4" w:rsidP="00AA59F4">
      <w:pPr>
        <w:pStyle w:val="Bezriadkovania"/>
        <w:ind w:firstLine="708"/>
        <w:jc w:val="both"/>
        <w:rPr>
          <w:rFonts w:ascii="Times New Roman" w:hAnsi="Times New Roman" w:cs="Times New Roman"/>
          <w:sz w:val="24"/>
          <w:szCs w:val="24"/>
        </w:rPr>
      </w:pPr>
      <w:r w:rsidRPr="00315FC4">
        <w:rPr>
          <w:rFonts w:ascii="Times New Roman" w:hAnsi="Times New Roman" w:cs="Times New Roman"/>
          <w:sz w:val="24"/>
          <w:szCs w:val="24"/>
        </w:rPr>
        <w:t>S cieľom znižovania administratívnej záťaže žiadateľov sa ustanovuje, že údaje evidované v informačnom systéme verejnej</w:t>
      </w:r>
      <w:r>
        <w:rPr>
          <w:rFonts w:ascii="Times New Roman" w:hAnsi="Times New Roman" w:cs="Times New Roman"/>
          <w:sz w:val="24"/>
          <w:szCs w:val="24"/>
        </w:rPr>
        <w:t xml:space="preserve"> správy bude ministerstvo kultúry získavať prostredníctvom týchto informačných systémov. Žiadateľ tak už nebude musieť predkladať ministerstvu kultúry doklady preukazujúce skutočnosti, ktoré ministerstvo kultúry získa z regist</w:t>
      </w:r>
      <w:r w:rsidRPr="000D15F0">
        <w:rPr>
          <w:rFonts w:ascii="Times New Roman" w:hAnsi="Times New Roman" w:cs="Times New Roman"/>
          <w:sz w:val="24"/>
          <w:szCs w:val="24"/>
        </w:rPr>
        <w:t>r</w:t>
      </w:r>
      <w:r>
        <w:rPr>
          <w:rFonts w:ascii="Times New Roman" w:hAnsi="Times New Roman" w:cs="Times New Roman"/>
          <w:sz w:val="24"/>
          <w:szCs w:val="24"/>
        </w:rPr>
        <w:t>a</w:t>
      </w:r>
      <w:r w:rsidRPr="000D15F0">
        <w:rPr>
          <w:rFonts w:ascii="Times New Roman" w:hAnsi="Times New Roman" w:cs="Times New Roman"/>
          <w:sz w:val="24"/>
          <w:szCs w:val="24"/>
        </w:rPr>
        <w:t xml:space="preserve"> právnických osôb, podnikateľov a orgánov verejnej moci</w:t>
      </w:r>
      <w:r>
        <w:rPr>
          <w:rFonts w:ascii="Times New Roman" w:hAnsi="Times New Roman" w:cs="Times New Roman"/>
          <w:sz w:val="24"/>
          <w:szCs w:val="24"/>
        </w:rPr>
        <w:t>, katastra nehnuteľností, atď. Splnenie ostatných podmienok bude ministerstvo kultúry preverovať na základe predložených dokladov. Ak ide o žiadosť o poskytnutie dotácie na obnovu kultúrnej pamiatky, ktorá je bytovým domom, ministerstvo kultúry preverí aj skutočnosť, či je žiadateľ (spoločenstvo alebo správca bytového domu) zapísaný v registri spoločenstiev alebo v zozname  správcov bytových domov.</w:t>
      </w:r>
      <w:r>
        <w:rPr>
          <w:rFonts w:ascii="Times New Roman" w:hAnsi="Times New Roman" w:cs="Times New Roman"/>
          <w:sz w:val="24"/>
          <w:szCs w:val="24"/>
        </w:rPr>
        <w:tab/>
        <w:t xml:space="preserve">    </w:t>
      </w:r>
    </w:p>
    <w:p w:rsidR="00AA59F4" w:rsidRDefault="00AA59F4" w:rsidP="00AA59F4">
      <w:pPr>
        <w:pStyle w:val="Bezriadkovania"/>
        <w:jc w:val="both"/>
        <w:rPr>
          <w:rFonts w:ascii="Times New Roman" w:hAnsi="Times New Roman" w:cs="Times New Roman"/>
          <w:sz w:val="24"/>
          <w:szCs w:val="24"/>
        </w:rPr>
      </w:pPr>
    </w:p>
    <w:p w:rsidR="00AA59F4" w:rsidRDefault="00AA59F4" w:rsidP="00AA59F4">
      <w:pPr>
        <w:pStyle w:val="Bezriadkovania"/>
        <w:jc w:val="both"/>
        <w:rPr>
          <w:rFonts w:ascii="Times New Roman" w:hAnsi="Times New Roman" w:cs="Times New Roman"/>
          <w:b/>
          <w:sz w:val="24"/>
          <w:szCs w:val="24"/>
        </w:rPr>
      </w:pPr>
      <w:r>
        <w:rPr>
          <w:rFonts w:ascii="Times New Roman" w:hAnsi="Times New Roman" w:cs="Times New Roman"/>
          <w:b/>
          <w:sz w:val="24"/>
          <w:szCs w:val="24"/>
        </w:rPr>
        <w:t>K § 6</w:t>
      </w:r>
      <w:r w:rsidRPr="000A014D">
        <w:rPr>
          <w:rFonts w:ascii="Times New Roman" w:hAnsi="Times New Roman" w:cs="Times New Roman"/>
          <w:b/>
          <w:sz w:val="24"/>
          <w:szCs w:val="24"/>
        </w:rPr>
        <w:t xml:space="preserve">  </w:t>
      </w:r>
    </w:p>
    <w:p w:rsidR="00AA59F4" w:rsidRDefault="00AA59F4" w:rsidP="00AA59F4">
      <w:pPr>
        <w:pStyle w:val="Bezriadkovania"/>
        <w:jc w:val="both"/>
        <w:rPr>
          <w:rFonts w:ascii="Times New Roman" w:hAnsi="Times New Roman" w:cs="Times New Roman"/>
          <w:b/>
          <w:sz w:val="24"/>
          <w:szCs w:val="24"/>
        </w:rPr>
      </w:pPr>
    </w:p>
    <w:p w:rsidR="00AA59F4" w:rsidRDefault="00AA59F4" w:rsidP="00AA59F4">
      <w:pPr>
        <w:pStyle w:val="Bezriadkovania"/>
        <w:jc w:val="both"/>
        <w:rPr>
          <w:rFonts w:ascii="Times New Roman" w:hAnsi="Times New Roman" w:cs="Times New Roman"/>
          <w:sz w:val="24"/>
          <w:szCs w:val="24"/>
        </w:rPr>
      </w:pPr>
      <w:r>
        <w:rPr>
          <w:rFonts w:ascii="Times New Roman" w:hAnsi="Times New Roman" w:cs="Times New Roman"/>
          <w:b/>
          <w:sz w:val="24"/>
          <w:szCs w:val="24"/>
        </w:rPr>
        <w:tab/>
      </w:r>
      <w:r w:rsidRPr="000A014D">
        <w:rPr>
          <w:rFonts w:ascii="Times New Roman" w:hAnsi="Times New Roman" w:cs="Times New Roman"/>
          <w:sz w:val="24"/>
          <w:szCs w:val="24"/>
        </w:rPr>
        <w:t>Po doručení žiadosti ministerstvo kultúry</w:t>
      </w:r>
      <w:r>
        <w:rPr>
          <w:rFonts w:ascii="Times New Roman" w:hAnsi="Times New Roman" w:cs="Times New Roman"/>
          <w:sz w:val="24"/>
          <w:szCs w:val="24"/>
        </w:rPr>
        <w:t xml:space="preserve"> preskúma podanú žiadosť. Ak ju podala neoprávnená osoba alebo bola podaná po termíne určenom vo výzve, ministerstvo kultúry nebude žiadosť vôbec posudzovať. Ak má žiadosť formálne nedostatky, vyzve žiadateľa na ich odstránenie. Ak žiadateľ v určenej lehote (nie kratšej ako 15 dní) tieto nedostatky neodstráni, ministerstvo kultúry nebude žiadosť posudzovať.  Formálnym nedostatkom je napr.: nepodpísaná žiadosť, nepodpísané čestné vyhlásenia.  </w:t>
      </w:r>
    </w:p>
    <w:p w:rsidR="00AA59F4" w:rsidRDefault="00AA59F4" w:rsidP="00AA59F4">
      <w:pPr>
        <w:pStyle w:val="Bezriadkovania"/>
        <w:jc w:val="both"/>
        <w:rPr>
          <w:rFonts w:ascii="Times New Roman" w:hAnsi="Times New Roman" w:cs="Times New Roman"/>
          <w:sz w:val="24"/>
          <w:szCs w:val="24"/>
        </w:rPr>
      </w:pPr>
      <w:r>
        <w:rPr>
          <w:rFonts w:ascii="Times New Roman" w:hAnsi="Times New Roman" w:cs="Times New Roman"/>
          <w:sz w:val="24"/>
          <w:szCs w:val="24"/>
        </w:rPr>
        <w:tab/>
        <w:t>Žiadosť posudzuje odborná komisia, ktorú zriaďuje minister kultúry, okrem žiadostí o poskytnutie dotácií podľa § 2 ods. 1 písm. d). Tieto žiadosti vzhľadom na charakter dotácie posudzuje samotné ministerstvo kultúry. Zákon ustanovuje, že člen komisie nemôže byť žiadateľom v podprograme, pre ktorý je komisia zriadená. Súčasne sa ustanovuje, že člen komisie je vylúčený z posudzovania a vyhodnocovania žiadosti žiadateľa, voči ktorému sa považuje za zaujatého.  Ďalej sa ustanovuje, kedy sa člen komisie považuje za zaujatého</w:t>
      </w:r>
    </w:p>
    <w:p w:rsidR="00AA59F4" w:rsidRDefault="00AA59F4" w:rsidP="00AA59F4">
      <w:pPr>
        <w:pStyle w:val="Bezriadkovania"/>
        <w:jc w:val="both"/>
        <w:rPr>
          <w:rFonts w:ascii="Times New Roman" w:hAnsi="Times New Roman" w:cs="Times New Roman"/>
          <w:sz w:val="24"/>
          <w:szCs w:val="24"/>
        </w:rPr>
      </w:pPr>
    </w:p>
    <w:p w:rsidR="00836970" w:rsidRDefault="00836970" w:rsidP="00AA59F4">
      <w:pPr>
        <w:pStyle w:val="Bezriadkovania"/>
        <w:jc w:val="both"/>
        <w:rPr>
          <w:rFonts w:ascii="Times New Roman" w:hAnsi="Times New Roman" w:cs="Times New Roman"/>
          <w:b/>
          <w:sz w:val="24"/>
          <w:szCs w:val="24"/>
        </w:rPr>
      </w:pPr>
    </w:p>
    <w:p w:rsidR="00836970" w:rsidRDefault="00836970" w:rsidP="00AA59F4">
      <w:pPr>
        <w:pStyle w:val="Bezriadkovania"/>
        <w:jc w:val="both"/>
        <w:rPr>
          <w:rFonts w:ascii="Times New Roman" w:hAnsi="Times New Roman" w:cs="Times New Roman"/>
          <w:b/>
          <w:sz w:val="24"/>
          <w:szCs w:val="24"/>
        </w:rPr>
      </w:pPr>
    </w:p>
    <w:p w:rsidR="00836970" w:rsidRDefault="00836970" w:rsidP="00AA59F4">
      <w:pPr>
        <w:pStyle w:val="Bezriadkovania"/>
        <w:jc w:val="both"/>
        <w:rPr>
          <w:rFonts w:ascii="Times New Roman" w:hAnsi="Times New Roman" w:cs="Times New Roman"/>
          <w:b/>
          <w:sz w:val="24"/>
          <w:szCs w:val="24"/>
        </w:rPr>
      </w:pPr>
    </w:p>
    <w:p w:rsidR="00AA59F4" w:rsidRDefault="00AA59F4" w:rsidP="00AA59F4">
      <w:pPr>
        <w:pStyle w:val="Bezriadkovania"/>
        <w:jc w:val="both"/>
        <w:rPr>
          <w:rFonts w:ascii="Times New Roman" w:hAnsi="Times New Roman" w:cs="Times New Roman"/>
          <w:b/>
          <w:sz w:val="24"/>
          <w:szCs w:val="24"/>
        </w:rPr>
      </w:pPr>
      <w:r>
        <w:rPr>
          <w:rFonts w:ascii="Times New Roman" w:hAnsi="Times New Roman" w:cs="Times New Roman"/>
          <w:b/>
          <w:sz w:val="24"/>
          <w:szCs w:val="24"/>
        </w:rPr>
        <w:t>K § 7</w:t>
      </w:r>
      <w:r w:rsidRPr="00A33C5A">
        <w:rPr>
          <w:rFonts w:ascii="Times New Roman" w:hAnsi="Times New Roman" w:cs="Times New Roman"/>
          <w:b/>
          <w:sz w:val="24"/>
          <w:szCs w:val="24"/>
        </w:rPr>
        <w:t xml:space="preserve">  </w:t>
      </w:r>
    </w:p>
    <w:p w:rsidR="00AA59F4" w:rsidRDefault="00AA59F4" w:rsidP="00AA59F4">
      <w:pPr>
        <w:pStyle w:val="Bezriadkovania"/>
        <w:jc w:val="both"/>
        <w:rPr>
          <w:rFonts w:ascii="Times New Roman" w:hAnsi="Times New Roman" w:cs="Times New Roman"/>
          <w:b/>
          <w:sz w:val="24"/>
          <w:szCs w:val="24"/>
        </w:rPr>
      </w:pPr>
    </w:p>
    <w:p w:rsidR="00AA59F4" w:rsidRDefault="00AA59F4" w:rsidP="00AA59F4">
      <w:pPr>
        <w:pStyle w:val="Bezriadkovania"/>
        <w:jc w:val="both"/>
        <w:rPr>
          <w:rFonts w:ascii="Times New Roman" w:hAnsi="Times New Roman" w:cs="Times New Roman"/>
          <w:sz w:val="24"/>
          <w:szCs w:val="24"/>
        </w:rPr>
      </w:pPr>
      <w:r>
        <w:rPr>
          <w:rFonts w:ascii="Times New Roman" w:hAnsi="Times New Roman" w:cs="Times New Roman"/>
          <w:b/>
          <w:sz w:val="24"/>
          <w:szCs w:val="24"/>
        </w:rPr>
        <w:tab/>
      </w:r>
      <w:r w:rsidRPr="00A33C5A">
        <w:rPr>
          <w:rFonts w:ascii="Times New Roman" w:hAnsi="Times New Roman" w:cs="Times New Roman"/>
          <w:sz w:val="24"/>
          <w:szCs w:val="24"/>
        </w:rPr>
        <w:t xml:space="preserve">Dotácia </w:t>
      </w:r>
      <w:r>
        <w:rPr>
          <w:rFonts w:ascii="Times New Roman" w:hAnsi="Times New Roman" w:cs="Times New Roman"/>
          <w:sz w:val="24"/>
          <w:szCs w:val="24"/>
        </w:rPr>
        <w:t>sa poskytuje na základe písomnej zmluvy. Uzavretím zmluvy sa stáva žiadateľ prijímateľom. Návrh zákona ustanovuje náležitosti zmluvy.</w:t>
      </w:r>
    </w:p>
    <w:p w:rsidR="00AA59F4" w:rsidRDefault="00AA59F4" w:rsidP="00AA59F4">
      <w:pPr>
        <w:pStyle w:val="Bezriadkovania"/>
        <w:ind w:firstLine="708"/>
        <w:jc w:val="both"/>
        <w:rPr>
          <w:rFonts w:ascii="Times New Roman" w:hAnsi="Times New Roman" w:cs="Times New Roman"/>
          <w:sz w:val="24"/>
          <w:szCs w:val="24"/>
        </w:rPr>
      </w:pPr>
    </w:p>
    <w:p w:rsidR="00AA59F4" w:rsidRDefault="00AA59F4" w:rsidP="00AA59F4">
      <w:pPr>
        <w:pStyle w:val="Bezriadkovania"/>
        <w:jc w:val="both"/>
        <w:rPr>
          <w:rFonts w:ascii="Times New Roman" w:hAnsi="Times New Roman" w:cs="Times New Roman"/>
          <w:sz w:val="24"/>
          <w:szCs w:val="24"/>
        </w:rPr>
      </w:pPr>
    </w:p>
    <w:p w:rsidR="00AA59F4" w:rsidRDefault="00AA59F4" w:rsidP="00AA59F4">
      <w:pPr>
        <w:pStyle w:val="Bezriadkovania"/>
        <w:jc w:val="both"/>
        <w:rPr>
          <w:rFonts w:ascii="Times New Roman" w:hAnsi="Times New Roman" w:cs="Times New Roman"/>
          <w:b/>
          <w:sz w:val="24"/>
          <w:szCs w:val="24"/>
        </w:rPr>
      </w:pPr>
      <w:r>
        <w:rPr>
          <w:rFonts w:ascii="Times New Roman" w:hAnsi="Times New Roman" w:cs="Times New Roman"/>
          <w:b/>
          <w:sz w:val="24"/>
          <w:szCs w:val="24"/>
        </w:rPr>
        <w:t>K § 8</w:t>
      </w:r>
      <w:r w:rsidRPr="00BB46CF">
        <w:rPr>
          <w:rFonts w:ascii="Times New Roman" w:hAnsi="Times New Roman" w:cs="Times New Roman"/>
          <w:b/>
          <w:sz w:val="24"/>
          <w:szCs w:val="24"/>
        </w:rPr>
        <w:t xml:space="preserve">        </w:t>
      </w:r>
    </w:p>
    <w:p w:rsidR="00AA59F4" w:rsidRDefault="00AA59F4" w:rsidP="00AA59F4">
      <w:pPr>
        <w:pStyle w:val="Bezriadkovania"/>
        <w:jc w:val="both"/>
        <w:rPr>
          <w:rFonts w:ascii="Times New Roman" w:hAnsi="Times New Roman" w:cs="Times New Roman"/>
          <w:b/>
          <w:sz w:val="24"/>
          <w:szCs w:val="24"/>
        </w:rPr>
      </w:pPr>
    </w:p>
    <w:p w:rsidR="00AA59F4" w:rsidRDefault="00AA59F4" w:rsidP="00AA59F4">
      <w:pPr>
        <w:pStyle w:val="Bezriadkovania"/>
        <w:jc w:val="both"/>
        <w:rPr>
          <w:rFonts w:ascii="Times New Roman" w:hAnsi="Times New Roman" w:cs="Times New Roman"/>
          <w:sz w:val="24"/>
          <w:szCs w:val="24"/>
        </w:rPr>
      </w:pPr>
      <w:r>
        <w:rPr>
          <w:rFonts w:ascii="Times New Roman" w:hAnsi="Times New Roman" w:cs="Times New Roman"/>
          <w:b/>
          <w:sz w:val="24"/>
          <w:szCs w:val="24"/>
        </w:rPr>
        <w:tab/>
      </w:r>
      <w:r w:rsidRPr="00C43858">
        <w:rPr>
          <w:rFonts w:ascii="Times New Roman" w:hAnsi="Times New Roman" w:cs="Times New Roman"/>
          <w:sz w:val="24"/>
          <w:szCs w:val="24"/>
        </w:rPr>
        <w:t>Us</w:t>
      </w:r>
      <w:r>
        <w:rPr>
          <w:rFonts w:ascii="Times New Roman" w:hAnsi="Times New Roman" w:cs="Times New Roman"/>
          <w:sz w:val="24"/>
          <w:szCs w:val="24"/>
        </w:rPr>
        <w:t>tanovujú sa povinnosti prijímateľa dotácie.</w:t>
      </w:r>
    </w:p>
    <w:p w:rsidR="00AA59F4" w:rsidRDefault="00AA59F4" w:rsidP="00AA59F4">
      <w:pPr>
        <w:pStyle w:val="Bezriadkovania"/>
        <w:jc w:val="both"/>
        <w:rPr>
          <w:rFonts w:ascii="Times New Roman" w:hAnsi="Times New Roman" w:cs="Times New Roman"/>
          <w:sz w:val="24"/>
          <w:szCs w:val="24"/>
        </w:rPr>
      </w:pPr>
      <w:r>
        <w:rPr>
          <w:rFonts w:ascii="Times New Roman" w:hAnsi="Times New Roman" w:cs="Times New Roman"/>
          <w:sz w:val="24"/>
          <w:szCs w:val="24"/>
        </w:rPr>
        <w:tab/>
        <w:t xml:space="preserve"> </w:t>
      </w:r>
    </w:p>
    <w:p w:rsidR="00AA59F4" w:rsidRDefault="00AA59F4" w:rsidP="00AA59F4">
      <w:pPr>
        <w:pStyle w:val="Bezriadkovania"/>
        <w:jc w:val="both"/>
        <w:rPr>
          <w:rFonts w:ascii="Times New Roman" w:hAnsi="Times New Roman" w:cs="Times New Roman"/>
          <w:b/>
          <w:sz w:val="24"/>
          <w:szCs w:val="24"/>
        </w:rPr>
      </w:pPr>
    </w:p>
    <w:p w:rsidR="00AA59F4" w:rsidRDefault="00AA59F4" w:rsidP="00AA59F4">
      <w:pPr>
        <w:pStyle w:val="Bezriadkovania"/>
        <w:jc w:val="both"/>
        <w:rPr>
          <w:rFonts w:ascii="Times New Roman" w:hAnsi="Times New Roman" w:cs="Times New Roman"/>
          <w:b/>
          <w:sz w:val="24"/>
          <w:szCs w:val="24"/>
        </w:rPr>
      </w:pPr>
      <w:r>
        <w:rPr>
          <w:rFonts w:ascii="Times New Roman" w:hAnsi="Times New Roman" w:cs="Times New Roman"/>
          <w:b/>
          <w:sz w:val="24"/>
          <w:szCs w:val="24"/>
        </w:rPr>
        <w:t>K § 9</w:t>
      </w:r>
      <w:r w:rsidRPr="00CE2D29">
        <w:rPr>
          <w:rFonts w:ascii="Times New Roman" w:hAnsi="Times New Roman" w:cs="Times New Roman"/>
          <w:b/>
          <w:sz w:val="24"/>
          <w:szCs w:val="24"/>
        </w:rPr>
        <w:t xml:space="preserve">            </w:t>
      </w:r>
    </w:p>
    <w:p w:rsidR="00AA59F4" w:rsidRDefault="00AA59F4" w:rsidP="00AA59F4">
      <w:pPr>
        <w:pStyle w:val="Bezriadkovania"/>
        <w:jc w:val="both"/>
        <w:rPr>
          <w:rFonts w:ascii="Times New Roman" w:hAnsi="Times New Roman" w:cs="Times New Roman"/>
          <w:b/>
          <w:sz w:val="24"/>
          <w:szCs w:val="24"/>
        </w:rPr>
      </w:pPr>
    </w:p>
    <w:p w:rsidR="00AA59F4" w:rsidRDefault="00AA59F4" w:rsidP="00AA59F4">
      <w:pPr>
        <w:pStyle w:val="Bezriadkovania"/>
        <w:jc w:val="both"/>
        <w:rPr>
          <w:rFonts w:ascii="Times New Roman" w:hAnsi="Times New Roman" w:cs="Times New Roman"/>
          <w:sz w:val="24"/>
          <w:szCs w:val="24"/>
        </w:rPr>
      </w:pPr>
      <w:r>
        <w:rPr>
          <w:rFonts w:ascii="Times New Roman" w:hAnsi="Times New Roman" w:cs="Times New Roman"/>
          <w:b/>
          <w:sz w:val="24"/>
          <w:szCs w:val="24"/>
        </w:rPr>
        <w:tab/>
      </w:r>
      <w:r w:rsidRPr="00CE2D29">
        <w:rPr>
          <w:rFonts w:ascii="Times New Roman" w:hAnsi="Times New Roman" w:cs="Times New Roman"/>
          <w:sz w:val="24"/>
          <w:szCs w:val="24"/>
        </w:rPr>
        <w:t>V súvislosti s poskytovaním dotácii</w:t>
      </w:r>
      <w:r>
        <w:rPr>
          <w:rFonts w:ascii="Times New Roman" w:hAnsi="Times New Roman" w:cs="Times New Roman"/>
          <w:sz w:val="24"/>
          <w:szCs w:val="24"/>
        </w:rPr>
        <w:t xml:space="preserve"> sa</w:t>
      </w:r>
      <w:r w:rsidRPr="00CE2D29">
        <w:rPr>
          <w:rFonts w:ascii="Times New Roman" w:hAnsi="Times New Roman" w:cs="Times New Roman"/>
          <w:sz w:val="24"/>
          <w:szCs w:val="24"/>
        </w:rPr>
        <w:t xml:space="preserve"> </w:t>
      </w:r>
      <w:r>
        <w:rPr>
          <w:rFonts w:ascii="Times New Roman" w:hAnsi="Times New Roman" w:cs="Times New Roman"/>
          <w:sz w:val="24"/>
          <w:szCs w:val="24"/>
        </w:rPr>
        <w:t xml:space="preserve">ustanovujú údaje, ktoré ministerstvo kultúry zverejňuje na svojom webovom sídle. </w:t>
      </w:r>
    </w:p>
    <w:p w:rsidR="00AA59F4" w:rsidRDefault="00AA59F4" w:rsidP="00AA59F4">
      <w:pPr>
        <w:pStyle w:val="Bezriadkovania"/>
        <w:jc w:val="both"/>
        <w:rPr>
          <w:rFonts w:ascii="Times New Roman" w:hAnsi="Times New Roman" w:cs="Times New Roman"/>
          <w:sz w:val="24"/>
          <w:szCs w:val="24"/>
        </w:rPr>
      </w:pPr>
    </w:p>
    <w:p w:rsidR="00AA59F4" w:rsidRDefault="00AA59F4" w:rsidP="00AA59F4">
      <w:pPr>
        <w:pStyle w:val="Bezriadkovania"/>
        <w:jc w:val="both"/>
        <w:rPr>
          <w:rFonts w:ascii="Times New Roman" w:hAnsi="Times New Roman" w:cs="Times New Roman"/>
          <w:b/>
          <w:sz w:val="24"/>
          <w:szCs w:val="24"/>
        </w:rPr>
      </w:pPr>
      <w:r>
        <w:rPr>
          <w:rFonts w:ascii="Times New Roman" w:hAnsi="Times New Roman" w:cs="Times New Roman"/>
          <w:b/>
          <w:sz w:val="24"/>
          <w:szCs w:val="24"/>
        </w:rPr>
        <w:t>K § 10</w:t>
      </w:r>
    </w:p>
    <w:p w:rsidR="00AA59F4" w:rsidRDefault="00AA59F4" w:rsidP="00AA59F4">
      <w:pPr>
        <w:pStyle w:val="Bezriadkovania"/>
        <w:jc w:val="both"/>
        <w:rPr>
          <w:rFonts w:ascii="Times New Roman" w:hAnsi="Times New Roman" w:cs="Times New Roman"/>
          <w:b/>
          <w:sz w:val="24"/>
          <w:szCs w:val="24"/>
        </w:rPr>
      </w:pPr>
    </w:p>
    <w:p w:rsidR="00AA59F4" w:rsidRDefault="00AA59F4" w:rsidP="00AA59F4">
      <w:pPr>
        <w:pStyle w:val="Bezriadkovania"/>
        <w:jc w:val="both"/>
        <w:rPr>
          <w:rFonts w:ascii="Times New Roman" w:hAnsi="Times New Roman" w:cs="Times New Roman"/>
          <w:sz w:val="24"/>
          <w:szCs w:val="24"/>
        </w:rPr>
      </w:pPr>
      <w:r>
        <w:rPr>
          <w:rFonts w:ascii="Times New Roman" w:hAnsi="Times New Roman" w:cs="Times New Roman"/>
          <w:sz w:val="24"/>
          <w:szCs w:val="24"/>
        </w:rPr>
        <w:tab/>
        <w:t>Ministerstvo kultúry vykonáva kontrolu v súvislosti s poskytovaním dotácií a pri porušení finančnej disciplíny postupuje podľa § 31</w:t>
      </w:r>
      <w:r w:rsidRPr="00E63EB8">
        <w:rPr>
          <w:rFonts w:ascii="Times New Roman" w:hAnsi="Times New Roman" w:cs="Times New Roman"/>
          <w:sz w:val="24"/>
          <w:szCs w:val="24"/>
        </w:rPr>
        <w:t xml:space="preserve"> </w:t>
      </w:r>
      <w:r>
        <w:rPr>
          <w:rFonts w:ascii="Times New Roman" w:hAnsi="Times New Roman" w:cs="Times New Roman"/>
          <w:sz w:val="24"/>
          <w:szCs w:val="24"/>
        </w:rPr>
        <w:t>zákona č. 523/2004 Z. z.</w:t>
      </w:r>
      <w:r w:rsidRPr="00CE2D29">
        <w:rPr>
          <w:rFonts w:ascii="Times New Roman" w:hAnsi="Times New Roman" w:cs="Times New Roman"/>
          <w:sz w:val="24"/>
          <w:szCs w:val="24"/>
        </w:rPr>
        <w:t xml:space="preserve"> </w:t>
      </w:r>
      <w:r w:rsidRPr="00021C39">
        <w:rPr>
          <w:rFonts w:ascii="Times New Roman" w:hAnsi="Times New Roman" w:cs="Times New Roman"/>
          <w:sz w:val="24"/>
          <w:szCs w:val="24"/>
        </w:rPr>
        <w:t>o rozpočtových pravidlách verejnej správy a o zmene a doplnení niektorých zákonov</w:t>
      </w:r>
      <w:r>
        <w:rPr>
          <w:rFonts w:ascii="Times New Roman" w:hAnsi="Times New Roman" w:cs="Times New Roman"/>
          <w:sz w:val="24"/>
          <w:szCs w:val="24"/>
        </w:rPr>
        <w:t xml:space="preserve"> v znení neskorších predpisov.</w:t>
      </w:r>
    </w:p>
    <w:p w:rsidR="00AA59F4" w:rsidRDefault="00AA59F4" w:rsidP="00AA59F4">
      <w:pPr>
        <w:pStyle w:val="Bezriadkovania"/>
        <w:jc w:val="both"/>
        <w:rPr>
          <w:rFonts w:ascii="Times New Roman" w:hAnsi="Times New Roman" w:cs="Times New Roman"/>
          <w:sz w:val="24"/>
          <w:szCs w:val="24"/>
        </w:rPr>
      </w:pPr>
    </w:p>
    <w:p w:rsidR="00AA59F4" w:rsidRDefault="00AA59F4" w:rsidP="00AA59F4">
      <w:pPr>
        <w:pStyle w:val="Bezriadkovania"/>
        <w:jc w:val="both"/>
        <w:rPr>
          <w:rFonts w:ascii="Times New Roman" w:hAnsi="Times New Roman" w:cs="Times New Roman"/>
          <w:b/>
          <w:sz w:val="24"/>
          <w:szCs w:val="24"/>
        </w:rPr>
      </w:pPr>
      <w:r>
        <w:rPr>
          <w:rFonts w:ascii="Times New Roman" w:hAnsi="Times New Roman" w:cs="Times New Roman"/>
          <w:b/>
          <w:sz w:val="24"/>
          <w:szCs w:val="24"/>
        </w:rPr>
        <w:t>K § 11</w:t>
      </w:r>
      <w:r w:rsidRPr="00E63EB8">
        <w:rPr>
          <w:rFonts w:ascii="Times New Roman" w:hAnsi="Times New Roman" w:cs="Times New Roman"/>
          <w:b/>
          <w:sz w:val="24"/>
          <w:szCs w:val="24"/>
        </w:rPr>
        <w:t xml:space="preserve">       </w:t>
      </w:r>
    </w:p>
    <w:p w:rsidR="00AA59F4" w:rsidRDefault="00AA59F4" w:rsidP="00AA59F4">
      <w:pPr>
        <w:pStyle w:val="Bezriadkovania"/>
        <w:jc w:val="both"/>
        <w:rPr>
          <w:rFonts w:ascii="Times New Roman" w:hAnsi="Times New Roman" w:cs="Times New Roman"/>
          <w:b/>
          <w:sz w:val="24"/>
          <w:szCs w:val="24"/>
        </w:rPr>
      </w:pPr>
    </w:p>
    <w:p w:rsidR="00AA59F4" w:rsidRDefault="00AA59F4" w:rsidP="00AA59F4">
      <w:pPr>
        <w:pStyle w:val="Bezriadkovania"/>
        <w:jc w:val="both"/>
        <w:rPr>
          <w:rFonts w:ascii="Times New Roman" w:hAnsi="Times New Roman" w:cs="Times New Roman"/>
          <w:sz w:val="24"/>
          <w:szCs w:val="24"/>
        </w:rPr>
      </w:pPr>
      <w:r>
        <w:rPr>
          <w:rFonts w:ascii="Times New Roman" w:hAnsi="Times New Roman" w:cs="Times New Roman"/>
          <w:b/>
          <w:sz w:val="24"/>
          <w:szCs w:val="24"/>
        </w:rPr>
        <w:tab/>
      </w:r>
      <w:r w:rsidRPr="00D215A7">
        <w:rPr>
          <w:rFonts w:ascii="Times New Roman" w:hAnsi="Times New Roman" w:cs="Times New Roman"/>
          <w:sz w:val="24"/>
          <w:szCs w:val="24"/>
        </w:rPr>
        <w:t>Spoločné ustanovenie</w:t>
      </w:r>
      <w:r>
        <w:rPr>
          <w:rFonts w:ascii="Times New Roman" w:hAnsi="Times New Roman" w:cs="Times New Roman"/>
          <w:sz w:val="24"/>
          <w:szCs w:val="24"/>
        </w:rPr>
        <w:t xml:space="preserve"> v súlade s § 8a zákona č. 523/2004 Z. z.</w:t>
      </w:r>
      <w:r w:rsidRPr="00D215A7">
        <w:rPr>
          <w:rFonts w:ascii="Times New Roman" w:hAnsi="Times New Roman" w:cs="Times New Roman"/>
          <w:sz w:val="24"/>
          <w:szCs w:val="24"/>
        </w:rPr>
        <w:t xml:space="preserve"> </w:t>
      </w:r>
      <w:r w:rsidRPr="00021C39">
        <w:rPr>
          <w:rFonts w:ascii="Times New Roman" w:hAnsi="Times New Roman" w:cs="Times New Roman"/>
          <w:sz w:val="24"/>
          <w:szCs w:val="24"/>
        </w:rPr>
        <w:t>o rozpočtových pravidlách verejnej správy a o zmene a doplnení niektorých zákonov</w:t>
      </w:r>
      <w:r>
        <w:rPr>
          <w:rFonts w:ascii="Times New Roman" w:hAnsi="Times New Roman" w:cs="Times New Roman"/>
          <w:sz w:val="24"/>
          <w:szCs w:val="24"/>
        </w:rPr>
        <w:t xml:space="preserve"> v znení neskorších predpisov ustanovuje</w:t>
      </w:r>
      <w:r w:rsidRPr="00DB7F53">
        <w:rPr>
          <w:rFonts w:ascii="Times New Roman" w:hAnsi="Times New Roman" w:cs="Times New Roman"/>
          <w:sz w:val="24"/>
          <w:szCs w:val="24"/>
        </w:rPr>
        <w:t>, že na poskytnutie dotácie nie je právny nárok</w:t>
      </w:r>
      <w:r>
        <w:rPr>
          <w:rFonts w:ascii="Times New Roman" w:hAnsi="Times New Roman" w:cs="Times New Roman"/>
          <w:sz w:val="24"/>
          <w:szCs w:val="24"/>
        </w:rPr>
        <w:t>. Ustanovuje sa, že dotácia na rovnaký účel sa rovnakému žiadateľovi môže poskytnúť len raz v príslušnom rozpočtovom roku. Výnimku tvoria kultúrne poukazy (účel podľa § 2 ods. 1 písm. c) zákona) vzhľadom na ich účel. V súlade so všeobecne záväznými právnymi predpismi o štátnej pomoci sa uvádza, že pri poskytovaní dotácií podľa tohto zákona sa plne rešpektujú platné pravidlá o poskytovaní štátnej pomoci. Ďalej sa ustanovuje účel a rozsah spracúvaných osobných údajov, okruh dotknutých osôb a spôsob nakladania s týmito osobnými údajmi, ako aj oprávnenie ministerstva kultúry vyžiadať si od Ministerstva školstva, vedy, výskumu a športu Slovenskej republiky údaje o </w:t>
      </w:r>
      <w:r w:rsidDel="00194C6A">
        <w:rPr>
          <w:rFonts w:ascii="Times New Roman" w:hAnsi="Times New Roman" w:cs="Times New Roman"/>
          <w:sz w:val="24"/>
          <w:szCs w:val="24"/>
        </w:rPr>
        <w:t xml:space="preserve"> </w:t>
      </w:r>
      <w:r>
        <w:rPr>
          <w:rFonts w:ascii="Times New Roman" w:hAnsi="Times New Roman" w:cs="Times New Roman"/>
          <w:sz w:val="24"/>
          <w:szCs w:val="24"/>
        </w:rPr>
        <w:t xml:space="preserve">pedagogických zamestnancoch základných škôl a stredných škôl na účel konania o poskytnutie dotácie podľa § 2 ods. 1 písm. c) zákona (kultúrne poukazy).      </w:t>
      </w:r>
    </w:p>
    <w:p w:rsidR="00AA59F4" w:rsidRDefault="00AA59F4" w:rsidP="00AA59F4">
      <w:pPr>
        <w:pStyle w:val="Bezriadkovania"/>
        <w:jc w:val="both"/>
        <w:rPr>
          <w:rFonts w:ascii="Times New Roman" w:hAnsi="Times New Roman" w:cs="Times New Roman"/>
          <w:sz w:val="24"/>
          <w:szCs w:val="24"/>
        </w:rPr>
      </w:pPr>
    </w:p>
    <w:p w:rsidR="00AA59F4" w:rsidRDefault="00AA59F4" w:rsidP="00AA59F4">
      <w:pPr>
        <w:pStyle w:val="Bezriadkovania"/>
        <w:jc w:val="both"/>
        <w:rPr>
          <w:rFonts w:ascii="Times New Roman" w:hAnsi="Times New Roman" w:cs="Times New Roman"/>
          <w:b/>
          <w:sz w:val="24"/>
          <w:szCs w:val="24"/>
        </w:rPr>
      </w:pPr>
    </w:p>
    <w:p w:rsidR="00AA59F4" w:rsidRDefault="00AA59F4" w:rsidP="00AA59F4">
      <w:pPr>
        <w:pStyle w:val="Bezriadkovania"/>
        <w:jc w:val="both"/>
        <w:rPr>
          <w:rFonts w:ascii="Times New Roman" w:hAnsi="Times New Roman" w:cs="Times New Roman"/>
          <w:b/>
          <w:sz w:val="24"/>
          <w:szCs w:val="24"/>
        </w:rPr>
      </w:pPr>
      <w:r>
        <w:rPr>
          <w:rFonts w:ascii="Times New Roman" w:hAnsi="Times New Roman" w:cs="Times New Roman"/>
          <w:b/>
          <w:sz w:val="24"/>
          <w:szCs w:val="24"/>
        </w:rPr>
        <w:t>K § 12</w:t>
      </w:r>
    </w:p>
    <w:p w:rsidR="00AA59F4" w:rsidRDefault="00AA59F4" w:rsidP="00AA59F4">
      <w:pPr>
        <w:pStyle w:val="Bezriadkovania"/>
        <w:jc w:val="both"/>
        <w:rPr>
          <w:rFonts w:ascii="Times New Roman" w:hAnsi="Times New Roman" w:cs="Times New Roman"/>
          <w:b/>
          <w:sz w:val="24"/>
          <w:szCs w:val="24"/>
        </w:rPr>
      </w:pPr>
    </w:p>
    <w:p w:rsidR="00AA59F4" w:rsidRDefault="00AA59F4" w:rsidP="00AA59F4">
      <w:pPr>
        <w:pStyle w:val="Bezriadkovania"/>
        <w:jc w:val="both"/>
        <w:rPr>
          <w:rFonts w:ascii="Times New Roman" w:hAnsi="Times New Roman" w:cs="Times New Roman"/>
          <w:sz w:val="24"/>
          <w:szCs w:val="24"/>
        </w:rPr>
      </w:pPr>
      <w:r w:rsidRPr="00DB7F53">
        <w:rPr>
          <w:rFonts w:ascii="Times New Roman" w:hAnsi="Times New Roman" w:cs="Times New Roman"/>
          <w:sz w:val="24"/>
          <w:szCs w:val="24"/>
        </w:rPr>
        <w:tab/>
        <w:t>Splnomocňovacie ustanovenie</w:t>
      </w:r>
      <w:r>
        <w:rPr>
          <w:rFonts w:ascii="Times New Roman" w:hAnsi="Times New Roman" w:cs="Times New Roman"/>
          <w:sz w:val="24"/>
          <w:szCs w:val="24"/>
        </w:rPr>
        <w:t xml:space="preserve"> na vydanie vykonávacieho predpisu. </w:t>
      </w:r>
    </w:p>
    <w:p w:rsidR="00AA59F4" w:rsidRDefault="00AA59F4" w:rsidP="00AA59F4">
      <w:pPr>
        <w:pStyle w:val="Bezriadkovania"/>
        <w:jc w:val="both"/>
        <w:rPr>
          <w:rFonts w:ascii="Times New Roman" w:hAnsi="Times New Roman" w:cs="Times New Roman"/>
          <w:sz w:val="24"/>
          <w:szCs w:val="24"/>
        </w:rPr>
      </w:pPr>
    </w:p>
    <w:p w:rsidR="00AA59F4" w:rsidRDefault="00AA59F4" w:rsidP="00AA59F4">
      <w:pPr>
        <w:pStyle w:val="Bezriadkovania"/>
        <w:jc w:val="both"/>
        <w:rPr>
          <w:rFonts w:ascii="Times New Roman" w:hAnsi="Times New Roman" w:cs="Times New Roman"/>
          <w:b/>
          <w:sz w:val="24"/>
          <w:szCs w:val="24"/>
        </w:rPr>
      </w:pPr>
      <w:r>
        <w:rPr>
          <w:rFonts w:ascii="Times New Roman" w:hAnsi="Times New Roman" w:cs="Times New Roman"/>
          <w:b/>
          <w:sz w:val="24"/>
          <w:szCs w:val="24"/>
        </w:rPr>
        <w:t>K § 13</w:t>
      </w:r>
      <w:r w:rsidRPr="002E7043">
        <w:rPr>
          <w:rFonts w:ascii="Times New Roman" w:hAnsi="Times New Roman" w:cs="Times New Roman"/>
          <w:b/>
          <w:sz w:val="24"/>
          <w:szCs w:val="24"/>
        </w:rPr>
        <w:t xml:space="preserve">      </w:t>
      </w:r>
    </w:p>
    <w:p w:rsidR="00AA59F4" w:rsidRDefault="00AA59F4" w:rsidP="00AA59F4">
      <w:pPr>
        <w:pStyle w:val="Bezriadkovania"/>
        <w:jc w:val="both"/>
        <w:rPr>
          <w:rFonts w:ascii="Times New Roman" w:hAnsi="Times New Roman" w:cs="Times New Roman"/>
          <w:b/>
          <w:sz w:val="24"/>
          <w:szCs w:val="24"/>
        </w:rPr>
      </w:pPr>
    </w:p>
    <w:p w:rsidR="00AA59F4" w:rsidRDefault="00AA59F4" w:rsidP="00AA59F4">
      <w:pPr>
        <w:pStyle w:val="Bezriadkovania"/>
        <w:jc w:val="both"/>
        <w:rPr>
          <w:rFonts w:ascii="Times New Roman" w:hAnsi="Times New Roman" w:cs="Times New Roman"/>
          <w:sz w:val="24"/>
          <w:szCs w:val="24"/>
        </w:rPr>
      </w:pPr>
      <w:r w:rsidRPr="002E7043">
        <w:rPr>
          <w:rFonts w:ascii="Times New Roman" w:hAnsi="Times New Roman" w:cs="Times New Roman"/>
          <w:sz w:val="24"/>
          <w:szCs w:val="24"/>
        </w:rPr>
        <w:tab/>
        <w:t xml:space="preserve">Prechodné </w:t>
      </w:r>
      <w:r>
        <w:rPr>
          <w:rFonts w:ascii="Times New Roman" w:hAnsi="Times New Roman" w:cs="Times New Roman"/>
          <w:sz w:val="24"/>
          <w:szCs w:val="24"/>
        </w:rPr>
        <w:t xml:space="preserve">ustanovenie. Žiadosti o poskytnutie dotácie, ktoré boli predložené na základe výzvy zverejnenej do účinnosti tohto zákona, ako aj zmluvy uzavreté pred účinnosťou </w:t>
      </w:r>
      <w:r>
        <w:rPr>
          <w:rFonts w:ascii="Times New Roman" w:hAnsi="Times New Roman" w:cs="Times New Roman"/>
          <w:sz w:val="24"/>
          <w:szCs w:val="24"/>
        </w:rPr>
        <w:lastRenderedPageBreak/>
        <w:t xml:space="preserve">tohto zákona sa posúdia podľa doterajších predpisov. Podmienky podľa § 8a ods. 4 písm. a), c), d) a e) zákona č. 523/2004 Z. z. o rozpočtových pravidlách verejnej správy sa pre potreby posúdenia žiadosti o poskytnutie dotácie na účel podľa § 2 ods. 1 písm. e) do 31. decembra 2020 považujú za splnené dňom predloženia žiadosti. Ustanovenia § 8a ods. 7 zákona o rozpočtových pravidlách verejnej správy sa vo vzťahu k zúčtovaniu dotácie poskytnutej na účel podľa § 2 ods. 1 písm. e) do 31. decembra 2020 neuplatňujú.     </w:t>
      </w:r>
    </w:p>
    <w:p w:rsidR="00AA59F4" w:rsidRDefault="00AA59F4" w:rsidP="00AA59F4">
      <w:pPr>
        <w:pStyle w:val="Bezriadkovania"/>
        <w:jc w:val="both"/>
        <w:rPr>
          <w:rFonts w:ascii="Times New Roman" w:hAnsi="Times New Roman" w:cs="Times New Roman"/>
          <w:sz w:val="24"/>
          <w:szCs w:val="24"/>
        </w:rPr>
      </w:pPr>
    </w:p>
    <w:p w:rsidR="00AA59F4" w:rsidRDefault="00AA59F4" w:rsidP="00AA59F4">
      <w:pPr>
        <w:pStyle w:val="Bezriadkovania"/>
        <w:jc w:val="both"/>
        <w:rPr>
          <w:rFonts w:ascii="Times New Roman" w:hAnsi="Times New Roman" w:cs="Times New Roman"/>
          <w:b/>
          <w:sz w:val="24"/>
          <w:szCs w:val="24"/>
        </w:rPr>
      </w:pPr>
      <w:r>
        <w:rPr>
          <w:rFonts w:ascii="Times New Roman" w:hAnsi="Times New Roman" w:cs="Times New Roman"/>
          <w:b/>
          <w:sz w:val="24"/>
          <w:szCs w:val="24"/>
        </w:rPr>
        <w:t>K § 14</w:t>
      </w:r>
      <w:r w:rsidRPr="002E7043">
        <w:rPr>
          <w:rFonts w:ascii="Times New Roman" w:hAnsi="Times New Roman" w:cs="Times New Roman"/>
          <w:b/>
          <w:sz w:val="24"/>
          <w:szCs w:val="24"/>
        </w:rPr>
        <w:t xml:space="preserve"> </w:t>
      </w:r>
    </w:p>
    <w:p w:rsidR="00AA59F4" w:rsidRDefault="00AA59F4" w:rsidP="00AA59F4">
      <w:pPr>
        <w:pStyle w:val="Bezriadkovania"/>
        <w:jc w:val="both"/>
        <w:rPr>
          <w:rFonts w:ascii="Times New Roman" w:hAnsi="Times New Roman" w:cs="Times New Roman"/>
          <w:b/>
          <w:sz w:val="24"/>
          <w:szCs w:val="24"/>
        </w:rPr>
      </w:pPr>
    </w:p>
    <w:p w:rsidR="00AA59F4" w:rsidRDefault="00AA59F4" w:rsidP="00AA59F4">
      <w:pPr>
        <w:pStyle w:val="Bezriadkovania"/>
        <w:jc w:val="both"/>
        <w:rPr>
          <w:rFonts w:ascii="Times New Roman" w:hAnsi="Times New Roman" w:cs="Times New Roman"/>
          <w:sz w:val="24"/>
          <w:szCs w:val="24"/>
        </w:rPr>
      </w:pPr>
      <w:r>
        <w:rPr>
          <w:rFonts w:ascii="Times New Roman" w:hAnsi="Times New Roman" w:cs="Times New Roman"/>
          <w:b/>
          <w:sz w:val="24"/>
          <w:szCs w:val="24"/>
        </w:rPr>
        <w:tab/>
      </w:r>
      <w:r w:rsidRPr="002E7043">
        <w:rPr>
          <w:rFonts w:ascii="Times New Roman" w:hAnsi="Times New Roman" w:cs="Times New Roman"/>
          <w:sz w:val="24"/>
          <w:szCs w:val="24"/>
        </w:rPr>
        <w:t>Zrušuje sa doterajší z</w:t>
      </w:r>
      <w:r>
        <w:rPr>
          <w:rFonts w:ascii="Times New Roman" w:hAnsi="Times New Roman" w:cs="Times New Roman"/>
          <w:sz w:val="24"/>
          <w:szCs w:val="24"/>
        </w:rPr>
        <w:t xml:space="preserve">ákon č. 434/2010 Z. z. </w:t>
      </w:r>
      <w:r w:rsidRPr="00C6001C">
        <w:rPr>
          <w:rFonts w:ascii="Times New Roman" w:hAnsi="Times New Roman" w:cs="Times New Roman"/>
          <w:sz w:val="24"/>
          <w:szCs w:val="24"/>
        </w:rPr>
        <w:t>o poskytovaní dotácií v pôsobnosti Ministerstva kultúry Slovenskej republiky</w:t>
      </w:r>
      <w:r>
        <w:rPr>
          <w:rFonts w:ascii="Times New Roman" w:hAnsi="Times New Roman" w:cs="Times New Roman"/>
          <w:sz w:val="24"/>
          <w:szCs w:val="24"/>
        </w:rPr>
        <w:t xml:space="preserve"> v znení neskorších predpisov a všeobecne záväzný právny predpis vydaný na jeho vykonanie. </w:t>
      </w:r>
    </w:p>
    <w:p w:rsidR="00AA59F4" w:rsidRDefault="00AA59F4" w:rsidP="00AA59F4">
      <w:pPr>
        <w:pStyle w:val="Bezriadkovania"/>
        <w:jc w:val="both"/>
        <w:rPr>
          <w:rFonts w:ascii="Times New Roman" w:hAnsi="Times New Roman" w:cs="Times New Roman"/>
          <w:sz w:val="24"/>
          <w:szCs w:val="24"/>
        </w:rPr>
      </w:pPr>
    </w:p>
    <w:p w:rsidR="00AA59F4" w:rsidRPr="00876E35" w:rsidRDefault="00AA59F4" w:rsidP="00AA59F4">
      <w:pPr>
        <w:pStyle w:val="Bezriadkovania"/>
        <w:jc w:val="both"/>
        <w:rPr>
          <w:rFonts w:ascii="Times New Roman" w:hAnsi="Times New Roman" w:cs="Times New Roman"/>
          <w:sz w:val="24"/>
          <w:szCs w:val="24"/>
        </w:rPr>
      </w:pPr>
      <w:r>
        <w:rPr>
          <w:rFonts w:ascii="Times New Roman" w:hAnsi="Times New Roman" w:cs="Times New Roman"/>
          <w:b/>
          <w:sz w:val="24"/>
          <w:szCs w:val="24"/>
        </w:rPr>
        <w:t>K § 15</w:t>
      </w:r>
    </w:p>
    <w:p w:rsidR="00AA59F4" w:rsidRDefault="00AA59F4" w:rsidP="00AA59F4">
      <w:pPr>
        <w:pStyle w:val="Bezriadkovania"/>
        <w:jc w:val="both"/>
        <w:rPr>
          <w:rFonts w:ascii="Times New Roman" w:hAnsi="Times New Roman" w:cs="Times New Roman"/>
          <w:b/>
          <w:sz w:val="24"/>
          <w:szCs w:val="24"/>
        </w:rPr>
      </w:pPr>
      <w:r>
        <w:rPr>
          <w:rFonts w:ascii="Times New Roman" w:hAnsi="Times New Roman" w:cs="Times New Roman"/>
          <w:b/>
          <w:sz w:val="24"/>
          <w:szCs w:val="24"/>
        </w:rPr>
        <w:tab/>
      </w:r>
    </w:p>
    <w:p w:rsidR="00AA59F4" w:rsidRPr="00D16ECD" w:rsidRDefault="00AA59F4" w:rsidP="00AA59F4">
      <w:pPr>
        <w:pStyle w:val="Bezriadkovania"/>
        <w:ind w:firstLine="708"/>
        <w:jc w:val="both"/>
        <w:rPr>
          <w:rFonts w:ascii="Times New Roman" w:hAnsi="Times New Roman" w:cs="Times New Roman"/>
          <w:sz w:val="24"/>
          <w:szCs w:val="24"/>
        </w:rPr>
      </w:pPr>
      <w:r w:rsidRPr="00D16ECD">
        <w:rPr>
          <w:rFonts w:ascii="Times New Roman" w:hAnsi="Times New Roman" w:cs="Times New Roman"/>
          <w:sz w:val="24"/>
          <w:szCs w:val="24"/>
        </w:rPr>
        <w:t xml:space="preserve">Navrhuje sa účinnosť zákona. </w:t>
      </w:r>
    </w:p>
    <w:p w:rsidR="00AA59F4" w:rsidRDefault="00AA59F4" w:rsidP="00F1303B">
      <w:pPr>
        <w:spacing w:line="276" w:lineRule="auto"/>
        <w:ind w:firstLine="426"/>
        <w:jc w:val="both"/>
      </w:pPr>
    </w:p>
    <w:p w:rsidR="00B76AE0" w:rsidRDefault="00B76AE0" w:rsidP="00B76AE0">
      <w:pPr>
        <w:tabs>
          <w:tab w:val="left" w:pos="278"/>
        </w:tabs>
        <w:jc w:val="center"/>
      </w:pPr>
      <w:r>
        <w:t>Schválené na rokovaní vlády Slovenskej republiky 07. októbra 2020.</w:t>
      </w:r>
    </w:p>
    <w:p w:rsidR="00B76AE0" w:rsidRDefault="00B76AE0" w:rsidP="00B76AE0">
      <w:pPr>
        <w:tabs>
          <w:tab w:val="left" w:pos="278"/>
        </w:tabs>
        <w:spacing w:after="120"/>
        <w:jc w:val="center"/>
      </w:pPr>
    </w:p>
    <w:p w:rsidR="00B76AE0" w:rsidRDefault="00B76AE0" w:rsidP="00B76AE0">
      <w:pPr>
        <w:tabs>
          <w:tab w:val="left" w:pos="278"/>
        </w:tabs>
        <w:spacing w:after="120"/>
        <w:jc w:val="center"/>
      </w:pPr>
    </w:p>
    <w:p w:rsidR="00B76AE0" w:rsidRDefault="00B76AE0" w:rsidP="00B76AE0">
      <w:pPr>
        <w:tabs>
          <w:tab w:val="left" w:pos="278"/>
        </w:tabs>
        <w:jc w:val="center"/>
        <w:rPr>
          <w:b/>
        </w:rPr>
      </w:pPr>
      <w:r>
        <w:rPr>
          <w:b/>
        </w:rPr>
        <w:t xml:space="preserve">Igor </w:t>
      </w:r>
      <w:proofErr w:type="spellStart"/>
      <w:r>
        <w:rPr>
          <w:b/>
        </w:rPr>
        <w:t>Matovič</w:t>
      </w:r>
      <w:proofErr w:type="spellEnd"/>
      <w:r>
        <w:rPr>
          <w:b/>
        </w:rPr>
        <w:t>, v. r.</w:t>
      </w:r>
    </w:p>
    <w:p w:rsidR="00B76AE0" w:rsidRDefault="00B76AE0" w:rsidP="00B76AE0">
      <w:pPr>
        <w:tabs>
          <w:tab w:val="left" w:pos="278"/>
        </w:tabs>
        <w:jc w:val="center"/>
      </w:pPr>
      <w:r>
        <w:t xml:space="preserve">predseda vlády </w:t>
      </w:r>
    </w:p>
    <w:p w:rsidR="00B76AE0" w:rsidRDefault="00B76AE0" w:rsidP="00B76AE0">
      <w:pPr>
        <w:tabs>
          <w:tab w:val="left" w:pos="278"/>
        </w:tabs>
        <w:jc w:val="center"/>
      </w:pPr>
      <w:r>
        <w:t>Slovenskej republiky</w:t>
      </w:r>
    </w:p>
    <w:p w:rsidR="00B76AE0" w:rsidRDefault="00B76AE0" w:rsidP="00B76AE0">
      <w:pPr>
        <w:tabs>
          <w:tab w:val="left" w:pos="278"/>
        </w:tabs>
        <w:jc w:val="center"/>
      </w:pPr>
    </w:p>
    <w:p w:rsidR="00B76AE0" w:rsidRDefault="00B76AE0" w:rsidP="00B76AE0">
      <w:pPr>
        <w:tabs>
          <w:tab w:val="left" w:pos="278"/>
        </w:tabs>
        <w:jc w:val="center"/>
      </w:pPr>
    </w:p>
    <w:p w:rsidR="00B76AE0" w:rsidRDefault="00B76AE0" w:rsidP="00B76AE0">
      <w:pPr>
        <w:tabs>
          <w:tab w:val="left" w:pos="278"/>
        </w:tabs>
        <w:jc w:val="center"/>
      </w:pPr>
    </w:p>
    <w:p w:rsidR="00B76AE0" w:rsidRDefault="00B76AE0" w:rsidP="00B76AE0">
      <w:pPr>
        <w:tabs>
          <w:tab w:val="left" w:pos="278"/>
        </w:tabs>
        <w:jc w:val="center"/>
        <w:rPr>
          <w:b/>
        </w:rPr>
      </w:pPr>
      <w:r>
        <w:rPr>
          <w:b/>
        </w:rPr>
        <w:t>Natália Milanová, v. r.</w:t>
      </w:r>
    </w:p>
    <w:p w:rsidR="00B76AE0" w:rsidRDefault="00B76AE0" w:rsidP="00B76AE0">
      <w:pPr>
        <w:tabs>
          <w:tab w:val="left" w:pos="278"/>
        </w:tabs>
        <w:jc w:val="center"/>
      </w:pPr>
      <w:r>
        <w:t>ministerka kultúry</w:t>
      </w:r>
    </w:p>
    <w:p w:rsidR="00B76AE0" w:rsidRDefault="00B76AE0" w:rsidP="00B76AE0">
      <w:pPr>
        <w:tabs>
          <w:tab w:val="left" w:pos="278"/>
        </w:tabs>
        <w:jc w:val="center"/>
      </w:pPr>
      <w:r>
        <w:t>Slovenskej republiky</w:t>
      </w:r>
    </w:p>
    <w:p w:rsidR="00B76AE0" w:rsidRPr="00A82405" w:rsidRDefault="00B76AE0" w:rsidP="00F1303B">
      <w:pPr>
        <w:spacing w:line="276" w:lineRule="auto"/>
        <w:ind w:firstLine="426"/>
        <w:jc w:val="both"/>
      </w:pPr>
    </w:p>
    <w:sectPr w:rsidR="00B76AE0" w:rsidRPr="00A82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354C1"/>
    <w:multiLevelType w:val="hybridMultilevel"/>
    <w:tmpl w:val="BAA28D52"/>
    <w:lvl w:ilvl="0" w:tplc="5E320B9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CED4DF1"/>
    <w:multiLevelType w:val="hybridMultilevel"/>
    <w:tmpl w:val="D960D1A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C3A42EF"/>
    <w:multiLevelType w:val="hybridMultilevel"/>
    <w:tmpl w:val="F96414F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
    <w:nsid w:val="577A1F40"/>
    <w:multiLevelType w:val="hybridMultilevel"/>
    <w:tmpl w:val="1CDED8F4"/>
    <w:lvl w:ilvl="0" w:tplc="5E320B9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79E04AD9"/>
    <w:multiLevelType w:val="hybridMultilevel"/>
    <w:tmpl w:val="45984BF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DC"/>
    <w:rsid w:val="000420B4"/>
    <w:rsid w:val="00101009"/>
    <w:rsid w:val="001B67DC"/>
    <w:rsid w:val="002171F7"/>
    <w:rsid w:val="0022132B"/>
    <w:rsid w:val="00233A10"/>
    <w:rsid w:val="00237DDC"/>
    <w:rsid w:val="00277037"/>
    <w:rsid w:val="0031401C"/>
    <w:rsid w:val="003A143C"/>
    <w:rsid w:val="00413E85"/>
    <w:rsid w:val="00545735"/>
    <w:rsid w:val="005B0F33"/>
    <w:rsid w:val="006254BF"/>
    <w:rsid w:val="006B2DFE"/>
    <w:rsid w:val="006B5C46"/>
    <w:rsid w:val="007A66F1"/>
    <w:rsid w:val="007A6C51"/>
    <w:rsid w:val="007C2A09"/>
    <w:rsid w:val="00836970"/>
    <w:rsid w:val="00866088"/>
    <w:rsid w:val="008D226F"/>
    <w:rsid w:val="00913811"/>
    <w:rsid w:val="00A26ABB"/>
    <w:rsid w:val="00A65FC7"/>
    <w:rsid w:val="00A82405"/>
    <w:rsid w:val="00AA59F4"/>
    <w:rsid w:val="00B42031"/>
    <w:rsid w:val="00B52AF2"/>
    <w:rsid w:val="00B76AE0"/>
    <w:rsid w:val="00C827B9"/>
    <w:rsid w:val="00CD0BF1"/>
    <w:rsid w:val="00CF5058"/>
    <w:rsid w:val="00D1134D"/>
    <w:rsid w:val="00E20FC3"/>
    <w:rsid w:val="00F1303B"/>
    <w:rsid w:val="00F317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B0F33"/>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1B67DC"/>
    <w:pPr>
      <w:spacing w:after="0" w:line="240" w:lineRule="auto"/>
    </w:pPr>
  </w:style>
  <w:style w:type="paragraph" w:styleId="Normlnywebov">
    <w:name w:val="Normal (Web)"/>
    <w:basedOn w:val="Normlny"/>
    <w:uiPriority w:val="99"/>
    <w:rsid w:val="00AA59F4"/>
    <w:pPr>
      <w:spacing w:before="100" w:beforeAutospacing="1" w:after="100" w:afterAutospacing="1"/>
    </w:pPr>
  </w:style>
  <w:style w:type="paragraph" w:styleId="Odsekzoznamu">
    <w:name w:val="List Paragraph"/>
    <w:basedOn w:val="Normlny"/>
    <w:uiPriority w:val="34"/>
    <w:qFormat/>
    <w:rsid w:val="00AA59F4"/>
    <w:pPr>
      <w:widowControl w:val="0"/>
      <w:autoSpaceDE w:val="0"/>
      <w:autoSpaceDN w:val="0"/>
      <w:adjustRightInd w:val="0"/>
      <w:ind w:left="720"/>
      <w:contextualSpacing/>
    </w:pPr>
  </w:style>
  <w:style w:type="table" w:styleId="Mriekatabuky">
    <w:name w:val="Table Grid"/>
    <w:basedOn w:val="Normlnatabuka"/>
    <w:uiPriority w:val="99"/>
    <w:unhideWhenUsed/>
    <w:rsid w:val="00AA59F4"/>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B0F33"/>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1B67DC"/>
    <w:pPr>
      <w:spacing w:after="0" w:line="240" w:lineRule="auto"/>
    </w:pPr>
  </w:style>
  <w:style w:type="paragraph" w:styleId="Normlnywebov">
    <w:name w:val="Normal (Web)"/>
    <w:basedOn w:val="Normlny"/>
    <w:uiPriority w:val="99"/>
    <w:rsid w:val="00AA59F4"/>
    <w:pPr>
      <w:spacing w:before="100" w:beforeAutospacing="1" w:after="100" w:afterAutospacing="1"/>
    </w:pPr>
  </w:style>
  <w:style w:type="paragraph" w:styleId="Odsekzoznamu">
    <w:name w:val="List Paragraph"/>
    <w:basedOn w:val="Normlny"/>
    <w:uiPriority w:val="34"/>
    <w:qFormat/>
    <w:rsid w:val="00AA59F4"/>
    <w:pPr>
      <w:widowControl w:val="0"/>
      <w:autoSpaceDE w:val="0"/>
      <w:autoSpaceDN w:val="0"/>
      <w:adjustRightInd w:val="0"/>
      <w:ind w:left="720"/>
      <w:contextualSpacing/>
    </w:pPr>
  </w:style>
  <w:style w:type="table" w:styleId="Mriekatabuky">
    <w:name w:val="Table Grid"/>
    <w:basedOn w:val="Normlnatabuka"/>
    <w:uiPriority w:val="99"/>
    <w:unhideWhenUsed/>
    <w:rsid w:val="00AA59F4"/>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60626">
      <w:bodyDiv w:val="1"/>
      <w:marLeft w:val="0"/>
      <w:marRight w:val="0"/>
      <w:marTop w:val="0"/>
      <w:marBottom w:val="0"/>
      <w:divBdr>
        <w:top w:val="none" w:sz="0" w:space="0" w:color="auto"/>
        <w:left w:val="none" w:sz="0" w:space="0" w:color="auto"/>
        <w:bottom w:val="none" w:sz="0" w:space="0" w:color="auto"/>
        <w:right w:val="none" w:sz="0" w:space="0" w:color="auto"/>
      </w:divBdr>
    </w:div>
    <w:div w:id="17998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vodova-sprava--vseobecna-cast_MPK"/>
    <f:field ref="objsubject" par="" edit="true" text=""/>
    <f:field ref="objcreatedby" par="" text="Maťko, Dalibor, Mgr."/>
    <f:field ref="objcreatedat" par="" text="23.5.2019 13:50:18"/>
    <f:field ref="objchangedby" par="" text="Administrator, System"/>
    <f:field ref="objmodifiedat" par="" text="23.5.2019 13:50:1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3482</Words>
  <Characters>19851</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Maťko Dalibor</dc:creator>
  <cp:lastModifiedBy>Wiedemann Miroslav</cp:lastModifiedBy>
  <cp:revision>10</cp:revision>
  <cp:lastPrinted>2020-07-31T07:37:00Z</cp:lastPrinted>
  <dcterms:created xsi:type="dcterms:W3CDTF">2020-10-07T12:57:00Z</dcterms:created>
  <dcterms:modified xsi:type="dcterms:W3CDTF">2020-10-12T12:40:00Z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o&amp;nbsp;poskytovaní dotácií v&amp;nbsp;pôsobnosti Ministerstva kultúry Slovenskej republiky informovaná prostredníctvom predbežnej informácie k&amp;nbsp;predmetnému návrhu zákona zverejne</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Kultúra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Dalibor Maťko</vt:lpwstr>
  </property>
  <property fmtid="{D5CDD505-2E9C-101B-9397-08002B2CF9AE}" pid="12" name="FSC#SKEDITIONSLOVLEX@103.510:zodppredkladatel">
    <vt:lpwstr>Ľubica Laššáková</vt:lpwstr>
  </property>
  <property fmtid="{D5CDD505-2E9C-101B-9397-08002B2CF9AE}" pid="13" name="FSC#SKEDITIONSLOVLEX@103.510:dalsipredkladatel">
    <vt:lpwstr/>
  </property>
  <property fmtid="{D5CDD505-2E9C-101B-9397-08002B2CF9AE}" pid="14" name="FSC#SKEDITIONSLOVLEX@103.510:nazovpredpis">
    <vt:lpwstr> o poskytovaní dotácií v pôsobnosti Ministerstva kultúry Slovenskej republiky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kultúry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Bod B.6. uznesenia vlády Slovenskej republiky č. 153/2017 </vt:lpwstr>
  </property>
  <property fmtid="{D5CDD505-2E9C-101B-9397-08002B2CF9AE}" pid="23" name="FSC#SKEDITIONSLOVLEX@103.510:plnynazovpredpis">
    <vt:lpwstr> Zákon o poskytovaní dotácií v pôsobnosti Ministerstva kultúry Slovenskej republiky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MK-210/2019-130/6742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LP/2019/399</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107, 108 a 109 Zmluvy o fungovaní Európskej únie</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Bezpredmetné.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Konanie nebolo začaté. </vt:lpwstr>
  </property>
  <property fmtid="{D5CDD505-2E9C-101B-9397-08002B2CF9AE}" pid="55" name="FSC#SKEDITIONSLOVLEX@103.510:AttrStrListDocPropInfoUzPreberanePP">
    <vt:lpwstr>Bezpredmetné.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Alternatívne riešenia neboli posudzované.</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kultúry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kultúry</vt:lpwstr>
  </property>
  <property fmtid="{D5CDD505-2E9C-101B-9397-08002B2CF9AE}" pid="142" name="FSC#SKEDITIONSLOVLEX@103.510:funkciaZodpPredAkuzativ">
    <vt:lpwstr>ministerky kultúry</vt:lpwstr>
  </property>
  <property fmtid="{D5CDD505-2E9C-101B-9397-08002B2CF9AE}" pid="143" name="FSC#SKEDITIONSLOVLEX@103.510:funkciaZodpPredDativ">
    <vt:lpwstr>ministerke kultúry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Ľubica Laššáková_x000d_
ministerka kultúry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23. 5. 2019</vt:lpwstr>
  </property>
  <property fmtid="{D5CDD505-2E9C-101B-9397-08002B2CF9AE}" pid="151" name="FSC#COOSYSTEM@1.1:Container">
    <vt:lpwstr>COO.2145.1000.3.3380620</vt:lpwstr>
  </property>
  <property fmtid="{D5CDD505-2E9C-101B-9397-08002B2CF9AE}" pid="152" name="FSC#FSCFOLIO@1.1001:docpropproject">
    <vt:lpwstr/>
  </property>
</Properties>
</file>