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E6" w:rsidRDefault="005F34E6" w:rsidP="005F34E6">
      <w:pPr>
        <w:jc w:val="center"/>
        <w:rPr>
          <w:rFonts w:ascii="Times New Roman" w:hAnsi="Times New Roman"/>
          <w:b/>
          <w:sz w:val="24"/>
          <w:szCs w:val="24"/>
        </w:rPr>
      </w:pPr>
      <w:r>
        <w:rPr>
          <w:rFonts w:ascii="Times New Roman" w:hAnsi="Times New Roman"/>
          <w:b/>
          <w:sz w:val="24"/>
          <w:szCs w:val="24"/>
        </w:rPr>
        <w:t>Dôvodová správa</w:t>
      </w:r>
    </w:p>
    <w:p w:rsidR="005F34E6" w:rsidRDefault="005F34E6" w:rsidP="005F34E6">
      <w:pPr>
        <w:spacing w:after="0" w:line="240" w:lineRule="auto"/>
        <w:rPr>
          <w:rFonts w:ascii="Times New Roman" w:hAnsi="Times New Roman"/>
          <w:color w:val="000000" w:themeColor="text1"/>
          <w:sz w:val="24"/>
          <w:szCs w:val="24"/>
        </w:rPr>
      </w:pPr>
    </w:p>
    <w:p w:rsidR="005F34E6" w:rsidRDefault="005F34E6" w:rsidP="005F34E6">
      <w:pPr>
        <w:pStyle w:val="Odsekzoznamu"/>
        <w:numPr>
          <w:ilvl w:val="0"/>
          <w:numId w:val="1"/>
        </w:num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Všeobecná časť</w:t>
      </w:r>
    </w:p>
    <w:p w:rsidR="005F34E6" w:rsidRDefault="005F34E6" w:rsidP="005F34E6">
      <w:pPr>
        <w:spacing w:after="0" w:line="240" w:lineRule="auto"/>
        <w:ind w:left="284"/>
        <w:jc w:val="both"/>
        <w:rPr>
          <w:rFonts w:ascii="Times New Roman" w:hAnsi="Times New Roman"/>
          <w:color w:val="000000" w:themeColor="text1"/>
          <w:sz w:val="24"/>
          <w:szCs w:val="24"/>
        </w:rPr>
      </w:pPr>
    </w:p>
    <w:p w:rsidR="005F34E6" w:rsidRDefault="005F34E6" w:rsidP="005F34E6">
      <w:pPr>
        <w:pStyle w:val="Zkladntext"/>
        <w:spacing w:after="0" w:line="240" w:lineRule="auto"/>
        <w:ind w:firstLine="644"/>
        <w:jc w:val="both"/>
        <w:rPr>
          <w:rFonts w:ascii="Times New Roman" w:hAnsi="Times New Roman"/>
          <w:sz w:val="24"/>
          <w:szCs w:val="24"/>
        </w:rPr>
      </w:pPr>
      <w:r>
        <w:rPr>
          <w:rFonts w:ascii="Times New Roman" w:hAnsi="Times New Roman"/>
          <w:sz w:val="24"/>
          <w:szCs w:val="24"/>
        </w:rPr>
        <w:t xml:space="preserve">Návrh zákona, ktorým sa mení a dopĺňa zákon č. 361/2014 Z. z. o dani z motorových vozidiel a o zmene a doplnení niektorých zákonov v znení neskorších predpisov sa predkladá ako iniciatívny návrh. </w:t>
      </w:r>
    </w:p>
    <w:p w:rsidR="005F34E6" w:rsidRDefault="005F34E6" w:rsidP="005F34E6">
      <w:pPr>
        <w:pStyle w:val="Zkladntext"/>
        <w:spacing w:after="0" w:line="240" w:lineRule="auto"/>
        <w:ind w:firstLine="284"/>
        <w:jc w:val="both"/>
        <w:rPr>
          <w:rFonts w:ascii="Times New Roman" w:hAnsi="Times New Roman"/>
          <w:sz w:val="24"/>
          <w:szCs w:val="24"/>
        </w:rPr>
      </w:pPr>
    </w:p>
    <w:p w:rsidR="005F34E6" w:rsidRDefault="005F34E6" w:rsidP="005F34E6">
      <w:pPr>
        <w:spacing w:after="0" w:line="240" w:lineRule="auto"/>
        <w:ind w:firstLine="708"/>
        <w:jc w:val="both"/>
        <w:rPr>
          <w:rFonts w:ascii="Times New Roman" w:hAnsi="Times New Roman"/>
          <w:color w:val="000000"/>
          <w:sz w:val="24"/>
          <w:szCs w:val="24"/>
          <w:lang w:eastAsia="sk-SK"/>
        </w:rPr>
      </w:pPr>
      <w:r>
        <w:rPr>
          <w:rFonts w:ascii="Times New Roman" w:hAnsi="Times New Roman"/>
          <w:sz w:val="24"/>
          <w:szCs w:val="24"/>
        </w:rPr>
        <w:t xml:space="preserve">Dlhodobým problémom dane z motorových vozidiel je v porovnaní s inými krajinami EÚ relatívne vysoké daňové zaťaženie vozidiel v kamiónovej a autobusovej doprave, a preto je opodstatnená zmena súčasného nastavenia sadzieb dane. Návrh zákona </w:t>
      </w:r>
      <w:r>
        <w:rPr>
          <w:rFonts w:ascii="Times New Roman" w:hAnsi="Times New Roman"/>
          <w:color w:val="000000"/>
          <w:sz w:val="24"/>
          <w:szCs w:val="24"/>
          <w:lang w:eastAsia="sk-SK"/>
        </w:rPr>
        <w:t xml:space="preserve">sa vypracováva v súvislosti s požiadavkou autodopravcov na zníženie dane z motorových vozidiel. </w:t>
      </w:r>
      <w:r>
        <w:rPr>
          <w:rFonts w:ascii="Times New Roman" w:hAnsi="Times New Roman"/>
          <w:sz w:val="24"/>
          <w:szCs w:val="24"/>
        </w:rPr>
        <w:t xml:space="preserve">Cieľom návrhu zákona je tak zníženie daňového zaťaženia autodopravcov podnikajúcich v kamiónovej doprave a autobusovej doprave a posilniť ich konkurencieschopnosť s autodopravcami iných krajín. </w:t>
      </w:r>
      <w:r>
        <w:rPr>
          <w:rFonts w:ascii="Times New Roman" w:hAnsi="Times New Roman"/>
          <w:color w:val="000000"/>
          <w:sz w:val="24"/>
          <w:szCs w:val="24"/>
          <w:lang w:eastAsia="sk-SK"/>
        </w:rPr>
        <w:t xml:space="preserve">V tejto súvislosti sa navrhuje odstrániť podmienka „párovania“ vozidiel ťahač a náves v návesovej jazdnej súprave a priamo použiť pre všetky ťahače a návesy nižšiu ročnú sadzbu dane než do akej by patrili podľa najvyššej prípustnej celkovej hmotnosti alebo celkovej hmotnosti uvedenej v doklade vozidla. Z tohto titulu sa na tento účel zavádza samostatná príloha č. 1a s aplikovaním sadzieb dane po automatickom zaradení všetkých vozidiel ťahač a náves do najbližšej nižšej ročnej sadzby dane. Uvedená zmena v porovnaní so súčasným systémom „párovania“ vozidiel v návesovej jazdnej súprave zvyšuje transparentnosť v spôsobe výpočtu daňovej povinnosti daňovníka, ako aj pri stanovovaní preddavkov na daň z motorových vozidiel.  </w:t>
      </w:r>
    </w:p>
    <w:p w:rsidR="005F34E6" w:rsidRDefault="005F34E6" w:rsidP="005F34E6">
      <w:pPr>
        <w:spacing w:after="0" w:line="240" w:lineRule="auto"/>
        <w:jc w:val="both"/>
        <w:rPr>
          <w:rFonts w:ascii="Times New Roman" w:hAnsi="Times New Roman"/>
          <w:sz w:val="24"/>
          <w:szCs w:val="24"/>
        </w:rPr>
      </w:pPr>
    </w:p>
    <w:p w:rsidR="005F34E6" w:rsidRDefault="005F34E6" w:rsidP="005F34E6">
      <w:pPr>
        <w:spacing w:after="0" w:line="240" w:lineRule="auto"/>
        <w:ind w:firstLine="708"/>
        <w:jc w:val="both"/>
        <w:rPr>
          <w:rFonts w:ascii="Times New Roman" w:hAnsi="Times New Roman"/>
          <w:sz w:val="24"/>
          <w:szCs w:val="24"/>
        </w:rPr>
      </w:pPr>
      <w:r>
        <w:rPr>
          <w:rFonts w:ascii="Times New Roman" w:hAnsi="Times New Roman"/>
          <w:sz w:val="24"/>
          <w:szCs w:val="24"/>
        </w:rPr>
        <w:t>Okrem zavedenia novej prílohy č. 1a s ročnými sadzbami pre vozidlá ťahač a náves, sa zavádzajú nové percentuálne zvýhodnenia ročnej sadzby dane pre všetky úžitkové vozidlá zaradené do kategórie M2, M3 a N3. Nové percentuálne zvýhodnenia ročných sadzieb daní sa pohybujú v rozmedzí od 50% do 10% s ohľadom na vek vozidla a sú uplatňované od prvého zaradenia vozidla do evidencie vozidiel do 156 kalendárnych mesiacov veku vozidla. Po uplynutí 156 kalendárnych mesiacov sa pre úžitkové vozidlá zaradené do kategórie M2, M3 a N3 bude uplatňovať ročná sadzba dane podľa prílohy č. 1 alebo prílohy č. 1a bez ďalšej zmeny sadzby dane z titulu veku vozidla. Úprava ročnej sadzby dane pre vozidlá kategórie O4 sa navrhuje vo výške 60% vždy bez ohľadu na vek vozidla.</w:t>
      </w:r>
    </w:p>
    <w:p w:rsidR="005F34E6" w:rsidRDefault="005F34E6" w:rsidP="005F34E6">
      <w:pPr>
        <w:spacing w:after="0" w:line="240" w:lineRule="auto"/>
        <w:ind w:firstLine="708"/>
        <w:jc w:val="both"/>
        <w:rPr>
          <w:rFonts w:ascii="Times New Roman" w:hAnsi="Times New Roman"/>
          <w:sz w:val="24"/>
          <w:szCs w:val="24"/>
        </w:rPr>
      </w:pPr>
    </w:p>
    <w:p w:rsidR="005F34E6" w:rsidRDefault="005F34E6" w:rsidP="005F34E6">
      <w:pPr>
        <w:spacing w:after="0" w:line="240" w:lineRule="auto"/>
        <w:ind w:firstLine="708"/>
        <w:jc w:val="both"/>
        <w:rPr>
          <w:rFonts w:ascii="Times New Roman" w:hAnsi="Times New Roman"/>
          <w:strike/>
          <w:sz w:val="24"/>
          <w:szCs w:val="24"/>
        </w:rPr>
      </w:pPr>
      <w:r>
        <w:rPr>
          <w:rFonts w:ascii="Times New Roman" w:hAnsi="Times New Roman"/>
          <w:sz w:val="24"/>
          <w:szCs w:val="24"/>
        </w:rPr>
        <w:t xml:space="preserve">Ďalej sa navrhuje, aby sa ročné sadzby dane a úpravy ročnej sadzby dane uplatnili už na zdaňovacie obdobie roku 2020. Ministerstvo financií Slovenskej republiky na tento účel zverejní nový vzor daňového priznania, ktorý bude uverejnený na webovom sídle ministerstva. </w:t>
      </w:r>
    </w:p>
    <w:p w:rsidR="005F34E6" w:rsidRDefault="005F34E6" w:rsidP="005F34E6">
      <w:pPr>
        <w:spacing w:after="0" w:line="240" w:lineRule="auto"/>
        <w:jc w:val="both"/>
        <w:rPr>
          <w:rFonts w:ascii="Times New Roman" w:hAnsi="Times New Roman"/>
          <w:sz w:val="24"/>
          <w:szCs w:val="24"/>
        </w:rPr>
      </w:pPr>
    </w:p>
    <w:p w:rsidR="005F34E6" w:rsidRDefault="005F34E6" w:rsidP="005F34E6">
      <w:pPr>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nebol predmetom medzirezortného pripomienkového konania ani vnútrokomunitárneho pripomienkového konania. </w:t>
      </w:r>
      <w:r>
        <w:rPr>
          <w:rFonts w:ascii="Times New Roman" w:hAnsi="Times New Roman"/>
          <w:color w:val="000000"/>
          <w:sz w:val="24"/>
          <w:szCs w:val="24"/>
        </w:rPr>
        <w:t>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Tento súlad je spracovaný formou doložky zlučiteľnosti.</w:t>
      </w:r>
      <w:r>
        <w:rPr>
          <w:rFonts w:ascii="Times New Roman" w:hAnsi="Times New Roman"/>
          <w:sz w:val="24"/>
          <w:szCs w:val="24"/>
        </w:rPr>
        <w:t xml:space="preserve"> Návrh zákona má negatívny vplyv na rozpočet verejnej správy (viď analýza vplyvov na rozpočet verejnej správy) a pozitívny vplyv na podnikateľské prostredie. Návrh zákona nemá sociálne vplyvy, vplyvy na životné prostredie, vplyvy na manželstvo, rodičovstvo a rodinu, na informatizáciu spoločnosti, ani na služby verejnej správy pre občana. </w:t>
      </w:r>
    </w:p>
    <w:p w:rsidR="005F34E6" w:rsidRDefault="005F34E6" w:rsidP="005F34E6">
      <w:pPr>
        <w:spacing w:after="0" w:line="240" w:lineRule="auto"/>
        <w:ind w:firstLine="708"/>
        <w:jc w:val="both"/>
        <w:rPr>
          <w:rFonts w:ascii="Times New Roman" w:hAnsi="Times New Roman"/>
          <w:sz w:val="24"/>
          <w:szCs w:val="24"/>
        </w:rPr>
      </w:pPr>
    </w:p>
    <w:p w:rsidR="005F34E6" w:rsidRDefault="005F34E6" w:rsidP="005F34E6">
      <w:pPr>
        <w:spacing w:after="0" w:line="240" w:lineRule="auto"/>
        <w:ind w:firstLine="708"/>
        <w:jc w:val="both"/>
        <w:rPr>
          <w:rFonts w:ascii="Times New Roman" w:hAnsi="Times New Roman"/>
          <w:sz w:val="24"/>
          <w:szCs w:val="24"/>
        </w:rPr>
      </w:pPr>
      <w:r>
        <w:rPr>
          <w:rStyle w:val="Zstupntext"/>
          <w:color w:val="000000"/>
          <w:sz w:val="24"/>
          <w:szCs w:val="24"/>
        </w:rPr>
        <w:lastRenderedPageBreak/>
        <w:t xml:space="preserve">Navrhuje sa, aby zákon nadobudol účinnosť dňom vyhlásenia </w:t>
      </w:r>
      <w:r>
        <w:rPr>
          <w:rFonts w:ascii="Times New Roman" w:hAnsi="Times New Roman"/>
          <w:sz w:val="24"/>
          <w:szCs w:val="24"/>
        </w:rPr>
        <w:t>z dôvodu čo najskoršieho zlepšenia podmienok autodopravcov podnikajúcich v nákladnej doprave.</w:t>
      </w:r>
    </w:p>
    <w:p w:rsidR="005F34E6" w:rsidRDefault="005F34E6"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Pr="00734702" w:rsidRDefault="005F34E6" w:rsidP="001111E9">
      <w:pPr>
        <w:jc w:val="center"/>
        <w:rPr>
          <w:rFonts w:ascii="Times New Roman" w:hAnsi="Times New Roman"/>
          <w:b/>
          <w:bCs/>
          <w:sz w:val="24"/>
          <w:szCs w:val="24"/>
        </w:rPr>
      </w:pPr>
      <w:r w:rsidRPr="00734702">
        <w:rPr>
          <w:rFonts w:ascii="Times New Roman" w:hAnsi="Times New Roman"/>
          <w:b/>
          <w:bCs/>
          <w:sz w:val="24"/>
          <w:szCs w:val="24"/>
        </w:rPr>
        <w:t>Doložka vybraných vplyvov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5F34E6" w:rsidRPr="00734702" w:rsidTr="00B30BB0">
        <w:tc>
          <w:tcPr>
            <w:tcW w:w="9180"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ind w:left="426"/>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Základné údaje</w:t>
            </w:r>
          </w:p>
        </w:tc>
      </w:tr>
      <w:tr w:rsidR="005F34E6" w:rsidRPr="00734702" w:rsidTr="00B30BB0">
        <w:tc>
          <w:tcPr>
            <w:tcW w:w="9180" w:type="dxa"/>
            <w:gridSpan w:val="10"/>
            <w:tcBorders>
              <w:bottom w:val="single" w:sz="4" w:space="0" w:color="FFFFFF"/>
            </w:tcBorders>
            <w:shd w:val="clear" w:color="auto" w:fill="E2E2E2"/>
          </w:tcPr>
          <w:p w:rsidR="005F34E6" w:rsidRPr="00734702" w:rsidRDefault="005F34E6" w:rsidP="00B30BB0">
            <w:pPr>
              <w:pStyle w:val="Odsekzoznamu"/>
              <w:keepNext/>
              <w:keepLines/>
              <w:spacing w:before="60" w:after="60" w:line="240" w:lineRule="auto"/>
              <w:ind w:left="0"/>
              <w:contextualSpacing w:val="0"/>
              <w:jc w:val="both"/>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Názov materiálu</w:t>
            </w:r>
          </w:p>
        </w:tc>
      </w:tr>
      <w:tr w:rsidR="005F34E6" w:rsidRPr="00734702" w:rsidTr="00B30BB0">
        <w:tc>
          <w:tcPr>
            <w:tcW w:w="9180" w:type="dxa"/>
            <w:gridSpan w:val="10"/>
            <w:tcBorders>
              <w:top w:val="single" w:sz="4" w:space="0" w:color="FFFFFF"/>
            </w:tcBorders>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 xml:space="preserve">Návrh zákona, ktorým sa mení a dopĺňa zákon č. 361/2014 Z. z. o dani z motorových vozidiel a o zmene a doplnení niektorých zákonov v znení neskorších predpisov </w:t>
            </w:r>
          </w:p>
        </w:tc>
      </w:tr>
      <w:tr w:rsidR="005F34E6" w:rsidRPr="00734702" w:rsidTr="00B30BB0">
        <w:tc>
          <w:tcPr>
            <w:tcW w:w="9180" w:type="dxa"/>
            <w:gridSpan w:val="10"/>
            <w:tcBorders>
              <w:bottom w:val="single" w:sz="4" w:space="0" w:color="FFFFFF"/>
            </w:tcBorders>
            <w:shd w:val="clear" w:color="auto" w:fill="E2E2E2"/>
          </w:tcPr>
          <w:p w:rsidR="005F34E6" w:rsidRPr="00734702" w:rsidRDefault="005F34E6" w:rsidP="00B30BB0">
            <w:pPr>
              <w:keepNext/>
              <w:keepLines/>
              <w:spacing w:before="60" w:after="60"/>
              <w:jc w:val="both"/>
              <w:rPr>
                <w:rFonts w:ascii="Times New Roman" w:eastAsia="ヒラギノ角ゴ Pro W3" w:hAnsi="Times New Roman"/>
                <w:b/>
                <w:color w:val="000000"/>
                <w:sz w:val="24"/>
                <w:szCs w:val="24"/>
                <w:lang w:val="cs-CZ"/>
              </w:rPr>
            </w:pPr>
            <w:r w:rsidRPr="00734702">
              <w:rPr>
                <w:rFonts w:ascii="Times New Roman" w:eastAsia="ヒラギノ角ゴ Pro W3" w:hAnsi="Times New Roman"/>
                <w:b/>
                <w:color w:val="000000"/>
                <w:sz w:val="24"/>
                <w:szCs w:val="24"/>
                <w:lang w:val="cs-CZ"/>
              </w:rPr>
              <w:t>Predkladateľ (a spolupredkladateľ)</w:t>
            </w:r>
          </w:p>
        </w:tc>
      </w:tr>
      <w:tr w:rsidR="005F34E6" w:rsidRPr="00734702" w:rsidTr="00B30BB0">
        <w:tc>
          <w:tcPr>
            <w:tcW w:w="9180" w:type="dxa"/>
            <w:gridSpan w:val="10"/>
            <w:tcBorders>
              <w:top w:val="single" w:sz="4" w:space="0" w:color="FFFFFF"/>
            </w:tcBorders>
            <w:shd w:val="clear" w:color="auto" w:fill="FFFFFF"/>
          </w:tcPr>
          <w:p w:rsidR="005F34E6" w:rsidRPr="00734702" w:rsidRDefault="005F34E6" w:rsidP="00B30BB0">
            <w:pPr>
              <w:pStyle w:val="Normlny1"/>
              <w:keepNext w:v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0"/>
              <w:ind w:left="720" w:hanging="720"/>
              <w:rPr>
                <w:lang w:val="sk-SK"/>
              </w:rPr>
            </w:pPr>
            <w:r w:rsidRPr="00734702">
              <w:rPr>
                <w:lang w:val="sk-SK"/>
              </w:rPr>
              <w:t>Ministerstvo financií Slovenskej republiky</w:t>
            </w:r>
          </w:p>
        </w:tc>
      </w:tr>
      <w:tr w:rsidR="005F34E6" w:rsidRPr="00734702" w:rsidTr="00B30BB0">
        <w:tc>
          <w:tcPr>
            <w:tcW w:w="4212" w:type="dxa"/>
            <w:gridSpan w:val="2"/>
            <w:vMerge w:val="restart"/>
            <w:tcBorders>
              <w:bottom w:val="single" w:sz="4" w:space="0" w:color="FFFFFF"/>
            </w:tcBorders>
            <w:shd w:val="clear" w:color="auto" w:fill="E2E2E2"/>
            <w:vAlign w:val="center"/>
          </w:tcPr>
          <w:p w:rsidR="005F34E6" w:rsidRPr="00734702" w:rsidRDefault="005F34E6" w:rsidP="00B30BB0">
            <w:pPr>
              <w:pStyle w:val="Odsekzoznamu"/>
              <w:keepNext/>
              <w:keepLines/>
              <w:spacing w:before="60" w:after="60" w:line="240" w:lineRule="auto"/>
              <w:ind w:left="142"/>
              <w:contextualSpacing w:val="0"/>
              <w:jc w:val="both"/>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Charakter predkladaného materiálu</w:t>
            </w:r>
          </w:p>
        </w:tc>
        <w:tc>
          <w:tcPr>
            <w:tcW w:w="705" w:type="dxa"/>
            <w:gridSpan w:val="2"/>
            <w:tcBorders>
              <w:right w:val="nil"/>
            </w:tcBorders>
            <w:shd w:val="clear" w:color="auto" w:fill="FFFFFF"/>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sz w:val="24"/>
                <w:szCs w:val="24"/>
              </w:rPr>
              <w:t>☐</w:t>
            </w:r>
          </w:p>
        </w:tc>
        <w:tc>
          <w:tcPr>
            <w:tcW w:w="4263" w:type="dxa"/>
            <w:gridSpan w:val="6"/>
            <w:tcBorders>
              <w:left w:val="nil"/>
            </w:tcBorders>
            <w:shd w:val="clear" w:color="auto" w:fill="FFFFFF"/>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Materiál nelegislatívnej povahy</w:t>
            </w:r>
          </w:p>
        </w:tc>
      </w:tr>
      <w:tr w:rsidR="005F34E6" w:rsidRPr="00734702" w:rsidTr="00B30BB0">
        <w:tc>
          <w:tcPr>
            <w:tcW w:w="4212" w:type="dxa"/>
            <w:gridSpan w:val="2"/>
            <w:vMerge/>
            <w:tcBorders>
              <w:top w:val="nil"/>
              <w:bottom w:val="single" w:sz="4" w:space="0" w:color="FFFFFF"/>
            </w:tcBorders>
            <w:shd w:val="clear" w:color="auto" w:fill="E2E2E2"/>
          </w:tcPr>
          <w:p w:rsidR="005F34E6" w:rsidRPr="00734702" w:rsidRDefault="005F34E6" w:rsidP="00B30BB0">
            <w:pPr>
              <w:rPr>
                <w:rFonts w:ascii="Times New Roman" w:hAnsi="Times New Roman"/>
                <w:sz w:val="24"/>
                <w:szCs w:val="24"/>
              </w:rPr>
            </w:pPr>
          </w:p>
        </w:tc>
        <w:tc>
          <w:tcPr>
            <w:tcW w:w="705" w:type="dxa"/>
            <w:gridSpan w:val="2"/>
            <w:tcBorders>
              <w:right w:val="nil"/>
            </w:tcBorders>
            <w:shd w:val="clear" w:color="auto" w:fill="FFFFFF"/>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sz w:val="24"/>
                <w:szCs w:val="24"/>
              </w:rPr>
              <w:t>☒</w:t>
            </w:r>
          </w:p>
        </w:tc>
        <w:tc>
          <w:tcPr>
            <w:tcW w:w="4263" w:type="dxa"/>
            <w:gridSpan w:val="6"/>
            <w:tcBorders>
              <w:left w:val="nil"/>
            </w:tcBorders>
            <w:shd w:val="clear" w:color="auto" w:fill="FFFFFF"/>
          </w:tcPr>
          <w:p w:rsidR="005F34E6" w:rsidRPr="00734702" w:rsidRDefault="005F34E6" w:rsidP="00B30BB0">
            <w:pPr>
              <w:ind w:left="175" w:hanging="175"/>
              <w:rPr>
                <w:rFonts w:ascii="Times New Roman" w:hAnsi="Times New Roman"/>
                <w:sz w:val="24"/>
                <w:szCs w:val="24"/>
              </w:rPr>
            </w:pPr>
            <w:r w:rsidRPr="00734702">
              <w:rPr>
                <w:rFonts w:ascii="Times New Roman" w:hAnsi="Times New Roman"/>
                <w:sz w:val="24"/>
                <w:szCs w:val="24"/>
              </w:rPr>
              <w:t>Materiál legislatívnej povahy</w:t>
            </w:r>
          </w:p>
        </w:tc>
      </w:tr>
      <w:tr w:rsidR="005F34E6" w:rsidRPr="00734702" w:rsidTr="00B30BB0">
        <w:tc>
          <w:tcPr>
            <w:tcW w:w="4212" w:type="dxa"/>
            <w:gridSpan w:val="2"/>
            <w:vMerge/>
            <w:tcBorders>
              <w:top w:val="nil"/>
            </w:tcBorders>
            <w:shd w:val="clear" w:color="auto" w:fill="E2E2E2"/>
          </w:tcPr>
          <w:p w:rsidR="005F34E6" w:rsidRPr="00734702" w:rsidRDefault="005F34E6" w:rsidP="00B30BB0">
            <w:pPr>
              <w:rPr>
                <w:rFonts w:ascii="Times New Roman" w:hAnsi="Times New Roman"/>
                <w:sz w:val="24"/>
                <w:szCs w:val="24"/>
              </w:rPr>
            </w:pPr>
          </w:p>
        </w:tc>
        <w:tc>
          <w:tcPr>
            <w:tcW w:w="705" w:type="dxa"/>
            <w:gridSpan w:val="2"/>
            <w:tcBorders>
              <w:right w:val="nil"/>
            </w:tcBorders>
            <w:shd w:val="clear" w:color="auto" w:fill="FFFFFF"/>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sz w:val="24"/>
                <w:szCs w:val="24"/>
              </w:rPr>
              <w:t>☐</w:t>
            </w:r>
          </w:p>
        </w:tc>
        <w:tc>
          <w:tcPr>
            <w:tcW w:w="4263" w:type="dxa"/>
            <w:gridSpan w:val="6"/>
            <w:tcBorders>
              <w:left w:val="nil"/>
            </w:tcBorders>
            <w:shd w:val="clear" w:color="auto" w:fill="FFFFFF"/>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Transpozícia práva EÚ</w:t>
            </w:r>
          </w:p>
        </w:tc>
      </w:tr>
      <w:tr w:rsidR="005F34E6" w:rsidRPr="00734702" w:rsidTr="00B30BB0">
        <w:tc>
          <w:tcPr>
            <w:tcW w:w="9180" w:type="dxa"/>
            <w:gridSpan w:val="10"/>
            <w:tcBorders>
              <w:bottom w:val="single" w:sz="4" w:space="0" w:color="FFFFFF"/>
            </w:tcBorders>
            <w:shd w:val="clear" w:color="auto" w:fill="FFFFFF"/>
          </w:tcPr>
          <w:p w:rsidR="005F34E6" w:rsidRPr="00734702" w:rsidRDefault="005F34E6" w:rsidP="00B30BB0">
            <w:pPr>
              <w:rPr>
                <w:rFonts w:ascii="Times New Roman" w:hAnsi="Times New Roman"/>
                <w:sz w:val="24"/>
                <w:szCs w:val="24"/>
              </w:rPr>
            </w:pPr>
            <w:r w:rsidRPr="00734702">
              <w:rPr>
                <w:rFonts w:ascii="Times New Roman" w:hAnsi="Times New Roman"/>
                <w:i/>
                <w:sz w:val="24"/>
                <w:szCs w:val="24"/>
              </w:rPr>
              <w:t>V prípade transpozície uveďte zoznam transponovaných predpisov:</w:t>
            </w:r>
          </w:p>
        </w:tc>
      </w:tr>
      <w:tr w:rsidR="005F34E6" w:rsidRPr="00734702" w:rsidTr="00B30BB0">
        <w:tc>
          <w:tcPr>
            <w:tcW w:w="5634" w:type="dxa"/>
            <w:gridSpan w:val="5"/>
            <w:tcBorders>
              <w:top w:val="single" w:sz="4" w:space="0" w:color="000000"/>
              <w:bottom w:val="single" w:sz="4" w:space="0" w:color="FFFFFF"/>
            </w:tcBorders>
            <w:shd w:val="clear" w:color="auto" w:fill="E2E2E2"/>
          </w:tcPr>
          <w:p w:rsidR="005F34E6" w:rsidRPr="00734702" w:rsidRDefault="005F34E6" w:rsidP="00B30BB0">
            <w:pPr>
              <w:keepNext/>
              <w:keepLines/>
              <w:spacing w:before="60" w:after="60"/>
              <w:jc w:val="both"/>
              <w:rPr>
                <w:rFonts w:ascii="Times New Roman" w:eastAsia="ヒラギノ角ゴ Pro W3" w:hAnsi="Times New Roman"/>
                <w:b/>
                <w:color w:val="000000"/>
                <w:sz w:val="24"/>
                <w:szCs w:val="24"/>
                <w:lang w:val="cs-CZ"/>
              </w:rPr>
            </w:pPr>
            <w:r w:rsidRPr="00734702">
              <w:rPr>
                <w:rFonts w:ascii="Times New Roman" w:eastAsia="ヒラギノ角ゴ Pro W3" w:hAnsi="Times New Roman"/>
                <w:b/>
                <w:color w:val="000000"/>
                <w:sz w:val="24"/>
                <w:szCs w:val="24"/>
                <w:lang w:val="cs-CZ"/>
              </w:rPr>
              <w:t>Termín začiatku a ukončenia PPK</w:t>
            </w:r>
          </w:p>
        </w:tc>
        <w:tc>
          <w:tcPr>
            <w:tcW w:w="3546" w:type="dxa"/>
            <w:gridSpan w:val="5"/>
            <w:tcBorders>
              <w:top w:val="single" w:sz="4" w:space="0" w:color="000000"/>
            </w:tcBorders>
          </w:tcPr>
          <w:p w:rsidR="005F34E6" w:rsidRPr="00734702" w:rsidRDefault="005F34E6" w:rsidP="00B30BB0">
            <w:pPr>
              <w:rPr>
                <w:rFonts w:ascii="Times New Roman" w:hAnsi="Times New Roman"/>
                <w:i/>
                <w:sz w:val="24"/>
                <w:szCs w:val="24"/>
              </w:rPr>
            </w:pPr>
          </w:p>
        </w:tc>
      </w:tr>
      <w:tr w:rsidR="005F34E6" w:rsidRPr="00734702" w:rsidTr="00B30BB0">
        <w:tc>
          <w:tcPr>
            <w:tcW w:w="5634" w:type="dxa"/>
            <w:gridSpan w:val="5"/>
            <w:tcBorders>
              <w:bottom w:val="single" w:sz="4" w:space="0" w:color="FFFFFF"/>
            </w:tcBorders>
            <w:shd w:val="clear" w:color="auto" w:fill="E2E2E2"/>
          </w:tcPr>
          <w:p w:rsidR="005F34E6" w:rsidRPr="00734702" w:rsidRDefault="005F34E6" w:rsidP="00B30BB0">
            <w:pPr>
              <w:pStyle w:val="Odsekzoznamu"/>
              <w:keepNext/>
              <w:keepLines/>
              <w:spacing w:before="60" w:after="60" w:line="240" w:lineRule="auto"/>
              <w:ind w:left="142"/>
              <w:contextualSpacing w:val="0"/>
              <w:jc w:val="both"/>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Predpokladaný termín predloženia na MPK*</w:t>
            </w:r>
          </w:p>
        </w:tc>
        <w:tc>
          <w:tcPr>
            <w:tcW w:w="3546" w:type="dxa"/>
            <w:gridSpan w:val="5"/>
          </w:tcPr>
          <w:p w:rsidR="005F34E6" w:rsidRPr="00734702" w:rsidRDefault="005F34E6" w:rsidP="00B30BB0">
            <w:pPr>
              <w:rPr>
                <w:rFonts w:ascii="Times New Roman" w:hAnsi="Times New Roman"/>
                <w:i/>
                <w:sz w:val="24"/>
                <w:szCs w:val="24"/>
              </w:rPr>
            </w:pPr>
          </w:p>
        </w:tc>
      </w:tr>
      <w:tr w:rsidR="005F34E6" w:rsidRPr="00734702" w:rsidTr="00B30BB0">
        <w:tc>
          <w:tcPr>
            <w:tcW w:w="5634" w:type="dxa"/>
            <w:gridSpan w:val="5"/>
            <w:tcBorders>
              <w:bottom w:val="single" w:sz="4" w:space="0" w:color="FFFFFF"/>
            </w:tcBorders>
            <w:shd w:val="clear" w:color="auto" w:fill="E2E2E2"/>
          </w:tcPr>
          <w:p w:rsidR="005F34E6" w:rsidRPr="00734702" w:rsidRDefault="005F34E6" w:rsidP="00B30BB0">
            <w:pPr>
              <w:pStyle w:val="Odsekzoznamu"/>
              <w:keepNext/>
              <w:keepLines/>
              <w:spacing w:before="60" w:after="60" w:line="240" w:lineRule="auto"/>
              <w:ind w:left="142"/>
              <w:contextualSpacing w:val="0"/>
              <w:jc w:val="both"/>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Predpokladaný termín predloženia na Rokovanie vlády SR*</w:t>
            </w:r>
          </w:p>
        </w:tc>
        <w:tc>
          <w:tcPr>
            <w:tcW w:w="3546" w:type="dxa"/>
            <w:gridSpan w:val="5"/>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Október 2020</w:t>
            </w:r>
          </w:p>
        </w:tc>
      </w:tr>
      <w:tr w:rsidR="005F34E6" w:rsidRPr="00734702" w:rsidTr="00B30BB0">
        <w:tc>
          <w:tcPr>
            <w:tcW w:w="9180" w:type="dxa"/>
            <w:gridSpan w:val="10"/>
            <w:tcBorders>
              <w:left w:val="nil"/>
              <w:right w:val="nil"/>
            </w:tcBorders>
            <w:shd w:val="clear" w:color="auto" w:fill="FFFFFF"/>
          </w:tcPr>
          <w:p w:rsidR="005F34E6" w:rsidRPr="00734702" w:rsidRDefault="005F34E6" w:rsidP="00B30BB0">
            <w:pPr>
              <w:rPr>
                <w:rFonts w:ascii="Times New Roman" w:hAnsi="Times New Roman"/>
                <w:sz w:val="24"/>
                <w:szCs w:val="24"/>
              </w:rPr>
            </w:pPr>
          </w:p>
        </w:tc>
      </w:tr>
      <w:tr w:rsidR="005F34E6" w:rsidRPr="00734702" w:rsidTr="00B30BB0">
        <w:tc>
          <w:tcPr>
            <w:tcW w:w="9180"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Definícia problému</w:t>
            </w:r>
          </w:p>
        </w:tc>
      </w:tr>
      <w:tr w:rsidR="005F34E6" w:rsidRPr="00734702" w:rsidTr="00B30BB0">
        <w:trPr>
          <w:trHeight w:val="549"/>
        </w:trPr>
        <w:tc>
          <w:tcPr>
            <w:tcW w:w="9180" w:type="dxa"/>
            <w:gridSpan w:val="10"/>
            <w:tcBorders>
              <w:top w:val="single" w:sz="4" w:space="0" w:color="FFFFFF"/>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základné problémy, na ktoré navrhovaná regulácia reaguje</w:t>
            </w:r>
          </w:p>
          <w:p w:rsidR="005F34E6" w:rsidRPr="00734702" w:rsidRDefault="005F34E6" w:rsidP="00B30BB0">
            <w:pPr>
              <w:jc w:val="both"/>
              <w:rPr>
                <w:rFonts w:ascii="Times New Roman" w:hAnsi="Times New Roman"/>
                <w:color w:val="000000" w:themeColor="text1"/>
                <w:sz w:val="24"/>
                <w:szCs w:val="24"/>
              </w:rPr>
            </w:pPr>
            <w:r w:rsidRPr="00734702">
              <w:rPr>
                <w:rFonts w:ascii="Times New Roman" w:hAnsi="Times New Roman"/>
                <w:sz w:val="24"/>
                <w:szCs w:val="24"/>
              </w:rPr>
              <w:t xml:space="preserve">Návrh zákona  </w:t>
            </w:r>
            <w:r w:rsidRPr="00734702">
              <w:rPr>
                <w:rFonts w:ascii="Times New Roman" w:hAnsi="Times New Roman"/>
                <w:color w:val="000000"/>
                <w:sz w:val="24"/>
                <w:szCs w:val="24"/>
              </w:rPr>
              <w:t>sa vypracováva nadväzne na požiadavku na</w:t>
            </w:r>
            <w:r w:rsidRPr="00734702">
              <w:rPr>
                <w:rFonts w:ascii="Times New Roman" w:hAnsi="Times New Roman"/>
                <w:color w:val="000000" w:themeColor="text1"/>
                <w:sz w:val="24"/>
                <w:szCs w:val="24"/>
              </w:rPr>
              <w:t xml:space="preserve"> zlepšenie podnikateľského prostredia pre autodopravcov prevádzkujúcich kamiónovú a autobusovú dopravu a to odstránením „párovania“ vozidiel návesovej jazdnej súpravy a zavedením nových nižších ročných sadzieb daní. Súčasne sa navrhuje zaviesť výhodnejšiu percentuálnu úpravu ročnej sadzby dane pre úžitkové vozidlá kategórieM2, M3a N3 (zníženie v rozsahu od 50% do 10%) počas 156 kalendárnych mesiacov veku vozidla. Zákonom sa súčasne navrhuje zaviesť rovnaké zníženie pre vozidlá kategórie O4 bez ohľadu na vek vozidla a to 60%.</w:t>
            </w:r>
          </w:p>
        </w:tc>
      </w:tr>
      <w:tr w:rsidR="005F34E6" w:rsidRPr="00734702" w:rsidTr="00B30BB0">
        <w:tc>
          <w:tcPr>
            <w:tcW w:w="9180" w:type="dxa"/>
            <w:gridSpan w:val="10"/>
            <w:tcBorders>
              <w:bottom w:val="nil"/>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Ciele a výsledný stav</w:t>
            </w:r>
          </w:p>
        </w:tc>
      </w:tr>
      <w:tr w:rsidR="005F34E6" w:rsidRPr="00734702" w:rsidTr="00B30BB0">
        <w:trPr>
          <w:trHeight w:val="741"/>
        </w:trPr>
        <w:tc>
          <w:tcPr>
            <w:tcW w:w="9180" w:type="dxa"/>
            <w:gridSpan w:val="10"/>
            <w:tcBorders>
              <w:top w:val="nil"/>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hlavné ciele navrhovaného predpisu (aký výsledný stav chcete reguláciou dosiahnuť).</w:t>
            </w:r>
          </w:p>
          <w:p w:rsidR="005F34E6" w:rsidRPr="00734702" w:rsidRDefault="005F34E6" w:rsidP="00B30BB0">
            <w:pPr>
              <w:jc w:val="both"/>
              <w:rPr>
                <w:rFonts w:ascii="Times New Roman" w:hAnsi="Times New Roman"/>
                <w:sz w:val="24"/>
                <w:szCs w:val="24"/>
              </w:rPr>
            </w:pPr>
            <w:r w:rsidRPr="00734702">
              <w:rPr>
                <w:rFonts w:ascii="Times New Roman" w:hAnsi="Times New Roman"/>
                <w:color w:val="000000" w:themeColor="text1"/>
                <w:sz w:val="24"/>
                <w:szCs w:val="24"/>
              </w:rPr>
              <w:t>Cieľom predloženého návrhu zákona je upraviť časť zákona, ktorá zodpovedá definovanému problému.</w:t>
            </w:r>
          </w:p>
        </w:tc>
      </w:tr>
      <w:tr w:rsidR="005F34E6" w:rsidRPr="00734702" w:rsidTr="00B30BB0">
        <w:tc>
          <w:tcPr>
            <w:tcW w:w="9180" w:type="dxa"/>
            <w:gridSpan w:val="10"/>
            <w:tcBorders>
              <w:bottom w:val="nil"/>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lastRenderedPageBreak/>
              <w:t>Dotknuté subjekty</w:t>
            </w:r>
          </w:p>
        </w:tc>
      </w:tr>
      <w:tr w:rsidR="005F34E6" w:rsidRPr="00734702" w:rsidTr="00B30BB0">
        <w:tc>
          <w:tcPr>
            <w:tcW w:w="9180" w:type="dxa"/>
            <w:gridSpan w:val="10"/>
            <w:tcBorders>
              <w:top w:val="nil"/>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subjekty, ktorých sa zmeny návrhu dotknú priamo aj nepriamo:</w:t>
            </w:r>
          </w:p>
          <w:p w:rsidR="005F34E6" w:rsidRPr="00734702" w:rsidRDefault="005F34E6" w:rsidP="00B30BB0">
            <w:pPr>
              <w:rPr>
                <w:rFonts w:ascii="Times New Roman" w:hAnsi="Times New Roman"/>
                <w:sz w:val="24"/>
                <w:szCs w:val="24"/>
              </w:rPr>
            </w:pPr>
            <w:r w:rsidRPr="00734702">
              <w:rPr>
                <w:rFonts w:ascii="Times New Roman" w:hAnsi="Times New Roman"/>
                <w:sz w:val="24"/>
                <w:szCs w:val="24"/>
              </w:rPr>
              <w:t xml:space="preserve">Podnikatelia, fyzické osoby a právnické osoby, ktorí používajú vozidlá na podnikanie . </w:t>
            </w:r>
          </w:p>
        </w:tc>
      </w:tr>
      <w:tr w:rsidR="005F34E6" w:rsidRPr="00734702" w:rsidTr="00B30BB0">
        <w:tc>
          <w:tcPr>
            <w:tcW w:w="9180" w:type="dxa"/>
            <w:gridSpan w:val="10"/>
            <w:tcBorders>
              <w:bottom w:val="nil"/>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Alternatívne riešenia</w:t>
            </w:r>
          </w:p>
        </w:tc>
      </w:tr>
      <w:tr w:rsidR="005F34E6" w:rsidRPr="00734702" w:rsidTr="00B30BB0">
        <w:trPr>
          <w:trHeight w:val="709"/>
        </w:trPr>
        <w:tc>
          <w:tcPr>
            <w:tcW w:w="9180" w:type="dxa"/>
            <w:gridSpan w:val="10"/>
            <w:tcBorders>
              <w:top w:val="nil"/>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 xml:space="preserve">Aké alternatívne riešenia boli posudzované? </w:t>
            </w:r>
          </w:p>
          <w:p w:rsidR="005F34E6" w:rsidRPr="00734702" w:rsidRDefault="005F34E6" w:rsidP="00B30BB0">
            <w:pPr>
              <w:rPr>
                <w:rFonts w:ascii="Times New Roman" w:hAnsi="Times New Roman"/>
                <w:sz w:val="24"/>
                <w:szCs w:val="24"/>
              </w:rPr>
            </w:pPr>
            <w:r w:rsidRPr="00734702">
              <w:rPr>
                <w:rFonts w:ascii="Times New Roman" w:hAnsi="Times New Roman"/>
                <w:sz w:val="24"/>
                <w:szCs w:val="24"/>
              </w:rPr>
              <w:t>Návrhy zástupcov autodopravcov.</w:t>
            </w:r>
          </w:p>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 xml:space="preserve">Uveďte, aké alternatívne spôsoby na odstránenie definovaného problému boli identifikované a posudzované. </w:t>
            </w:r>
          </w:p>
          <w:p w:rsidR="005F34E6" w:rsidRPr="00734702" w:rsidRDefault="005F34E6" w:rsidP="00B30BB0">
            <w:pPr>
              <w:rPr>
                <w:rFonts w:ascii="Times New Roman" w:hAnsi="Times New Roman"/>
                <w:sz w:val="24"/>
                <w:szCs w:val="24"/>
              </w:rPr>
            </w:pPr>
            <w:r w:rsidRPr="00734702">
              <w:rPr>
                <w:rFonts w:ascii="Times New Roman" w:hAnsi="Times New Roman"/>
                <w:sz w:val="24"/>
                <w:szCs w:val="24"/>
              </w:rPr>
              <w:t>1. Úprava spôsobu stanovenia sadzieb priamo v zákone so štartovacou líniou blízkou sadzbám v Smernici EÚ 1999/62/ES bez uplatňovania zliav podľa veku a </w:t>
            </w:r>
            <w:r w:rsidRPr="00734702">
              <w:rPr>
                <w:rFonts w:ascii="Times New Roman" w:hAnsi="Times New Roman"/>
                <w:i/>
                <w:sz w:val="24"/>
                <w:szCs w:val="24"/>
              </w:rPr>
              <w:t>vice versa</w:t>
            </w:r>
            <w:r w:rsidRPr="00734702">
              <w:rPr>
                <w:rFonts w:ascii="Times New Roman" w:hAnsi="Times New Roman"/>
                <w:sz w:val="24"/>
                <w:szCs w:val="24"/>
              </w:rPr>
              <w:t xml:space="preserve"> uplatnenie zvýšenia sadzieb z titulu rastúceho veku vozidla.</w:t>
            </w:r>
          </w:p>
          <w:p w:rsidR="005F34E6" w:rsidRPr="00734702" w:rsidRDefault="005F34E6" w:rsidP="00B30BB0">
            <w:pPr>
              <w:rPr>
                <w:rFonts w:ascii="Times New Roman" w:hAnsi="Times New Roman"/>
                <w:sz w:val="24"/>
                <w:szCs w:val="24"/>
              </w:rPr>
            </w:pPr>
            <w:r w:rsidRPr="00734702">
              <w:rPr>
                <w:rFonts w:ascii="Times New Roman" w:hAnsi="Times New Roman"/>
                <w:sz w:val="24"/>
                <w:szCs w:val="24"/>
              </w:rPr>
              <w:t>2. Úprava spôsobu stanovenia sadzieb tak, aby sa zľavy nevzťahovali na vek vozidla, ale na EURO normu pohonnej jednotky konkrétneho vozidla.</w:t>
            </w:r>
          </w:p>
          <w:p w:rsidR="005F34E6" w:rsidRPr="00734702" w:rsidRDefault="005F34E6" w:rsidP="00B30BB0">
            <w:pPr>
              <w:rPr>
                <w:rFonts w:ascii="Times New Roman" w:hAnsi="Times New Roman"/>
                <w:i/>
                <w:sz w:val="24"/>
                <w:szCs w:val="24"/>
              </w:rPr>
            </w:pPr>
            <w:r w:rsidRPr="00734702">
              <w:rPr>
                <w:rFonts w:ascii="Times New Roman" w:hAnsi="Times New Roman"/>
                <w:sz w:val="24"/>
                <w:szCs w:val="24"/>
              </w:rPr>
              <w:t>V oboch prípadoch majú návrhy výrazne negatívny vplyv na verejné financie, preto sa ďalej pokračuje v kompromisnom návrhu.</w:t>
            </w:r>
          </w:p>
        </w:tc>
      </w:tr>
      <w:tr w:rsidR="005F34E6" w:rsidRPr="00734702" w:rsidTr="00B30BB0">
        <w:tc>
          <w:tcPr>
            <w:tcW w:w="9180"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Vykonávacie predpisy</w:t>
            </w:r>
          </w:p>
        </w:tc>
      </w:tr>
      <w:tr w:rsidR="005F34E6" w:rsidRPr="00734702" w:rsidTr="00B30BB0">
        <w:tc>
          <w:tcPr>
            <w:tcW w:w="6203" w:type="dxa"/>
            <w:gridSpan w:val="6"/>
            <w:tcBorders>
              <w:top w:val="single" w:sz="4" w:space="0" w:color="FFFFFF"/>
              <w:bottom w:val="nil"/>
              <w:right w:val="nil"/>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sz w:val="24"/>
                <w:szCs w:val="24"/>
              </w:rPr>
              <w:t>☐</w:t>
            </w:r>
            <w:r w:rsidRPr="00734702">
              <w:rPr>
                <w:rFonts w:ascii="Times New Roman" w:hAnsi="Times New Roman"/>
                <w:sz w:val="24"/>
                <w:szCs w:val="24"/>
              </w:rPr>
              <w:t xml:space="preserve">  Áno</w:t>
            </w:r>
          </w:p>
        </w:tc>
        <w:tc>
          <w:tcPr>
            <w:tcW w:w="1560" w:type="dxa"/>
            <w:gridSpan w:val="2"/>
            <w:tcBorders>
              <w:top w:val="single" w:sz="4" w:space="0" w:color="FFFFFF"/>
              <w:left w:val="nil"/>
              <w:bottom w:val="nil"/>
            </w:tcBorders>
            <w:shd w:val="clear" w:color="auto" w:fill="FFFFFF"/>
          </w:tcPr>
          <w:p w:rsidR="005F34E6" w:rsidRPr="00734702" w:rsidRDefault="005F34E6" w:rsidP="00B30BB0">
            <w:pPr>
              <w:jc w:val="center"/>
              <w:rPr>
                <w:rFonts w:ascii="Times New Roman" w:hAnsi="Times New Roman"/>
                <w:sz w:val="24"/>
                <w:szCs w:val="24"/>
              </w:rPr>
            </w:pPr>
            <w:r w:rsidRPr="00734702">
              <w:rPr>
                <w:rFonts w:ascii="Times New Roman" w:eastAsia="MS Mincho" w:hAnsi="Times New Roman"/>
                <w:b/>
                <w:sz w:val="24"/>
                <w:szCs w:val="24"/>
              </w:rPr>
              <w:t>x</w:t>
            </w:r>
            <w:r w:rsidRPr="00734702">
              <w:rPr>
                <w:rFonts w:ascii="Times New Roman" w:hAnsi="Times New Roman"/>
                <w:sz w:val="24"/>
                <w:szCs w:val="24"/>
              </w:rPr>
              <w:t xml:space="preserve">  Nie</w:t>
            </w:r>
          </w:p>
        </w:tc>
      </w:tr>
      <w:tr w:rsidR="005F34E6" w:rsidRPr="00734702" w:rsidTr="00B30BB0">
        <w:tc>
          <w:tcPr>
            <w:tcW w:w="9180" w:type="dxa"/>
            <w:gridSpan w:val="10"/>
            <w:tcBorders>
              <w:top w:val="nil"/>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Ak áno, uveďte ktoré oblasti budú nimi upravené, resp. ktorých vykonávacích predpisov sa zmena dotkne:</w:t>
            </w:r>
          </w:p>
        </w:tc>
      </w:tr>
      <w:tr w:rsidR="005F34E6" w:rsidRPr="00734702" w:rsidTr="00B30BB0">
        <w:tc>
          <w:tcPr>
            <w:tcW w:w="9180"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 xml:space="preserve">Transpozícia práva EÚ </w:t>
            </w:r>
          </w:p>
        </w:tc>
      </w:tr>
      <w:tr w:rsidR="005F34E6" w:rsidRPr="00734702" w:rsidTr="00B30BB0">
        <w:trPr>
          <w:trHeight w:val="157"/>
        </w:trPr>
        <w:tc>
          <w:tcPr>
            <w:tcW w:w="9180" w:type="dxa"/>
            <w:gridSpan w:val="10"/>
            <w:tcBorders>
              <w:top w:val="nil"/>
              <w:left w:val="single" w:sz="4" w:space="0" w:color="000000"/>
              <w:bottom w:val="nil"/>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v ktorých ustanoveniach ide národná právna úprava nad rámec minimálnych požiadaviek EÚ spolu s odôvodnením.</w:t>
            </w:r>
          </w:p>
        </w:tc>
      </w:tr>
      <w:tr w:rsidR="005F34E6" w:rsidRPr="00734702" w:rsidTr="00B30BB0">
        <w:trPr>
          <w:trHeight w:val="80"/>
        </w:trPr>
        <w:tc>
          <w:tcPr>
            <w:tcW w:w="9180" w:type="dxa"/>
            <w:gridSpan w:val="10"/>
            <w:tcBorders>
              <w:top w:val="nil"/>
              <w:left w:val="single" w:sz="4" w:space="0" w:color="000000"/>
              <w:bottom w:val="single" w:sz="4" w:space="0" w:color="000000"/>
              <w:right w:val="single" w:sz="4" w:space="0" w:color="000000"/>
            </w:tcBorders>
            <w:shd w:val="clear" w:color="auto" w:fill="FFFFFF"/>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Sadzby dane z motorových vozidiel sú stanovené nad minimálnymi sadzbami dane upravenými v Smernici EÚ 1999/62/ES (Eurovignette smernica).</w:t>
            </w:r>
          </w:p>
        </w:tc>
      </w:tr>
      <w:tr w:rsidR="005F34E6" w:rsidRPr="00734702" w:rsidTr="00B30BB0">
        <w:tc>
          <w:tcPr>
            <w:tcW w:w="9180"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Preskúmanie účelnosti**</w:t>
            </w:r>
          </w:p>
        </w:tc>
      </w:tr>
      <w:tr w:rsidR="005F34E6" w:rsidRPr="00734702" w:rsidTr="00B30BB0">
        <w:tc>
          <w:tcPr>
            <w:tcW w:w="9180" w:type="dxa"/>
            <w:gridSpan w:val="10"/>
            <w:tcBorders>
              <w:top w:val="single" w:sz="4" w:space="0" w:color="FFFFFF"/>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termín, kedy by malo dôjsť k preskúmaniu účinnosti a účelnosti navrhovaného predpisu.</w:t>
            </w:r>
          </w:p>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kritériá, na základe ktorých bude preskúmanie vykonané.</w:t>
            </w:r>
          </w:p>
        </w:tc>
      </w:tr>
      <w:tr w:rsidR="005F34E6" w:rsidRPr="001111E9" w:rsidTr="00B30BB0">
        <w:trPr>
          <w:trHeight w:val="715"/>
        </w:trPr>
        <w:tc>
          <w:tcPr>
            <w:tcW w:w="9180" w:type="dxa"/>
            <w:gridSpan w:val="10"/>
            <w:tcBorders>
              <w:left w:val="nil"/>
              <w:bottom w:val="nil"/>
              <w:right w:val="nil"/>
            </w:tcBorders>
            <w:shd w:val="clear" w:color="auto" w:fill="FFFFFF"/>
          </w:tcPr>
          <w:p w:rsidR="00734702" w:rsidRPr="001111E9" w:rsidRDefault="005F34E6" w:rsidP="001111E9">
            <w:pPr>
              <w:spacing w:after="0" w:line="240" w:lineRule="auto"/>
              <w:rPr>
                <w:rFonts w:ascii="Times New Roman" w:hAnsi="Times New Roman"/>
                <w:sz w:val="16"/>
                <w:szCs w:val="16"/>
              </w:rPr>
            </w:pPr>
            <w:r w:rsidRPr="001111E9">
              <w:rPr>
                <w:rFonts w:ascii="Times New Roman" w:hAnsi="Times New Roman"/>
                <w:sz w:val="16"/>
                <w:szCs w:val="16"/>
              </w:rPr>
              <w:t xml:space="preserve">* vyplniť iba v prípade, ak materiál nie je zahrnutý do Plánu práce vlády Slovenskej republiky alebo Plánu legislatívnych úloh vlády Slovenskej republiky. </w:t>
            </w:r>
          </w:p>
          <w:p w:rsidR="005F34E6" w:rsidRPr="001111E9" w:rsidRDefault="005F34E6" w:rsidP="001111E9">
            <w:pPr>
              <w:spacing w:after="0" w:line="240" w:lineRule="auto"/>
              <w:rPr>
                <w:rFonts w:ascii="Times New Roman" w:hAnsi="Times New Roman"/>
                <w:sz w:val="16"/>
                <w:szCs w:val="16"/>
              </w:rPr>
            </w:pPr>
            <w:r w:rsidRPr="001111E9">
              <w:rPr>
                <w:rFonts w:ascii="Times New Roman" w:hAnsi="Times New Roman"/>
                <w:sz w:val="16"/>
                <w:szCs w:val="16"/>
              </w:rPr>
              <w:t>** nepovinné</w:t>
            </w:r>
          </w:p>
        </w:tc>
      </w:tr>
      <w:tr w:rsidR="005F34E6" w:rsidRPr="00734702" w:rsidTr="001111E9">
        <w:trPr>
          <w:trHeight w:val="80"/>
        </w:trPr>
        <w:tc>
          <w:tcPr>
            <w:tcW w:w="9180" w:type="dxa"/>
            <w:gridSpan w:val="10"/>
            <w:tcBorders>
              <w:top w:val="nil"/>
              <w:left w:val="nil"/>
              <w:right w:val="nil"/>
            </w:tcBorders>
            <w:shd w:val="clear" w:color="auto" w:fill="FFFFFF"/>
          </w:tcPr>
          <w:p w:rsidR="005F34E6" w:rsidRPr="00734702" w:rsidRDefault="005F34E6" w:rsidP="00B30BB0">
            <w:pPr>
              <w:rPr>
                <w:rFonts w:ascii="Times New Roman" w:hAnsi="Times New Roman"/>
                <w:b/>
                <w:sz w:val="24"/>
                <w:szCs w:val="24"/>
              </w:rPr>
            </w:pPr>
          </w:p>
        </w:tc>
      </w:tr>
      <w:tr w:rsidR="005F34E6" w:rsidRPr="00734702" w:rsidTr="00B30BB0">
        <w:trPr>
          <w:trHeight w:val="577"/>
        </w:trPr>
        <w:tc>
          <w:tcPr>
            <w:tcW w:w="9180" w:type="dxa"/>
            <w:gridSpan w:val="10"/>
            <w:tcBorders>
              <w:bottom w:val="single" w:sz="4" w:space="0" w:color="FFFFFF"/>
            </w:tcBorders>
            <w:shd w:val="clear" w:color="auto" w:fill="E2E2E2"/>
            <w:vAlign w:val="center"/>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Vplyvy navrhovaného materiálu</w:t>
            </w:r>
          </w:p>
        </w:tc>
      </w:tr>
      <w:tr w:rsidR="005F34E6" w:rsidRPr="00734702" w:rsidTr="00B30BB0">
        <w:tc>
          <w:tcPr>
            <w:tcW w:w="3812" w:type="dxa"/>
            <w:tcBorders>
              <w:bottom w:val="nil"/>
            </w:tcBorders>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lastRenderedPageBreak/>
              <w:t>Vplyvy na rozpočet verejnej správy</w:t>
            </w:r>
          </w:p>
        </w:tc>
        <w:tc>
          <w:tcPr>
            <w:tcW w:w="541" w:type="dxa"/>
            <w:gridSpan w:val="2"/>
            <w:tcBorders>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left w:val="nil"/>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Pozitívne</w:t>
            </w:r>
          </w:p>
        </w:tc>
        <w:tc>
          <w:tcPr>
            <w:tcW w:w="569" w:type="dxa"/>
            <w:tcBorders>
              <w:left w:val="nil"/>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133" w:type="dxa"/>
            <w:tcBorders>
              <w:left w:val="nil"/>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left w:val="nil"/>
              <w:right w:val="nil"/>
            </w:tcBorders>
          </w:tcPr>
          <w:p w:rsidR="005F34E6" w:rsidRPr="00734702" w:rsidRDefault="005F34E6" w:rsidP="00B30BB0">
            <w:pPr>
              <w:ind w:left="-107" w:right="-108"/>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97" w:type="dxa"/>
            <w:tcBorders>
              <w:left w:val="nil"/>
            </w:tcBorders>
          </w:tcPr>
          <w:p w:rsidR="005F34E6" w:rsidRPr="00734702" w:rsidRDefault="005F34E6" w:rsidP="00B30BB0">
            <w:pPr>
              <w:ind w:left="3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tcBorders>
              <w:top w:val="nil"/>
              <w:bottom w:val="single" w:sz="4" w:space="0" w:color="000000"/>
            </w:tcBorders>
            <w:shd w:val="clear" w:color="auto" w:fill="E2E2E2"/>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 xml:space="preserve">    z toho rozpočtovo zabezpečené vplyvy</w:t>
            </w:r>
          </w:p>
        </w:tc>
        <w:tc>
          <w:tcPr>
            <w:tcW w:w="541" w:type="dxa"/>
            <w:gridSpan w:val="2"/>
            <w:tcBorders>
              <w:right w:val="nil"/>
            </w:tcBorders>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b/>
                <w:sz w:val="24"/>
                <w:szCs w:val="24"/>
              </w:rPr>
              <w:t>☒</w:t>
            </w:r>
          </w:p>
        </w:tc>
        <w:tc>
          <w:tcPr>
            <w:tcW w:w="1281" w:type="dxa"/>
            <w:gridSpan w:val="2"/>
            <w:tcBorders>
              <w:left w:val="nil"/>
              <w:right w:val="nil"/>
            </w:tcBorders>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Áno</w:t>
            </w:r>
          </w:p>
        </w:tc>
        <w:tc>
          <w:tcPr>
            <w:tcW w:w="569" w:type="dxa"/>
            <w:tcBorders>
              <w:left w:val="nil"/>
              <w:right w:val="nil"/>
            </w:tcBorders>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b/>
                <w:sz w:val="24"/>
                <w:szCs w:val="24"/>
              </w:rPr>
              <w:t>☐</w:t>
            </w:r>
          </w:p>
        </w:tc>
        <w:tc>
          <w:tcPr>
            <w:tcW w:w="1133" w:type="dxa"/>
            <w:tcBorders>
              <w:left w:val="nil"/>
              <w:right w:val="nil"/>
            </w:tcBorders>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Nie</w:t>
            </w:r>
          </w:p>
        </w:tc>
        <w:tc>
          <w:tcPr>
            <w:tcW w:w="547" w:type="dxa"/>
            <w:gridSpan w:val="2"/>
            <w:tcBorders>
              <w:left w:val="nil"/>
              <w:right w:val="nil"/>
            </w:tcBorders>
          </w:tcPr>
          <w:p w:rsidR="005F34E6" w:rsidRPr="00734702" w:rsidRDefault="005F34E6" w:rsidP="00B30BB0">
            <w:pPr>
              <w:ind w:left="-107" w:right="-108"/>
              <w:jc w:val="center"/>
              <w:rPr>
                <w:rFonts w:ascii="Times New Roman" w:hAnsi="Times New Roman"/>
                <w:sz w:val="24"/>
                <w:szCs w:val="24"/>
              </w:rPr>
            </w:pPr>
            <w:r w:rsidRPr="00734702">
              <w:rPr>
                <w:rFonts w:ascii="Segoe UI Symbol" w:eastAsia="MS Mincho" w:hAnsi="Segoe UI Symbol" w:cs="Segoe UI Symbol"/>
                <w:b/>
                <w:sz w:val="24"/>
                <w:szCs w:val="24"/>
              </w:rPr>
              <w:t>☐</w:t>
            </w:r>
          </w:p>
        </w:tc>
        <w:tc>
          <w:tcPr>
            <w:tcW w:w="1297" w:type="dxa"/>
            <w:tcBorders>
              <w:left w:val="nil"/>
            </w:tcBorders>
          </w:tcPr>
          <w:p w:rsidR="005F34E6" w:rsidRPr="00734702" w:rsidRDefault="005F34E6" w:rsidP="00B30BB0">
            <w:pPr>
              <w:ind w:left="34"/>
              <w:rPr>
                <w:rFonts w:ascii="Times New Roman" w:hAnsi="Times New Roman"/>
                <w:sz w:val="24"/>
                <w:szCs w:val="24"/>
              </w:rPr>
            </w:pPr>
            <w:r w:rsidRPr="00734702">
              <w:rPr>
                <w:rFonts w:ascii="Times New Roman" w:hAnsi="Times New Roman"/>
                <w:sz w:val="24"/>
                <w:szCs w:val="24"/>
              </w:rPr>
              <w:t>Čiastočne</w:t>
            </w:r>
          </w:p>
        </w:tc>
      </w:tr>
      <w:tr w:rsidR="005F34E6" w:rsidRPr="00734702" w:rsidTr="00B30BB0">
        <w:tc>
          <w:tcPr>
            <w:tcW w:w="3812" w:type="dxa"/>
            <w:tcBorders>
              <w:top w:val="single" w:sz="4" w:space="0" w:color="000000"/>
              <w:bottom w:val="nil"/>
            </w:tcBorders>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Vplyvy na podnikateľské prostredie</w:t>
            </w:r>
          </w:p>
        </w:tc>
        <w:tc>
          <w:tcPr>
            <w:tcW w:w="541" w:type="dxa"/>
            <w:gridSpan w:val="2"/>
            <w:tcBorders>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left w:val="nil"/>
              <w:right w:val="nil"/>
            </w:tcBorders>
          </w:tcPr>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left w:val="nil"/>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133" w:type="dxa"/>
            <w:tcBorders>
              <w:left w:val="nil"/>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left w:val="nil"/>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97" w:type="dxa"/>
            <w:tcBorders>
              <w:left w:val="nil"/>
            </w:tcBorders>
          </w:tcPr>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tcBorders>
              <w:top w:val="nil"/>
              <w:left w:val="single" w:sz="4" w:space="0" w:color="000000"/>
              <w:bottom w:val="single" w:sz="4" w:space="0" w:color="000000"/>
              <w:right w:val="single" w:sz="4" w:space="0" w:color="000000"/>
            </w:tcBorders>
            <w:shd w:val="clear" w:color="auto" w:fill="E2E2E2"/>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 xml:space="preserve">    z toho vplyvy na MSP</w:t>
            </w:r>
          </w:p>
        </w:tc>
        <w:tc>
          <w:tcPr>
            <w:tcW w:w="541" w:type="dxa"/>
            <w:gridSpan w:val="2"/>
            <w:tcBorders>
              <w:left w:val="single" w:sz="4" w:space="0" w:color="000000"/>
              <w:right w:val="nil"/>
            </w:tcBorders>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b/>
                <w:sz w:val="24"/>
                <w:szCs w:val="24"/>
              </w:rPr>
              <w:t>☒</w:t>
            </w:r>
          </w:p>
        </w:tc>
        <w:tc>
          <w:tcPr>
            <w:tcW w:w="1281" w:type="dxa"/>
            <w:gridSpan w:val="2"/>
            <w:tcBorders>
              <w:left w:val="nil"/>
              <w:right w:val="nil"/>
            </w:tcBorders>
          </w:tcPr>
          <w:p w:rsidR="005F34E6" w:rsidRPr="00734702" w:rsidRDefault="005F34E6" w:rsidP="00B30BB0">
            <w:pPr>
              <w:ind w:right="-108"/>
              <w:rPr>
                <w:rFonts w:ascii="Times New Roman" w:hAnsi="Times New Roman"/>
                <w:sz w:val="24"/>
                <w:szCs w:val="24"/>
              </w:rPr>
            </w:pPr>
            <w:r w:rsidRPr="00734702">
              <w:rPr>
                <w:rFonts w:ascii="Times New Roman" w:hAnsi="Times New Roman"/>
                <w:sz w:val="24"/>
                <w:szCs w:val="24"/>
              </w:rPr>
              <w:t>Pozitívne</w:t>
            </w:r>
          </w:p>
        </w:tc>
        <w:tc>
          <w:tcPr>
            <w:tcW w:w="569" w:type="dxa"/>
            <w:tcBorders>
              <w:left w:val="nil"/>
              <w:right w:val="nil"/>
            </w:tcBorders>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b/>
                <w:sz w:val="24"/>
                <w:szCs w:val="24"/>
              </w:rPr>
              <w:t>☐</w:t>
            </w:r>
          </w:p>
        </w:tc>
        <w:tc>
          <w:tcPr>
            <w:tcW w:w="1133" w:type="dxa"/>
            <w:tcBorders>
              <w:left w:val="nil"/>
              <w:right w:val="nil"/>
            </w:tcBorders>
          </w:tcPr>
          <w:p w:rsidR="005F34E6" w:rsidRPr="00734702" w:rsidRDefault="005F34E6" w:rsidP="00B30BB0">
            <w:pPr>
              <w:rPr>
                <w:rFonts w:ascii="Times New Roman" w:hAnsi="Times New Roman"/>
                <w:sz w:val="24"/>
                <w:szCs w:val="24"/>
              </w:rPr>
            </w:pPr>
            <w:r w:rsidRPr="00734702">
              <w:rPr>
                <w:rFonts w:ascii="Times New Roman" w:hAnsi="Times New Roman"/>
                <w:sz w:val="24"/>
                <w:szCs w:val="24"/>
              </w:rPr>
              <w:t>Žiadne</w:t>
            </w:r>
          </w:p>
        </w:tc>
        <w:tc>
          <w:tcPr>
            <w:tcW w:w="547" w:type="dxa"/>
            <w:gridSpan w:val="2"/>
            <w:tcBorders>
              <w:left w:val="nil"/>
              <w:right w:val="nil"/>
            </w:tcBorders>
          </w:tcPr>
          <w:p w:rsidR="005F34E6" w:rsidRPr="00734702" w:rsidRDefault="005F34E6" w:rsidP="00B30BB0">
            <w:pPr>
              <w:jc w:val="center"/>
              <w:rPr>
                <w:rFonts w:ascii="Times New Roman" w:hAnsi="Times New Roman"/>
                <w:sz w:val="24"/>
                <w:szCs w:val="24"/>
              </w:rPr>
            </w:pPr>
            <w:r w:rsidRPr="00734702">
              <w:rPr>
                <w:rFonts w:ascii="Segoe UI Symbol" w:eastAsia="MS Mincho" w:hAnsi="Segoe UI Symbol" w:cs="Segoe UI Symbol"/>
                <w:b/>
                <w:sz w:val="24"/>
                <w:szCs w:val="24"/>
              </w:rPr>
              <w:t>☐</w:t>
            </w:r>
          </w:p>
        </w:tc>
        <w:tc>
          <w:tcPr>
            <w:tcW w:w="1297" w:type="dxa"/>
            <w:tcBorders>
              <w:left w:val="nil"/>
            </w:tcBorders>
          </w:tcPr>
          <w:p w:rsidR="005F34E6" w:rsidRPr="00734702" w:rsidRDefault="005F34E6" w:rsidP="00B30BB0">
            <w:pPr>
              <w:ind w:left="54"/>
              <w:rPr>
                <w:rFonts w:ascii="Times New Roman" w:hAnsi="Times New Roman"/>
                <w:sz w:val="24"/>
                <w:szCs w:val="24"/>
              </w:rPr>
            </w:pPr>
            <w:r w:rsidRPr="00734702">
              <w:rPr>
                <w:rFonts w:ascii="Times New Roman" w:hAnsi="Times New Roman"/>
                <w:sz w:val="24"/>
                <w:szCs w:val="24"/>
              </w:rPr>
              <w:t>Negatívne</w:t>
            </w:r>
          </w:p>
        </w:tc>
      </w:tr>
      <w:tr w:rsidR="005F34E6" w:rsidRPr="00734702" w:rsidTr="00B30BB0">
        <w:tc>
          <w:tcPr>
            <w:tcW w:w="3812" w:type="dxa"/>
            <w:tcBorders>
              <w:top w:val="single" w:sz="4" w:space="0" w:color="000000"/>
            </w:tcBorders>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Sociálne vplyvy</w:t>
            </w:r>
          </w:p>
        </w:tc>
        <w:tc>
          <w:tcPr>
            <w:tcW w:w="541" w:type="dxa"/>
            <w:gridSpan w:val="2"/>
            <w:tcBorders>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left w:val="nil"/>
              <w:right w:val="nil"/>
            </w:tcBorders>
          </w:tcPr>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left w:val="nil"/>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133" w:type="dxa"/>
            <w:tcBorders>
              <w:left w:val="nil"/>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left w:val="nil"/>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97" w:type="dxa"/>
            <w:tcBorders>
              <w:left w:val="nil"/>
            </w:tcBorders>
          </w:tcPr>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Vplyvy na životné prostredie</w:t>
            </w:r>
          </w:p>
        </w:tc>
        <w:tc>
          <w:tcPr>
            <w:tcW w:w="541" w:type="dxa"/>
            <w:gridSpan w:val="2"/>
            <w:tcBorders>
              <w:bottom w:val="single" w:sz="4" w:space="0" w:color="auto"/>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left w:val="nil"/>
              <w:bottom w:val="single" w:sz="4" w:space="0" w:color="auto"/>
              <w:right w:val="nil"/>
            </w:tcBorders>
          </w:tcPr>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left w:val="nil"/>
              <w:bottom w:val="single" w:sz="4" w:space="0" w:color="auto"/>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133" w:type="dxa"/>
            <w:tcBorders>
              <w:left w:val="nil"/>
              <w:bottom w:val="single" w:sz="4" w:space="0" w:color="auto"/>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left w:val="nil"/>
              <w:bottom w:val="single" w:sz="4" w:space="0" w:color="auto"/>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97" w:type="dxa"/>
            <w:tcBorders>
              <w:left w:val="nil"/>
              <w:bottom w:val="single" w:sz="4" w:space="0" w:color="auto"/>
            </w:tcBorders>
          </w:tcPr>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Vplyvy na informatizáciu</w:t>
            </w:r>
          </w:p>
        </w:tc>
        <w:tc>
          <w:tcPr>
            <w:tcW w:w="541" w:type="dxa"/>
            <w:gridSpan w:val="2"/>
            <w:tcBorders>
              <w:bottom w:val="single" w:sz="4" w:space="0" w:color="auto"/>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left w:val="nil"/>
              <w:bottom w:val="single" w:sz="4" w:space="0" w:color="auto"/>
              <w:right w:val="nil"/>
            </w:tcBorders>
          </w:tcPr>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left w:val="nil"/>
              <w:bottom w:val="single" w:sz="4" w:space="0" w:color="auto"/>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133" w:type="dxa"/>
            <w:tcBorders>
              <w:left w:val="nil"/>
              <w:bottom w:val="single" w:sz="4" w:space="0" w:color="auto"/>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left w:val="nil"/>
              <w:bottom w:val="single" w:sz="4" w:space="0" w:color="auto"/>
              <w:right w:val="nil"/>
            </w:tcBorders>
          </w:tcPr>
          <w:p w:rsidR="005F34E6" w:rsidRPr="00734702" w:rsidRDefault="005F34E6" w:rsidP="00B30BB0">
            <w:pPr>
              <w:jc w:val="center"/>
              <w:rPr>
                <w:rFonts w:ascii="Times New Roman" w:hAnsi="Times New Roman"/>
                <w:b/>
                <w:sz w:val="24"/>
                <w:szCs w:val="24"/>
              </w:rPr>
            </w:pPr>
            <w:r w:rsidRPr="00734702">
              <w:rPr>
                <w:rFonts w:ascii="Segoe UI Symbol" w:eastAsia="MS Mincho" w:hAnsi="Segoe UI Symbol" w:cs="Segoe UI Symbol"/>
                <w:b/>
                <w:sz w:val="24"/>
                <w:szCs w:val="24"/>
              </w:rPr>
              <w:t>☐</w:t>
            </w:r>
          </w:p>
        </w:tc>
        <w:tc>
          <w:tcPr>
            <w:tcW w:w="1297" w:type="dxa"/>
            <w:tcBorders>
              <w:left w:val="nil"/>
              <w:bottom w:val="single" w:sz="4" w:space="0" w:color="auto"/>
            </w:tcBorders>
          </w:tcPr>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vMerge w:val="restart"/>
            <w:tcBorders>
              <w:right w:val="single" w:sz="4" w:space="0" w:color="auto"/>
            </w:tcBorders>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Vplyvy na služby verejnej správy pre občana, z toho</w:t>
            </w:r>
          </w:p>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 xml:space="preserve">    vplyvy služieb verejnej správy na občana</w:t>
            </w:r>
          </w:p>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 xml:space="preserve">    vplyvy na procesy služieb vo verejnej správe</w:t>
            </w:r>
          </w:p>
        </w:tc>
        <w:tc>
          <w:tcPr>
            <w:tcW w:w="541" w:type="dxa"/>
            <w:gridSpan w:val="2"/>
            <w:tcBorders>
              <w:top w:val="single" w:sz="4" w:space="0" w:color="auto"/>
              <w:left w:val="single" w:sz="4" w:space="0" w:color="auto"/>
              <w:bottom w:val="nil"/>
              <w:right w:val="nil"/>
            </w:tcBorders>
          </w:tcPr>
          <w:p w:rsidR="005F34E6" w:rsidRPr="00734702" w:rsidRDefault="005F34E6" w:rsidP="00B30BB0">
            <w:pPr>
              <w:jc w:val="center"/>
              <w:rPr>
                <w:rFonts w:ascii="Times New Roman" w:eastAsia="MS Mincho" w:hAnsi="Times New Roman"/>
                <w:b/>
                <w:sz w:val="24"/>
                <w:szCs w:val="24"/>
              </w:rPr>
            </w:pPr>
          </w:p>
        </w:tc>
        <w:tc>
          <w:tcPr>
            <w:tcW w:w="1281" w:type="dxa"/>
            <w:gridSpan w:val="2"/>
            <w:tcBorders>
              <w:top w:val="single" w:sz="4" w:space="0" w:color="auto"/>
              <w:left w:val="nil"/>
              <w:bottom w:val="nil"/>
              <w:right w:val="nil"/>
            </w:tcBorders>
          </w:tcPr>
          <w:p w:rsidR="005F34E6" w:rsidRPr="00734702" w:rsidRDefault="005F34E6" w:rsidP="00B30BB0">
            <w:pPr>
              <w:ind w:right="-108"/>
              <w:rPr>
                <w:rFonts w:ascii="Times New Roman" w:hAnsi="Times New Roman"/>
                <w:b/>
                <w:sz w:val="24"/>
                <w:szCs w:val="24"/>
              </w:rPr>
            </w:pPr>
          </w:p>
        </w:tc>
        <w:tc>
          <w:tcPr>
            <w:tcW w:w="569" w:type="dxa"/>
            <w:tcBorders>
              <w:top w:val="single" w:sz="4" w:space="0" w:color="auto"/>
              <w:left w:val="nil"/>
              <w:bottom w:val="nil"/>
              <w:right w:val="nil"/>
            </w:tcBorders>
          </w:tcPr>
          <w:p w:rsidR="005F34E6" w:rsidRPr="00734702" w:rsidRDefault="005F34E6" w:rsidP="00B30BB0">
            <w:pPr>
              <w:jc w:val="center"/>
              <w:rPr>
                <w:rFonts w:ascii="Times New Roman" w:eastAsia="MS Mincho" w:hAnsi="Times New Roman"/>
                <w:b/>
                <w:sz w:val="24"/>
                <w:szCs w:val="24"/>
              </w:rPr>
            </w:pPr>
          </w:p>
        </w:tc>
        <w:tc>
          <w:tcPr>
            <w:tcW w:w="1133" w:type="dxa"/>
            <w:tcBorders>
              <w:top w:val="single" w:sz="4" w:space="0" w:color="auto"/>
              <w:left w:val="nil"/>
              <w:bottom w:val="nil"/>
              <w:right w:val="nil"/>
            </w:tcBorders>
          </w:tcPr>
          <w:p w:rsidR="005F34E6" w:rsidRPr="00734702" w:rsidRDefault="005F34E6" w:rsidP="00B30BB0">
            <w:pPr>
              <w:rPr>
                <w:rFonts w:ascii="Times New Roman" w:hAnsi="Times New Roman"/>
                <w:b/>
                <w:sz w:val="24"/>
                <w:szCs w:val="24"/>
              </w:rPr>
            </w:pPr>
          </w:p>
        </w:tc>
        <w:tc>
          <w:tcPr>
            <w:tcW w:w="547" w:type="dxa"/>
            <w:gridSpan w:val="2"/>
            <w:tcBorders>
              <w:top w:val="single" w:sz="4" w:space="0" w:color="auto"/>
              <w:left w:val="nil"/>
              <w:bottom w:val="nil"/>
              <w:right w:val="nil"/>
            </w:tcBorders>
          </w:tcPr>
          <w:p w:rsidR="005F34E6" w:rsidRPr="00734702" w:rsidRDefault="005F34E6" w:rsidP="00B30BB0">
            <w:pPr>
              <w:jc w:val="center"/>
              <w:rPr>
                <w:rFonts w:ascii="Times New Roman" w:eastAsia="MS Mincho" w:hAnsi="Times New Roman"/>
                <w:b/>
                <w:sz w:val="24"/>
                <w:szCs w:val="24"/>
              </w:rPr>
            </w:pPr>
          </w:p>
        </w:tc>
        <w:tc>
          <w:tcPr>
            <w:tcW w:w="1297" w:type="dxa"/>
            <w:tcBorders>
              <w:top w:val="single" w:sz="4" w:space="0" w:color="auto"/>
              <w:left w:val="nil"/>
              <w:bottom w:val="nil"/>
              <w:right w:val="single" w:sz="4" w:space="0" w:color="auto"/>
            </w:tcBorders>
          </w:tcPr>
          <w:p w:rsidR="005F34E6" w:rsidRPr="00734702" w:rsidRDefault="005F34E6" w:rsidP="00B30BB0">
            <w:pPr>
              <w:ind w:left="54"/>
              <w:rPr>
                <w:rFonts w:ascii="Times New Roman" w:hAnsi="Times New Roman"/>
                <w:b/>
                <w:sz w:val="24"/>
                <w:szCs w:val="24"/>
              </w:rPr>
            </w:pPr>
          </w:p>
        </w:tc>
      </w:tr>
      <w:tr w:rsidR="005F34E6" w:rsidRPr="00734702" w:rsidTr="00B30BB0">
        <w:tc>
          <w:tcPr>
            <w:tcW w:w="3812" w:type="dxa"/>
            <w:vMerge/>
            <w:tcBorders>
              <w:right w:val="single" w:sz="4" w:space="0" w:color="auto"/>
            </w:tcBorders>
            <w:shd w:val="clear" w:color="auto" w:fill="E2E2E2"/>
          </w:tcPr>
          <w:p w:rsidR="005F34E6" w:rsidRPr="00734702" w:rsidRDefault="005F34E6" w:rsidP="00B30BB0">
            <w:pPr>
              <w:rPr>
                <w:rFonts w:ascii="Times New Roman" w:hAnsi="Times New Roman"/>
                <w:b/>
                <w:sz w:val="24"/>
                <w:szCs w:val="24"/>
              </w:rPr>
            </w:pPr>
          </w:p>
        </w:tc>
        <w:tc>
          <w:tcPr>
            <w:tcW w:w="541" w:type="dxa"/>
            <w:gridSpan w:val="2"/>
            <w:tcBorders>
              <w:top w:val="nil"/>
              <w:left w:val="single" w:sz="4" w:space="0" w:color="auto"/>
              <w:bottom w:val="nil"/>
              <w:right w:val="nil"/>
            </w:tcBorders>
          </w:tcPr>
          <w:p w:rsidR="005F34E6" w:rsidRPr="00734702" w:rsidRDefault="005F34E6" w:rsidP="00B30BB0">
            <w:pPr>
              <w:jc w:val="center"/>
              <w:rPr>
                <w:rFonts w:ascii="Times New Roman" w:eastAsia="MS Mincho" w:hAnsi="Times New Roman"/>
                <w:b/>
                <w:sz w:val="24"/>
                <w:szCs w:val="24"/>
              </w:rPr>
            </w:pPr>
          </w:p>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top w:val="nil"/>
              <w:left w:val="nil"/>
              <w:bottom w:val="nil"/>
              <w:right w:val="nil"/>
            </w:tcBorders>
          </w:tcPr>
          <w:p w:rsidR="005F34E6" w:rsidRPr="00734702" w:rsidRDefault="005F34E6" w:rsidP="00B30BB0">
            <w:pPr>
              <w:ind w:right="-108"/>
              <w:rPr>
                <w:rFonts w:ascii="Times New Roman" w:hAnsi="Times New Roman"/>
                <w:b/>
                <w:sz w:val="24"/>
                <w:szCs w:val="24"/>
              </w:rPr>
            </w:pPr>
          </w:p>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top w:val="nil"/>
              <w:left w:val="nil"/>
              <w:bottom w:val="nil"/>
              <w:right w:val="nil"/>
            </w:tcBorders>
          </w:tcPr>
          <w:p w:rsidR="005F34E6" w:rsidRPr="00734702" w:rsidRDefault="005F34E6" w:rsidP="00B30BB0">
            <w:pPr>
              <w:jc w:val="center"/>
              <w:rPr>
                <w:rFonts w:ascii="Times New Roman" w:eastAsia="MS Mincho" w:hAnsi="Times New Roman"/>
                <w:b/>
                <w:sz w:val="24"/>
                <w:szCs w:val="24"/>
              </w:rPr>
            </w:pPr>
          </w:p>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133" w:type="dxa"/>
            <w:tcBorders>
              <w:top w:val="nil"/>
              <w:left w:val="nil"/>
              <w:bottom w:val="nil"/>
              <w:right w:val="nil"/>
            </w:tcBorders>
          </w:tcPr>
          <w:p w:rsidR="005F34E6" w:rsidRPr="00734702" w:rsidRDefault="005F34E6" w:rsidP="00B30BB0">
            <w:pPr>
              <w:rPr>
                <w:rFonts w:ascii="Times New Roman" w:hAnsi="Times New Roman"/>
                <w:b/>
                <w:sz w:val="24"/>
                <w:szCs w:val="24"/>
              </w:rPr>
            </w:pPr>
          </w:p>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top w:val="nil"/>
              <w:left w:val="nil"/>
              <w:bottom w:val="nil"/>
              <w:right w:val="nil"/>
            </w:tcBorders>
          </w:tcPr>
          <w:p w:rsidR="005F34E6" w:rsidRPr="00734702" w:rsidRDefault="005F34E6" w:rsidP="00B30BB0">
            <w:pPr>
              <w:jc w:val="center"/>
              <w:rPr>
                <w:rFonts w:ascii="Times New Roman" w:eastAsia="MS Mincho" w:hAnsi="Times New Roman"/>
                <w:b/>
                <w:sz w:val="24"/>
                <w:szCs w:val="24"/>
              </w:rPr>
            </w:pPr>
          </w:p>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297" w:type="dxa"/>
            <w:tcBorders>
              <w:top w:val="nil"/>
              <w:left w:val="nil"/>
              <w:bottom w:val="nil"/>
              <w:right w:val="single" w:sz="4" w:space="0" w:color="auto"/>
            </w:tcBorders>
          </w:tcPr>
          <w:p w:rsidR="005F34E6" w:rsidRPr="00734702" w:rsidRDefault="005F34E6" w:rsidP="00B30BB0">
            <w:pPr>
              <w:ind w:left="54"/>
              <w:rPr>
                <w:rFonts w:ascii="Times New Roman" w:hAnsi="Times New Roman"/>
                <w:b/>
                <w:sz w:val="24"/>
                <w:szCs w:val="24"/>
              </w:rPr>
            </w:pPr>
          </w:p>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vMerge/>
            <w:shd w:val="clear" w:color="auto" w:fill="E2E2E2"/>
          </w:tcPr>
          <w:p w:rsidR="005F34E6" w:rsidRPr="00734702" w:rsidRDefault="005F34E6" w:rsidP="00B30BB0">
            <w:pPr>
              <w:rPr>
                <w:rFonts w:ascii="Times New Roman" w:hAnsi="Times New Roman"/>
                <w:b/>
                <w:sz w:val="24"/>
                <w:szCs w:val="24"/>
              </w:rPr>
            </w:pPr>
          </w:p>
        </w:tc>
        <w:tc>
          <w:tcPr>
            <w:tcW w:w="541" w:type="dxa"/>
            <w:gridSpan w:val="2"/>
            <w:tcBorders>
              <w:top w:val="nil"/>
              <w:right w:val="nil"/>
            </w:tcBorders>
          </w:tcPr>
          <w:p w:rsidR="005F34E6" w:rsidRPr="00734702" w:rsidRDefault="005F34E6" w:rsidP="00B30BB0">
            <w:pPr>
              <w:jc w:val="center"/>
              <w:rPr>
                <w:rFonts w:ascii="Times New Roman" w:eastAsia="MS Mincho" w:hAnsi="Times New Roman"/>
                <w:b/>
                <w:sz w:val="24"/>
                <w:szCs w:val="24"/>
              </w:rPr>
            </w:pPr>
          </w:p>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top w:val="nil"/>
              <w:left w:val="nil"/>
              <w:right w:val="nil"/>
            </w:tcBorders>
          </w:tcPr>
          <w:p w:rsidR="005F34E6" w:rsidRPr="00734702" w:rsidRDefault="005F34E6" w:rsidP="00B30BB0">
            <w:pPr>
              <w:ind w:right="-108"/>
              <w:rPr>
                <w:rFonts w:ascii="Times New Roman" w:hAnsi="Times New Roman"/>
                <w:b/>
                <w:sz w:val="24"/>
                <w:szCs w:val="24"/>
              </w:rPr>
            </w:pPr>
          </w:p>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top w:val="nil"/>
              <w:left w:val="nil"/>
              <w:right w:val="nil"/>
            </w:tcBorders>
          </w:tcPr>
          <w:p w:rsidR="005F34E6" w:rsidRPr="00734702" w:rsidRDefault="005F34E6" w:rsidP="00B30BB0">
            <w:pPr>
              <w:jc w:val="center"/>
              <w:rPr>
                <w:rFonts w:ascii="Times New Roman" w:eastAsia="MS Mincho" w:hAnsi="Times New Roman"/>
                <w:b/>
                <w:sz w:val="24"/>
                <w:szCs w:val="24"/>
              </w:rPr>
            </w:pPr>
          </w:p>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133" w:type="dxa"/>
            <w:tcBorders>
              <w:top w:val="nil"/>
              <w:left w:val="nil"/>
              <w:right w:val="nil"/>
            </w:tcBorders>
          </w:tcPr>
          <w:p w:rsidR="005F34E6" w:rsidRPr="00734702" w:rsidRDefault="005F34E6" w:rsidP="00B30BB0">
            <w:pPr>
              <w:rPr>
                <w:rFonts w:ascii="Times New Roman" w:hAnsi="Times New Roman"/>
                <w:b/>
                <w:sz w:val="24"/>
                <w:szCs w:val="24"/>
              </w:rPr>
            </w:pPr>
          </w:p>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top w:val="nil"/>
              <w:left w:val="nil"/>
              <w:right w:val="nil"/>
            </w:tcBorders>
          </w:tcPr>
          <w:p w:rsidR="005F34E6" w:rsidRPr="00734702" w:rsidRDefault="005F34E6" w:rsidP="00B30BB0">
            <w:pPr>
              <w:jc w:val="center"/>
              <w:rPr>
                <w:rFonts w:ascii="Times New Roman" w:eastAsia="MS Mincho" w:hAnsi="Times New Roman"/>
                <w:b/>
                <w:sz w:val="24"/>
                <w:szCs w:val="24"/>
              </w:rPr>
            </w:pPr>
          </w:p>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297" w:type="dxa"/>
            <w:tcBorders>
              <w:top w:val="nil"/>
              <w:left w:val="nil"/>
            </w:tcBorders>
          </w:tcPr>
          <w:p w:rsidR="005F34E6" w:rsidRPr="00734702" w:rsidRDefault="005F34E6" w:rsidP="00B30BB0">
            <w:pPr>
              <w:ind w:left="54"/>
              <w:rPr>
                <w:rFonts w:ascii="Times New Roman" w:hAnsi="Times New Roman"/>
                <w:b/>
                <w:sz w:val="24"/>
                <w:szCs w:val="24"/>
              </w:rPr>
            </w:pPr>
          </w:p>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3812" w:type="dxa"/>
            <w:shd w:val="clear" w:color="auto" w:fill="E2E2E2"/>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Vplyvy na manželstvo, rodičovstvo a rodinu</w:t>
            </w:r>
          </w:p>
        </w:tc>
        <w:tc>
          <w:tcPr>
            <w:tcW w:w="541" w:type="dxa"/>
            <w:gridSpan w:val="2"/>
            <w:tcBorders>
              <w:right w:val="nil"/>
            </w:tcBorders>
          </w:tcPr>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281" w:type="dxa"/>
            <w:gridSpan w:val="2"/>
            <w:tcBorders>
              <w:left w:val="nil"/>
              <w:right w:val="nil"/>
            </w:tcBorders>
          </w:tcPr>
          <w:p w:rsidR="005F34E6" w:rsidRPr="00734702" w:rsidRDefault="005F34E6" w:rsidP="00B30BB0">
            <w:pPr>
              <w:ind w:right="-108"/>
              <w:rPr>
                <w:rFonts w:ascii="Times New Roman" w:hAnsi="Times New Roman"/>
                <w:b/>
                <w:sz w:val="24"/>
                <w:szCs w:val="24"/>
              </w:rPr>
            </w:pPr>
            <w:r w:rsidRPr="00734702">
              <w:rPr>
                <w:rFonts w:ascii="Times New Roman" w:hAnsi="Times New Roman"/>
                <w:b/>
                <w:sz w:val="24"/>
                <w:szCs w:val="24"/>
              </w:rPr>
              <w:t>Pozitívne</w:t>
            </w:r>
          </w:p>
        </w:tc>
        <w:tc>
          <w:tcPr>
            <w:tcW w:w="569" w:type="dxa"/>
            <w:tcBorders>
              <w:left w:val="nil"/>
              <w:right w:val="nil"/>
            </w:tcBorders>
          </w:tcPr>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133" w:type="dxa"/>
            <w:tcBorders>
              <w:left w:val="nil"/>
              <w:right w:val="nil"/>
            </w:tcBorders>
          </w:tcPr>
          <w:p w:rsidR="005F34E6" w:rsidRPr="00734702" w:rsidRDefault="005F34E6" w:rsidP="00B30BB0">
            <w:pPr>
              <w:rPr>
                <w:rFonts w:ascii="Times New Roman" w:hAnsi="Times New Roman"/>
                <w:b/>
                <w:sz w:val="24"/>
                <w:szCs w:val="24"/>
              </w:rPr>
            </w:pPr>
            <w:r w:rsidRPr="00734702">
              <w:rPr>
                <w:rFonts w:ascii="Times New Roman" w:hAnsi="Times New Roman"/>
                <w:b/>
                <w:sz w:val="24"/>
                <w:szCs w:val="24"/>
              </w:rPr>
              <w:t>Žiadne</w:t>
            </w:r>
          </w:p>
        </w:tc>
        <w:tc>
          <w:tcPr>
            <w:tcW w:w="547" w:type="dxa"/>
            <w:gridSpan w:val="2"/>
            <w:tcBorders>
              <w:left w:val="nil"/>
              <w:right w:val="nil"/>
            </w:tcBorders>
          </w:tcPr>
          <w:p w:rsidR="005F34E6" w:rsidRPr="00734702" w:rsidRDefault="005F34E6" w:rsidP="00B30BB0">
            <w:pPr>
              <w:jc w:val="center"/>
              <w:rPr>
                <w:rFonts w:ascii="Times New Roman" w:eastAsia="MS Mincho" w:hAnsi="Times New Roman"/>
                <w:b/>
                <w:sz w:val="24"/>
                <w:szCs w:val="24"/>
              </w:rPr>
            </w:pPr>
            <w:r w:rsidRPr="00734702">
              <w:rPr>
                <w:rFonts w:ascii="Segoe UI Symbol" w:eastAsia="MS Mincho" w:hAnsi="Segoe UI Symbol" w:cs="Segoe UI Symbol"/>
                <w:b/>
                <w:sz w:val="24"/>
                <w:szCs w:val="24"/>
              </w:rPr>
              <w:t>☐</w:t>
            </w:r>
          </w:p>
        </w:tc>
        <w:tc>
          <w:tcPr>
            <w:tcW w:w="1297" w:type="dxa"/>
            <w:tcBorders>
              <w:left w:val="nil"/>
            </w:tcBorders>
          </w:tcPr>
          <w:p w:rsidR="005F34E6" w:rsidRPr="00734702" w:rsidRDefault="005F34E6" w:rsidP="00B30BB0">
            <w:pPr>
              <w:ind w:left="54"/>
              <w:rPr>
                <w:rFonts w:ascii="Times New Roman" w:hAnsi="Times New Roman"/>
                <w:b/>
                <w:sz w:val="24"/>
                <w:szCs w:val="24"/>
              </w:rPr>
            </w:pPr>
            <w:r w:rsidRPr="00734702">
              <w:rPr>
                <w:rFonts w:ascii="Times New Roman" w:hAnsi="Times New Roman"/>
                <w:b/>
                <w:sz w:val="24"/>
                <w:szCs w:val="24"/>
              </w:rPr>
              <w:t>Negatívne</w:t>
            </w:r>
          </w:p>
        </w:tc>
      </w:tr>
      <w:tr w:rsidR="005F34E6" w:rsidRPr="00734702" w:rsidTr="00B30BB0">
        <w:tc>
          <w:tcPr>
            <w:tcW w:w="9176" w:type="dxa"/>
            <w:gridSpan w:val="10"/>
            <w:tcBorders>
              <w:bottom w:val="nil"/>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Poznámky</w:t>
            </w:r>
          </w:p>
        </w:tc>
      </w:tr>
      <w:tr w:rsidR="005F34E6" w:rsidRPr="00734702" w:rsidTr="00B30BB0">
        <w:trPr>
          <w:trHeight w:val="217"/>
        </w:trPr>
        <w:tc>
          <w:tcPr>
            <w:tcW w:w="9176" w:type="dxa"/>
            <w:gridSpan w:val="10"/>
            <w:tcBorders>
              <w:top w:val="nil"/>
              <w:bottom w:val="single" w:sz="4" w:space="0" w:color="FFFFFF"/>
            </w:tcBorders>
          </w:tcPr>
          <w:p w:rsidR="005F34E6" w:rsidRPr="00734702" w:rsidRDefault="005F34E6" w:rsidP="00B30BB0">
            <w:pPr>
              <w:pBdr>
                <w:top w:val="single" w:sz="4" w:space="1" w:color="auto"/>
                <w:left w:val="single" w:sz="4" w:space="4" w:color="auto"/>
                <w:bottom w:val="single" w:sz="4" w:space="0" w:color="auto"/>
                <w:right w:val="single" w:sz="4" w:space="4" w:color="auto"/>
              </w:pBdr>
              <w:jc w:val="both"/>
              <w:rPr>
                <w:rFonts w:ascii="Times New Roman" w:hAnsi="Times New Roman"/>
                <w:i/>
                <w:sz w:val="24"/>
                <w:szCs w:val="24"/>
              </w:rPr>
            </w:pPr>
            <w:r w:rsidRPr="00734702">
              <w:rPr>
                <w:rFonts w:ascii="Times New Roman" w:hAnsi="Times New Roman"/>
                <w:sz w:val="24"/>
                <w:szCs w:val="24"/>
              </w:rPr>
              <w:t>Návrh zákona ustanovuje propodnikateľské opatrenie v oblasti nižšieho daňového zaťaženia v oblasti kamiónovej a autobusovej dopravy. Finančný dopad je vyčíslený v analýze vplyvov na rozpočet.</w:t>
            </w:r>
          </w:p>
        </w:tc>
      </w:tr>
      <w:tr w:rsidR="005F34E6" w:rsidRPr="00734702" w:rsidTr="00B30BB0">
        <w:tc>
          <w:tcPr>
            <w:tcW w:w="9176"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Kontakt na spracovateľa</w:t>
            </w:r>
          </w:p>
        </w:tc>
      </w:tr>
      <w:tr w:rsidR="005F34E6" w:rsidRPr="00734702" w:rsidTr="00B30BB0">
        <w:trPr>
          <w:trHeight w:val="586"/>
        </w:trPr>
        <w:tc>
          <w:tcPr>
            <w:tcW w:w="9176" w:type="dxa"/>
            <w:gridSpan w:val="10"/>
            <w:tcBorders>
              <w:top w:val="single" w:sz="4" w:space="0" w:color="FFFFFF"/>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údaje na kontaktnú osobu, ktorú je možné kontaktovať v súvislosti s posúdením vybraných vplyvov</w:t>
            </w:r>
          </w:p>
          <w:p w:rsidR="005F34E6" w:rsidRPr="001111E9" w:rsidRDefault="005F34E6" w:rsidP="00B30BB0">
            <w:pPr>
              <w:rPr>
                <w:rFonts w:ascii="Times New Roman" w:hAnsi="Times New Roman"/>
                <w:sz w:val="24"/>
                <w:szCs w:val="24"/>
              </w:rPr>
            </w:pPr>
            <w:r w:rsidRPr="00734702">
              <w:rPr>
                <w:rFonts w:ascii="Times New Roman" w:hAnsi="Times New Roman"/>
                <w:sz w:val="24"/>
                <w:szCs w:val="24"/>
              </w:rPr>
              <w:t>MF SR – 5958 3481, jan.luchava@mfsr.sk</w:t>
            </w:r>
          </w:p>
        </w:tc>
      </w:tr>
      <w:tr w:rsidR="005F34E6" w:rsidRPr="00734702" w:rsidTr="00B30BB0">
        <w:tc>
          <w:tcPr>
            <w:tcW w:w="9176"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Zdroje</w:t>
            </w:r>
          </w:p>
        </w:tc>
      </w:tr>
      <w:tr w:rsidR="005F34E6" w:rsidRPr="00734702" w:rsidTr="00B30BB0">
        <w:trPr>
          <w:trHeight w:val="401"/>
        </w:trPr>
        <w:tc>
          <w:tcPr>
            <w:tcW w:w="9176" w:type="dxa"/>
            <w:gridSpan w:val="10"/>
            <w:tcBorders>
              <w:top w:val="single" w:sz="4" w:space="0" w:color="FFFFFF"/>
            </w:tcBorders>
            <w:shd w:val="clear" w:color="auto" w:fill="FFFFFF"/>
          </w:tcPr>
          <w:p w:rsidR="005F34E6" w:rsidRPr="00734702" w:rsidRDefault="005F34E6" w:rsidP="00B30BB0">
            <w:pPr>
              <w:rPr>
                <w:rFonts w:ascii="Times New Roman" w:hAnsi="Times New Roman"/>
                <w:i/>
                <w:sz w:val="24"/>
                <w:szCs w:val="24"/>
              </w:rPr>
            </w:pPr>
            <w:r w:rsidRPr="00734702">
              <w:rPr>
                <w:rFonts w:ascii="Times New Roman" w:hAnsi="Times New Roman"/>
                <w:i/>
                <w:sz w:val="24"/>
                <w:szCs w:val="24"/>
              </w:rPr>
              <w:t>Uveďte zdroje (štatistiky, prieskumy, spoluprácu s odborníkmi a iné), z ktorých ste pri vypracovávaní doložky, príp. analýz vplyvov vychádzali.</w:t>
            </w:r>
          </w:p>
          <w:p w:rsidR="005F34E6" w:rsidRPr="00734702" w:rsidRDefault="005F34E6" w:rsidP="00B30BB0">
            <w:pPr>
              <w:jc w:val="both"/>
              <w:rPr>
                <w:rFonts w:ascii="Times New Roman" w:hAnsi="Times New Roman"/>
                <w:i/>
                <w:sz w:val="24"/>
                <w:szCs w:val="24"/>
              </w:rPr>
            </w:pPr>
            <w:r w:rsidRPr="00734702">
              <w:rPr>
                <w:rFonts w:ascii="Times New Roman" w:hAnsi="Times New Roman"/>
                <w:sz w:val="24"/>
                <w:szCs w:val="24"/>
              </w:rPr>
              <w:t>Agregované anonymizované údaje z daňových priznaní k dani z motorových vozidiel.</w:t>
            </w:r>
          </w:p>
        </w:tc>
      </w:tr>
      <w:tr w:rsidR="005F34E6" w:rsidRPr="00734702" w:rsidTr="00B30BB0">
        <w:tc>
          <w:tcPr>
            <w:tcW w:w="9176" w:type="dxa"/>
            <w:gridSpan w:val="10"/>
            <w:tcBorders>
              <w:bottom w:val="single" w:sz="4" w:space="0" w:color="FFFFFF"/>
            </w:tcBorders>
            <w:shd w:val="clear" w:color="auto" w:fill="E2E2E2"/>
          </w:tcPr>
          <w:p w:rsidR="005F34E6" w:rsidRPr="00734702" w:rsidRDefault="005F34E6" w:rsidP="005F34E6">
            <w:pPr>
              <w:pStyle w:val="Odsekzoznamu"/>
              <w:numPr>
                <w:ilvl w:val="0"/>
                <w:numId w:val="10"/>
              </w:numPr>
              <w:spacing w:after="0" w:line="240" w:lineRule="auto"/>
              <w:rPr>
                <w:rFonts w:ascii="Times New Roman" w:eastAsia="ヒラギノ角ゴ Pro W3" w:hAnsi="Times New Roman"/>
                <w:b/>
                <w:color w:val="000000"/>
                <w:sz w:val="24"/>
                <w:szCs w:val="24"/>
                <w:lang w:val="cs-CZ" w:eastAsia="sk-SK"/>
              </w:rPr>
            </w:pPr>
            <w:r w:rsidRPr="00734702">
              <w:rPr>
                <w:rFonts w:ascii="Times New Roman" w:eastAsia="ヒラギノ角ゴ Pro W3" w:hAnsi="Times New Roman"/>
                <w:b/>
                <w:color w:val="000000"/>
                <w:sz w:val="24"/>
                <w:szCs w:val="24"/>
                <w:lang w:val="cs-CZ" w:eastAsia="sk-SK"/>
              </w:rPr>
              <w:t>Stanovisko Komisie pre posudzovanie vybraných vplyvov z PPK</w:t>
            </w:r>
          </w:p>
        </w:tc>
      </w:tr>
      <w:tr w:rsidR="005F34E6" w:rsidRPr="00734702" w:rsidTr="00B30BB0">
        <w:tc>
          <w:tcPr>
            <w:tcW w:w="9176" w:type="dxa"/>
            <w:gridSpan w:val="10"/>
            <w:tcBorders>
              <w:top w:val="single" w:sz="4" w:space="0" w:color="FFFFFF"/>
            </w:tcBorders>
            <w:shd w:val="clear" w:color="auto" w:fill="FFFFFF"/>
          </w:tcPr>
          <w:p w:rsidR="005F34E6" w:rsidRPr="00734702" w:rsidRDefault="005F34E6" w:rsidP="00B30BB0">
            <w:pPr>
              <w:rPr>
                <w:rFonts w:ascii="Times New Roman" w:hAnsi="Times New Roman"/>
                <w:b/>
                <w:i/>
                <w:sz w:val="24"/>
                <w:szCs w:val="24"/>
              </w:rPr>
            </w:pPr>
          </w:p>
        </w:tc>
      </w:tr>
    </w:tbl>
    <w:p w:rsidR="005F34E6" w:rsidRPr="00E93708" w:rsidRDefault="005F34E6" w:rsidP="005F34E6">
      <w:pPr>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lastRenderedPageBreak/>
        <w:t>Analýza vplyvov na rozpočet verejnej správy,</w:t>
      </w:r>
    </w:p>
    <w:p w:rsidR="005F34E6" w:rsidRPr="00E93708" w:rsidRDefault="005F34E6" w:rsidP="005F34E6">
      <w:pPr>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na zamestnanosť vo verejnej správe a financovanie návrhu</w:t>
      </w:r>
    </w:p>
    <w:p w:rsidR="005F34E6" w:rsidRPr="00E93708" w:rsidRDefault="005F34E6" w:rsidP="005F34E6">
      <w:pPr>
        <w:spacing w:after="0" w:line="240" w:lineRule="auto"/>
        <w:jc w:val="right"/>
        <w:rPr>
          <w:rFonts w:ascii="Times New Roman" w:hAnsi="Times New Roman"/>
          <w:b/>
          <w:bCs/>
          <w:sz w:val="24"/>
          <w:szCs w:val="24"/>
          <w:lang w:eastAsia="sk-SK"/>
        </w:rPr>
      </w:pPr>
    </w:p>
    <w:p w:rsidR="005F34E6" w:rsidRPr="00E93708" w:rsidRDefault="005F34E6" w:rsidP="005F34E6">
      <w:pPr>
        <w:spacing w:after="0" w:line="240" w:lineRule="auto"/>
        <w:rPr>
          <w:rFonts w:ascii="Times New Roman" w:hAnsi="Times New Roman"/>
          <w:b/>
          <w:bCs/>
          <w:sz w:val="24"/>
          <w:szCs w:val="24"/>
          <w:lang w:eastAsia="sk-SK"/>
        </w:rPr>
      </w:pPr>
    </w:p>
    <w:p w:rsidR="005F34E6" w:rsidRPr="00E93708" w:rsidRDefault="005F34E6" w:rsidP="005F34E6">
      <w:pPr>
        <w:spacing w:after="0" w:line="240" w:lineRule="auto"/>
        <w:rPr>
          <w:rFonts w:ascii="Times New Roman" w:hAnsi="Times New Roman"/>
          <w:b/>
          <w:bCs/>
          <w:sz w:val="24"/>
          <w:szCs w:val="24"/>
          <w:lang w:eastAsia="sk-SK"/>
        </w:rPr>
      </w:pPr>
      <w:r w:rsidRPr="00E93708">
        <w:rPr>
          <w:rFonts w:ascii="Times New Roman" w:hAnsi="Times New Roman"/>
          <w:b/>
          <w:bCs/>
          <w:sz w:val="24"/>
          <w:szCs w:val="24"/>
          <w:lang w:eastAsia="sk-SK"/>
        </w:rPr>
        <w:t>2.1 Zhrnutie vplyvov na rozpočet verejnej správy v návrhu</w:t>
      </w:r>
    </w:p>
    <w:p w:rsidR="005F34E6" w:rsidRPr="00E93708" w:rsidRDefault="005F34E6" w:rsidP="005F34E6">
      <w:pPr>
        <w:spacing w:after="0" w:line="240" w:lineRule="auto"/>
        <w:jc w:val="right"/>
        <w:rPr>
          <w:rFonts w:ascii="Times New Roman" w:hAnsi="Times New Roman"/>
          <w:sz w:val="24"/>
          <w:szCs w:val="24"/>
          <w:lang w:eastAsia="sk-SK"/>
        </w:rPr>
      </w:pPr>
    </w:p>
    <w:p w:rsidR="005F34E6" w:rsidRPr="00E93708" w:rsidRDefault="005F34E6" w:rsidP="005F34E6">
      <w:pPr>
        <w:spacing w:after="0" w:line="240" w:lineRule="auto"/>
        <w:jc w:val="right"/>
        <w:rPr>
          <w:rFonts w:ascii="Times New Roman" w:hAnsi="Times New Roman"/>
          <w:sz w:val="24"/>
          <w:szCs w:val="24"/>
          <w:lang w:eastAsia="sk-SK"/>
        </w:rPr>
      </w:pPr>
      <w:r w:rsidRPr="00E93708">
        <w:rPr>
          <w:rFonts w:ascii="Times New Roman" w:hAnsi="Times New Roman"/>
          <w:sz w:val="24"/>
          <w:szCs w:val="24"/>
          <w:lang w:eastAsia="sk-SK"/>
        </w:rPr>
        <w:t xml:space="preserve">Tabuľka č. 1 </w:t>
      </w:r>
    </w:p>
    <w:tbl>
      <w:tblPr>
        <w:tblW w:w="5663" w:type="pct"/>
        <w:tblLayout w:type="fixed"/>
        <w:tblCellMar>
          <w:left w:w="70" w:type="dxa"/>
          <w:right w:w="70" w:type="dxa"/>
        </w:tblCellMar>
        <w:tblLook w:val="04A0" w:firstRow="1" w:lastRow="0" w:firstColumn="1" w:lastColumn="0" w:noHBand="0" w:noVBand="1"/>
      </w:tblPr>
      <w:tblGrid>
        <w:gridCol w:w="4251"/>
        <w:gridCol w:w="1203"/>
        <w:gridCol w:w="1203"/>
        <w:gridCol w:w="1203"/>
        <w:gridCol w:w="1203"/>
        <w:gridCol w:w="1201"/>
      </w:tblGrid>
      <w:tr w:rsidR="005F34E6" w:rsidRPr="003660C8" w:rsidTr="00B30BB0">
        <w:trPr>
          <w:gridAfter w:val="1"/>
          <w:wAfter w:w="585" w:type="pct"/>
          <w:cantSplit/>
          <w:trHeight w:val="630"/>
        </w:trPr>
        <w:tc>
          <w:tcPr>
            <w:tcW w:w="207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F34E6" w:rsidRPr="003660C8" w:rsidRDefault="005F34E6" w:rsidP="00B30BB0">
            <w:pPr>
              <w:spacing w:after="0" w:line="240" w:lineRule="auto"/>
              <w:jc w:val="center"/>
              <w:rPr>
                <w:rFonts w:ascii="Times New Roman" w:hAnsi="Times New Roman"/>
                <w:b/>
                <w:bCs/>
                <w:sz w:val="20"/>
                <w:szCs w:val="20"/>
                <w:lang w:eastAsia="sk-SK"/>
              </w:rPr>
            </w:pPr>
            <w:r w:rsidRPr="003660C8">
              <w:rPr>
                <w:rFonts w:ascii="Times New Roman" w:hAnsi="Times New Roman"/>
                <w:b/>
                <w:bCs/>
                <w:sz w:val="20"/>
                <w:szCs w:val="20"/>
                <w:lang w:eastAsia="sk-SK"/>
              </w:rPr>
              <w:t>Vplyvy na rozpočet verejnej správy</w:t>
            </w:r>
          </w:p>
        </w:tc>
        <w:tc>
          <w:tcPr>
            <w:tcW w:w="2344" w:type="pct"/>
            <w:gridSpan w:val="4"/>
            <w:tcBorders>
              <w:top w:val="single" w:sz="4" w:space="0" w:color="auto"/>
              <w:left w:val="nil"/>
              <w:bottom w:val="single" w:sz="4" w:space="0" w:color="auto"/>
              <w:right w:val="single" w:sz="4" w:space="0" w:color="auto"/>
            </w:tcBorders>
            <w:shd w:val="clear" w:color="000000" w:fill="BFBFBF"/>
            <w:vAlign w:val="center"/>
            <w:hideMark/>
          </w:tcPr>
          <w:p w:rsidR="005F34E6" w:rsidRPr="003660C8" w:rsidRDefault="005F34E6" w:rsidP="00B30BB0">
            <w:pPr>
              <w:spacing w:after="0" w:line="240" w:lineRule="auto"/>
              <w:jc w:val="center"/>
              <w:rPr>
                <w:rFonts w:ascii="Times New Roman" w:hAnsi="Times New Roman"/>
                <w:b/>
                <w:bCs/>
                <w:sz w:val="20"/>
                <w:szCs w:val="20"/>
                <w:lang w:eastAsia="sk-SK"/>
              </w:rPr>
            </w:pPr>
            <w:r w:rsidRPr="003660C8">
              <w:rPr>
                <w:rFonts w:ascii="Times New Roman" w:hAnsi="Times New Roman"/>
                <w:b/>
                <w:bCs/>
                <w:sz w:val="20"/>
                <w:szCs w:val="20"/>
                <w:lang w:eastAsia="sk-SK"/>
              </w:rPr>
              <w:t>Vplyv na rozpočet verejnej správy (v eurách</w:t>
            </w:r>
            <w:r>
              <w:rPr>
                <w:rFonts w:ascii="Times New Roman" w:hAnsi="Times New Roman"/>
                <w:b/>
                <w:bCs/>
                <w:sz w:val="20"/>
                <w:szCs w:val="20"/>
                <w:lang w:eastAsia="sk-SK"/>
              </w:rPr>
              <w:t>, akruál</w:t>
            </w:r>
            <w:r w:rsidRPr="003660C8">
              <w:rPr>
                <w:rFonts w:ascii="Times New Roman" w:hAnsi="Times New Roman"/>
                <w:b/>
                <w:bCs/>
                <w:sz w:val="20"/>
                <w:szCs w:val="20"/>
                <w:lang w:eastAsia="sk-SK"/>
              </w:rPr>
              <w:t>)</w:t>
            </w:r>
          </w:p>
        </w:tc>
      </w:tr>
      <w:tr w:rsidR="005F34E6" w:rsidRPr="003660C8" w:rsidTr="00B30BB0">
        <w:trPr>
          <w:gridAfter w:val="1"/>
          <w:wAfter w:w="585" w:type="pct"/>
          <w:trHeight w:val="255"/>
        </w:trPr>
        <w:tc>
          <w:tcPr>
            <w:tcW w:w="2071" w:type="pct"/>
            <w:vMerge/>
            <w:tcBorders>
              <w:top w:val="single" w:sz="4" w:space="0" w:color="auto"/>
              <w:left w:val="single" w:sz="4" w:space="0" w:color="auto"/>
              <w:bottom w:val="single" w:sz="4" w:space="0" w:color="auto"/>
              <w:right w:val="single" w:sz="4" w:space="0" w:color="auto"/>
            </w:tcBorders>
            <w:vAlign w:val="center"/>
            <w:hideMark/>
          </w:tcPr>
          <w:p w:rsidR="005F34E6" w:rsidRPr="003660C8" w:rsidRDefault="005F34E6" w:rsidP="00B30BB0">
            <w:pPr>
              <w:spacing w:after="0" w:line="240" w:lineRule="auto"/>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vAlign w:val="center"/>
            <w:hideMark/>
          </w:tcPr>
          <w:p w:rsidR="005F34E6" w:rsidRPr="00584490" w:rsidRDefault="005F34E6" w:rsidP="00B30BB0">
            <w:pPr>
              <w:spacing w:after="0" w:line="240" w:lineRule="auto"/>
              <w:jc w:val="center"/>
              <w:rPr>
                <w:rFonts w:ascii="Times New Roman" w:hAnsi="Times New Roman"/>
                <w:b/>
                <w:bCs/>
                <w:sz w:val="20"/>
                <w:szCs w:val="20"/>
                <w:lang w:eastAsia="sk-SK"/>
              </w:rPr>
            </w:pPr>
            <w:r w:rsidRPr="00584490">
              <w:rPr>
                <w:rFonts w:ascii="Times New Roman" w:hAnsi="Times New Roman"/>
                <w:b/>
                <w:bCs/>
                <w:sz w:val="20"/>
                <w:szCs w:val="20"/>
                <w:lang w:eastAsia="sk-SK"/>
              </w:rPr>
              <w:t>2020</w:t>
            </w:r>
          </w:p>
        </w:tc>
        <w:tc>
          <w:tcPr>
            <w:tcW w:w="586" w:type="pct"/>
            <w:tcBorders>
              <w:top w:val="nil"/>
              <w:left w:val="nil"/>
              <w:bottom w:val="single" w:sz="4" w:space="0" w:color="auto"/>
              <w:right w:val="single" w:sz="4" w:space="0" w:color="auto"/>
            </w:tcBorders>
            <w:shd w:val="clear" w:color="000000" w:fill="BFBFBF"/>
            <w:vAlign w:val="center"/>
            <w:hideMark/>
          </w:tcPr>
          <w:p w:rsidR="005F34E6" w:rsidRPr="00584490" w:rsidRDefault="005F34E6" w:rsidP="00B30BB0">
            <w:pPr>
              <w:spacing w:after="0" w:line="240" w:lineRule="auto"/>
              <w:jc w:val="center"/>
              <w:rPr>
                <w:rFonts w:ascii="Times New Roman" w:hAnsi="Times New Roman"/>
                <w:b/>
                <w:bCs/>
                <w:sz w:val="20"/>
                <w:szCs w:val="20"/>
                <w:lang w:eastAsia="sk-SK"/>
              </w:rPr>
            </w:pPr>
            <w:r w:rsidRPr="00584490">
              <w:rPr>
                <w:rFonts w:ascii="Times New Roman" w:hAnsi="Times New Roman"/>
                <w:b/>
                <w:bCs/>
                <w:sz w:val="20"/>
                <w:szCs w:val="20"/>
                <w:lang w:eastAsia="sk-SK"/>
              </w:rPr>
              <w:t>20</w:t>
            </w:r>
            <w:r>
              <w:rPr>
                <w:rFonts w:ascii="Times New Roman" w:hAnsi="Times New Roman"/>
                <w:b/>
                <w:bCs/>
                <w:sz w:val="20"/>
                <w:szCs w:val="20"/>
                <w:lang w:eastAsia="sk-SK"/>
              </w:rPr>
              <w:t>21</w:t>
            </w:r>
          </w:p>
        </w:tc>
        <w:tc>
          <w:tcPr>
            <w:tcW w:w="586" w:type="pct"/>
            <w:tcBorders>
              <w:top w:val="nil"/>
              <w:left w:val="nil"/>
              <w:bottom w:val="single" w:sz="4" w:space="0" w:color="auto"/>
              <w:right w:val="single" w:sz="4" w:space="0" w:color="auto"/>
            </w:tcBorders>
            <w:shd w:val="clear" w:color="000000" w:fill="BFBFBF"/>
            <w:vAlign w:val="center"/>
            <w:hideMark/>
          </w:tcPr>
          <w:p w:rsidR="005F34E6" w:rsidRPr="00584490" w:rsidRDefault="005F34E6" w:rsidP="00B30BB0">
            <w:pPr>
              <w:spacing w:after="0" w:line="240" w:lineRule="auto"/>
              <w:jc w:val="center"/>
              <w:rPr>
                <w:rFonts w:ascii="Times New Roman" w:hAnsi="Times New Roman"/>
                <w:b/>
                <w:bCs/>
                <w:sz w:val="20"/>
                <w:szCs w:val="20"/>
                <w:lang w:eastAsia="sk-SK"/>
              </w:rPr>
            </w:pPr>
            <w:r w:rsidRPr="00584490">
              <w:rPr>
                <w:rFonts w:ascii="Times New Roman" w:hAnsi="Times New Roman"/>
                <w:b/>
                <w:bCs/>
                <w:sz w:val="20"/>
                <w:szCs w:val="20"/>
                <w:lang w:eastAsia="sk-SK"/>
              </w:rPr>
              <w:t>2022</w:t>
            </w:r>
          </w:p>
        </w:tc>
        <w:tc>
          <w:tcPr>
            <w:tcW w:w="586" w:type="pct"/>
            <w:tcBorders>
              <w:top w:val="nil"/>
              <w:left w:val="nil"/>
              <w:bottom w:val="single" w:sz="4" w:space="0" w:color="auto"/>
              <w:right w:val="single" w:sz="4" w:space="0" w:color="auto"/>
            </w:tcBorders>
            <w:shd w:val="clear" w:color="000000" w:fill="BFBFBF"/>
            <w:vAlign w:val="center"/>
            <w:hideMark/>
          </w:tcPr>
          <w:p w:rsidR="005F34E6" w:rsidRPr="00584490" w:rsidRDefault="005F34E6" w:rsidP="00B30BB0">
            <w:pPr>
              <w:spacing w:after="0" w:line="240" w:lineRule="auto"/>
              <w:jc w:val="center"/>
              <w:rPr>
                <w:rFonts w:ascii="Times New Roman" w:hAnsi="Times New Roman"/>
                <w:b/>
                <w:bCs/>
                <w:sz w:val="20"/>
                <w:szCs w:val="20"/>
                <w:lang w:eastAsia="sk-SK"/>
              </w:rPr>
            </w:pPr>
            <w:r w:rsidRPr="00584490">
              <w:rPr>
                <w:rFonts w:ascii="Times New Roman" w:hAnsi="Times New Roman"/>
                <w:b/>
                <w:bCs/>
                <w:sz w:val="20"/>
                <w:szCs w:val="20"/>
                <w:lang w:eastAsia="sk-SK"/>
              </w:rPr>
              <w:t>2023</w:t>
            </w: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C0C0C0"/>
            <w:noWrap/>
            <w:vAlign w:val="center"/>
            <w:hideMark/>
          </w:tcPr>
          <w:p w:rsidR="005F34E6" w:rsidRPr="003660C8" w:rsidRDefault="005F34E6" w:rsidP="00B30BB0">
            <w:pPr>
              <w:spacing w:after="0" w:line="240" w:lineRule="auto"/>
              <w:rPr>
                <w:rFonts w:ascii="Times New Roman" w:hAnsi="Times New Roman"/>
                <w:b/>
                <w:bCs/>
                <w:sz w:val="20"/>
                <w:szCs w:val="20"/>
                <w:lang w:eastAsia="sk-SK"/>
              </w:rPr>
            </w:pPr>
            <w:r w:rsidRPr="003660C8">
              <w:rPr>
                <w:rFonts w:ascii="Times New Roman" w:hAnsi="Times New Roman"/>
                <w:b/>
                <w:bCs/>
                <w:sz w:val="20"/>
                <w:szCs w:val="20"/>
                <w:lang w:eastAsia="sk-SK"/>
              </w:rPr>
              <w:t>Príjmy verejnej správy celkom</w:t>
            </w:r>
          </w:p>
        </w:tc>
        <w:tc>
          <w:tcPr>
            <w:tcW w:w="586" w:type="pct"/>
            <w:tcBorders>
              <w:top w:val="nil"/>
              <w:left w:val="nil"/>
              <w:bottom w:val="single" w:sz="4" w:space="0" w:color="auto"/>
              <w:right w:val="single" w:sz="4" w:space="0" w:color="auto"/>
            </w:tcBorders>
            <w:shd w:val="clear" w:color="000000" w:fill="C0C0C0"/>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-28 493 000</w:t>
            </w:r>
          </w:p>
        </w:tc>
        <w:tc>
          <w:tcPr>
            <w:tcW w:w="586" w:type="pct"/>
            <w:tcBorders>
              <w:top w:val="nil"/>
              <w:left w:val="nil"/>
              <w:bottom w:val="single" w:sz="4" w:space="0" w:color="auto"/>
              <w:right w:val="single" w:sz="4" w:space="0" w:color="auto"/>
            </w:tcBorders>
            <w:shd w:val="clear" w:color="000000" w:fill="C0C0C0"/>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-30 834 000</w:t>
            </w:r>
          </w:p>
        </w:tc>
        <w:tc>
          <w:tcPr>
            <w:tcW w:w="586" w:type="pct"/>
            <w:tcBorders>
              <w:top w:val="nil"/>
              <w:left w:val="nil"/>
              <w:bottom w:val="single" w:sz="4" w:space="0" w:color="auto"/>
              <w:right w:val="single" w:sz="4" w:space="0" w:color="auto"/>
            </w:tcBorders>
            <w:shd w:val="clear" w:color="000000" w:fill="C0C0C0"/>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-33 354 000</w:t>
            </w:r>
          </w:p>
        </w:tc>
        <w:tc>
          <w:tcPr>
            <w:tcW w:w="586" w:type="pct"/>
            <w:tcBorders>
              <w:top w:val="nil"/>
              <w:left w:val="nil"/>
              <w:bottom w:val="single" w:sz="4" w:space="0" w:color="auto"/>
              <w:right w:val="single" w:sz="4" w:space="0" w:color="auto"/>
            </w:tcBorders>
            <w:shd w:val="clear" w:color="000000" w:fill="C0C0C0"/>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-35 149 000</w:t>
            </w: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rPr>
                <w:rFonts w:ascii="Times New Roman" w:hAnsi="Times New Roman"/>
                <w:sz w:val="20"/>
                <w:szCs w:val="20"/>
                <w:lang w:eastAsia="sk-SK"/>
              </w:rPr>
            </w:pPr>
            <w:r w:rsidRPr="003660C8">
              <w:rPr>
                <w:rFonts w:ascii="Times New Roman" w:hAnsi="Times New Roman"/>
                <w:sz w:val="20"/>
                <w:szCs w:val="20"/>
                <w:lang w:eastAsia="sk-SK"/>
              </w:rPr>
              <w:t xml:space="preserve">v tom: </w:t>
            </w:r>
            <w:r>
              <w:rPr>
                <w:rFonts w:ascii="Times New Roman" w:hAnsi="Times New Roman"/>
                <w:sz w:val="20"/>
                <w:szCs w:val="20"/>
                <w:lang w:eastAsia="sk-SK"/>
              </w:rPr>
              <w:t>kapitola VPS</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-28 493 000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-30 834 000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-33 354 000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-35 149 000</w:t>
            </w: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rPr>
                <w:rFonts w:ascii="Times New Roman" w:hAnsi="Times New Roman"/>
                <w:b/>
                <w:bCs/>
                <w:i/>
                <w:iCs/>
                <w:sz w:val="20"/>
                <w:szCs w:val="20"/>
                <w:lang w:eastAsia="sk-SK"/>
              </w:rPr>
            </w:pPr>
            <w:r w:rsidRPr="003660C8">
              <w:rPr>
                <w:rFonts w:ascii="Times New Roman" w:hAnsi="Times New Roman"/>
                <w:b/>
                <w:bCs/>
                <w:i/>
                <w:iCs/>
                <w:sz w:val="20"/>
                <w:szCs w:val="20"/>
                <w:lang w:eastAsia="sk-SK"/>
              </w:rPr>
              <w:t xml:space="preserve">z toho:  </w:t>
            </w:r>
          </w:p>
        </w:tc>
        <w:tc>
          <w:tcPr>
            <w:tcW w:w="586" w:type="pct"/>
            <w:tcBorders>
              <w:top w:val="nil"/>
              <w:left w:val="nil"/>
              <w:bottom w:val="single" w:sz="4" w:space="0" w:color="auto"/>
              <w:right w:val="single" w:sz="4" w:space="0" w:color="auto"/>
            </w:tcBorders>
            <w:noWrap/>
            <w:vAlign w:val="center"/>
          </w:tcPr>
          <w:p w:rsidR="005F34E6" w:rsidRPr="00AF2EDF" w:rsidRDefault="005F34E6" w:rsidP="00B30BB0">
            <w:pPr>
              <w:spacing w:after="0" w:line="240" w:lineRule="auto"/>
              <w:jc w:val="center"/>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5B6372" w:rsidRDefault="005F34E6" w:rsidP="00B30BB0">
            <w:pPr>
              <w:spacing w:after="0" w:line="240" w:lineRule="auto"/>
              <w:jc w:val="center"/>
              <w:rPr>
                <w:rFonts w:ascii="Times New Roman" w:hAnsi="Times New Roman"/>
                <w:b/>
                <w:bCs/>
                <w:sz w:val="20"/>
                <w:szCs w:val="20"/>
                <w:highlight w:val="yellow"/>
                <w:lang w:eastAsia="sk-SK"/>
              </w:rPr>
            </w:pPr>
          </w:p>
        </w:tc>
        <w:tc>
          <w:tcPr>
            <w:tcW w:w="586" w:type="pct"/>
            <w:tcBorders>
              <w:top w:val="nil"/>
              <w:left w:val="nil"/>
              <w:bottom w:val="single" w:sz="4" w:space="0" w:color="auto"/>
              <w:right w:val="single" w:sz="4" w:space="0" w:color="auto"/>
            </w:tcBorders>
            <w:noWrap/>
            <w:vAlign w:val="center"/>
          </w:tcPr>
          <w:p w:rsidR="005F34E6" w:rsidRPr="005B6372" w:rsidRDefault="005F34E6" w:rsidP="00B30BB0">
            <w:pPr>
              <w:spacing w:after="0" w:line="240" w:lineRule="auto"/>
              <w:jc w:val="center"/>
              <w:rPr>
                <w:rFonts w:ascii="Times New Roman" w:hAnsi="Times New Roman"/>
                <w:b/>
                <w:bCs/>
                <w:sz w:val="20"/>
                <w:szCs w:val="20"/>
                <w:highlight w:val="yellow"/>
                <w:lang w:eastAsia="sk-SK"/>
              </w:rPr>
            </w:pPr>
          </w:p>
        </w:tc>
        <w:tc>
          <w:tcPr>
            <w:tcW w:w="586" w:type="pct"/>
            <w:tcBorders>
              <w:top w:val="nil"/>
              <w:left w:val="nil"/>
              <w:bottom w:val="single" w:sz="4" w:space="0" w:color="auto"/>
              <w:right w:val="single" w:sz="4" w:space="0" w:color="auto"/>
            </w:tcBorders>
            <w:noWrap/>
            <w:vAlign w:val="center"/>
          </w:tcPr>
          <w:p w:rsidR="005F34E6" w:rsidRPr="005B6372" w:rsidRDefault="005F34E6" w:rsidP="00B30BB0">
            <w:pPr>
              <w:spacing w:after="0" w:line="240" w:lineRule="auto"/>
              <w:jc w:val="center"/>
              <w:rPr>
                <w:rFonts w:ascii="Times New Roman" w:hAnsi="Times New Roman"/>
                <w:b/>
                <w:bCs/>
                <w:sz w:val="20"/>
                <w:szCs w:val="20"/>
                <w:highlight w:val="yellow"/>
                <w:lang w:eastAsia="sk-SK"/>
              </w:rPr>
            </w:pP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ŠR</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-28 493 000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-30 834 000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-33 354 000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-35 149 000</w:t>
            </w: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ind w:firstLineChars="100" w:firstLine="200"/>
              <w:rPr>
                <w:rFonts w:ascii="Times New Roman" w:hAnsi="Times New Roman"/>
                <w:i/>
                <w:iCs/>
                <w:sz w:val="20"/>
                <w:szCs w:val="20"/>
                <w:lang w:eastAsia="sk-SK"/>
              </w:rPr>
            </w:pPr>
            <w:r w:rsidRPr="003660C8">
              <w:rPr>
                <w:rFonts w:ascii="Times New Roman" w:hAnsi="Times New Roman"/>
                <w:i/>
                <w:iCs/>
                <w:sz w:val="20"/>
                <w:szCs w:val="20"/>
                <w:lang w:eastAsia="sk-SK"/>
              </w:rPr>
              <w:t>Rozpočtové prostriedky</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-28 493 000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-30 834 000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-33 354 000</w:t>
            </w:r>
          </w:p>
        </w:tc>
        <w:tc>
          <w:tcPr>
            <w:tcW w:w="586" w:type="pct"/>
            <w:tcBorders>
              <w:top w:val="nil"/>
              <w:left w:val="nil"/>
              <w:bottom w:val="single" w:sz="4" w:space="0" w:color="auto"/>
              <w:right w:val="single" w:sz="4" w:space="0" w:color="auto"/>
            </w:tcBorders>
            <w:noWrap/>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-35 149 000</w:t>
            </w: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ind w:firstLineChars="100" w:firstLine="200"/>
              <w:rPr>
                <w:rFonts w:ascii="Times New Roman" w:hAnsi="Times New Roman"/>
                <w:i/>
                <w:iCs/>
                <w:sz w:val="20"/>
                <w:szCs w:val="20"/>
                <w:lang w:eastAsia="sk-SK"/>
              </w:rPr>
            </w:pPr>
            <w:r w:rsidRPr="003660C8">
              <w:rPr>
                <w:rFonts w:ascii="Times New Roman" w:hAnsi="Times New Roman"/>
                <w:i/>
                <w:iCs/>
                <w:sz w:val="20"/>
                <w:szCs w:val="20"/>
                <w:lang w:eastAsia="sk-SK"/>
              </w:rPr>
              <w:t>EÚ zdroje</w:t>
            </w: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sz w:val="20"/>
                <w:szCs w:val="20"/>
                <w:lang w:eastAsia="sk-SK"/>
              </w:rPr>
            </w:pP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obce</w:t>
            </w: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vyššie územné celky</w:t>
            </w: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r>
      <w:tr w:rsidR="005F34E6" w:rsidRPr="003660C8"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3660C8" w:rsidRDefault="005F34E6" w:rsidP="00B30BB0">
            <w:pPr>
              <w:spacing w:after="0" w:line="240" w:lineRule="auto"/>
              <w:rPr>
                <w:rFonts w:ascii="Times New Roman" w:hAnsi="Times New Roman"/>
                <w:b/>
                <w:bCs/>
                <w:i/>
                <w:iCs/>
                <w:sz w:val="20"/>
                <w:szCs w:val="20"/>
                <w:lang w:eastAsia="sk-SK"/>
              </w:rPr>
            </w:pPr>
            <w:r w:rsidRPr="003660C8">
              <w:rPr>
                <w:rFonts w:ascii="Times New Roman" w:hAnsi="Times New Roman"/>
                <w:b/>
                <w:bCs/>
                <w:i/>
                <w:iCs/>
                <w:sz w:val="20"/>
                <w:szCs w:val="20"/>
                <w:lang w:eastAsia="sk-SK"/>
              </w:rPr>
              <w:t>- vplyv na ostatné subjekty verejnej správy</w:t>
            </w: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3660C8"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C0C0C0"/>
            <w:noWrap/>
            <w:vAlign w:val="center"/>
            <w:hideMark/>
          </w:tcPr>
          <w:p w:rsidR="005F34E6" w:rsidRPr="004619D6" w:rsidRDefault="005F34E6" w:rsidP="00B30BB0">
            <w:pPr>
              <w:spacing w:after="0" w:line="240" w:lineRule="auto"/>
              <w:rPr>
                <w:rFonts w:ascii="Times New Roman" w:hAnsi="Times New Roman"/>
                <w:b/>
                <w:bCs/>
                <w:sz w:val="20"/>
                <w:szCs w:val="20"/>
                <w:lang w:eastAsia="sk-SK"/>
              </w:rPr>
            </w:pPr>
            <w:r w:rsidRPr="004619D6">
              <w:rPr>
                <w:rFonts w:ascii="Times New Roman" w:hAnsi="Times New Roman"/>
                <w:b/>
                <w:bCs/>
                <w:sz w:val="20"/>
                <w:szCs w:val="20"/>
                <w:lang w:eastAsia="sk-SK"/>
              </w:rPr>
              <w:t>Výdavky verejnej správy celkom</w:t>
            </w: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ind w:firstLineChars="100" w:firstLine="200"/>
              <w:rPr>
                <w:rFonts w:ascii="Times New Roman" w:hAnsi="Times New Roman"/>
                <w:sz w:val="20"/>
                <w:szCs w:val="20"/>
                <w:lang w:eastAsia="sk-SK"/>
              </w:rPr>
            </w:pPr>
            <w:r w:rsidRPr="004619D6">
              <w:rPr>
                <w:rFonts w:ascii="Times New Roman" w:hAnsi="Times New Roman"/>
                <w:sz w:val="20"/>
                <w:szCs w:val="20"/>
                <w:lang w:eastAsia="sk-SK"/>
              </w:rPr>
              <w:t>kapitola MF SR</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r>
      <w:tr w:rsidR="005F34E6" w:rsidRPr="004619D6" w:rsidTr="00B30BB0">
        <w:trPr>
          <w:trHeight w:val="255"/>
        </w:trPr>
        <w:tc>
          <w:tcPr>
            <w:tcW w:w="2071" w:type="pct"/>
            <w:tcBorders>
              <w:top w:val="nil"/>
              <w:left w:val="single" w:sz="4" w:space="0" w:color="auto"/>
              <w:bottom w:val="single" w:sz="4" w:space="0" w:color="auto"/>
              <w:right w:val="single" w:sz="4" w:space="0" w:color="auto"/>
            </w:tcBorders>
            <w:noWrap/>
            <w:vAlign w:val="center"/>
          </w:tcPr>
          <w:p w:rsidR="005F34E6" w:rsidRPr="004619D6" w:rsidRDefault="005F34E6" w:rsidP="00B30BB0">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P</w:t>
            </w:r>
            <w:r w:rsidRPr="004619D6">
              <w:rPr>
                <w:rFonts w:ascii="Times New Roman" w:hAnsi="Times New Roman"/>
                <w:sz w:val="20"/>
                <w:szCs w:val="20"/>
                <w:lang w:eastAsia="sk-SK"/>
              </w:rPr>
              <w:t>rogram 072 – výber daní a cla</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5" w:type="pct"/>
            <w:vAlign w:val="center"/>
          </w:tcPr>
          <w:p w:rsidR="005F34E6" w:rsidRPr="004619D6" w:rsidRDefault="005F34E6" w:rsidP="00B30BB0">
            <w:pPr>
              <w:spacing w:after="0" w:line="240" w:lineRule="auto"/>
              <w:jc w:val="right"/>
              <w:rPr>
                <w:rFonts w:ascii="Times New Roman" w:hAnsi="Times New Roman"/>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sz w:val="20"/>
                <w:szCs w:val="20"/>
                <w:lang w:eastAsia="sk-SK"/>
              </w:rPr>
            </w:pPr>
            <w:r>
              <w:rPr>
                <w:rFonts w:ascii="Times New Roman" w:hAnsi="Times New Roman"/>
                <w:sz w:val="20"/>
                <w:szCs w:val="20"/>
                <w:lang w:eastAsia="sk-SK"/>
              </w:rPr>
              <w:t xml:space="preserve">    P</w:t>
            </w:r>
            <w:r w:rsidRPr="004619D6">
              <w:rPr>
                <w:rFonts w:ascii="Times New Roman" w:hAnsi="Times New Roman"/>
                <w:sz w:val="20"/>
                <w:szCs w:val="20"/>
                <w:lang w:eastAsia="sk-SK"/>
              </w:rPr>
              <w:t>odprogram 0EK0D</w:t>
            </w:r>
            <w:r>
              <w:rPr>
                <w:rFonts w:ascii="Times New Roman" w:hAnsi="Times New Roman"/>
                <w:sz w:val="20"/>
                <w:szCs w:val="20"/>
                <w:lang w:eastAsia="sk-SK"/>
              </w:rPr>
              <w:t xml:space="preserve"> -</w:t>
            </w:r>
            <w:r w:rsidRPr="004619D6">
              <w:rPr>
                <w:rFonts w:ascii="Times New Roman" w:hAnsi="Times New Roman"/>
                <w:sz w:val="20"/>
                <w:szCs w:val="20"/>
                <w:lang w:eastAsia="sk-SK"/>
              </w:rPr>
              <w:t xml:space="preserve"> Informačné technológie </w:t>
            </w:r>
            <w:r>
              <w:rPr>
                <w:rFonts w:ascii="Times New Roman" w:hAnsi="Times New Roman"/>
                <w:sz w:val="20"/>
                <w:szCs w:val="20"/>
                <w:lang w:eastAsia="sk-SK"/>
              </w:rPr>
              <w:t xml:space="preserve">        </w:t>
            </w:r>
            <w:r w:rsidRPr="004619D6">
              <w:rPr>
                <w:rFonts w:ascii="Times New Roman" w:hAnsi="Times New Roman"/>
                <w:sz w:val="20"/>
                <w:szCs w:val="20"/>
                <w:lang w:eastAsia="sk-SK"/>
              </w:rPr>
              <w:t xml:space="preserve">financované zo štátneho rozpočtu </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xml:space="preserve">z toho: </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ŠR</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D0216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D0216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D0216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ind w:firstLineChars="100" w:firstLine="200"/>
              <w:rPr>
                <w:rFonts w:ascii="Times New Roman" w:hAnsi="Times New Roman"/>
                <w:i/>
                <w:iCs/>
                <w:sz w:val="20"/>
                <w:szCs w:val="20"/>
                <w:lang w:eastAsia="sk-SK"/>
              </w:rPr>
            </w:pPr>
            <w:r w:rsidRPr="004619D6">
              <w:rPr>
                <w:rFonts w:ascii="Times New Roman" w:hAnsi="Times New Roman"/>
                <w:i/>
                <w:iCs/>
                <w:sz w:val="20"/>
                <w:szCs w:val="20"/>
                <w:lang w:eastAsia="sk-SK"/>
              </w:rPr>
              <w:t>Rozpočtové prostriedky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i/>
                <w:iCs/>
                <w:sz w:val="20"/>
                <w:szCs w:val="20"/>
                <w:lang w:eastAsia="sk-SK"/>
              </w:rPr>
            </w:pPr>
            <w:r w:rsidRPr="004619D6">
              <w:rPr>
                <w:rFonts w:ascii="Times New Roman" w:hAnsi="Times New Roman"/>
                <w:i/>
                <w:iCs/>
                <w:sz w:val="20"/>
                <w:szCs w:val="20"/>
                <w:lang w:eastAsia="sk-SK"/>
              </w:rPr>
              <w:t xml:space="preserve">    EÚ zdroje</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i/>
                <w:iCs/>
                <w:sz w:val="20"/>
                <w:szCs w:val="20"/>
                <w:lang w:eastAsia="sk-SK"/>
              </w:rPr>
            </w:pPr>
            <w:r w:rsidRPr="004619D6">
              <w:rPr>
                <w:rFonts w:ascii="Times New Roman" w:hAnsi="Times New Roman"/>
                <w:i/>
                <w:iCs/>
                <w:sz w:val="20"/>
                <w:szCs w:val="20"/>
                <w:lang w:eastAsia="sk-SK"/>
              </w:rPr>
              <w:t xml:space="preserve">    spolufinancovanie</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obce</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vyššie územné celky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ostatné subjekty verejnej správy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BFBFBF"/>
            <w:noWrap/>
            <w:vAlign w:val="center"/>
            <w:hideMark/>
          </w:tcPr>
          <w:p w:rsidR="005F34E6" w:rsidRPr="004619D6" w:rsidRDefault="005F34E6" w:rsidP="00B30BB0">
            <w:pPr>
              <w:spacing w:after="0" w:line="240" w:lineRule="auto"/>
              <w:rPr>
                <w:rFonts w:ascii="Times New Roman" w:hAnsi="Times New Roman"/>
                <w:b/>
                <w:bCs/>
                <w:sz w:val="20"/>
                <w:szCs w:val="20"/>
                <w:lang w:eastAsia="sk-SK"/>
              </w:rPr>
            </w:pPr>
            <w:r w:rsidRPr="004619D6">
              <w:rPr>
                <w:rFonts w:ascii="Times New Roman" w:hAnsi="Times New Roman"/>
                <w:b/>
                <w:bCs/>
                <w:sz w:val="20"/>
                <w:szCs w:val="20"/>
                <w:lang w:eastAsia="sk-SK"/>
              </w:rPr>
              <w:t xml:space="preserve">Vplyv na počet zamestnancov </w:t>
            </w: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ŠR</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obce</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vyššie územné celky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ostatné subjekty verejnej správy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BFBFBF"/>
            <w:noWrap/>
            <w:vAlign w:val="center"/>
            <w:hideMark/>
          </w:tcPr>
          <w:p w:rsidR="005F34E6" w:rsidRPr="004619D6" w:rsidRDefault="005F34E6" w:rsidP="00B30BB0">
            <w:pPr>
              <w:spacing w:after="0" w:line="240" w:lineRule="auto"/>
              <w:rPr>
                <w:rFonts w:ascii="Times New Roman" w:hAnsi="Times New Roman"/>
                <w:b/>
                <w:bCs/>
                <w:sz w:val="20"/>
                <w:szCs w:val="20"/>
                <w:lang w:eastAsia="sk-SK"/>
              </w:rPr>
            </w:pPr>
            <w:r w:rsidRPr="004619D6">
              <w:rPr>
                <w:rFonts w:ascii="Times New Roman" w:hAnsi="Times New Roman"/>
                <w:b/>
                <w:bCs/>
                <w:sz w:val="20"/>
                <w:szCs w:val="20"/>
                <w:lang w:eastAsia="sk-SK"/>
              </w:rPr>
              <w:t>Vplyv na mzdové výdavky</w:t>
            </w: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ŠR</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obce</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vyššie územné celky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4619D6" w:rsidRDefault="005F34E6" w:rsidP="00B30BB0">
            <w:pPr>
              <w:spacing w:after="0" w:line="240" w:lineRule="auto"/>
              <w:rPr>
                <w:rFonts w:ascii="Times New Roman" w:hAnsi="Times New Roman"/>
                <w:b/>
                <w:bCs/>
                <w:i/>
                <w:iCs/>
                <w:sz w:val="20"/>
                <w:szCs w:val="20"/>
                <w:lang w:eastAsia="sk-SK"/>
              </w:rPr>
            </w:pPr>
            <w:r w:rsidRPr="004619D6">
              <w:rPr>
                <w:rFonts w:ascii="Times New Roman" w:hAnsi="Times New Roman"/>
                <w:b/>
                <w:bCs/>
                <w:i/>
                <w:iCs/>
                <w:sz w:val="20"/>
                <w:szCs w:val="20"/>
                <w:lang w:eastAsia="sk-SK"/>
              </w:rPr>
              <w:t>- vplyv na ostatné subjekty verejnej správy</w:t>
            </w: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C0C0C0"/>
            <w:noWrap/>
            <w:vAlign w:val="center"/>
            <w:hideMark/>
          </w:tcPr>
          <w:p w:rsidR="005F34E6" w:rsidRPr="004619D6" w:rsidRDefault="005F34E6" w:rsidP="00B30BB0">
            <w:pPr>
              <w:spacing w:after="0" w:line="240" w:lineRule="auto"/>
              <w:rPr>
                <w:rFonts w:ascii="Times New Roman" w:hAnsi="Times New Roman"/>
                <w:b/>
                <w:bCs/>
                <w:sz w:val="20"/>
                <w:szCs w:val="20"/>
                <w:lang w:eastAsia="sk-SK"/>
              </w:rPr>
            </w:pPr>
            <w:r w:rsidRPr="004619D6">
              <w:rPr>
                <w:rFonts w:ascii="Times New Roman" w:hAnsi="Times New Roman"/>
                <w:b/>
                <w:bCs/>
                <w:sz w:val="20"/>
                <w:szCs w:val="20"/>
                <w:lang w:eastAsia="sk-SK"/>
              </w:rPr>
              <w:t>Financovanie zabezpečené v rozpočte</w:t>
            </w:r>
          </w:p>
        </w:tc>
        <w:tc>
          <w:tcPr>
            <w:tcW w:w="586" w:type="pct"/>
            <w:tcBorders>
              <w:top w:val="nil"/>
              <w:left w:val="nil"/>
              <w:bottom w:val="single" w:sz="4" w:space="0" w:color="auto"/>
              <w:right w:val="single" w:sz="4" w:space="0" w:color="auto"/>
            </w:tcBorders>
            <w:shd w:val="clear" w:color="000000" w:fill="C0C0C0"/>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C0C0C0"/>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noWrap/>
            <w:vAlign w:val="center"/>
            <w:hideMark/>
          </w:tcPr>
          <w:p w:rsidR="005F34E6" w:rsidRPr="00CF7308" w:rsidRDefault="005F34E6" w:rsidP="00B30BB0">
            <w:pPr>
              <w:spacing w:after="0" w:line="240" w:lineRule="auto"/>
              <w:rPr>
                <w:rFonts w:ascii="Times New Roman" w:hAnsi="Times New Roman"/>
                <w:sz w:val="20"/>
                <w:szCs w:val="20"/>
                <w:lang w:eastAsia="sk-SK"/>
              </w:rPr>
            </w:pPr>
            <w:r w:rsidRPr="00CF7308">
              <w:rPr>
                <w:rFonts w:ascii="Times New Roman" w:hAnsi="Times New Roman"/>
                <w:sz w:val="20"/>
                <w:szCs w:val="20"/>
                <w:lang w:eastAsia="sk-SK"/>
              </w:rPr>
              <w:t>v tom: kapitola MF SR</w:t>
            </w:r>
          </w:p>
        </w:tc>
        <w:tc>
          <w:tcPr>
            <w:tcW w:w="586" w:type="pct"/>
            <w:tcBorders>
              <w:top w:val="nil"/>
              <w:left w:val="nil"/>
              <w:bottom w:val="single" w:sz="4" w:space="0" w:color="auto"/>
              <w:right w:val="single" w:sz="4" w:space="0" w:color="auto"/>
            </w:tcBorders>
            <w:noWrap/>
            <w:vAlign w:val="center"/>
          </w:tcPr>
          <w:p w:rsidR="005F34E6" w:rsidRPr="00CF7308"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CF7308"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CF7308" w:rsidRDefault="005F34E6" w:rsidP="00B30BB0">
            <w:pPr>
              <w:spacing w:after="0" w:line="240" w:lineRule="auto"/>
              <w:jc w:val="right"/>
              <w:rPr>
                <w:rFonts w:ascii="Times New Roman" w:hAnsi="Times New Roman"/>
                <w:sz w:val="20"/>
                <w:szCs w:val="20"/>
                <w:lang w:eastAsia="sk-SK"/>
              </w:rPr>
            </w:pPr>
          </w:p>
        </w:tc>
        <w:tc>
          <w:tcPr>
            <w:tcW w:w="586" w:type="pct"/>
            <w:tcBorders>
              <w:top w:val="nil"/>
              <w:left w:val="nil"/>
              <w:bottom w:val="single" w:sz="4" w:space="0" w:color="auto"/>
              <w:right w:val="single" w:sz="4" w:space="0" w:color="auto"/>
            </w:tcBorders>
            <w:noWrap/>
            <w:vAlign w:val="center"/>
          </w:tcPr>
          <w:p w:rsidR="005F34E6" w:rsidRPr="00CF7308" w:rsidRDefault="005F34E6" w:rsidP="00B30BB0">
            <w:pPr>
              <w:spacing w:after="0" w:line="240" w:lineRule="auto"/>
              <w:jc w:val="right"/>
              <w:rPr>
                <w:rFonts w:ascii="Times New Roman" w:hAnsi="Times New Roman"/>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BFBFBF"/>
            <w:noWrap/>
            <w:vAlign w:val="center"/>
            <w:hideMark/>
          </w:tcPr>
          <w:p w:rsidR="005F34E6" w:rsidRPr="004619D6" w:rsidRDefault="005F34E6" w:rsidP="00B30BB0">
            <w:pPr>
              <w:spacing w:after="0" w:line="240" w:lineRule="auto"/>
              <w:rPr>
                <w:rFonts w:ascii="Times New Roman" w:hAnsi="Times New Roman"/>
                <w:b/>
                <w:bCs/>
                <w:sz w:val="20"/>
                <w:szCs w:val="20"/>
                <w:lang w:eastAsia="sk-SK"/>
              </w:rPr>
            </w:pPr>
            <w:r w:rsidRPr="004619D6">
              <w:rPr>
                <w:rFonts w:ascii="Times New Roman" w:hAnsi="Times New Roman"/>
                <w:b/>
                <w:bCs/>
                <w:sz w:val="20"/>
                <w:szCs w:val="20"/>
                <w:lang w:eastAsia="sk-SK"/>
              </w:rPr>
              <w:t>Iné ako rozpočtové zdroje</w:t>
            </w: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BFBFBF"/>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r w:rsidR="005F34E6" w:rsidRPr="004619D6" w:rsidTr="00B30BB0">
        <w:trPr>
          <w:gridAfter w:val="1"/>
          <w:wAfter w:w="585" w:type="pct"/>
          <w:trHeight w:val="255"/>
        </w:trPr>
        <w:tc>
          <w:tcPr>
            <w:tcW w:w="2071" w:type="pct"/>
            <w:tcBorders>
              <w:top w:val="nil"/>
              <w:left w:val="single" w:sz="4" w:space="0" w:color="auto"/>
              <w:bottom w:val="single" w:sz="4" w:space="0" w:color="auto"/>
              <w:right w:val="single" w:sz="4" w:space="0" w:color="auto"/>
            </w:tcBorders>
            <w:shd w:val="clear" w:color="000000" w:fill="A6A6A6"/>
            <w:noWrap/>
            <w:vAlign w:val="center"/>
            <w:hideMark/>
          </w:tcPr>
          <w:p w:rsidR="005F34E6" w:rsidRPr="004619D6" w:rsidRDefault="005F34E6" w:rsidP="00B30BB0">
            <w:pPr>
              <w:spacing w:after="0" w:line="240" w:lineRule="auto"/>
              <w:rPr>
                <w:rFonts w:ascii="Times New Roman" w:hAnsi="Times New Roman"/>
                <w:b/>
                <w:bCs/>
                <w:sz w:val="20"/>
                <w:szCs w:val="20"/>
                <w:lang w:eastAsia="sk-SK"/>
              </w:rPr>
            </w:pPr>
            <w:r w:rsidRPr="004619D6">
              <w:rPr>
                <w:rFonts w:ascii="Times New Roman" w:hAnsi="Times New Roman"/>
                <w:b/>
                <w:bCs/>
                <w:sz w:val="20"/>
                <w:szCs w:val="20"/>
                <w:lang w:eastAsia="sk-SK"/>
              </w:rPr>
              <w:t>Rozpočtovo nekrytý vplyv</w:t>
            </w:r>
          </w:p>
        </w:tc>
        <w:tc>
          <w:tcPr>
            <w:tcW w:w="586" w:type="pct"/>
            <w:tcBorders>
              <w:top w:val="nil"/>
              <w:left w:val="nil"/>
              <w:bottom w:val="single" w:sz="4" w:space="0" w:color="auto"/>
              <w:right w:val="single" w:sz="4" w:space="0" w:color="auto"/>
            </w:tcBorders>
            <w:shd w:val="clear" w:color="000000" w:fill="A6A6A6"/>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A6A6A6"/>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A6A6A6"/>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c>
          <w:tcPr>
            <w:tcW w:w="586" w:type="pct"/>
            <w:tcBorders>
              <w:top w:val="nil"/>
              <w:left w:val="nil"/>
              <w:bottom w:val="single" w:sz="4" w:space="0" w:color="auto"/>
              <w:right w:val="single" w:sz="4" w:space="0" w:color="auto"/>
            </w:tcBorders>
            <w:shd w:val="clear" w:color="000000" w:fill="A6A6A6"/>
            <w:noWrap/>
            <w:vAlign w:val="center"/>
          </w:tcPr>
          <w:p w:rsidR="005F34E6" w:rsidRPr="004619D6" w:rsidRDefault="005F34E6" w:rsidP="00B30BB0">
            <w:pPr>
              <w:spacing w:after="0" w:line="240" w:lineRule="auto"/>
              <w:jc w:val="right"/>
              <w:rPr>
                <w:rFonts w:ascii="Times New Roman" w:hAnsi="Times New Roman"/>
                <w:b/>
                <w:bCs/>
                <w:sz w:val="20"/>
                <w:szCs w:val="20"/>
                <w:lang w:eastAsia="sk-SK"/>
              </w:rPr>
            </w:pPr>
          </w:p>
        </w:tc>
      </w:tr>
    </w:tbl>
    <w:p w:rsidR="005F34E6" w:rsidRPr="004619D6" w:rsidRDefault="005F34E6" w:rsidP="005F34E6">
      <w:pPr>
        <w:spacing w:after="0" w:line="240" w:lineRule="auto"/>
        <w:rPr>
          <w:rFonts w:ascii="Times New Roman" w:hAnsi="Times New Roman"/>
          <w:sz w:val="16"/>
          <w:szCs w:val="16"/>
          <w:lang w:eastAsia="sk-SK"/>
        </w:rPr>
      </w:pPr>
    </w:p>
    <w:p w:rsidR="005F34E6" w:rsidRDefault="005F34E6" w:rsidP="005F34E6">
      <w:pPr>
        <w:spacing w:after="0" w:line="240" w:lineRule="auto"/>
        <w:rPr>
          <w:rFonts w:ascii="Times New Roman" w:hAnsi="Times New Roman"/>
          <w:sz w:val="16"/>
          <w:szCs w:val="16"/>
          <w:lang w:eastAsia="sk-SK"/>
        </w:rPr>
      </w:pPr>
      <w:bookmarkStart w:id="0" w:name="RANGE!L2"/>
      <w:bookmarkEnd w:id="0"/>
    </w:p>
    <w:p w:rsidR="005F34E6" w:rsidRDefault="005F34E6" w:rsidP="005F34E6">
      <w:pPr>
        <w:spacing w:after="0" w:line="240" w:lineRule="auto"/>
        <w:rPr>
          <w:rFonts w:ascii="Times New Roman" w:hAnsi="Times New Roman"/>
          <w:sz w:val="16"/>
          <w:szCs w:val="16"/>
          <w:lang w:eastAsia="sk-SK"/>
        </w:rPr>
      </w:pPr>
    </w:p>
    <w:p w:rsidR="005F34E6" w:rsidRDefault="005F34E6" w:rsidP="005F34E6">
      <w:pPr>
        <w:spacing w:after="0" w:line="240" w:lineRule="auto"/>
        <w:rPr>
          <w:rFonts w:ascii="Times New Roman" w:hAnsi="Times New Roman"/>
          <w:sz w:val="16"/>
          <w:szCs w:val="16"/>
          <w:lang w:eastAsia="sk-SK"/>
        </w:rPr>
      </w:pPr>
    </w:p>
    <w:p w:rsidR="005F34E6" w:rsidRDefault="005F34E6" w:rsidP="005F34E6">
      <w:pPr>
        <w:spacing w:after="0" w:line="240" w:lineRule="auto"/>
        <w:rPr>
          <w:rFonts w:ascii="Times New Roman" w:hAnsi="Times New Roman"/>
          <w:sz w:val="16"/>
          <w:szCs w:val="16"/>
          <w:lang w:eastAsia="sk-SK"/>
        </w:rPr>
      </w:pPr>
    </w:p>
    <w:p w:rsidR="005F34E6" w:rsidRDefault="005F34E6" w:rsidP="005F34E6">
      <w:pPr>
        <w:spacing w:after="0" w:line="240" w:lineRule="auto"/>
        <w:rPr>
          <w:rFonts w:ascii="Times New Roman" w:hAnsi="Times New Roman"/>
          <w:sz w:val="16"/>
          <w:szCs w:val="16"/>
          <w:lang w:eastAsia="sk-SK"/>
        </w:rPr>
      </w:pPr>
    </w:p>
    <w:p w:rsidR="005F34E6" w:rsidRPr="00E93708" w:rsidRDefault="005F34E6" w:rsidP="005F34E6">
      <w:pPr>
        <w:spacing w:after="0" w:line="240" w:lineRule="auto"/>
        <w:rPr>
          <w:rFonts w:ascii="Times New Roman" w:hAnsi="Times New Roman"/>
          <w:sz w:val="16"/>
          <w:szCs w:val="16"/>
          <w:lang w:eastAsia="sk-SK"/>
        </w:rPr>
      </w:pPr>
    </w:p>
    <w:p w:rsidR="005F34E6" w:rsidRPr="00E93708" w:rsidRDefault="005F34E6" w:rsidP="005F34E6">
      <w:pPr>
        <w:spacing w:after="0" w:line="240" w:lineRule="auto"/>
        <w:jc w:val="right"/>
        <w:rPr>
          <w:rFonts w:ascii="Times New Roman" w:hAnsi="Times New Roman"/>
          <w:sz w:val="16"/>
          <w:szCs w:val="16"/>
          <w:lang w:eastAsia="sk-SK"/>
        </w:rPr>
      </w:pPr>
    </w:p>
    <w:p w:rsidR="005F34E6" w:rsidRPr="00E93708" w:rsidRDefault="005F34E6" w:rsidP="005F34E6">
      <w:pPr>
        <w:spacing w:after="0" w:line="240" w:lineRule="auto"/>
        <w:jc w:val="right"/>
        <w:rPr>
          <w:rFonts w:ascii="Times New Roman" w:hAnsi="Times New Roman"/>
          <w:sz w:val="16"/>
          <w:szCs w:val="16"/>
          <w:lang w:eastAsia="sk-SK"/>
        </w:rPr>
      </w:pPr>
    </w:p>
    <w:p w:rsidR="005F34E6" w:rsidRPr="00E93708" w:rsidRDefault="005F34E6" w:rsidP="005F34E6">
      <w:pPr>
        <w:spacing w:after="0" w:line="240" w:lineRule="auto"/>
        <w:jc w:val="both"/>
        <w:rPr>
          <w:rFonts w:ascii="Times New Roman" w:hAnsi="Times New Roman"/>
          <w:b/>
          <w:bCs/>
          <w:sz w:val="24"/>
          <w:szCs w:val="24"/>
          <w:lang w:eastAsia="sk-SK"/>
        </w:rPr>
      </w:pPr>
      <w:r w:rsidRPr="00E9370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5F34E6" w:rsidRPr="00E93708" w:rsidRDefault="005F34E6" w:rsidP="005F34E6">
      <w:pPr>
        <w:spacing w:after="0" w:line="240" w:lineRule="auto"/>
        <w:jc w:val="both"/>
        <w:rPr>
          <w:rFonts w:ascii="Times New Roman" w:hAnsi="Times New Roman"/>
          <w:b/>
          <w:bCs/>
          <w:sz w:val="24"/>
          <w:szCs w:val="24"/>
          <w:lang w:eastAsia="sk-SK"/>
        </w:rPr>
      </w:pPr>
    </w:p>
    <w:p w:rsidR="005F34E6" w:rsidRPr="0051444D" w:rsidRDefault="005F34E6" w:rsidP="005F34E6">
      <w:pPr>
        <w:pBdr>
          <w:top w:val="single" w:sz="4" w:space="0" w:color="auto"/>
          <w:left w:val="single" w:sz="4" w:space="4" w:color="auto"/>
          <w:bottom w:val="single" w:sz="4" w:space="0" w:color="auto"/>
          <w:right w:val="single" w:sz="4" w:space="4" w:color="auto"/>
        </w:pBdr>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Návrhom sa znižuje objem rozpočtovaných príjmov v kapitole VPS. </w:t>
      </w:r>
      <w:r w:rsidRPr="0051444D">
        <w:rPr>
          <w:rFonts w:ascii="Times New Roman" w:hAnsi="Times New Roman"/>
          <w:bCs/>
          <w:sz w:val="24"/>
          <w:szCs w:val="24"/>
          <w:lang w:eastAsia="sk-SK"/>
        </w:rPr>
        <w:t xml:space="preserve">Očakáva sa </w:t>
      </w:r>
      <w:r>
        <w:rPr>
          <w:rFonts w:ascii="Times New Roman" w:hAnsi="Times New Roman"/>
          <w:bCs/>
          <w:sz w:val="24"/>
          <w:szCs w:val="24"/>
          <w:lang w:eastAsia="sk-SK"/>
        </w:rPr>
        <w:t xml:space="preserve">tiež </w:t>
      </w:r>
      <w:r w:rsidRPr="0051444D">
        <w:rPr>
          <w:rFonts w:ascii="Times New Roman" w:hAnsi="Times New Roman"/>
          <w:bCs/>
          <w:sz w:val="24"/>
          <w:szCs w:val="24"/>
          <w:lang w:eastAsia="sk-SK"/>
        </w:rPr>
        <w:t>negatívny vplyv vyplývajúci z nákladov na implementáciu návrhu zákona prostredníctvom informačného systému Finančnej správy SR</w:t>
      </w:r>
      <w:r>
        <w:rPr>
          <w:rFonts w:ascii="Times New Roman" w:hAnsi="Times New Roman"/>
          <w:bCs/>
          <w:sz w:val="24"/>
          <w:szCs w:val="24"/>
          <w:lang w:eastAsia="sk-SK"/>
        </w:rPr>
        <w:t>, ktorý bude rozpočtovo zabezpečený v rámci schválených limitov výdavkov verejnej správy</w:t>
      </w:r>
      <w:r w:rsidRPr="0051444D">
        <w:rPr>
          <w:rFonts w:ascii="Times New Roman" w:hAnsi="Times New Roman"/>
          <w:bCs/>
          <w:sz w:val="24"/>
          <w:szCs w:val="24"/>
          <w:lang w:eastAsia="sk-SK"/>
        </w:rPr>
        <w:t>.</w:t>
      </w:r>
    </w:p>
    <w:p w:rsidR="005F34E6" w:rsidRDefault="005F34E6" w:rsidP="005F34E6">
      <w:pPr>
        <w:spacing w:after="0" w:line="240" w:lineRule="auto"/>
        <w:ind w:firstLine="703"/>
        <w:jc w:val="both"/>
        <w:rPr>
          <w:rFonts w:ascii="Times New Roman" w:hAnsi="Times New Roman"/>
          <w:sz w:val="24"/>
          <w:szCs w:val="24"/>
        </w:rPr>
      </w:pPr>
      <w:r w:rsidRPr="00584490">
        <w:rPr>
          <w:rFonts w:ascii="Times New Roman" w:hAnsi="Times New Roman"/>
          <w:sz w:val="24"/>
          <w:szCs w:val="24"/>
        </w:rPr>
        <w:t xml:space="preserve"> </w:t>
      </w:r>
    </w:p>
    <w:p w:rsidR="005F34E6" w:rsidRPr="00E93708" w:rsidRDefault="005F34E6" w:rsidP="005F34E6">
      <w:pPr>
        <w:spacing w:after="0" w:line="240" w:lineRule="auto"/>
        <w:rPr>
          <w:rFonts w:ascii="Times New Roman" w:hAnsi="Times New Roman"/>
          <w:b/>
          <w:bCs/>
          <w:sz w:val="24"/>
          <w:szCs w:val="24"/>
          <w:lang w:eastAsia="sk-SK"/>
        </w:rPr>
      </w:pPr>
      <w:r w:rsidRPr="00E93708">
        <w:rPr>
          <w:rFonts w:ascii="Times New Roman" w:hAnsi="Times New Roman"/>
          <w:b/>
          <w:bCs/>
          <w:sz w:val="24"/>
          <w:szCs w:val="24"/>
          <w:lang w:eastAsia="sk-SK"/>
        </w:rPr>
        <w:t>2.2. Popis a charakteristika návrhu</w:t>
      </w:r>
    </w:p>
    <w:p w:rsidR="005F34E6" w:rsidRPr="00E93708" w:rsidRDefault="005F34E6" w:rsidP="005F34E6">
      <w:pPr>
        <w:spacing w:after="0" w:line="240" w:lineRule="auto"/>
        <w:rPr>
          <w:rFonts w:ascii="Times New Roman" w:hAnsi="Times New Roman"/>
          <w:sz w:val="24"/>
          <w:szCs w:val="24"/>
          <w:lang w:eastAsia="sk-SK"/>
        </w:rPr>
      </w:pPr>
    </w:p>
    <w:p w:rsidR="005F34E6" w:rsidRPr="00E93708" w:rsidRDefault="005F34E6" w:rsidP="005F34E6">
      <w:pPr>
        <w:spacing w:after="0" w:line="240" w:lineRule="auto"/>
        <w:jc w:val="both"/>
        <w:rPr>
          <w:rFonts w:ascii="Times New Roman" w:hAnsi="Times New Roman"/>
          <w:b/>
          <w:bCs/>
          <w:sz w:val="24"/>
          <w:szCs w:val="24"/>
          <w:lang w:eastAsia="sk-SK"/>
        </w:rPr>
      </w:pPr>
      <w:r w:rsidRPr="00E93708">
        <w:rPr>
          <w:rFonts w:ascii="Times New Roman" w:hAnsi="Times New Roman"/>
          <w:b/>
          <w:bCs/>
          <w:sz w:val="24"/>
          <w:szCs w:val="24"/>
          <w:lang w:eastAsia="sk-SK"/>
        </w:rPr>
        <w:t>2.2.1. Popis návrhu:</w:t>
      </w:r>
    </w:p>
    <w:p w:rsidR="005F34E6" w:rsidRPr="00E93708" w:rsidRDefault="005F34E6" w:rsidP="005F34E6">
      <w:pPr>
        <w:spacing w:after="0" w:line="240" w:lineRule="auto"/>
        <w:jc w:val="both"/>
        <w:rPr>
          <w:rFonts w:ascii="Times New Roman" w:hAnsi="Times New Roman"/>
          <w:b/>
          <w:bCs/>
          <w:sz w:val="24"/>
          <w:szCs w:val="24"/>
          <w:lang w:eastAsia="sk-SK"/>
        </w:rPr>
      </w:pPr>
    </w:p>
    <w:p w:rsidR="005F34E6" w:rsidRDefault="005F34E6" w:rsidP="005F34E6">
      <w:pPr>
        <w:spacing w:after="0" w:line="240" w:lineRule="auto"/>
        <w:ind w:firstLine="703"/>
        <w:jc w:val="both"/>
        <w:rPr>
          <w:rFonts w:ascii="Times New Roman" w:hAnsi="Times New Roman"/>
          <w:sz w:val="24"/>
          <w:szCs w:val="24"/>
        </w:rPr>
      </w:pPr>
      <w:r>
        <w:rPr>
          <w:rFonts w:ascii="Times New Roman" w:hAnsi="Times New Roman"/>
          <w:sz w:val="24"/>
          <w:szCs w:val="24"/>
        </w:rPr>
        <w:t xml:space="preserve">Návrh zákona reaguje na požiadavky prednesené podnikateľskou obcou s cieľom zlepšiť podnikateľské prostredie najmä prevádzkovateľom kamiónovej a autobusovej dopravy a posilnenie ich konkurencieschopnosti s autodopravcami z iných krajín. </w:t>
      </w:r>
    </w:p>
    <w:p w:rsidR="005F34E6" w:rsidRDefault="005F34E6" w:rsidP="005F34E6">
      <w:pPr>
        <w:spacing w:after="0" w:line="240" w:lineRule="auto"/>
        <w:jc w:val="both"/>
        <w:rPr>
          <w:rFonts w:ascii="Times New Roman" w:hAnsi="Times New Roman"/>
          <w:sz w:val="24"/>
          <w:szCs w:val="24"/>
        </w:rPr>
      </w:pPr>
      <w:r>
        <w:rPr>
          <w:rFonts w:ascii="Times New Roman" w:hAnsi="Times New Roman"/>
          <w:sz w:val="24"/>
          <w:szCs w:val="24"/>
        </w:rPr>
        <w:tab/>
        <w:t>Navrhuje sa odstrániť komplikovanosť posudzovania návesových jazdných súprav s cieľom zvýhodniť iba tie vozidlá, ktoré vytvoria jednu návesovú jazdnú súpravu iba raz neprihliadajúc na zmeny počas zdaňovacieho obdobia. Tento cieľ sa navrhuje dosiahnuť zavedením novej prílohy s ročnými sadzbami dane, venovanej iba úžitkovým vozidlám (ťahač  a náves).</w:t>
      </w:r>
      <w:r w:rsidRPr="00237FF3">
        <w:rPr>
          <w:rFonts w:ascii="Times New Roman" w:hAnsi="Times New Roman"/>
          <w:sz w:val="24"/>
          <w:szCs w:val="24"/>
        </w:rPr>
        <w:t xml:space="preserve"> Súčasne sa navrhuje zaviesť výhodnejšiu percentuálnu úpravu ročnej sadzby dane pre úžitkové vozidlá kategórie </w:t>
      </w:r>
      <w:r>
        <w:rPr>
          <w:rFonts w:ascii="Times New Roman" w:hAnsi="Times New Roman"/>
          <w:sz w:val="24"/>
          <w:szCs w:val="24"/>
        </w:rPr>
        <w:t xml:space="preserve">M2, M3 a </w:t>
      </w:r>
      <w:r w:rsidRPr="00237FF3">
        <w:rPr>
          <w:rFonts w:ascii="Times New Roman" w:hAnsi="Times New Roman"/>
          <w:sz w:val="24"/>
          <w:szCs w:val="24"/>
        </w:rPr>
        <w:t>N3 (zníženie v rozsahu od 50% do 10%) počas 156 kalendárnych mesiacov veku vozidla</w:t>
      </w:r>
      <w:r>
        <w:rPr>
          <w:rFonts w:ascii="Times New Roman" w:hAnsi="Times New Roman"/>
          <w:sz w:val="24"/>
          <w:szCs w:val="24"/>
        </w:rPr>
        <w:t>, pričom po uplynutí uvedenej doby sa nebude sadzba dane ďalej upravovať a pri vozidlách kategórie O4 (všetky návesy a prívesy nad 10 ton) zníženie sadzby o 60% bez ohľadu na vek vozidla.</w:t>
      </w:r>
    </w:p>
    <w:p w:rsidR="005F34E6" w:rsidRPr="00E93708" w:rsidRDefault="005F34E6" w:rsidP="005F34E6">
      <w:pPr>
        <w:spacing w:after="0" w:line="240" w:lineRule="auto"/>
        <w:rPr>
          <w:rFonts w:ascii="Times New Roman" w:hAnsi="Times New Roman"/>
          <w:sz w:val="24"/>
          <w:szCs w:val="24"/>
          <w:lang w:eastAsia="sk-SK"/>
        </w:rPr>
      </w:pPr>
    </w:p>
    <w:p w:rsidR="005F34E6" w:rsidRPr="00E93708" w:rsidRDefault="005F34E6" w:rsidP="005F34E6">
      <w:pPr>
        <w:spacing w:after="0" w:line="240" w:lineRule="auto"/>
        <w:rPr>
          <w:rFonts w:ascii="Times New Roman" w:hAnsi="Times New Roman"/>
          <w:b/>
          <w:bCs/>
          <w:sz w:val="24"/>
          <w:szCs w:val="24"/>
          <w:lang w:eastAsia="sk-SK"/>
        </w:rPr>
      </w:pPr>
      <w:r w:rsidRPr="00E93708">
        <w:rPr>
          <w:rFonts w:ascii="Times New Roman" w:hAnsi="Times New Roman"/>
          <w:b/>
          <w:bCs/>
          <w:sz w:val="24"/>
          <w:szCs w:val="24"/>
          <w:lang w:eastAsia="sk-SK"/>
        </w:rPr>
        <w:t>2.2.2. Charakteristika návrhu:</w:t>
      </w:r>
    </w:p>
    <w:p w:rsidR="005F34E6" w:rsidRPr="00E93708" w:rsidRDefault="005F34E6" w:rsidP="005F34E6">
      <w:pPr>
        <w:spacing w:after="0" w:line="240" w:lineRule="auto"/>
        <w:rPr>
          <w:rFonts w:ascii="Times New Roman" w:hAnsi="Times New Roman"/>
          <w:sz w:val="24"/>
          <w:szCs w:val="24"/>
          <w:lang w:eastAsia="sk-SK"/>
        </w:rPr>
      </w:pPr>
    </w:p>
    <w:p w:rsidR="005F34E6" w:rsidRPr="00E93708" w:rsidRDefault="005F34E6" w:rsidP="005F34E6">
      <w:pPr>
        <w:spacing w:after="0" w:line="240" w:lineRule="auto"/>
        <w:rPr>
          <w:rFonts w:ascii="Times New Roman" w:hAnsi="Times New Roman"/>
          <w:sz w:val="24"/>
          <w:szCs w:val="24"/>
          <w:lang w:eastAsia="sk-SK"/>
        </w:rPr>
      </w:pPr>
      <w:r w:rsidRPr="00E93708">
        <w:rPr>
          <w:rFonts w:ascii="Times New Roman" w:hAnsi="Times New Roman"/>
          <w:b/>
          <w:sz w:val="24"/>
          <w:szCs w:val="24"/>
          <w:bdr w:val="single" w:sz="4" w:space="0" w:color="auto"/>
          <w:lang w:eastAsia="sk-SK"/>
        </w:rPr>
        <w:t xml:space="preserve">  </w:t>
      </w:r>
      <w:r>
        <w:rPr>
          <w:rFonts w:ascii="Times New Roman" w:hAnsi="Times New Roman"/>
          <w:b/>
          <w:sz w:val="24"/>
          <w:szCs w:val="24"/>
          <w:bdr w:val="single" w:sz="4" w:space="0" w:color="auto"/>
          <w:lang w:eastAsia="sk-SK"/>
        </w:rPr>
        <w:t xml:space="preserve">  </w:t>
      </w:r>
      <w:r w:rsidRPr="00E93708">
        <w:rPr>
          <w:rFonts w:ascii="Times New Roman" w:hAnsi="Times New Roman"/>
          <w:b/>
          <w:sz w:val="24"/>
          <w:szCs w:val="24"/>
          <w:bdr w:val="single" w:sz="4" w:space="0" w:color="auto"/>
          <w:lang w:eastAsia="sk-SK"/>
        </w:rPr>
        <w:t xml:space="preserve"> </w:t>
      </w:r>
      <w:r w:rsidRPr="00E93708">
        <w:rPr>
          <w:rFonts w:ascii="Times New Roman" w:hAnsi="Times New Roman"/>
          <w:b/>
          <w:sz w:val="24"/>
          <w:szCs w:val="24"/>
          <w:lang w:eastAsia="sk-SK"/>
        </w:rPr>
        <w:t xml:space="preserve">  </w:t>
      </w:r>
      <w:r w:rsidRPr="00E93708">
        <w:rPr>
          <w:rFonts w:ascii="Times New Roman" w:hAnsi="Times New Roman"/>
          <w:sz w:val="24"/>
          <w:szCs w:val="24"/>
          <w:lang w:eastAsia="sk-SK"/>
        </w:rPr>
        <w:t>zmena sadzby</w:t>
      </w:r>
    </w:p>
    <w:p w:rsidR="005F34E6" w:rsidRPr="00E93708" w:rsidRDefault="005F34E6" w:rsidP="005F34E6">
      <w:pPr>
        <w:spacing w:after="0" w:line="240" w:lineRule="auto"/>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zmena v nároku</w:t>
      </w:r>
    </w:p>
    <w:p w:rsidR="005F34E6" w:rsidRPr="00E93708" w:rsidRDefault="005F34E6" w:rsidP="005F34E6">
      <w:pPr>
        <w:spacing w:after="0" w:line="240" w:lineRule="auto"/>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nová služba alebo nariadenie (alebo ich zrušenie)</w:t>
      </w:r>
    </w:p>
    <w:p w:rsidR="005F34E6" w:rsidRPr="00E93708" w:rsidRDefault="005F34E6" w:rsidP="005F34E6">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w:t>
      </w:r>
      <w:r w:rsidRPr="0051444D">
        <w:rPr>
          <w:rFonts w:ascii="Times New Roman" w:hAnsi="Times New Roman"/>
          <w:b/>
          <w:sz w:val="24"/>
          <w:szCs w:val="24"/>
          <w:bdr w:val="single" w:sz="4" w:space="0" w:color="auto"/>
          <w:lang w:eastAsia="sk-SK"/>
        </w:rPr>
        <w:t>x</w:t>
      </w: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kombinovaný návrh</w:t>
      </w:r>
    </w:p>
    <w:p w:rsidR="005F34E6" w:rsidRPr="00E93708" w:rsidRDefault="005F34E6" w:rsidP="005F34E6">
      <w:pPr>
        <w:spacing w:after="0" w:line="240" w:lineRule="auto"/>
        <w:rPr>
          <w:rFonts w:ascii="Times New Roman" w:hAnsi="Times New Roman"/>
          <w:sz w:val="24"/>
          <w:szCs w:val="24"/>
          <w:lang w:eastAsia="sk-SK"/>
        </w:rPr>
      </w:pPr>
      <w:r w:rsidRPr="00E93708">
        <w:rPr>
          <w:rFonts w:ascii="Times New Roman" w:hAnsi="Times New Roman"/>
          <w:sz w:val="24"/>
          <w:szCs w:val="24"/>
          <w:bdr w:val="single" w:sz="4" w:space="0" w:color="auto"/>
          <w:lang w:eastAsia="sk-SK"/>
        </w:rPr>
        <w:t xml:space="preserve">  </w:t>
      </w:r>
      <w:r>
        <w:rPr>
          <w:rFonts w:ascii="Times New Roman" w:hAnsi="Times New Roman"/>
          <w:b/>
          <w:sz w:val="24"/>
          <w:szCs w:val="24"/>
          <w:bdr w:val="single" w:sz="4" w:space="0" w:color="auto"/>
          <w:lang w:eastAsia="sk-SK"/>
        </w:rPr>
        <w:t>x</w:t>
      </w:r>
      <w:r w:rsidRPr="00E93708">
        <w:rPr>
          <w:rFonts w:ascii="Times New Roman" w:hAnsi="Times New Roman"/>
          <w:sz w:val="24"/>
          <w:szCs w:val="24"/>
          <w:bdr w:val="single" w:sz="4" w:space="0" w:color="auto"/>
          <w:lang w:eastAsia="sk-SK"/>
        </w:rPr>
        <w:t xml:space="preserve"> </w:t>
      </w:r>
      <w:r w:rsidRPr="00E93708">
        <w:rPr>
          <w:rFonts w:ascii="Times New Roman" w:hAnsi="Times New Roman"/>
          <w:sz w:val="24"/>
          <w:szCs w:val="24"/>
          <w:lang w:eastAsia="sk-SK"/>
        </w:rPr>
        <w:t xml:space="preserve">  iné </w:t>
      </w:r>
    </w:p>
    <w:p w:rsidR="005F34E6" w:rsidRPr="00E93708" w:rsidRDefault="005F34E6" w:rsidP="005F34E6">
      <w:pPr>
        <w:spacing w:after="0" w:line="240" w:lineRule="auto"/>
        <w:rPr>
          <w:rFonts w:ascii="Times New Roman" w:hAnsi="Times New Roman"/>
          <w:sz w:val="24"/>
          <w:szCs w:val="24"/>
          <w:lang w:eastAsia="sk-SK"/>
        </w:rPr>
      </w:pPr>
    </w:p>
    <w:p w:rsidR="005F34E6" w:rsidRPr="001111E9" w:rsidRDefault="005F34E6" w:rsidP="005F34E6">
      <w:pPr>
        <w:rPr>
          <w:rFonts w:ascii="Times New Roman" w:hAnsi="Times New Roman"/>
          <w:b/>
          <w:bCs/>
          <w:sz w:val="24"/>
          <w:szCs w:val="24"/>
          <w:lang w:eastAsia="sk-SK"/>
        </w:rPr>
      </w:pPr>
      <w:r w:rsidRPr="00E93708">
        <w:rPr>
          <w:rFonts w:ascii="Times New Roman" w:hAnsi="Times New Roman"/>
          <w:b/>
          <w:bCs/>
          <w:sz w:val="24"/>
          <w:szCs w:val="24"/>
          <w:lang w:eastAsia="sk-SK"/>
        </w:rPr>
        <w:t>2.2.3. Predpoklady vývoja objemu aktivít:</w:t>
      </w:r>
    </w:p>
    <w:p w:rsidR="005F34E6" w:rsidRPr="00E93708" w:rsidRDefault="005F34E6" w:rsidP="005F34E6">
      <w:pPr>
        <w:spacing w:after="0" w:line="240" w:lineRule="auto"/>
        <w:ind w:firstLine="708"/>
        <w:jc w:val="both"/>
        <w:rPr>
          <w:rFonts w:ascii="Times New Roman" w:hAnsi="Times New Roman"/>
          <w:sz w:val="24"/>
          <w:szCs w:val="24"/>
          <w:lang w:eastAsia="sk-SK"/>
        </w:rPr>
      </w:pPr>
      <w:r w:rsidRPr="00E93708">
        <w:rPr>
          <w:rFonts w:ascii="Times New Roman" w:hAnsi="Times New Roman"/>
          <w:sz w:val="24"/>
          <w:szCs w:val="24"/>
          <w:lang w:eastAsia="sk-SK"/>
        </w:rPr>
        <w:t>Jasne popíšte, v prípade potreby použite nižšie uvedenú tabuľku. Uveďte aj odhady základov daní a/alebo poplatkov, ak sa ich táto zmena týka.</w:t>
      </w:r>
    </w:p>
    <w:p w:rsidR="005F34E6" w:rsidRPr="00E93708" w:rsidRDefault="005F34E6" w:rsidP="005F34E6">
      <w:pPr>
        <w:spacing w:after="0" w:line="240" w:lineRule="auto"/>
        <w:jc w:val="right"/>
        <w:rPr>
          <w:rFonts w:ascii="Times New Roman" w:hAnsi="Times New Roman"/>
          <w:sz w:val="24"/>
          <w:szCs w:val="24"/>
          <w:lang w:eastAsia="sk-SK"/>
        </w:rPr>
      </w:pPr>
      <w:r w:rsidRPr="00E93708">
        <w:rPr>
          <w:rFonts w:ascii="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5F34E6" w:rsidRPr="00E93708" w:rsidTr="00B30BB0">
        <w:trPr>
          <w:cantSplit/>
          <w:trHeight w:val="70"/>
        </w:trPr>
        <w:tc>
          <w:tcPr>
            <w:tcW w:w="4530" w:type="dxa"/>
            <w:vMerge w:val="restart"/>
            <w:shd w:val="clear" w:color="auto" w:fill="BFBFBF" w:themeFill="background1" w:themeFillShade="BF"/>
            <w:vAlign w:val="center"/>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Odhadované objemy</w:t>
            </w:r>
          </w:p>
        </w:tc>
      </w:tr>
      <w:tr w:rsidR="005F34E6" w:rsidRPr="00E93708" w:rsidTr="00B30BB0">
        <w:trPr>
          <w:cantSplit/>
          <w:trHeight w:val="70"/>
        </w:trPr>
        <w:tc>
          <w:tcPr>
            <w:tcW w:w="4530" w:type="dxa"/>
            <w:vMerge/>
            <w:shd w:val="clear" w:color="auto" w:fill="BFBFBF" w:themeFill="background1" w:themeFillShade="BF"/>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r</w:t>
            </w:r>
          </w:p>
        </w:tc>
        <w:tc>
          <w:tcPr>
            <w:tcW w:w="1134" w:type="dxa"/>
            <w:shd w:val="clear" w:color="auto" w:fill="BFBFBF" w:themeFill="background1" w:themeFillShade="BF"/>
            <w:vAlign w:val="center"/>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5F34E6" w:rsidRPr="00E93708" w:rsidRDefault="005F34E6" w:rsidP="00B30BB0">
            <w:pPr>
              <w:autoSpaceDE w:val="0"/>
              <w:autoSpaceDN w:val="0"/>
              <w:adjustRightInd w:val="0"/>
              <w:spacing w:after="0" w:line="240" w:lineRule="auto"/>
              <w:jc w:val="center"/>
              <w:rPr>
                <w:rFonts w:ascii="Times New Roman" w:hAnsi="Times New Roman"/>
                <w:b/>
                <w:bCs/>
                <w:sz w:val="24"/>
                <w:szCs w:val="24"/>
                <w:lang w:eastAsia="sk-SK"/>
              </w:rPr>
            </w:pPr>
            <w:r w:rsidRPr="00E93708">
              <w:rPr>
                <w:rFonts w:ascii="Times New Roman" w:hAnsi="Times New Roman"/>
                <w:b/>
                <w:bCs/>
                <w:sz w:val="24"/>
                <w:szCs w:val="24"/>
                <w:lang w:eastAsia="sk-SK"/>
              </w:rPr>
              <w:t>r + 3</w:t>
            </w:r>
          </w:p>
        </w:tc>
      </w:tr>
      <w:tr w:rsidR="005F34E6" w:rsidRPr="00E93708" w:rsidTr="00B30BB0">
        <w:trPr>
          <w:trHeight w:val="70"/>
        </w:trPr>
        <w:tc>
          <w:tcPr>
            <w:tcW w:w="4530" w:type="dxa"/>
          </w:tcPr>
          <w:p w:rsidR="005F34E6" w:rsidRPr="00E93708" w:rsidRDefault="005F34E6" w:rsidP="00B30BB0">
            <w:pPr>
              <w:autoSpaceDE w:val="0"/>
              <w:autoSpaceDN w:val="0"/>
              <w:adjustRightInd w:val="0"/>
              <w:spacing w:after="0" w:line="240" w:lineRule="auto"/>
              <w:rPr>
                <w:rFonts w:ascii="Times New Roman" w:hAnsi="Times New Roman"/>
                <w:color w:val="000000"/>
                <w:sz w:val="24"/>
                <w:szCs w:val="24"/>
                <w:lang w:eastAsia="sk-SK"/>
              </w:rPr>
            </w:pPr>
            <w:r w:rsidRPr="00E93708">
              <w:rPr>
                <w:rFonts w:ascii="Times New Roman" w:hAnsi="Times New Roman"/>
                <w:color w:val="000000"/>
                <w:sz w:val="24"/>
                <w:szCs w:val="24"/>
                <w:lang w:eastAsia="sk-SK"/>
              </w:rPr>
              <w:t>Indikátor ABC</w:t>
            </w: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r>
      <w:tr w:rsidR="005F34E6" w:rsidRPr="00E93708" w:rsidTr="00B30BB0">
        <w:trPr>
          <w:trHeight w:val="70"/>
        </w:trPr>
        <w:tc>
          <w:tcPr>
            <w:tcW w:w="4530" w:type="dxa"/>
          </w:tcPr>
          <w:p w:rsidR="005F34E6" w:rsidRPr="00E93708" w:rsidRDefault="005F34E6" w:rsidP="00B30BB0">
            <w:pPr>
              <w:autoSpaceDE w:val="0"/>
              <w:autoSpaceDN w:val="0"/>
              <w:adjustRightInd w:val="0"/>
              <w:spacing w:after="0" w:line="240" w:lineRule="auto"/>
              <w:rPr>
                <w:rFonts w:ascii="Times New Roman" w:hAnsi="Times New Roman"/>
                <w:color w:val="000000"/>
                <w:sz w:val="24"/>
                <w:szCs w:val="24"/>
                <w:lang w:eastAsia="sk-SK"/>
              </w:rPr>
            </w:pPr>
            <w:r w:rsidRPr="00E93708">
              <w:rPr>
                <w:rFonts w:ascii="Times New Roman" w:hAnsi="Times New Roman"/>
                <w:color w:val="000000"/>
                <w:sz w:val="24"/>
                <w:szCs w:val="24"/>
                <w:lang w:eastAsia="sk-SK"/>
              </w:rPr>
              <w:t>Indikátor KLM</w:t>
            </w: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r>
      <w:tr w:rsidR="005F34E6" w:rsidRPr="00E93708" w:rsidTr="00B30BB0">
        <w:trPr>
          <w:trHeight w:val="70"/>
        </w:trPr>
        <w:tc>
          <w:tcPr>
            <w:tcW w:w="4530" w:type="dxa"/>
          </w:tcPr>
          <w:p w:rsidR="005F34E6" w:rsidRPr="00E93708" w:rsidRDefault="005F34E6" w:rsidP="00B30BB0">
            <w:pPr>
              <w:autoSpaceDE w:val="0"/>
              <w:autoSpaceDN w:val="0"/>
              <w:adjustRightInd w:val="0"/>
              <w:spacing w:after="0" w:line="240" w:lineRule="auto"/>
              <w:rPr>
                <w:rFonts w:ascii="Times New Roman" w:hAnsi="Times New Roman"/>
                <w:color w:val="000000"/>
                <w:sz w:val="24"/>
                <w:szCs w:val="24"/>
                <w:lang w:eastAsia="sk-SK"/>
              </w:rPr>
            </w:pPr>
            <w:r w:rsidRPr="00E93708">
              <w:rPr>
                <w:rFonts w:ascii="Times New Roman" w:hAnsi="Times New Roman"/>
                <w:color w:val="000000"/>
                <w:sz w:val="24"/>
                <w:szCs w:val="24"/>
                <w:lang w:eastAsia="sk-SK"/>
              </w:rPr>
              <w:t>Indikátor XYZ</w:t>
            </w: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5F34E6" w:rsidRPr="00E93708" w:rsidRDefault="005F34E6" w:rsidP="00B30BB0">
            <w:pPr>
              <w:autoSpaceDE w:val="0"/>
              <w:autoSpaceDN w:val="0"/>
              <w:adjustRightInd w:val="0"/>
              <w:spacing w:after="0" w:line="240" w:lineRule="auto"/>
              <w:jc w:val="right"/>
              <w:rPr>
                <w:rFonts w:ascii="Times New Roman" w:hAnsi="Times New Roman"/>
                <w:color w:val="000000"/>
                <w:sz w:val="24"/>
                <w:szCs w:val="24"/>
                <w:lang w:eastAsia="sk-SK"/>
              </w:rPr>
            </w:pPr>
          </w:p>
        </w:tc>
      </w:tr>
    </w:tbl>
    <w:p w:rsidR="005F34E6" w:rsidRDefault="005F34E6" w:rsidP="005F34E6">
      <w:pPr>
        <w:spacing w:after="0" w:line="240" w:lineRule="auto"/>
        <w:rPr>
          <w:rFonts w:ascii="Times New Roman" w:hAnsi="Times New Roman"/>
          <w:sz w:val="24"/>
          <w:szCs w:val="24"/>
          <w:lang w:eastAsia="sk-SK"/>
        </w:rPr>
      </w:pPr>
    </w:p>
    <w:p w:rsidR="005F34E6" w:rsidRPr="00E93708" w:rsidRDefault="005F34E6" w:rsidP="005F34E6">
      <w:pPr>
        <w:spacing w:after="0" w:line="240" w:lineRule="auto"/>
        <w:rPr>
          <w:rFonts w:ascii="Times New Roman" w:hAnsi="Times New Roman"/>
          <w:sz w:val="24"/>
          <w:szCs w:val="24"/>
          <w:lang w:eastAsia="sk-SK"/>
        </w:rPr>
      </w:pPr>
      <w:r>
        <w:rPr>
          <w:rFonts w:ascii="Times New Roman" w:hAnsi="Times New Roman"/>
          <w:sz w:val="24"/>
          <w:szCs w:val="24"/>
          <w:lang w:eastAsia="sk-SK"/>
        </w:rPr>
        <w:t>Odhadované objemy počtu daňovníkov a počtu vozidiel, ktoré sú predmetom dane sa z titulu návrhu novely zákona v sledovanom horizonte nemenia.</w:t>
      </w:r>
    </w:p>
    <w:p w:rsidR="005F34E6" w:rsidRPr="00E93708" w:rsidRDefault="005F34E6" w:rsidP="005F34E6">
      <w:pPr>
        <w:spacing w:after="0" w:line="240" w:lineRule="auto"/>
        <w:rPr>
          <w:rFonts w:ascii="Times New Roman" w:hAnsi="Times New Roman"/>
          <w:sz w:val="24"/>
          <w:szCs w:val="24"/>
          <w:lang w:eastAsia="sk-SK"/>
        </w:rPr>
      </w:pPr>
    </w:p>
    <w:p w:rsidR="005F34E6" w:rsidRPr="00E93708" w:rsidRDefault="005F34E6" w:rsidP="005F34E6">
      <w:pPr>
        <w:spacing w:after="0" w:line="240" w:lineRule="auto"/>
        <w:rPr>
          <w:rFonts w:ascii="Times New Roman" w:hAnsi="Times New Roman"/>
          <w:b/>
          <w:bCs/>
          <w:sz w:val="24"/>
          <w:szCs w:val="24"/>
          <w:lang w:eastAsia="sk-SK"/>
        </w:rPr>
      </w:pPr>
      <w:r w:rsidRPr="00E93708">
        <w:rPr>
          <w:rFonts w:ascii="Times New Roman" w:hAnsi="Times New Roman"/>
          <w:b/>
          <w:bCs/>
          <w:sz w:val="24"/>
          <w:szCs w:val="24"/>
          <w:lang w:eastAsia="sk-SK"/>
        </w:rPr>
        <w:t>2.2.4. Výpočty vplyvov na verejné financie</w:t>
      </w:r>
    </w:p>
    <w:p w:rsidR="005F34E6" w:rsidRPr="00E93708" w:rsidRDefault="005F34E6" w:rsidP="005F34E6">
      <w:pPr>
        <w:spacing w:after="0" w:line="240" w:lineRule="auto"/>
        <w:rPr>
          <w:rFonts w:ascii="Times New Roman" w:hAnsi="Times New Roman"/>
          <w:sz w:val="24"/>
          <w:szCs w:val="24"/>
          <w:lang w:eastAsia="sk-SK"/>
        </w:rPr>
      </w:pPr>
    </w:p>
    <w:p w:rsidR="005F34E6" w:rsidRDefault="005F34E6" w:rsidP="005F34E6">
      <w:pPr>
        <w:spacing w:after="0" w:line="240" w:lineRule="auto"/>
        <w:ind w:firstLine="708"/>
        <w:jc w:val="both"/>
        <w:rPr>
          <w:rFonts w:ascii="Times New Roman" w:hAnsi="Times New Roman"/>
          <w:sz w:val="24"/>
          <w:szCs w:val="24"/>
          <w:lang w:eastAsia="sk-SK"/>
        </w:rPr>
      </w:pPr>
      <w:r w:rsidRPr="00BF0AC3">
        <w:rPr>
          <w:rFonts w:ascii="Times New Roman" w:hAnsi="Times New Roman"/>
          <w:sz w:val="24"/>
          <w:szCs w:val="24"/>
          <w:lang w:eastAsia="sk-SK"/>
        </w:rPr>
        <w:lastRenderedPageBreak/>
        <w:t xml:space="preserve">Fiškálny vplyv vychádza z individuálnych daňových priznaní z roku 2018, ktorý bol indexovaný na rozpočtované obdobie. Na základe dát vychádza, že legislatívna úprava sa </w:t>
      </w:r>
      <w:r w:rsidRPr="000D49E5">
        <w:rPr>
          <w:rFonts w:ascii="Times New Roman" w:hAnsi="Times New Roman"/>
          <w:sz w:val="24"/>
          <w:szCs w:val="24"/>
          <w:lang w:eastAsia="sk-SK"/>
        </w:rPr>
        <w:t>dotkne 10 300 podnikateľských subjektov z celkového počtu 210,3 tisíc podnikateľských subjektov, pri ktorých je naplnený predmet dane a vzniká daňová povinnosť k dani z motorových vozidiel. Z uvedeného počtu bude približne 10 300 podnikateľských subjektov afektovaných pozitívne (podnikateľské subjekty podnikajúce v kamiónovej a autobusovej doprave). Zvýšenie úľavy na základe veku pre vozidlá kategórie M2, M3, N3 a O4 si môžu uplatniť na 80 tisíc vozidiel.</w:t>
      </w:r>
      <w:r w:rsidRPr="00BF0AC3">
        <w:rPr>
          <w:rFonts w:ascii="Times New Roman" w:hAnsi="Times New Roman"/>
          <w:sz w:val="24"/>
          <w:szCs w:val="24"/>
          <w:lang w:eastAsia="sk-SK"/>
        </w:rPr>
        <w:t xml:space="preserve"> Legislatívna úprava ponecháva environmentálny aspekt zvýhodnením vozidiel s nižším vekom. Vozidlá do 3 rokov budú mať úľavu 50 %, vozidlá staršie ako 13 rokov budú bez úľavy. Úprava znižuje aj administratívnu náročnosť majiteľom ťahačom a návesov, nakoľko ruší preradenie jazdnej súpravy do nižšej sadzby dane posunutím všetkých kategórii.</w:t>
      </w:r>
      <w:r>
        <w:rPr>
          <w:rFonts w:ascii="Times New Roman" w:hAnsi="Times New Roman"/>
          <w:sz w:val="24"/>
          <w:szCs w:val="24"/>
          <w:lang w:eastAsia="sk-SK"/>
        </w:rPr>
        <w:t xml:space="preserve"> </w:t>
      </w:r>
    </w:p>
    <w:p w:rsidR="005F34E6" w:rsidRPr="000572B0" w:rsidRDefault="005F34E6" w:rsidP="005F34E6">
      <w:pPr>
        <w:spacing w:after="0" w:line="240" w:lineRule="auto"/>
        <w:jc w:val="both"/>
        <w:rPr>
          <w:rFonts w:ascii="Times New Roman" w:hAnsi="Times New Roman"/>
          <w:sz w:val="24"/>
          <w:szCs w:val="24"/>
          <w:lang w:eastAsia="sk-SK"/>
        </w:rPr>
      </w:pPr>
    </w:p>
    <w:p w:rsidR="005F34E6" w:rsidRDefault="005F34E6" w:rsidP="005F34E6">
      <w:pPr>
        <w:spacing w:after="0" w:line="240" w:lineRule="auto"/>
        <w:jc w:val="both"/>
        <w:rPr>
          <w:rFonts w:ascii="Times New Roman" w:hAnsi="Times New Roman"/>
          <w:b/>
          <w:sz w:val="28"/>
          <w:szCs w:val="28"/>
          <w:lang w:eastAsia="sk-SK"/>
        </w:rPr>
      </w:pPr>
      <w:r w:rsidRPr="00D8123A">
        <w:rPr>
          <w:rFonts w:ascii="Times New Roman" w:hAnsi="Times New Roman"/>
          <w:b/>
          <w:sz w:val="28"/>
          <w:szCs w:val="28"/>
          <w:lang w:eastAsia="sk-SK"/>
        </w:rPr>
        <w:t>Negatívny vplyv na rozpočet</w:t>
      </w:r>
    </w:p>
    <w:p w:rsidR="005F34E6" w:rsidRDefault="005F34E6" w:rsidP="005F34E6">
      <w:pPr>
        <w:spacing w:after="0" w:line="240" w:lineRule="auto"/>
        <w:jc w:val="both"/>
        <w:rPr>
          <w:rFonts w:ascii="Times New Roman" w:hAnsi="Times New Roman"/>
          <w:b/>
          <w:sz w:val="28"/>
          <w:szCs w:val="28"/>
          <w:lang w:eastAsia="sk-SK"/>
        </w:rPr>
      </w:pPr>
    </w:p>
    <w:p w:rsidR="005F34E6" w:rsidRPr="008D23D6" w:rsidRDefault="005F34E6" w:rsidP="005F34E6">
      <w:pPr>
        <w:spacing w:after="0" w:line="240" w:lineRule="auto"/>
        <w:ind w:firstLine="708"/>
        <w:jc w:val="both"/>
        <w:rPr>
          <w:rFonts w:ascii="Times New Roman" w:hAnsi="Times New Roman"/>
          <w:sz w:val="24"/>
          <w:szCs w:val="24"/>
          <w:lang w:eastAsia="sk-SK"/>
        </w:rPr>
      </w:pPr>
      <w:r w:rsidRPr="00D85116">
        <w:rPr>
          <w:rFonts w:ascii="Times New Roman" w:hAnsi="Times New Roman"/>
          <w:sz w:val="24"/>
          <w:szCs w:val="24"/>
          <w:lang w:eastAsia="sk-SK"/>
        </w:rPr>
        <w:t xml:space="preserve">Návrh zákona rieši </w:t>
      </w:r>
      <w:r>
        <w:rPr>
          <w:rFonts w:ascii="Times New Roman" w:hAnsi="Times New Roman"/>
          <w:sz w:val="24"/>
          <w:szCs w:val="24"/>
          <w:lang w:eastAsia="sk-SK"/>
        </w:rPr>
        <w:t xml:space="preserve">zmiernenie daňového zaťaženia autodopravcov v nákladnej kamiónovej doprave. </w:t>
      </w:r>
      <w:r w:rsidRPr="00D85116">
        <w:rPr>
          <w:rFonts w:ascii="Times New Roman" w:hAnsi="Times New Roman"/>
          <w:sz w:val="24"/>
          <w:szCs w:val="24"/>
          <w:lang w:eastAsia="sk-SK"/>
        </w:rPr>
        <w:t>K</w:t>
      </w:r>
      <w:r>
        <w:rPr>
          <w:rFonts w:ascii="Times New Roman" w:hAnsi="Times New Roman"/>
          <w:sz w:val="24"/>
          <w:szCs w:val="24"/>
          <w:lang w:eastAsia="sk-SK"/>
        </w:rPr>
        <w:t>vantifikácia vplyvu predpokladá</w:t>
      </w:r>
      <w:r w:rsidRPr="00D85116">
        <w:rPr>
          <w:rFonts w:ascii="Times New Roman" w:hAnsi="Times New Roman"/>
          <w:sz w:val="24"/>
          <w:szCs w:val="24"/>
          <w:lang w:eastAsia="sk-SK"/>
        </w:rPr>
        <w:t xml:space="preserve"> </w:t>
      </w:r>
      <w:r w:rsidRPr="00BF0AC3">
        <w:rPr>
          <w:rFonts w:ascii="Times New Roman" w:hAnsi="Times New Roman"/>
          <w:sz w:val="24"/>
          <w:szCs w:val="24"/>
          <w:lang w:eastAsia="sk-SK"/>
        </w:rPr>
        <w:t xml:space="preserve">nižšie daňové zaťaženie podnikateľov pri podaní daňového priznania už za rok 2020. Celkový akruálny výpadok zo zavedenia </w:t>
      </w:r>
      <w:r w:rsidRPr="000D49E5">
        <w:rPr>
          <w:rFonts w:ascii="Times New Roman" w:hAnsi="Times New Roman"/>
          <w:sz w:val="24"/>
          <w:szCs w:val="24"/>
          <w:lang w:eastAsia="sk-SK"/>
        </w:rPr>
        <w:t>nižších ročných sadzieb a percentuálneho zvýhodnenia vozidiel kategórie N3 a O4 sa odhaduje na 28,5 mil. eur.</w:t>
      </w:r>
    </w:p>
    <w:p w:rsidR="005F34E6" w:rsidRDefault="005F34E6" w:rsidP="005F34E6">
      <w:pPr>
        <w:tabs>
          <w:tab w:val="num" w:pos="1080"/>
        </w:tabs>
        <w:spacing w:after="0" w:line="240" w:lineRule="auto"/>
        <w:jc w:val="both"/>
        <w:rPr>
          <w:rFonts w:ascii="Times New Roman" w:hAnsi="Times New Roman"/>
          <w:bCs/>
          <w:sz w:val="24"/>
          <w:szCs w:val="24"/>
          <w:lang w:eastAsia="sk-SK"/>
        </w:rPr>
      </w:pPr>
    </w:p>
    <w:p w:rsidR="005F34E6" w:rsidRPr="000572B0" w:rsidRDefault="005F34E6" w:rsidP="005F34E6">
      <w:pPr>
        <w:tabs>
          <w:tab w:val="num" w:pos="1080"/>
        </w:tabs>
        <w:spacing w:after="0" w:line="240" w:lineRule="auto"/>
        <w:jc w:val="both"/>
        <w:rPr>
          <w:rFonts w:ascii="Times New Roman" w:hAnsi="Times New Roman"/>
          <w:bCs/>
          <w:sz w:val="24"/>
          <w:szCs w:val="24"/>
          <w:lang w:eastAsia="sk-SK"/>
        </w:rPr>
        <w:sectPr w:rsidR="005F34E6" w:rsidRPr="000572B0" w:rsidSect="00B30B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5F34E6" w:rsidRPr="00D81139" w:rsidRDefault="005F34E6" w:rsidP="005F34E6">
      <w:pPr>
        <w:tabs>
          <w:tab w:val="num" w:pos="1080"/>
        </w:tabs>
        <w:spacing w:after="0" w:line="240" w:lineRule="auto"/>
        <w:jc w:val="right"/>
        <w:rPr>
          <w:rFonts w:ascii="Times New Roman" w:hAnsi="Times New Roman"/>
          <w:bCs/>
          <w:sz w:val="24"/>
          <w:szCs w:val="24"/>
          <w:lang w:eastAsia="sk-SK"/>
        </w:rPr>
      </w:pPr>
      <w:r w:rsidRPr="00D81139">
        <w:rPr>
          <w:rFonts w:ascii="Times New Roman" w:hAnsi="Times New Roman"/>
          <w:bCs/>
          <w:sz w:val="24"/>
          <w:szCs w:val="24"/>
          <w:lang w:eastAsia="sk-SK"/>
        </w:rPr>
        <w:lastRenderedPageBreak/>
        <w:t xml:space="preserve">Tabuľka č. 3 </w:t>
      </w:r>
    </w:p>
    <w:p w:rsidR="005F34E6" w:rsidRPr="00E93708" w:rsidRDefault="005F34E6" w:rsidP="005F34E6">
      <w:pPr>
        <w:tabs>
          <w:tab w:val="num" w:pos="1080"/>
        </w:tabs>
        <w:spacing w:after="0" w:line="240" w:lineRule="auto"/>
        <w:jc w:val="both"/>
        <w:rPr>
          <w:rFonts w:ascii="Times New Roman" w:hAnsi="Times New Roman"/>
          <w:bCs/>
          <w:sz w:val="16"/>
          <w:szCs w:val="16"/>
          <w:lang w:eastAsia="sk-SK"/>
        </w:rPr>
      </w:pPr>
      <w:r>
        <w:rPr>
          <w:rFonts w:ascii="Times New Roman" w:hAnsi="Times New Roman"/>
          <w:bCs/>
          <w:sz w:val="16"/>
          <w:szCs w:val="16"/>
          <w:lang w:eastAsia="sk-SK"/>
        </w:rPr>
        <w:t xml:space="preserve">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5F34E6" w:rsidRPr="00E93708" w:rsidTr="00B30BB0">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F34E6" w:rsidRPr="00C03250" w:rsidRDefault="005F34E6" w:rsidP="00B30BB0">
            <w:pPr>
              <w:spacing w:after="0" w:line="240" w:lineRule="auto"/>
              <w:jc w:val="center"/>
              <w:rPr>
                <w:rFonts w:ascii="Times New Roman" w:hAnsi="Times New Roman"/>
                <w:b/>
                <w:bCs/>
                <w:sz w:val="24"/>
                <w:szCs w:val="24"/>
                <w:lang w:eastAsia="sk-SK"/>
              </w:rPr>
            </w:pPr>
            <w:r w:rsidRPr="00C03250">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5F34E6" w:rsidRPr="00C03250" w:rsidRDefault="005F34E6" w:rsidP="00B30BB0">
            <w:pPr>
              <w:spacing w:after="0" w:line="240" w:lineRule="auto"/>
              <w:jc w:val="center"/>
              <w:rPr>
                <w:rFonts w:ascii="Times New Roman" w:hAnsi="Times New Roman"/>
                <w:b/>
                <w:bCs/>
                <w:sz w:val="24"/>
                <w:szCs w:val="24"/>
                <w:lang w:eastAsia="sk-SK"/>
              </w:rPr>
            </w:pPr>
            <w:r w:rsidRPr="00C03250">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F34E6" w:rsidRPr="00C03250" w:rsidRDefault="005F34E6" w:rsidP="00B30BB0">
            <w:pPr>
              <w:spacing w:after="0" w:line="240" w:lineRule="auto"/>
              <w:jc w:val="center"/>
              <w:rPr>
                <w:rFonts w:ascii="Times New Roman" w:hAnsi="Times New Roman"/>
                <w:b/>
                <w:bCs/>
                <w:sz w:val="24"/>
                <w:szCs w:val="24"/>
                <w:lang w:eastAsia="sk-SK"/>
              </w:rPr>
            </w:pPr>
            <w:r w:rsidRPr="00C03250">
              <w:rPr>
                <w:rFonts w:ascii="Times New Roman" w:hAnsi="Times New Roman"/>
                <w:b/>
                <w:bCs/>
                <w:sz w:val="24"/>
                <w:szCs w:val="24"/>
                <w:lang w:eastAsia="sk-SK"/>
              </w:rPr>
              <w:t>poznámka</w:t>
            </w:r>
          </w:p>
        </w:tc>
      </w:tr>
      <w:tr w:rsidR="005F34E6" w:rsidRPr="00E93708" w:rsidTr="00B30BB0">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5F34E6" w:rsidRPr="00C03250" w:rsidRDefault="005F34E6" w:rsidP="00B30BB0">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2B3726" w:rsidRDefault="005F34E6" w:rsidP="00B30BB0">
            <w:pPr>
              <w:spacing w:after="0" w:line="240" w:lineRule="auto"/>
              <w:jc w:val="center"/>
              <w:rPr>
                <w:rFonts w:ascii="Times New Roman" w:hAnsi="Times New Roman"/>
                <w:b/>
                <w:bCs/>
                <w:color w:val="000000" w:themeColor="text1"/>
                <w:sz w:val="24"/>
                <w:szCs w:val="24"/>
                <w:lang w:eastAsia="sk-SK"/>
              </w:rPr>
            </w:pPr>
            <w:r w:rsidRPr="002B3726">
              <w:rPr>
                <w:rFonts w:ascii="Times New Roman" w:hAnsi="Times New Roman"/>
                <w:b/>
                <w:bCs/>
                <w:color w:val="000000" w:themeColor="text1"/>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2B3726" w:rsidRDefault="005F34E6" w:rsidP="00B30BB0">
            <w:pPr>
              <w:spacing w:after="0" w:line="240" w:lineRule="auto"/>
              <w:jc w:val="center"/>
              <w:rPr>
                <w:rFonts w:ascii="Times New Roman" w:hAnsi="Times New Roman"/>
                <w:b/>
                <w:bCs/>
                <w:color w:val="000000" w:themeColor="text1"/>
                <w:sz w:val="24"/>
                <w:szCs w:val="24"/>
                <w:lang w:eastAsia="sk-SK"/>
              </w:rPr>
            </w:pPr>
            <w:r w:rsidRPr="002B3726">
              <w:rPr>
                <w:rFonts w:ascii="Times New Roman" w:hAnsi="Times New Roman"/>
                <w:b/>
                <w:bCs/>
                <w:color w:val="000000" w:themeColor="text1"/>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2B3726" w:rsidRDefault="005F34E6" w:rsidP="00B30BB0">
            <w:pPr>
              <w:spacing w:after="0" w:line="240" w:lineRule="auto"/>
              <w:jc w:val="center"/>
              <w:rPr>
                <w:rFonts w:ascii="Times New Roman" w:hAnsi="Times New Roman"/>
                <w:b/>
                <w:bCs/>
                <w:color w:val="000000" w:themeColor="text1"/>
                <w:sz w:val="24"/>
                <w:szCs w:val="24"/>
                <w:lang w:eastAsia="sk-SK"/>
              </w:rPr>
            </w:pPr>
            <w:r w:rsidRPr="002B3726">
              <w:rPr>
                <w:rFonts w:ascii="Times New Roman" w:hAnsi="Times New Roman"/>
                <w:b/>
                <w:bCs/>
                <w:color w:val="000000" w:themeColor="text1"/>
                <w:sz w:val="24"/>
                <w:szCs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2B3726" w:rsidRDefault="005F34E6" w:rsidP="00B30BB0">
            <w:pPr>
              <w:spacing w:after="0" w:line="240" w:lineRule="auto"/>
              <w:jc w:val="center"/>
              <w:rPr>
                <w:rFonts w:ascii="Times New Roman" w:hAnsi="Times New Roman"/>
                <w:b/>
                <w:bCs/>
                <w:color w:val="000000" w:themeColor="text1"/>
                <w:sz w:val="24"/>
                <w:szCs w:val="24"/>
                <w:lang w:eastAsia="sk-SK"/>
              </w:rPr>
            </w:pPr>
            <w:r w:rsidRPr="002B3726">
              <w:rPr>
                <w:rFonts w:ascii="Times New Roman" w:hAnsi="Times New Roman"/>
                <w:b/>
                <w:bCs/>
                <w:color w:val="000000" w:themeColor="text1"/>
                <w:sz w:val="24"/>
                <w:szCs w:val="24"/>
                <w:lang w:eastAsia="sk-SK"/>
              </w:rPr>
              <w:t>2023</w:t>
            </w:r>
          </w:p>
        </w:tc>
        <w:tc>
          <w:tcPr>
            <w:tcW w:w="3000" w:type="dxa"/>
            <w:vMerge/>
            <w:tcBorders>
              <w:top w:val="single" w:sz="4" w:space="0" w:color="auto"/>
              <w:left w:val="single" w:sz="4" w:space="0" w:color="auto"/>
              <w:bottom w:val="single" w:sz="4" w:space="0" w:color="auto"/>
              <w:right w:val="single" w:sz="4" w:space="0" w:color="auto"/>
            </w:tcBorders>
            <w:vAlign w:val="center"/>
          </w:tcPr>
          <w:p w:rsidR="005F34E6" w:rsidRPr="002B3726" w:rsidRDefault="005F34E6" w:rsidP="00B30BB0">
            <w:pPr>
              <w:spacing w:after="0" w:line="240" w:lineRule="auto"/>
              <w:rPr>
                <w:rFonts w:ascii="Times New Roman" w:hAnsi="Times New Roman"/>
                <w:b/>
                <w:bCs/>
                <w:color w:val="000000" w:themeColor="text1"/>
                <w:sz w:val="24"/>
                <w:szCs w:val="24"/>
                <w:lang w:eastAsia="sk-SK"/>
              </w:rPr>
            </w:pPr>
          </w:p>
        </w:tc>
      </w:tr>
      <w:tr w:rsidR="005F34E6" w:rsidRPr="00E93708" w:rsidTr="00B30BB0">
        <w:trPr>
          <w:trHeight w:val="255"/>
        </w:trPr>
        <w:tc>
          <w:tcPr>
            <w:tcW w:w="4950" w:type="dxa"/>
            <w:tcBorders>
              <w:top w:val="nil"/>
              <w:left w:val="single" w:sz="4" w:space="0" w:color="auto"/>
              <w:bottom w:val="single" w:sz="4" w:space="0" w:color="auto"/>
              <w:right w:val="single" w:sz="4" w:space="0" w:color="auto"/>
            </w:tcBorders>
          </w:tcPr>
          <w:p w:rsidR="005F34E6" w:rsidRPr="00C03250" w:rsidRDefault="005F34E6" w:rsidP="00B30BB0">
            <w:pPr>
              <w:spacing w:after="0" w:line="240" w:lineRule="auto"/>
              <w:rPr>
                <w:rFonts w:ascii="Times New Roman" w:hAnsi="Times New Roman"/>
                <w:b/>
                <w:bCs/>
                <w:sz w:val="24"/>
                <w:szCs w:val="24"/>
                <w:vertAlign w:val="superscript"/>
                <w:lang w:eastAsia="sk-SK"/>
              </w:rPr>
            </w:pPr>
            <w:r w:rsidRPr="00C03250">
              <w:rPr>
                <w:rFonts w:ascii="Times New Roman" w:hAnsi="Times New Roman"/>
                <w:b/>
                <w:bCs/>
                <w:sz w:val="24"/>
                <w:szCs w:val="24"/>
                <w:lang w:eastAsia="sk-SK"/>
              </w:rPr>
              <w:t>Daňové príjmy (100)</w:t>
            </w:r>
            <w:r w:rsidRPr="00C0325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-28 493 000</w:t>
            </w:r>
          </w:p>
        </w:tc>
        <w:tc>
          <w:tcPr>
            <w:tcW w:w="1500" w:type="dxa"/>
            <w:tcBorders>
              <w:top w:val="nil"/>
              <w:left w:val="nil"/>
              <w:bottom w:val="single" w:sz="4" w:space="0" w:color="auto"/>
              <w:right w:val="single" w:sz="4" w:space="0" w:color="auto"/>
            </w:tcBorders>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-30 834 000</w:t>
            </w:r>
          </w:p>
        </w:tc>
        <w:tc>
          <w:tcPr>
            <w:tcW w:w="1500" w:type="dxa"/>
            <w:tcBorders>
              <w:top w:val="nil"/>
              <w:left w:val="nil"/>
              <w:bottom w:val="single" w:sz="4" w:space="0" w:color="auto"/>
              <w:right w:val="single" w:sz="4" w:space="0" w:color="auto"/>
            </w:tcBorders>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-33 354 000</w:t>
            </w:r>
          </w:p>
        </w:tc>
        <w:tc>
          <w:tcPr>
            <w:tcW w:w="1500" w:type="dxa"/>
            <w:tcBorders>
              <w:top w:val="nil"/>
              <w:left w:val="nil"/>
              <w:bottom w:val="single" w:sz="4" w:space="0" w:color="auto"/>
              <w:right w:val="single" w:sz="4" w:space="0" w:color="auto"/>
            </w:tcBorders>
          </w:tcPr>
          <w:p w:rsidR="005F34E6" w:rsidRPr="0067196F" w:rsidRDefault="005F34E6" w:rsidP="00B30BB0">
            <w:pPr>
              <w:spacing w:after="0" w:line="240" w:lineRule="auto"/>
              <w:jc w:val="center"/>
              <w:rPr>
                <w:rFonts w:ascii="Times New Roman" w:hAnsi="Times New Roman"/>
                <w:b/>
                <w:bCs/>
                <w:sz w:val="20"/>
                <w:szCs w:val="20"/>
                <w:lang w:eastAsia="sk-SK"/>
              </w:rPr>
            </w:pPr>
            <w:r w:rsidRPr="0067196F">
              <w:rPr>
                <w:rFonts w:ascii="Times New Roman" w:hAnsi="Times New Roman"/>
                <w:b/>
                <w:bCs/>
                <w:sz w:val="20"/>
                <w:szCs w:val="20"/>
                <w:lang w:eastAsia="sk-SK"/>
              </w:rPr>
              <w:t>-35 149 000</w:t>
            </w:r>
          </w:p>
        </w:tc>
        <w:tc>
          <w:tcPr>
            <w:tcW w:w="3000" w:type="dxa"/>
            <w:tcBorders>
              <w:top w:val="nil"/>
              <w:left w:val="nil"/>
              <w:bottom w:val="single" w:sz="4" w:space="0" w:color="auto"/>
              <w:right w:val="single" w:sz="4" w:space="0" w:color="auto"/>
            </w:tcBorders>
            <w:noWrap/>
            <w:vAlign w:val="bottom"/>
          </w:tcPr>
          <w:p w:rsidR="005F34E6" w:rsidRPr="002B3726" w:rsidRDefault="005F34E6" w:rsidP="00B30BB0">
            <w:pPr>
              <w:spacing w:after="0" w:line="240" w:lineRule="auto"/>
              <w:rPr>
                <w:rFonts w:ascii="Times New Roman" w:hAnsi="Times New Roman"/>
                <w:color w:val="000000" w:themeColor="text1"/>
                <w:sz w:val="24"/>
                <w:szCs w:val="24"/>
                <w:lang w:eastAsia="sk-SK"/>
              </w:rPr>
            </w:pPr>
            <w:r w:rsidRPr="002B3726">
              <w:rPr>
                <w:rFonts w:ascii="Times New Roman" w:hAnsi="Times New Roman"/>
                <w:color w:val="000000" w:themeColor="text1"/>
                <w:sz w:val="24"/>
                <w:szCs w:val="24"/>
                <w:lang w:eastAsia="sk-SK"/>
              </w:rPr>
              <w:t xml:space="preserve">Pokles </w:t>
            </w:r>
            <w:r>
              <w:rPr>
                <w:rFonts w:ascii="Times New Roman" w:hAnsi="Times New Roman"/>
                <w:color w:val="000000" w:themeColor="text1"/>
                <w:sz w:val="24"/>
                <w:szCs w:val="24"/>
                <w:lang w:eastAsia="sk-SK"/>
              </w:rPr>
              <w:t>príjmov</w:t>
            </w:r>
            <w:r w:rsidRPr="002B3726">
              <w:rPr>
                <w:rFonts w:ascii="Times New Roman" w:hAnsi="Times New Roman"/>
                <w:color w:val="000000" w:themeColor="text1"/>
                <w:sz w:val="24"/>
                <w:szCs w:val="24"/>
                <w:lang w:eastAsia="sk-SK"/>
              </w:rPr>
              <w:t xml:space="preserve"> z dôvodu zníženia ročných sadzieb dane </w:t>
            </w:r>
            <w:r>
              <w:rPr>
                <w:rFonts w:ascii="Times New Roman" w:hAnsi="Times New Roman"/>
                <w:color w:val="000000" w:themeColor="text1"/>
                <w:sz w:val="24"/>
                <w:szCs w:val="24"/>
                <w:lang w:eastAsia="sk-SK"/>
              </w:rPr>
              <w:t>a zavedenia percentuálneho zníženia ročných sadzieb dane pre vozidlá kategórie M2, M3, N3 a O4</w:t>
            </w:r>
          </w:p>
        </w:tc>
      </w:tr>
      <w:tr w:rsidR="005F34E6" w:rsidRPr="00E93708" w:rsidTr="00B30BB0">
        <w:trPr>
          <w:trHeight w:val="255"/>
        </w:trPr>
        <w:tc>
          <w:tcPr>
            <w:tcW w:w="4950" w:type="dxa"/>
            <w:tcBorders>
              <w:top w:val="nil"/>
              <w:left w:val="single" w:sz="4" w:space="0" w:color="auto"/>
              <w:bottom w:val="single" w:sz="4" w:space="0" w:color="auto"/>
              <w:right w:val="single" w:sz="4" w:space="0" w:color="auto"/>
            </w:tcBorders>
          </w:tcPr>
          <w:p w:rsidR="005F34E6" w:rsidRPr="00C03250" w:rsidRDefault="005F34E6" w:rsidP="00B30BB0">
            <w:pPr>
              <w:spacing w:after="0" w:line="240" w:lineRule="auto"/>
              <w:rPr>
                <w:rFonts w:ascii="Times New Roman" w:hAnsi="Times New Roman"/>
                <w:b/>
                <w:bCs/>
                <w:sz w:val="24"/>
                <w:szCs w:val="24"/>
                <w:lang w:eastAsia="sk-SK"/>
              </w:rPr>
            </w:pPr>
            <w:r w:rsidRPr="00C03250">
              <w:rPr>
                <w:rFonts w:ascii="Times New Roman" w:hAnsi="Times New Roman"/>
                <w:b/>
                <w:bCs/>
                <w:sz w:val="24"/>
                <w:szCs w:val="24"/>
                <w:lang w:eastAsia="sk-SK"/>
              </w:rPr>
              <w:t>Nedaňové príjmy (200)</w:t>
            </w:r>
            <w:r w:rsidRPr="00C0325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F34E6" w:rsidRPr="00C03250" w:rsidRDefault="005F34E6" w:rsidP="00B30BB0">
            <w:pPr>
              <w:spacing w:after="0" w:line="240" w:lineRule="auto"/>
              <w:rPr>
                <w:rFonts w:ascii="Times New Roman" w:hAnsi="Times New Roman"/>
                <w:sz w:val="24"/>
                <w:szCs w:val="24"/>
                <w:lang w:eastAsia="sk-SK"/>
              </w:rPr>
            </w:pPr>
            <w:r w:rsidRPr="00C03250">
              <w:rPr>
                <w:rFonts w:ascii="Times New Roman" w:hAnsi="Times New Roman"/>
                <w:sz w:val="24"/>
                <w:szCs w:val="24"/>
                <w:lang w:eastAsia="sk-SK"/>
              </w:rPr>
              <w:t> </w:t>
            </w:r>
          </w:p>
        </w:tc>
      </w:tr>
      <w:tr w:rsidR="005F34E6" w:rsidRPr="00E93708" w:rsidTr="00B30BB0">
        <w:trPr>
          <w:trHeight w:val="255"/>
        </w:trPr>
        <w:tc>
          <w:tcPr>
            <w:tcW w:w="4950" w:type="dxa"/>
            <w:tcBorders>
              <w:top w:val="nil"/>
              <w:left w:val="single" w:sz="4" w:space="0" w:color="auto"/>
              <w:bottom w:val="single" w:sz="4" w:space="0" w:color="auto"/>
              <w:right w:val="single" w:sz="4" w:space="0" w:color="auto"/>
            </w:tcBorders>
          </w:tcPr>
          <w:p w:rsidR="005F34E6" w:rsidRPr="00C03250" w:rsidRDefault="005F34E6" w:rsidP="00B30BB0">
            <w:pPr>
              <w:spacing w:after="0" w:line="240" w:lineRule="auto"/>
              <w:rPr>
                <w:rFonts w:ascii="Times New Roman" w:hAnsi="Times New Roman"/>
                <w:b/>
                <w:bCs/>
                <w:sz w:val="24"/>
                <w:szCs w:val="24"/>
                <w:lang w:eastAsia="sk-SK"/>
              </w:rPr>
            </w:pPr>
            <w:r w:rsidRPr="00C03250">
              <w:rPr>
                <w:rFonts w:ascii="Times New Roman" w:hAnsi="Times New Roman"/>
                <w:b/>
                <w:bCs/>
                <w:sz w:val="24"/>
                <w:szCs w:val="24"/>
                <w:lang w:eastAsia="sk-SK"/>
              </w:rPr>
              <w:t>Granty a transfery (300)</w:t>
            </w:r>
            <w:r w:rsidRPr="00C03250">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5F34E6" w:rsidRPr="00C03250" w:rsidRDefault="005F34E6" w:rsidP="00B30BB0">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5F34E6" w:rsidRPr="00C03250" w:rsidRDefault="005F34E6" w:rsidP="00B30BB0">
            <w:pPr>
              <w:spacing w:after="0" w:line="240" w:lineRule="auto"/>
              <w:rPr>
                <w:rFonts w:ascii="Times New Roman" w:hAnsi="Times New Roman"/>
                <w:sz w:val="24"/>
                <w:szCs w:val="24"/>
                <w:lang w:eastAsia="sk-SK"/>
              </w:rPr>
            </w:pPr>
            <w:r w:rsidRPr="00C03250">
              <w:rPr>
                <w:rFonts w:ascii="Times New Roman" w:hAnsi="Times New Roman"/>
                <w:sz w:val="24"/>
                <w:szCs w:val="24"/>
                <w:lang w:eastAsia="sk-SK"/>
              </w:rPr>
              <w:t> </w:t>
            </w:r>
          </w:p>
        </w:tc>
      </w:tr>
      <w:tr w:rsidR="005F34E6" w:rsidRPr="00E93708" w:rsidTr="00B30BB0">
        <w:trPr>
          <w:trHeight w:val="255"/>
        </w:trPr>
        <w:tc>
          <w:tcPr>
            <w:tcW w:w="4950" w:type="dxa"/>
            <w:tcBorders>
              <w:top w:val="nil"/>
              <w:left w:val="single" w:sz="4" w:space="0" w:color="auto"/>
              <w:bottom w:val="single" w:sz="4" w:space="0" w:color="auto"/>
              <w:right w:val="single" w:sz="4" w:space="0" w:color="auto"/>
            </w:tcBorders>
          </w:tcPr>
          <w:p w:rsidR="005F34E6" w:rsidRPr="00C03250" w:rsidRDefault="005F34E6" w:rsidP="00B30BB0">
            <w:pPr>
              <w:spacing w:after="0" w:line="240" w:lineRule="auto"/>
              <w:rPr>
                <w:rFonts w:ascii="Times New Roman" w:hAnsi="Times New Roman"/>
                <w:b/>
                <w:bCs/>
                <w:sz w:val="24"/>
                <w:szCs w:val="24"/>
                <w:lang w:eastAsia="sk-SK"/>
              </w:rPr>
            </w:pPr>
            <w:r w:rsidRPr="00C03250">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F34E6" w:rsidRPr="00C03250" w:rsidRDefault="005F34E6" w:rsidP="00B30BB0">
            <w:pPr>
              <w:spacing w:after="0" w:line="240" w:lineRule="auto"/>
              <w:rPr>
                <w:rFonts w:ascii="Times New Roman" w:hAnsi="Times New Roman"/>
                <w:sz w:val="24"/>
                <w:szCs w:val="24"/>
                <w:lang w:eastAsia="sk-SK"/>
              </w:rPr>
            </w:pPr>
            <w:r w:rsidRPr="00C03250">
              <w:rPr>
                <w:rFonts w:ascii="Times New Roman" w:hAnsi="Times New Roman"/>
                <w:sz w:val="24"/>
                <w:szCs w:val="24"/>
                <w:lang w:eastAsia="sk-SK"/>
              </w:rPr>
              <w:t> </w:t>
            </w:r>
          </w:p>
        </w:tc>
      </w:tr>
      <w:tr w:rsidR="005F34E6" w:rsidRPr="00E93708" w:rsidTr="00B30BB0">
        <w:trPr>
          <w:trHeight w:val="255"/>
        </w:trPr>
        <w:tc>
          <w:tcPr>
            <w:tcW w:w="4950" w:type="dxa"/>
            <w:tcBorders>
              <w:top w:val="nil"/>
              <w:left w:val="single" w:sz="4" w:space="0" w:color="auto"/>
              <w:bottom w:val="single" w:sz="4" w:space="0" w:color="auto"/>
              <w:right w:val="single" w:sz="4" w:space="0" w:color="auto"/>
            </w:tcBorders>
          </w:tcPr>
          <w:p w:rsidR="005F34E6" w:rsidRPr="00C03250" w:rsidRDefault="005F34E6" w:rsidP="00B30BB0">
            <w:pPr>
              <w:spacing w:after="0" w:line="240" w:lineRule="auto"/>
              <w:rPr>
                <w:rFonts w:ascii="Times New Roman" w:hAnsi="Times New Roman"/>
                <w:b/>
                <w:bCs/>
                <w:sz w:val="24"/>
                <w:szCs w:val="24"/>
                <w:lang w:eastAsia="sk-SK"/>
              </w:rPr>
            </w:pPr>
            <w:r w:rsidRPr="00C03250">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auto"/>
          </w:tcPr>
          <w:p w:rsidR="005F34E6" w:rsidRPr="00AF2EDF" w:rsidRDefault="005F34E6" w:rsidP="00B30BB0">
            <w:pPr>
              <w:spacing w:after="0" w:line="240" w:lineRule="auto"/>
              <w:jc w:val="center"/>
              <w:rPr>
                <w:rFonts w:ascii="Times New Roman" w:hAnsi="Times New Roman"/>
                <w:b/>
                <w:bCs/>
                <w:sz w:val="24"/>
                <w:szCs w:val="24"/>
                <w:lang w:eastAsia="sk-SK"/>
              </w:rPr>
            </w:pPr>
            <w:r w:rsidRPr="00AF2EDF">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5F34E6" w:rsidRPr="00C03250" w:rsidRDefault="005F34E6" w:rsidP="00B30BB0">
            <w:pPr>
              <w:spacing w:after="0" w:line="240" w:lineRule="auto"/>
              <w:rPr>
                <w:rFonts w:ascii="Times New Roman" w:hAnsi="Times New Roman"/>
                <w:sz w:val="24"/>
                <w:szCs w:val="24"/>
                <w:lang w:eastAsia="sk-SK"/>
              </w:rPr>
            </w:pPr>
            <w:r w:rsidRPr="00C03250">
              <w:rPr>
                <w:rFonts w:ascii="Times New Roman" w:hAnsi="Times New Roman"/>
                <w:sz w:val="24"/>
                <w:szCs w:val="24"/>
                <w:lang w:eastAsia="sk-SK"/>
              </w:rPr>
              <w:t> </w:t>
            </w:r>
          </w:p>
        </w:tc>
      </w:tr>
      <w:tr w:rsidR="005F34E6" w:rsidRPr="00AF2EDF" w:rsidTr="00B30BB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5F34E6" w:rsidRPr="00AF2EDF" w:rsidRDefault="005F34E6" w:rsidP="00B30BB0">
            <w:pPr>
              <w:spacing w:after="0" w:line="240" w:lineRule="auto"/>
              <w:rPr>
                <w:rFonts w:ascii="Times New Roman" w:hAnsi="Times New Roman"/>
                <w:b/>
                <w:bCs/>
                <w:sz w:val="24"/>
                <w:szCs w:val="24"/>
                <w:lang w:eastAsia="sk-SK"/>
              </w:rPr>
            </w:pPr>
            <w:r w:rsidRPr="00AF2EDF">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0D49E5" w:rsidRDefault="005F34E6" w:rsidP="00B30BB0">
            <w:pPr>
              <w:spacing w:after="0" w:line="240" w:lineRule="auto"/>
              <w:jc w:val="center"/>
              <w:rPr>
                <w:rFonts w:ascii="Times New Roman" w:hAnsi="Times New Roman"/>
                <w:b/>
                <w:bCs/>
                <w:szCs w:val="20"/>
                <w:lang w:eastAsia="sk-SK"/>
              </w:rPr>
            </w:pPr>
            <w:r w:rsidRPr="000D49E5">
              <w:rPr>
                <w:rFonts w:ascii="Times New Roman" w:hAnsi="Times New Roman"/>
                <w:b/>
                <w:bCs/>
                <w:szCs w:val="20"/>
                <w:lang w:eastAsia="sk-SK"/>
              </w:rPr>
              <w:t>-28 493 000</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0D49E5" w:rsidRDefault="005F34E6" w:rsidP="00B30BB0">
            <w:pPr>
              <w:spacing w:after="0" w:line="240" w:lineRule="auto"/>
              <w:jc w:val="center"/>
              <w:rPr>
                <w:rFonts w:ascii="Times New Roman" w:hAnsi="Times New Roman"/>
                <w:b/>
                <w:bCs/>
                <w:szCs w:val="20"/>
                <w:lang w:eastAsia="sk-SK"/>
              </w:rPr>
            </w:pPr>
            <w:r w:rsidRPr="000D49E5">
              <w:rPr>
                <w:rFonts w:ascii="Times New Roman" w:hAnsi="Times New Roman"/>
                <w:b/>
                <w:bCs/>
                <w:szCs w:val="20"/>
                <w:lang w:eastAsia="sk-SK"/>
              </w:rPr>
              <w:t>-30 834 000</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0D49E5" w:rsidRDefault="005F34E6" w:rsidP="00B30BB0">
            <w:pPr>
              <w:spacing w:after="0" w:line="240" w:lineRule="auto"/>
              <w:jc w:val="center"/>
              <w:rPr>
                <w:rFonts w:ascii="Times New Roman" w:hAnsi="Times New Roman"/>
                <w:b/>
                <w:bCs/>
                <w:szCs w:val="20"/>
                <w:lang w:eastAsia="sk-SK"/>
              </w:rPr>
            </w:pPr>
            <w:r w:rsidRPr="000D49E5">
              <w:rPr>
                <w:rFonts w:ascii="Times New Roman" w:hAnsi="Times New Roman"/>
                <w:b/>
                <w:bCs/>
                <w:szCs w:val="20"/>
                <w:lang w:eastAsia="sk-SK"/>
              </w:rPr>
              <w:t>-33 354 000</w:t>
            </w:r>
          </w:p>
        </w:tc>
        <w:tc>
          <w:tcPr>
            <w:tcW w:w="1500" w:type="dxa"/>
            <w:tcBorders>
              <w:top w:val="nil"/>
              <w:left w:val="nil"/>
              <w:bottom w:val="single" w:sz="4" w:space="0" w:color="auto"/>
              <w:right w:val="single" w:sz="4" w:space="0" w:color="auto"/>
            </w:tcBorders>
            <w:shd w:val="clear" w:color="auto" w:fill="BFBFBF" w:themeFill="background1" w:themeFillShade="BF"/>
          </w:tcPr>
          <w:p w:rsidR="005F34E6" w:rsidRPr="000D49E5" w:rsidRDefault="005F34E6" w:rsidP="00B30BB0">
            <w:pPr>
              <w:spacing w:after="0" w:line="240" w:lineRule="auto"/>
              <w:jc w:val="center"/>
              <w:rPr>
                <w:rFonts w:ascii="Times New Roman" w:hAnsi="Times New Roman"/>
                <w:b/>
                <w:bCs/>
                <w:szCs w:val="20"/>
                <w:lang w:eastAsia="sk-SK"/>
              </w:rPr>
            </w:pPr>
            <w:r w:rsidRPr="000D49E5">
              <w:rPr>
                <w:rFonts w:ascii="Times New Roman" w:hAnsi="Times New Roman"/>
                <w:b/>
                <w:bCs/>
                <w:szCs w:val="20"/>
                <w:lang w:eastAsia="sk-SK"/>
              </w:rPr>
              <w:t>-35 149 000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5F34E6" w:rsidRPr="00AF2EDF" w:rsidRDefault="005F34E6" w:rsidP="00B30BB0">
            <w:pPr>
              <w:spacing w:after="0" w:line="240" w:lineRule="auto"/>
              <w:rPr>
                <w:rFonts w:ascii="Times New Roman" w:hAnsi="Times New Roman"/>
                <w:sz w:val="24"/>
                <w:szCs w:val="24"/>
                <w:lang w:eastAsia="sk-SK"/>
              </w:rPr>
            </w:pPr>
            <w:r w:rsidRPr="00AF2EDF">
              <w:rPr>
                <w:rFonts w:ascii="Times New Roman" w:hAnsi="Times New Roman"/>
                <w:sz w:val="24"/>
                <w:szCs w:val="24"/>
                <w:lang w:eastAsia="sk-SK"/>
              </w:rPr>
              <w:t> </w:t>
            </w:r>
          </w:p>
        </w:tc>
      </w:tr>
    </w:tbl>
    <w:p w:rsidR="005F34E6" w:rsidRPr="00E93708" w:rsidRDefault="005F34E6" w:rsidP="005F34E6">
      <w:pPr>
        <w:tabs>
          <w:tab w:val="num" w:pos="1080"/>
        </w:tabs>
        <w:spacing w:after="0" w:line="240" w:lineRule="auto"/>
        <w:jc w:val="both"/>
        <w:rPr>
          <w:rFonts w:ascii="Times New Roman" w:hAnsi="Times New Roman"/>
          <w:bCs/>
          <w:sz w:val="16"/>
          <w:szCs w:val="16"/>
          <w:lang w:eastAsia="sk-SK"/>
        </w:rPr>
      </w:pPr>
      <w:r w:rsidRPr="00AF2EDF">
        <w:rPr>
          <w:rFonts w:ascii="Times New Roman" w:hAnsi="Times New Roman"/>
          <w:bCs/>
          <w:sz w:val="16"/>
          <w:szCs w:val="16"/>
          <w:lang w:eastAsia="sk-SK"/>
        </w:rPr>
        <w:t>1 –  príjmy rozpísať až do položiek platnej ekonomickej klasifikácie</w:t>
      </w:r>
    </w:p>
    <w:p w:rsidR="005F34E6" w:rsidRPr="00E93708" w:rsidRDefault="005F34E6" w:rsidP="005F34E6">
      <w:pPr>
        <w:tabs>
          <w:tab w:val="num" w:pos="1080"/>
        </w:tabs>
        <w:spacing w:after="0" w:line="240" w:lineRule="auto"/>
        <w:jc w:val="both"/>
        <w:rPr>
          <w:rFonts w:ascii="Times New Roman" w:hAnsi="Times New Roman"/>
          <w:bCs/>
          <w:sz w:val="16"/>
          <w:szCs w:val="16"/>
          <w:lang w:eastAsia="sk-SK"/>
        </w:rPr>
      </w:pPr>
    </w:p>
    <w:p w:rsidR="00DC0E28" w:rsidRDefault="00DC0E28"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pPr>
    </w:p>
    <w:p w:rsidR="00897B76" w:rsidRDefault="00897B76" w:rsidP="00B30BB0">
      <w:pPr>
        <w:tabs>
          <w:tab w:val="num" w:pos="1080"/>
        </w:tabs>
        <w:spacing w:after="0" w:line="240" w:lineRule="auto"/>
        <w:ind w:right="-578"/>
        <w:rPr>
          <w:rFonts w:ascii="Times New Roman" w:hAnsi="Times New Roman"/>
          <w:bCs/>
          <w:sz w:val="16"/>
          <w:szCs w:val="16"/>
          <w:lang w:eastAsia="sk-SK"/>
        </w:rPr>
        <w:sectPr w:rsidR="00897B76" w:rsidSect="00B30BB0">
          <w:pgSz w:w="16838" w:h="11906" w:orient="landscape"/>
          <w:pgMar w:top="1418" w:right="1418" w:bottom="1418" w:left="1418" w:header="709" w:footer="709" w:gutter="0"/>
          <w:cols w:space="708"/>
          <w:docGrid w:linePitch="360"/>
        </w:sectPr>
      </w:pPr>
    </w:p>
    <w:tbl>
      <w:tblPr>
        <w:tblpPr w:leftFromText="141" w:rightFromText="141" w:vertAnchor="text" w:horzAnchor="margin" w:tblpXSpec="center" w:tblpY="363"/>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DC0E28" w:rsidRPr="00D175A5" w:rsidTr="00897B7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lastRenderedPageBreak/>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poznámka</w:t>
            </w:r>
          </w:p>
        </w:tc>
      </w:tr>
      <w:tr w:rsidR="00DC0E28" w:rsidRPr="00D175A5" w:rsidTr="00897B7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DC0E28" w:rsidRPr="00D175A5" w:rsidRDefault="00DC0E28" w:rsidP="00897B76">
            <w:pPr>
              <w:spacing w:after="0" w:line="240" w:lineRule="auto"/>
              <w:rPr>
                <w:rFonts w:ascii="Times New Roman" w:hAnsi="Times New Roman"/>
                <w:b/>
                <w:bCs/>
                <w:color w:val="FFFFFF"/>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201</w:t>
            </w:r>
            <w:r>
              <w:rPr>
                <w:rFonts w:ascii="Times New Roman" w:hAnsi="Times New Roman"/>
                <w:b/>
                <w:bCs/>
                <w:sz w:val="24"/>
                <w:szCs w:val="24"/>
                <w:lang w:eastAsia="sk-SK"/>
              </w:rPr>
              <w:t>7</w:t>
            </w:r>
          </w:p>
        </w:tc>
        <w:tc>
          <w:tcPr>
            <w:tcW w:w="1540" w:type="dxa"/>
            <w:tcBorders>
              <w:top w:val="nil"/>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201</w:t>
            </w:r>
            <w:r>
              <w:rPr>
                <w:rFonts w:ascii="Times New Roman" w:hAnsi="Times New Roman"/>
                <w:b/>
                <w:bCs/>
                <w:sz w:val="24"/>
                <w:szCs w:val="24"/>
                <w:lang w:eastAsia="sk-SK"/>
              </w:rPr>
              <w:t>8</w:t>
            </w:r>
          </w:p>
        </w:tc>
        <w:tc>
          <w:tcPr>
            <w:tcW w:w="1540" w:type="dxa"/>
            <w:tcBorders>
              <w:top w:val="nil"/>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201</w:t>
            </w:r>
            <w:r>
              <w:rPr>
                <w:rFonts w:ascii="Times New Roman" w:hAnsi="Times New Roman"/>
                <w:b/>
                <w:bCs/>
                <w:sz w:val="24"/>
                <w:szCs w:val="24"/>
                <w:lang w:eastAsia="sk-SK"/>
              </w:rPr>
              <w:t>9</w:t>
            </w:r>
          </w:p>
        </w:tc>
        <w:tc>
          <w:tcPr>
            <w:tcW w:w="1540" w:type="dxa"/>
            <w:tcBorders>
              <w:top w:val="nil"/>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w:t>
            </w:r>
            <w:r>
              <w:rPr>
                <w:rFonts w:ascii="Times New Roman" w:hAnsi="Times New Roman"/>
                <w:b/>
                <w:bCs/>
                <w:sz w:val="24"/>
                <w:szCs w:val="24"/>
                <w:lang w:eastAsia="sk-SK"/>
              </w:rPr>
              <w:t>20</w:t>
            </w:r>
          </w:p>
        </w:tc>
        <w:tc>
          <w:tcPr>
            <w:tcW w:w="2220" w:type="dxa"/>
            <w:vMerge/>
            <w:tcBorders>
              <w:top w:val="single" w:sz="4" w:space="0" w:color="auto"/>
              <w:left w:val="single" w:sz="4" w:space="0" w:color="auto"/>
              <w:bottom w:val="single" w:sz="4" w:space="0" w:color="auto"/>
              <w:right w:val="single" w:sz="4" w:space="0" w:color="auto"/>
            </w:tcBorders>
            <w:vAlign w:val="center"/>
          </w:tcPr>
          <w:p w:rsidR="00DC0E28" w:rsidRPr="00D175A5" w:rsidRDefault="00DC0E28" w:rsidP="00897B76">
            <w:pPr>
              <w:spacing w:after="0" w:line="240" w:lineRule="auto"/>
              <w:rPr>
                <w:rFonts w:ascii="Times New Roman" w:hAnsi="Times New Roman"/>
                <w:b/>
                <w:bCs/>
                <w:color w:val="FFFFFF"/>
                <w:sz w:val="24"/>
                <w:szCs w:val="24"/>
                <w:lang w:eastAsia="sk-SK"/>
              </w:rPr>
            </w:pP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sz w:val="24"/>
                <w:szCs w:val="24"/>
                <w:vertAlign w:val="superscript"/>
                <w:lang w:eastAsia="sk-SK"/>
              </w:rPr>
            </w:pPr>
            <w:r w:rsidRPr="00D175A5">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sz w:val="24"/>
                <w:szCs w:val="24"/>
                <w:vertAlign w:val="superscript"/>
                <w:lang w:eastAsia="sk-SK"/>
              </w:rPr>
            </w:pPr>
            <w:r w:rsidRPr="00D175A5">
              <w:rPr>
                <w:rFonts w:ascii="Times New Roman" w:hAnsi="Times New Roman"/>
                <w:sz w:val="24"/>
                <w:szCs w:val="24"/>
                <w:lang w:eastAsia="sk-SK"/>
              </w:rPr>
              <w:t xml:space="preserve">  Tovary a služby (630)</w:t>
            </w:r>
            <w:r w:rsidRPr="00D175A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xml:space="preserve">  Bežné transfery (640)</w:t>
            </w:r>
            <w:r w:rsidRPr="00D175A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vAlign w:val="center"/>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xml:space="preserve">  Splácanie úrokov a ostatné platby súvisiace s </w:t>
            </w:r>
            <w:r w:rsidRPr="00D175A5">
              <w:rPr>
                <w:rFonts w:ascii="Times New Roman" w:hAnsi="Times New Roman"/>
                <w:sz w:val="24"/>
                <w:szCs w:val="24"/>
              </w:rPr>
              <w:t xml:space="preserve"> </w:t>
            </w:r>
            <w:r w:rsidRPr="00D175A5">
              <w:rPr>
                <w:rFonts w:ascii="Times New Roman" w:hAnsi="Times New Roman"/>
                <w:sz w:val="24"/>
                <w:szCs w:val="24"/>
                <w:lang w:eastAsia="sk-SK"/>
              </w:rPr>
              <w:t>úverom, pôžičkou, návratnou finančnou výpomocou a finančným prenájmom (650)</w:t>
            </w:r>
            <w:r w:rsidRPr="00D175A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xml:space="preserve">  Obstarávanie kapitálových aktív (710)</w:t>
            </w:r>
            <w:r w:rsidRPr="00D175A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897B76">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xml:space="preserve">  Kapitálové transfery (720)</w:t>
            </w:r>
            <w:r w:rsidRPr="00D175A5">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DC0E28" w:rsidRPr="00D175A5" w:rsidRDefault="00DC0E28" w:rsidP="00897B76">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p>
        </w:tc>
      </w:tr>
      <w:tr w:rsidR="00DC0E28" w:rsidRPr="00D175A5" w:rsidTr="000D36DC">
        <w:trPr>
          <w:trHeight w:val="255"/>
        </w:trPr>
        <w:tc>
          <w:tcPr>
            <w:tcW w:w="7070" w:type="dxa"/>
            <w:tcBorders>
              <w:top w:val="nil"/>
              <w:left w:val="single" w:sz="4" w:space="0" w:color="auto"/>
              <w:bottom w:val="single" w:sz="4" w:space="0" w:color="auto"/>
              <w:right w:val="single" w:sz="4" w:space="0" w:color="auto"/>
            </w:tcBorders>
          </w:tcPr>
          <w:p w:rsidR="00DC0E28" w:rsidRPr="00D175A5" w:rsidRDefault="00DC0E28" w:rsidP="00897B76">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DC0E28" w:rsidRPr="00D175A5" w:rsidTr="000D36DC">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DC0E28" w:rsidRPr="00D175A5" w:rsidRDefault="00DC0E28" w:rsidP="00897B76">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C0E28" w:rsidRPr="00D175A5" w:rsidRDefault="00DC0E28" w:rsidP="00897B76">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 </w:t>
            </w:r>
          </w:p>
        </w:tc>
      </w:tr>
      <w:tr w:rsidR="000D36DC" w:rsidRPr="00D175A5" w:rsidTr="000D36DC">
        <w:trPr>
          <w:trHeight w:val="255"/>
        </w:trPr>
        <w:tc>
          <w:tcPr>
            <w:tcW w:w="7070" w:type="dxa"/>
            <w:tcBorders>
              <w:top w:val="single" w:sz="4" w:space="0" w:color="auto"/>
            </w:tcBorders>
            <w:shd w:val="clear" w:color="auto" w:fill="auto"/>
          </w:tcPr>
          <w:p w:rsidR="000D36DC" w:rsidRPr="000D36DC" w:rsidRDefault="000D36DC" w:rsidP="000D36DC">
            <w:pPr>
              <w:tabs>
                <w:tab w:val="num" w:pos="1080"/>
              </w:tabs>
              <w:spacing w:after="0" w:line="240" w:lineRule="auto"/>
              <w:jc w:val="both"/>
              <w:rPr>
                <w:rFonts w:ascii="Times New Roman" w:hAnsi="Times New Roman"/>
                <w:bCs/>
                <w:sz w:val="24"/>
                <w:szCs w:val="24"/>
                <w:lang w:eastAsia="sk-SK"/>
              </w:rPr>
            </w:pPr>
            <w:r w:rsidRPr="000D36DC">
              <w:rPr>
                <w:rFonts w:ascii="Times New Roman" w:hAnsi="Times New Roman"/>
                <w:bCs/>
                <w:sz w:val="24"/>
                <w:szCs w:val="24"/>
                <w:lang w:eastAsia="sk-SK"/>
              </w:rPr>
              <w:t>2 –  výdavky rozpísať až do položiek platnej ekonomickej klasifikácie</w:t>
            </w:r>
          </w:p>
          <w:p w:rsidR="000D36DC" w:rsidRPr="000D36DC" w:rsidRDefault="000D36DC" w:rsidP="00897B76">
            <w:pPr>
              <w:spacing w:after="0" w:line="240" w:lineRule="auto"/>
              <w:rPr>
                <w:rFonts w:ascii="Times New Roman" w:hAnsi="Times New Roman"/>
                <w:b/>
                <w:bCs/>
                <w:sz w:val="24"/>
                <w:szCs w:val="24"/>
                <w:lang w:eastAsia="sk-SK"/>
              </w:rPr>
            </w:pPr>
          </w:p>
        </w:tc>
        <w:tc>
          <w:tcPr>
            <w:tcW w:w="1540" w:type="dxa"/>
            <w:tcBorders>
              <w:top w:val="single" w:sz="4" w:space="0" w:color="auto"/>
            </w:tcBorders>
            <w:shd w:val="clear" w:color="auto" w:fill="auto"/>
          </w:tcPr>
          <w:p w:rsidR="000D36DC" w:rsidRPr="000D36DC" w:rsidRDefault="000D36DC" w:rsidP="00897B76">
            <w:pPr>
              <w:spacing w:after="0" w:line="240" w:lineRule="auto"/>
              <w:jc w:val="center"/>
              <w:rPr>
                <w:rFonts w:ascii="Times New Roman" w:hAnsi="Times New Roman"/>
                <w:b/>
                <w:bCs/>
                <w:sz w:val="24"/>
                <w:szCs w:val="24"/>
                <w:lang w:eastAsia="sk-SK"/>
              </w:rPr>
            </w:pPr>
          </w:p>
        </w:tc>
        <w:tc>
          <w:tcPr>
            <w:tcW w:w="1540" w:type="dxa"/>
            <w:tcBorders>
              <w:top w:val="single" w:sz="4" w:space="0" w:color="auto"/>
            </w:tcBorders>
            <w:shd w:val="clear" w:color="auto" w:fill="auto"/>
          </w:tcPr>
          <w:p w:rsidR="000D36DC" w:rsidRPr="000D36DC" w:rsidRDefault="000D36DC" w:rsidP="00897B76">
            <w:pPr>
              <w:spacing w:after="0" w:line="240" w:lineRule="auto"/>
              <w:jc w:val="center"/>
              <w:rPr>
                <w:rFonts w:ascii="Times New Roman" w:hAnsi="Times New Roman"/>
                <w:b/>
                <w:bCs/>
                <w:sz w:val="24"/>
                <w:szCs w:val="24"/>
                <w:lang w:eastAsia="sk-SK"/>
              </w:rPr>
            </w:pPr>
          </w:p>
        </w:tc>
        <w:tc>
          <w:tcPr>
            <w:tcW w:w="1540" w:type="dxa"/>
            <w:tcBorders>
              <w:top w:val="single" w:sz="4" w:space="0" w:color="auto"/>
            </w:tcBorders>
            <w:shd w:val="clear" w:color="auto" w:fill="auto"/>
          </w:tcPr>
          <w:p w:rsidR="000D36DC" w:rsidRPr="000D36DC" w:rsidRDefault="000D36DC" w:rsidP="00897B76">
            <w:pPr>
              <w:spacing w:after="0" w:line="240" w:lineRule="auto"/>
              <w:jc w:val="center"/>
              <w:rPr>
                <w:rFonts w:ascii="Times New Roman" w:hAnsi="Times New Roman"/>
                <w:b/>
                <w:bCs/>
                <w:sz w:val="24"/>
                <w:szCs w:val="24"/>
                <w:lang w:eastAsia="sk-SK"/>
              </w:rPr>
            </w:pPr>
          </w:p>
        </w:tc>
        <w:tc>
          <w:tcPr>
            <w:tcW w:w="1540" w:type="dxa"/>
            <w:tcBorders>
              <w:top w:val="single" w:sz="4" w:space="0" w:color="auto"/>
            </w:tcBorders>
            <w:shd w:val="clear" w:color="auto" w:fill="auto"/>
          </w:tcPr>
          <w:p w:rsidR="000D36DC" w:rsidRPr="000D36DC" w:rsidRDefault="000D36DC" w:rsidP="00897B76">
            <w:pPr>
              <w:spacing w:after="0" w:line="240" w:lineRule="auto"/>
              <w:jc w:val="center"/>
              <w:rPr>
                <w:rFonts w:ascii="Times New Roman" w:hAnsi="Times New Roman"/>
                <w:b/>
                <w:bCs/>
                <w:sz w:val="24"/>
                <w:szCs w:val="24"/>
                <w:lang w:eastAsia="sk-SK"/>
              </w:rPr>
            </w:pPr>
          </w:p>
        </w:tc>
        <w:tc>
          <w:tcPr>
            <w:tcW w:w="2220" w:type="dxa"/>
            <w:tcBorders>
              <w:top w:val="single" w:sz="4" w:space="0" w:color="auto"/>
            </w:tcBorders>
            <w:shd w:val="clear" w:color="auto" w:fill="auto"/>
            <w:noWrap/>
            <w:vAlign w:val="bottom"/>
          </w:tcPr>
          <w:p w:rsidR="000D36DC" w:rsidRPr="000D36DC" w:rsidRDefault="000D36DC" w:rsidP="00897B76">
            <w:pPr>
              <w:spacing w:after="0" w:line="240" w:lineRule="auto"/>
              <w:rPr>
                <w:rFonts w:ascii="Times New Roman" w:hAnsi="Times New Roman"/>
                <w:sz w:val="24"/>
                <w:szCs w:val="24"/>
                <w:lang w:eastAsia="sk-SK"/>
              </w:rPr>
            </w:pPr>
          </w:p>
        </w:tc>
      </w:tr>
    </w:tbl>
    <w:p w:rsidR="00B30BB0" w:rsidRPr="00D81139" w:rsidRDefault="000D36DC" w:rsidP="00B30BB0">
      <w:pPr>
        <w:tabs>
          <w:tab w:val="num" w:pos="1080"/>
        </w:tabs>
        <w:spacing w:after="0" w:line="240" w:lineRule="auto"/>
        <w:ind w:right="-32"/>
        <w:jc w:val="right"/>
        <w:rPr>
          <w:rFonts w:ascii="Times New Roman" w:hAnsi="Times New Roman"/>
          <w:bCs/>
          <w:sz w:val="24"/>
          <w:szCs w:val="24"/>
          <w:lang w:eastAsia="sk-SK"/>
        </w:rPr>
        <w:sectPr w:rsidR="00B30BB0" w:rsidRPr="00D81139" w:rsidSect="001111E9">
          <w:pgSz w:w="16838" w:h="11906" w:orient="landscape"/>
          <w:pgMar w:top="1418" w:right="1418" w:bottom="1418" w:left="1418" w:header="709" w:footer="709" w:gutter="0"/>
          <w:cols w:space="708"/>
          <w:docGrid w:linePitch="360"/>
        </w:sectPr>
      </w:pPr>
      <w:r w:rsidRPr="000D36DC">
        <w:rPr>
          <w:rFonts w:ascii="Times New Roman" w:hAnsi="Times New Roman"/>
          <w:bCs/>
          <w:sz w:val="24"/>
          <w:szCs w:val="24"/>
          <w:lang w:eastAsia="sk-SK"/>
        </w:rPr>
        <w:t>Tabuľka č.</w:t>
      </w:r>
      <w:r w:rsidR="00B91B2D">
        <w:rPr>
          <w:rFonts w:ascii="Times New Roman" w:hAnsi="Times New Roman"/>
          <w:bCs/>
          <w:sz w:val="24"/>
          <w:szCs w:val="24"/>
          <w:lang w:eastAsia="sk-SK"/>
        </w:rPr>
        <w:t xml:space="preserve"> 4</w:t>
      </w:r>
      <w:r>
        <w:rPr>
          <w:rFonts w:ascii="Times New Roman" w:hAnsi="Times New Roman"/>
          <w:bCs/>
          <w:sz w:val="24"/>
          <w:szCs w:val="24"/>
          <w:lang w:eastAsia="sk-SK"/>
        </w:rPr>
        <w:t xml:space="preserve"> </w:t>
      </w:r>
    </w:p>
    <w:p w:rsidR="00873D6B" w:rsidRDefault="005F34E6" w:rsidP="00873D6B">
      <w:pPr>
        <w:tabs>
          <w:tab w:val="num" w:pos="1080"/>
        </w:tabs>
        <w:spacing w:after="0" w:line="240" w:lineRule="auto"/>
        <w:jc w:val="both"/>
        <w:rPr>
          <w:rFonts w:ascii="Times New Roman" w:hAnsi="Times New Roman"/>
          <w:bCs/>
          <w:sz w:val="24"/>
          <w:szCs w:val="24"/>
          <w:lang w:eastAsia="sk-SK"/>
        </w:rPr>
      </w:pPr>
      <w:r w:rsidRPr="000D36DC">
        <w:rPr>
          <w:rFonts w:ascii="Times New Roman" w:hAnsi="Times New Roman"/>
          <w:bCs/>
          <w:sz w:val="24"/>
          <w:szCs w:val="24"/>
          <w:lang w:eastAsia="sk-SK"/>
        </w:rPr>
        <w:lastRenderedPageBreak/>
        <w:t xml:space="preserve"> </w:t>
      </w:r>
    </w:p>
    <w:p w:rsidR="005F34E6" w:rsidRPr="00D81139" w:rsidRDefault="005F34E6" w:rsidP="005F34E6">
      <w:pPr>
        <w:tabs>
          <w:tab w:val="num" w:pos="1080"/>
        </w:tabs>
        <w:spacing w:after="0" w:line="240" w:lineRule="auto"/>
        <w:jc w:val="right"/>
        <w:rPr>
          <w:rFonts w:ascii="Times New Roman" w:hAnsi="Times New Roman"/>
          <w:bCs/>
          <w:sz w:val="24"/>
          <w:szCs w:val="24"/>
          <w:lang w:eastAsia="sk-SK"/>
        </w:rPr>
      </w:pPr>
      <w:r w:rsidRPr="00D81139">
        <w:rPr>
          <w:rFonts w:ascii="Times New Roman" w:hAnsi="Times New Roman"/>
          <w:bCs/>
          <w:sz w:val="24"/>
          <w:szCs w:val="24"/>
          <w:lang w:eastAsia="sk-SK"/>
        </w:rPr>
        <w:t xml:space="preserve">                 Tabuľka č. 5 </w:t>
      </w: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5F34E6" w:rsidRPr="00D175A5" w:rsidTr="001210A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F34E6" w:rsidRPr="00FA3C60" w:rsidRDefault="005F34E6" w:rsidP="001111E9">
            <w:pPr>
              <w:spacing w:after="0" w:line="240" w:lineRule="auto"/>
              <w:jc w:val="center"/>
              <w:rPr>
                <w:rFonts w:ascii="Times New Roman" w:hAnsi="Times New Roman"/>
                <w:b/>
                <w:bCs/>
                <w:sz w:val="24"/>
                <w:szCs w:val="24"/>
                <w:lang w:eastAsia="sk-SK"/>
              </w:rPr>
            </w:pPr>
            <w:r w:rsidRPr="00FA3C60">
              <w:rPr>
                <w:rFonts w:ascii="Times New Roman" w:hAnsi="Times New Roman"/>
                <w:b/>
                <w:bCs/>
                <w:sz w:val="24"/>
                <w:szCs w:val="24"/>
                <w:lang w:eastAsia="sk-SK"/>
              </w:rPr>
              <w:t>poznámka</w:t>
            </w:r>
          </w:p>
        </w:tc>
      </w:tr>
      <w:tr w:rsidR="005F34E6" w:rsidRPr="00D175A5" w:rsidTr="001210A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F34E6" w:rsidRPr="00D175A5" w:rsidRDefault="005F34E6" w:rsidP="001111E9">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788" w:type="dxa"/>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201</w:t>
            </w:r>
            <w:r>
              <w:rPr>
                <w:rFonts w:ascii="Times New Roman" w:hAnsi="Times New Roman"/>
                <w:b/>
                <w:bCs/>
                <w:sz w:val="24"/>
                <w:szCs w:val="24"/>
                <w:lang w:eastAsia="sk-SK"/>
              </w:rPr>
              <w:t>8</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201</w:t>
            </w:r>
            <w:r>
              <w:rPr>
                <w:rFonts w:ascii="Times New Roman" w:hAnsi="Times New Roman"/>
                <w:b/>
                <w:bCs/>
                <w:sz w:val="24"/>
                <w:szCs w:val="24"/>
                <w:lang w:eastAsia="sk-SK"/>
              </w:rPr>
              <w:t>9</w:t>
            </w:r>
          </w:p>
        </w:tc>
        <w:tc>
          <w:tcPr>
            <w:tcW w:w="1722" w:type="dxa"/>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20</w:t>
            </w:r>
            <w:r>
              <w:rPr>
                <w:rFonts w:ascii="Times New Roman" w:hAnsi="Times New Roman"/>
                <w:b/>
                <w:bCs/>
                <w:sz w:val="24"/>
                <w:szCs w:val="24"/>
                <w:lang w:eastAsia="sk-SK"/>
              </w:rPr>
              <w:t>20</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F34E6" w:rsidRPr="00D175A5" w:rsidRDefault="005F34E6" w:rsidP="001111E9">
            <w:pPr>
              <w:spacing w:after="0" w:line="240" w:lineRule="auto"/>
              <w:rPr>
                <w:rFonts w:ascii="Times New Roman" w:hAnsi="Times New Roman"/>
                <w:b/>
                <w:bCs/>
                <w:color w:val="FFFFFF"/>
                <w:sz w:val="24"/>
                <w:szCs w:val="24"/>
                <w:lang w:eastAsia="sk-SK"/>
              </w:rPr>
            </w:pP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sz w:val="24"/>
                <w:szCs w:val="24"/>
                <w:lang w:eastAsia="sk-SK"/>
              </w:rPr>
            </w:pPr>
            <w:r w:rsidRPr="00FA3C60">
              <w:rPr>
                <w:rFonts w:ascii="Times New Roman" w:hAnsi="Times New Roman"/>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sz w:val="24"/>
                <w:szCs w:val="24"/>
                <w:lang w:eastAsia="sk-SK"/>
              </w:rPr>
            </w:pP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sz w:val="24"/>
                <w:szCs w:val="24"/>
                <w:lang w:eastAsia="sk-SK"/>
              </w:rPr>
            </w:pPr>
            <w:r w:rsidRPr="00FA3C60">
              <w:rPr>
                <w:rFonts w:ascii="Times New Roman" w:hAnsi="Times New Roman"/>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sz w:val="24"/>
                <w:szCs w:val="24"/>
                <w:lang w:eastAsia="sk-SK"/>
              </w:rPr>
            </w:pPr>
            <w:r w:rsidRPr="00D175A5">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r w:rsidRPr="00D175A5">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r w:rsidRPr="00D175A5">
              <w:rPr>
                <w:rFonts w:ascii="Times New Roman" w:hAnsi="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r w:rsidRPr="00D175A5">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sz w:val="24"/>
                <w:szCs w:val="24"/>
                <w:lang w:eastAsia="sk-SK"/>
              </w:rPr>
            </w:pPr>
            <w:r w:rsidRPr="00FA3C60">
              <w:rPr>
                <w:rFonts w:ascii="Times New Roman" w:hAnsi="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sz w:val="24"/>
                <w:szCs w:val="24"/>
                <w:lang w:eastAsia="sk-SK"/>
              </w:rPr>
            </w:pPr>
            <w:r w:rsidRPr="00FA3C60">
              <w:rPr>
                <w:rFonts w:ascii="Times New Roman" w:hAnsi="Times New Roman"/>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5F34E6" w:rsidRPr="00D175A5" w:rsidRDefault="005F34E6" w:rsidP="001111E9">
            <w:pPr>
              <w:spacing w:after="0" w:line="240" w:lineRule="auto"/>
              <w:jc w:val="center"/>
              <w:rPr>
                <w:rFonts w:ascii="Times New Roman" w:hAnsi="Times New Roman"/>
                <w:b/>
                <w:bCs/>
                <w:sz w:val="24"/>
                <w:szCs w:val="24"/>
                <w:lang w:eastAsia="sk-SK"/>
              </w:rPr>
            </w:pPr>
            <w:r w:rsidRPr="00D175A5">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5F34E6" w:rsidRPr="00FA3C60" w:rsidRDefault="005F34E6" w:rsidP="001111E9">
            <w:pPr>
              <w:spacing w:after="0" w:line="240" w:lineRule="auto"/>
              <w:jc w:val="center"/>
              <w:rPr>
                <w:rFonts w:ascii="Times New Roman" w:hAnsi="Times New Roman"/>
                <w:b/>
                <w:bCs/>
                <w:sz w:val="24"/>
                <w:szCs w:val="24"/>
                <w:lang w:eastAsia="sk-SK"/>
              </w:rPr>
            </w:pPr>
            <w:r w:rsidRPr="00FA3C60">
              <w:rPr>
                <w:rFonts w:ascii="Times New Roman" w:hAnsi="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5F34E6" w:rsidRPr="00FA3C60" w:rsidRDefault="005F34E6" w:rsidP="001111E9">
            <w:pPr>
              <w:spacing w:after="0" w:line="240" w:lineRule="auto"/>
              <w:rPr>
                <w:rFonts w:ascii="Times New Roman" w:hAnsi="Times New Roman"/>
                <w:b/>
                <w:bCs/>
                <w:sz w:val="24"/>
                <w:szCs w:val="24"/>
                <w:lang w:eastAsia="sk-SK"/>
              </w:rPr>
            </w:pPr>
            <w:r w:rsidRPr="00FA3C60">
              <w:rPr>
                <w:rFonts w:ascii="Times New Roman" w:hAnsi="Times New Roman"/>
                <w:b/>
                <w:bCs/>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b/>
                <w:bCs/>
                <w:sz w:val="24"/>
                <w:szCs w:val="24"/>
                <w:lang w:eastAsia="sk-SK"/>
              </w:rPr>
            </w:pPr>
            <w:r w:rsidRPr="00FA3C60">
              <w:rPr>
                <w:rFonts w:ascii="Times New Roman" w:hAnsi="Times New Roman"/>
                <w:b/>
                <w:bCs/>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sz w:val="24"/>
                <w:szCs w:val="24"/>
                <w:lang w:eastAsia="sk-SK"/>
              </w:rPr>
            </w:pPr>
            <w:r w:rsidRPr="00D175A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sz w:val="24"/>
                <w:szCs w:val="24"/>
                <w:lang w:eastAsia="sk-SK"/>
              </w:rPr>
            </w:pPr>
            <w:r w:rsidRPr="00FA3C60">
              <w:rPr>
                <w:rFonts w:ascii="Times New Roman" w:hAnsi="Times New Roman"/>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b/>
                <w:bCs/>
                <w:sz w:val="24"/>
                <w:szCs w:val="24"/>
                <w:lang w:eastAsia="sk-SK"/>
              </w:rPr>
            </w:pPr>
            <w:r w:rsidRPr="00FA3C60">
              <w:rPr>
                <w:rFonts w:ascii="Times New Roman" w:hAnsi="Times New Roman"/>
                <w:b/>
                <w:bCs/>
                <w:sz w:val="24"/>
                <w:szCs w:val="24"/>
                <w:lang w:eastAsia="sk-SK"/>
              </w:rPr>
              <w:t> </w:t>
            </w:r>
          </w:p>
        </w:tc>
      </w:tr>
      <w:tr w:rsidR="005F34E6" w:rsidRPr="00D175A5" w:rsidTr="001210A3">
        <w:trPr>
          <w:trHeight w:val="255"/>
        </w:trPr>
        <w:tc>
          <w:tcPr>
            <w:tcW w:w="6188" w:type="dxa"/>
            <w:tcBorders>
              <w:top w:val="nil"/>
              <w:left w:val="single" w:sz="4" w:space="0" w:color="auto"/>
              <w:bottom w:val="single" w:sz="4" w:space="0" w:color="auto"/>
              <w:right w:val="single" w:sz="4" w:space="0" w:color="auto"/>
            </w:tcBorders>
          </w:tcPr>
          <w:p w:rsidR="005F34E6" w:rsidRPr="00D175A5" w:rsidRDefault="005F34E6" w:rsidP="001111E9">
            <w:pPr>
              <w:spacing w:after="0" w:line="240" w:lineRule="auto"/>
              <w:rPr>
                <w:rFonts w:ascii="Times New Roman" w:hAnsi="Times New Roman"/>
                <w:sz w:val="24"/>
                <w:szCs w:val="24"/>
                <w:lang w:eastAsia="sk-SK"/>
              </w:rPr>
            </w:pPr>
            <w:r w:rsidRPr="00D175A5">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p>
        </w:tc>
        <w:tc>
          <w:tcPr>
            <w:tcW w:w="2418" w:type="dxa"/>
            <w:gridSpan w:val="2"/>
            <w:tcBorders>
              <w:top w:val="nil"/>
              <w:left w:val="nil"/>
              <w:bottom w:val="single" w:sz="4" w:space="0" w:color="auto"/>
              <w:right w:val="single" w:sz="4" w:space="0" w:color="auto"/>
            </w:tcBorders>
          </w:tcPr>
          <w:p w:rsidR="005F34E6" w:rsidRPr="00D175A5" w:rsidRDefault="005F34E6" w:rsidP="001111E9">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5F34E6" w:rsidRPr="00FA3C60" w:rsidRDefault="005F34E6" w:rsidP="001111E9">
            <w:pPr>
              <w:spacing w:after="0" w:line="240" w:lineRule="auto"/>
              <w:jc w:val="center"/>
              <w:rPr>
                <w:rFonts w:ascii="Times New Roman" w:hAnsi="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5F34E6" w:rsidRPr="00FA3C60" w:rsidRDefault="005F34E6" w:rsidP="001111E9">
            <w:pPr>
              <w:spacing w:after="0" w:line="240" w:lineRule="auto"/>
              <w:rPr>
                <w:rFonts w:ascii="Times New Roman" w:hAnsi="Times New Roman"/>
                <w:sz w:val="24"/>
                <w:szCs w:val="24"/>
                <w:lang w:eastAsia="sk-SK"/>
              </w:rPr>
            </w:pPr>
            <w:r w:rsidRPr="00FA3C60">
              <w:rPr>
                <w:rFonts w:ascii="Times New Roman" w:hAnsi="Times New Roman"/>
                <w:sz w:val="24"/>
                <w:szCs w:val="24"/>
                <w:lang w:eastAsia="sk-SK"/>
              </w:rPr>
              <w:t> </w:t>
            </w:r>
          </w:p>
        </w:tc>
      </w:tr>
      <w:tr w:rsidR="005F34E6" w:rsidRPr="00D175A5" w:rsidTr="001210A3">
        <w:trPr>
          <w:trHeight w:val="255"/>
        </w:trPr>
        <w:tc>
          <w:tcPr>
            <w:tcW w:w="6188"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5F34E6" w:rsidRPr="00FA3C60" w:rsidRDefault="005F34E6" w:rsidP="001111E9">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5F34E6" w:rsidRPr="00FA3C60" w:rsidRDefault="005F34E6" w:rsidP="001111E9">
            <w:pPr>
              <w:spacing w:after="0" w:line="240" w:lineRule="auto"/>
              <w:rPr>
                <w:rFonts w:ascii="Times New Roman" w:hAnsi="Times New Roman"/>
                <w:sz w:val="24"/>
                <w:szCs w:val="24"/>
                <w:lang w:eastAsia="sk-SK"/>
              </w:rPr>
            </w:pPr>
          </w:p>
        </w:tc>
      </w:tr>
      <w:tr w:rsidR="005F34E6" w:rsidRPr="00D175A5" w:rsidTr="001210A3">
        <w:trPr>
          <w:trHeight w:val="255"/>
        </w:trPr>
        <w:tc>
          <w:tcPr>
            <w:tcW w:w="6188" w:type="dxa"/>
            <w:tcBorders>
              <w:top w:val="nil"/>
              <w:left w:val="nil"/>
              <w:bottom w:val="nil"/>
              <w:right w:val="nil"/>
            </w:tcBorders>
          </w:tcPr>
          <w:p w:rsidR="005F34E6" w:rsidRPr="00D175A5" w:rsidRDefault="005F34E6" w:rsidP="001111E9">
            <w:pPr>
              <w:spacing w:after="0" w:line="240" w:lineRule="auto"/>
              <w:rPr>
                <w:rFonts w:ascii="Times New Roman" w:hAnsi="Times New Roman"/>
                <w:b/>
                <w:bCs/>
                <w:sz w:val="24"/>
                <w:szCs w:val="24"/>
                <w:lang w:eastAsia="sk-SK"/>
              </w:rPr>
            </w:pPr>
            <w:r w:rsidRPr="00D175A5">
              <w:rPr>
                <w:rFonts w:ascii="Times New Roman" w:hAnsi="Times New Roman"/>
                <w:b/>
                <w:bCs/>
                <w:sz w:val="24"/>
                <w:szCs w:val="24"/>
                <w:lang w:eastAsia="sk-SK"/>
              </w:rPr>
              <w:t>Poznámky:</w:t>
            </w:r>
          </w:p>
        </w:tc>
        <w:tc>
          <w:tcPr>
            <w:tcW w:w="1698"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1788"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2418" w:type="dxa"/>
            <w:gridSpan w:val="2"/>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1722" w:type="dxa"/>
            <w:tcBorders>
              <w:top w:val="nil"/>
              <w:left w:val="nil"/>
              <w:bottom w:val="nil"/>
              <w:right w:val="nil"/>
            </w:tcBorders>
            <w:noWrap/>
            <w:vAlign w:val="bottom"/>
          </w:tcPr>
          <w:p w:rsidR="005F34E6" w:rsidRPr="00FA3C60" w:rsidRDefault="005F34E6" w:rsidP="001111E9">
            <w:pPr>
              <w:spacing w:after="0" w:line="240" w:lineRule="auto"/>
              <w:rPr>
                <w:rFonts w:ascii="Times New Roman" w:hAnsi="Times New Roman"/>
                <w:sz w:val="24"/>
                <w:szCs w:val="24"/>
                <w:lang w:eastAsia="sk-SK"/>
              </w:rPr>
            </w:pPr>
          </w:p>
        </w:tc>
        <w:tc>
          <w:tcPr>
            <w:tcW w:w="1620" w:type="dxa"/>
            <w:gridSpan w:val="2"/>
            <w:tcBorders>
              <w:top w:val="nil"/>
              <w:left w:val="nil"/>
              <w:bottom w:val="nil"/>
              <w:right w:val="nil"/>
            </w:tcBorders>
            <w:noWrap/>
            <w:vAlign w:val="bottom"/>
          </w:tcPr>
          <w:p w:rsidR="005F34E6" w:rsidRPr="00FA3C60" w:rsidRDefault="005F34E6" w:rsidP="001111E9">
            <w:pPr>
              <w:spacing w:after="0" w:line="240" w:lineRule="auto"/>
              <w:rPr>
                <w:rFonts w:ascii="Times New Roman" w:hAnsi="Times New Roman"/>
                <w:sz w:val="24"/>
                <w:szCs w:val="24"/>
                <w:lang w:eastAsia="sk-SK"/>
              </w:rPr>
            </w:pPr>
          </w:p>
        </w:tc>
      </w:tr>
      <w:tr w:rsidR="005F34E6" w:rsidRPr="00D175A5" w:rsidTr="001210A3">
        <w:trPr>
          <w:trHeight w:val="255"/>
        </w:trPr>
        <w:tc>
          <w:tcPr>
            <w:tcW w:w="13814" w:type="dxa"/>
            <w:gridSpan w:val="6"/>
            <w:tcBorders>
              <w:top w:val="nil"/>
              <w:left w:val="nil"/>
              <w:bottom w:val="nil"/>
              <w:right w:val="nil"/>
            </w:tcBorders>
            <w:noWrap/>
          </w:tcPr>
          <w:p w:rsidR="005F34E6" w:rsidRPr="00D175A5" w:rsidRDefault="005F34E6" w:rsidP="001111E9">
            <w:pPr>
              <w:tabs>
                <w:tab w:val="num" w:pos="1080"/>
              </w:tabs>
              <w:spacing w:after="0" w:line="240" w:lineRule="auto"/>
              <w:jc w:val="both"/>
              <w:rPr>
                <w:rFonts w:ascii="Times New Roman" w:hAnsi="Times New Roman"/>
                <w:bCs/>
                <w:sz w:val="24"/>
                <w:szCs w:val="24"/>
                <w:lang w:eastAsia="sk-SK"/>
              </w:rPr>
            </w:pPr>
            <w:r w:rsidRPr="00D175A5">
              <w:rPr>
                <w:rFonts w:ascii="Times New Roman" w:hAnsi="Times New Roman"/>
                <w:bCs/>
                <w:sz w:val="24"/>
                <w:szCs w:val="24"/>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5F34E6" w:rsidRPr="00D175A5" w:rsidRDefault="005F34E6" w:rsidP="001111E9">
            <w:pPr>
              <w:spacing w:after="0" w:line="240" w:lineRule="auto"/>
              <w:rPr>
                <w:rFonts w:ascii="Times New Roman" w:hAnsi="Times New Roman"/>
                <w:sz w:val="24"/>
                <w:szCs w:val="24"/>
                <w:lang w:eastAsia="sk-SK"/>
              </w:rPr>
            </w:pPr>
            <w:r w:rsidRPr="00D175A5">
              <w:rPr>
                <w:rFonts w:ascii="Times New Roman" w:hAnsi="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r>
      <w:tr w:rsidR="005F34E6" w:rsidRPr="00D175A5" w:rsidTr="001210A3">
        <w:trPr>
          <w:trHeight w:val="255"/>
        </w:trPr>
        <w:tc>
          <w:tcPr>
            <w:tcW w:w="10394" w:type="dxa"/>
            <w:gridSpan w:val="4"/>
            <w:tcBorders>
              <w:top w:val="nil"/>
              <w:left w:val="nil"/>
              <w:bottom w:val="nil"/>
              <w:right w:val="nil"/>
            </w:tcBorders>
            <w:noWrap/>
            <w:vAlign w:val="bottom"/>
          </w:tcPr>
          <w:p w:rsidR="001111E9" w:rsidRDefault="00873D6B" w:rsidP="001111E9">
            <w:pPr>
              <w:spacing w:after="0" w:line="240" w:lineRule="auto"/>
              <w:rPr>
                <w:rFonts w:ascii="Times New Roman" w:hAnsi="Times New Roman"/>
                <w:sz w:val="24"/>
                <w:szCs w:val="24"/>
                <w:lang w:eastAsia="sk-SK"/>
              </w:rPr>
            </w:pPr>
            <w:r>
              <w:br w:type="page"/>
            </w:r>
            <w:r w:rsidR="005F34E6" w:rsidRPr="00D175A5">
              <w:rPr>
                <w:rFonts w:ascii="Times New Roman" w:hAnsi="Times New Roman"/>
                <w:sz w:val="24"/>
                <w:szCs w:val="24"/>
                <w:lang w:eastAsia="sk-SK"/>
              </w:rPr>
              <w:t>Kategórie 610 a 620 sú z tejto prílohy prenášané do príslušných kategórií prílohy „výdavky“.</w:t>
            </w:r>
          </w:p>
          <w:p w:rsidR="001111E9" w:rsidRPr="00D175A5" w:rsidRDefault="001111E9" w:rsidP="001111E9">
            <w:pPr>
              <w:spacing w:after="0" w:line="240" w:lineRule="auto"/>
              <w:rPr>
                <w:rFonts w:ascii="Times New Roman" w:hAnsi="Times New Roman"/>
                <w:sz w:val="24"/>
                <w:szCs w:val="24"/>
                <w:lang w:eastAsia="sk-SK"/>
              </w:rPr>
            </w:pPr>
          </w:p>
        </w:tc>
        <w:tc>
          <w:tcPr>
            <w:tcW w:w="1698"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2352" w:type="dxa"/>
            <w:gridSpan w:val="2"/>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c>
          <w:tcPr>
            <w:tcW w:w="990" w:type="dxa"/>
            <w:tcBorders>
              <w:top w:val="nil"/>
              <w:left w:val="nil"/>
              <w:bottom w:val="nil"/>
              <w:right w:val="nil"/>
            </w:tcBorders>
            <w:noWrap/>
            <w:vAlign w:val="bottom"/>
          </w:tcPr>
          <w:p w:rsidR="005F34E6" w:rsidRPr="00D175A5" w:rsidRDefault="005F34E6" w:rsidP="001111E9">
            <w:pPr>
              <w:spacing w:after="0" w:line="240" w:lineRule="auto"/>
              <w:rPr>
                <w:rFonts w:ascii="Times New Roman" w:hAnsi="Times New Roman"/>
                <w:sz w:val="24"/>
                <w:szCs w:val="24"/>
                <w:lang w:eastAsia="sk-SK"/>
              </w:rPr>
            </w:pPr>
          </w:p>
        </w:tc>
      </w:tr>
    </w:tbl>
    <w:p w:rsidR="001210A3" w:rsidRDefault="001210A3" w:rsidP="001210A3">
      <w:pPr>
        <w:tabs>
          <w:tab w:val="num" w:pos="1080"/>
        </w:tabs>
        <w:spacing w:after="0" w:line="240" w:lineRule="auto"/>
        <w:ind w:right="-32"/>
        <w:rPr>
          <w:rFonts w:ascii="Times New Roman" w:hAnsi="Times New Roman"/>
          <w:bCs/>
          <w:color w:val="FF0000"/>
          <w:sz w:val="20"/>
          <w:szCs w:val="20"/>
          <w:lang w:eastAsia="sk-SK"/>
        </w:rPr>
        <w:sectPr w:rsidR="001210A3" w:rsidSect="00873D6B">
          <w:pgSz w:w="16838" w:h="11906" w:orient="landscape"/>
          <w:pgMar w:top="1418" w:right="1418" w:bottom="1418" w:left="1418" w:header="709" w:footer="709" w:gutter="0"/>
          <w:cols w:space="708"/>
          <w:docGrid w:linePitch="360"/>
        </w:sectPr>
      </w:pPr>
    </w:p>
    <w:p w:rsidR="00873D6B" w:rsidRPr="00E93708" w:rsidRDefault="00873D6B" w:rsidP="001210A3">
      <w:pPr>
        <w:tabs>
          <w:tab w:val="num" w:pos="1080"/>
        </w:tabs>
        <w:spacing w:after="0" w:line="240" w:lineRule="auto"/>
        <w:ind w:right="-32"/>
        <w:rPr>
          <w:rFonts w:ascii="Times New Roman" w:hAnsi="Times New Roman"/>
          <w:bCs/>
          <w:color w:val="FF0000"/>
          <w:sz w:val="20"/>
          <w:szCs w:val="20"/>
          <w:lang w:eastAsia="sk-SK"/>
        </w:rPr>
      </w:pPr>
    </w:p>
    <w:tbl>
      <w:tblPr>
        <w:tblStyle w:val="Mriekatabuky"/>
        <w:tblW w:w="0" w:type="auto"/>
        <w:tblLook w:val="04A0" w:firstRow="1" w:lastRow="0" w:firstColumn="1" w:lastColumn="0" w:noHBand="0" w:noVBand="1"/>
      </w:tblPr>
      <w:tblGrid>
        <w:gridCol w:w="9060"/>
      </w:tblGrid>
      <w:tr w:rsidR="005F34E6" w:rsidRPr="00E25E09" w:rsidTr="00B30BB0">
        <w:trPr>
          <w:trHeight w:val="567"/>
        </w:trPr>
        <w:tc>
          <w:tcPr>
            <w:tcW w:w="9212" w:type="dxa"/>
            <w:shd w:val="clear" w:color="auto" w:fill="auto"/>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 xml:space="preserve">Analýza vplyvov na podnikateľské prostredie </w:t>
            </w:r>
          </w:p>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(vrátane testu MSP)</w:t>
            </w:r>
          </w:p>
        </w:tc>
      </w:tr>
      <w:tr w:rsidR="005F34E6" w:rsidRPr="00E25E09" w:rsidTr="00B30BB0">
        <w:trPr>
          <w:trHeight w:val="567"/>
        </w:trPr>
        <w:tc>
          <w:tcPr>
            <w:tcW w:w="9212" w:type="dxa"/>
            <w:shd w:val="clear" w:color="auto" w:fill="auto"/>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Materiál bude mať vplyv s ohľadom na veľkostnú kategóriu podnikov:</w:t>
            </w:r>
          </w:p>
        </w:tc>
      </w:tr>
      <w:tr w:rsidR="005F34E6" w:rsidRPr="00E25E09" w:rsidTr="00B30BB0">
        <w:trPr>
          <w:trHeight w:val="567"/>
        </w:trPr>
        <w:tc>
          <w:tcPr>
            <w:tcW w:w="921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5F34E6" w:rsidRPr="00E25E09" w:rsidTr="001111E9">
              <w:tc>
                <w:tcPr>
                  <w:tcW w:w="436" w:type="dxa"/>
                </w:tcPr>
                <w:p w:rsidR="005F34E6" w:rsidRPr="00E25E09" w:rsidRDefault="005F34E6" w:rsidP="001111E9">
                  <w:pPr>
                    <w:jc w:val="center"/>
                    <w:rPr>
                      <w:rFonts w:ascii="Times New Roman" w:hAnsi="Times New Roman"/>
                      <w:sz w:val="24"/>
                      <w:szCs w:val="24"/>
                    </w:rPr>
                  </w:pPr>
                  <w:r w:rsidRPr="00E25E09">
                    <w:rPr>
                      <w:rFonts w:ascii="Segoe UI Symbol" w:eastAsia="MS Mincho" w:hAnsi="Segoe UI Symbol" w:cs="Segoe UI Symbol"/>
                      <w:sz w:val="24"/>
                      <w:szCs w:val="24"/>
                    </w:rPr>
                    <w:t>☐</w:t>
                  </w:r>
                </w:p>
              </w:tc>
              <w:tc>
                <w:tcPr>
                  <w:tcW w:w="8545" w:type="dxa"/>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 xml:space="preserve">iba na MSP (0 - 249 zamestnancov) </w:t>
                  </w:r>
                </w:p>
              </w:tc>
            </w:tr>
            <w:tr w:rsidR="005F34E6" w:rsidRPr="00E25E09" w:rsidTr="001111E9">
              <w:tc>
                <w:tcPr>
                  <w:tcW w:w="436" w:type="dxa"/>
                </w:tcPr>
                <w:p w:rsidR="005F34E6" w:rsidRPr="00E25E09" w:rsidRDefault="005F34E6" w:rsidP="001111E9">
                  <w:pPr>
                    <w:jc w:val="center"/>
                    <w:rPr>
                      <w:rFonts w:ascii="Times New Roman" w:hAnsi="Times New Roman"/>
                      <w:sz w:val="24"/>
                      <w:szCs w:val="24"/>
                    </w:rPr>
                  </w:pPr>
                  <w:r w:rsidRPr="00E25E09">
                    <w:rPr>
                      <w:rFonts w:ascii="Segoe UI Symbol" w:eastAsia="MS Mincho" w:hAnsi="Segoe UI Symbol" w:cs="Segoe UI Symbol"/>
                      <w:sz w:val="24"/>
                      <w:szCs w:val="24"/>
                    </w:rPr>
                    <w:t>☐</w:t>
                  </w:r>
                </w:p>
              </w:tc>
              <w:tc>
                <w:tcPr>
                  <w:tcW w:w="8545" w:type="dxa"/>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iba na veľké podniky (250 a viac zamestnancov)</w:t>
                  </w:r>
                </w:p>
              </w:tc>
            </w:tr>
            <w:tr w:rsidR="005F34E6" w:rsidRPr="00E25E09" w:rsidTr="001111E9">
              <w:tc>
                <w:tcPr>
                  <w:tcW w:w="436" w:type="dxa"/>
                </w:tcPr>
                <w:p w:rsidR="005F34E6" w:rsidRPr="00E25E09" w:rsidRDefault="005F34E6" w:rsidP="001111E9">
                  <w:pPr>
                    <w:jc w:val="center"/>
                    <w:rPr>
                      <w:rFonts w:ascii="Times New Roman" w:hAnsi="Times New Roman"/>
                      <w:sz w:val="24"/>
                      <w:szCs w:val="24"/>
                    </w:rPr>
                  </w:pPr>
                  <w:r w:rsidRPr="00E25E09">
                    <w:rPr>
                      <w:rFonts w:ascii="Segoe UI Symbol" w:eastAsia="MS Gothic" w:hAnsi="Segoe UI Symbol" w:cs="Segoe UI Symbol"/>
                      <w:sz w:val="24"/>
                      <w:szCs w:val="24"/>
                    </w:rPr>
                    <w:t>☒</w:t>
                  </w:r>
                </w:p>
              </w:tc>
              <w:tc>
                <w:tcPr>
                  <w:tcW w:w="8545" w:type="dxa"/>
                </w:tcPr>
                <w:p w:rsidR="005F34E6" w:rsidRPr="00E25E09" w:rsidRDefault="005F34E6" w:rsidP="001111E9">
                  <w:pPr>
                    <w:rPr>
                      <w:rFonts w:ascii="Times New Roman" w:hAnsi="Times New Roman"/>
                      <w:sz w:val="24"/>
                      <w:szCs w:val="24"/>
                    </w:rPr>
                  </w:pPr>
                  <w:r w:rsidRPr="00E25E09">
                    <w:rPr>
                      <w:rFonts w:ascii="Times New Roman" w:hAnsi="Times New Roman"/>
                      <w:b/>
                      <w:sz w:val="24"/>
                      <w:szCs w:val="24"/>
                    </w:rPr>
                    <w:t>na všetky kategórie podnikov</w:t>
                  </w:r>
                </w:p>
              </w:tc>
            </w:tr>
          </w:tbl>
          <w:p w:rsidR="005F34E6" w:rsidRPr="00E25E09" w:rsidRDefault="005F34E6" w:rsidP="001111E9">
            <w:pPr>
              <w:rPr>
                <w:rFonts w:ascii="Times New Roman" w:hAnsi="Times New Roman"/>
                <w:b/>
                <w:sz w:val="24"/>
                <w:szCs w:val="24"/>
              </w:rPr>
            </w:pPr>
          </w:p>
        </w:tc>
      </w:tr>
      <w:tr w:rsidR="005F34E6" w:rsidRPr="00E25E09" w:rsidTr="00B30BB0">
        <w:tc>
          <w:tcPr>
            <w:tcW w:w="9212" w:type="dxa"/>
            <w:shd w:val="clear" w:color="auto" w:fill="auto"/>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3.1 Dotknuté podnikateľské subjekty</w:t>
            </w:r>
          </w:p>
          <w:p w:rsidR="005F34E6" w:rsidRPr="00E25E09" w:rsidRDefault="005F34E6" w:rsidP="001111E9">
            <w:pPr>
              <w:ind w:left="284"/>
              <w:rPr>
                <w:rFonts w:ascii="Times New Roman" w:hAnsi="Times New Roman"/>
                <w:b/>
                <w:sz w:val="24"/>
                <w:szCs w:val="24"/>
              </w:rPr>
            </w:pPr>
            <w:r w:rsidRPr="00E25E09">
              <w:rPr>
                <w:rFonts w:ascii="Times New Roman" w:hAnsi="Times New Roman"/>
                <w:sz w:val="24"/>
                <w:szCs w:val="24"/>
              </w:rPr>
              <w:t xml:space="preserve"> - </w:t>
            </w:r>
            <w:r w:rsidRPr="00E25E09">
              <w:rPr>
                <w:rFonts w:ascii="Times New Roman" w:hAnsi="Times New Roman"/>
                <w:b/>
                <w:sz w:val="24"/>
                <w:szCs w:val="24"/>
              </w:rPr>
              <w:t>z toho MSP</w:t>
            </w:r>
          </w:p>
        </w:tc>
      </w:tr>
      <w:tr w:rsidR="005F34E6" w:rsidRPr="00E25E09" w:rsidTr="00B30BB0">
        <w:tc>
          <w:tcPr>
            <w:tcW w:w="9212" w:type="dxa"/>
            <w:shd w:val="clear" w:color="auto" w:fill="auto"/>
          </w:tcPr>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Uveďte, aké podnikateľské subjekty budú predkladaným návrhom ovplyvnené.</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Aký je ich počet?</w:t>
            </w:r>
          </w:p>
        </w:tc>
      </w:tr>
      <w:tr w:rsidR="005F34E6" w:rsidRPr="00E25E09" w:rsidTr="00B30BB0">
        <w:trPr>
          <w:trHeight w:val="1440"/>
        </w:trPr>
        <w:tc>
          <w:tcPr>
            <w:tcW w:w="9212" w:type="dxa"/>
            <w:shd w:val="clear" w:color="auto" w:fill="auto"/>
          </w:tcPr>
          <w:p w:rsidR="005F34E6" w:rsidRPr="00E25E09" w:rsidRDefault="005F34E6" w:rsidP="001111E9">
            <w:pPr>
              <w:jc w:val="both"/>
              <w:rPr>
                <w:rFonts w:ascii="Times New Roman" w:hAnsi="Times New Roman"/>
                <w:i/>
                <w:sz w:val="24"/>
                <w:szCs w:val="24"/>
              </w:rPr>
            </w:pPr>
            <w:r w:rsidRPr="00E25E09">
              <w:rPr>
                <w:rFonts w:ascii="Times New Roman" w:hAnsi="Times New Roman"/>
                <w:sz w:val="24"/>
                <w:szCs w:val="24"/>
              </w:rPr>
              <w:t>Uvedený návrh sa dotkne podnikateľských subjektov podnikajúcich v oblasti nákladnej autodopravy</w:t>
            </w:r>
            <w:r>
              <w:rPr>
                <w:rFonts w:ascii="Times New Roman" w:hAnsi="Times New Roman"/>
                <w:sz w:val="24"/>
                <w:szCs w:val="24"/>
              </w:rPr>
              <w:t xml:space="preserve"> a autobusovej dopravy</w:t>
            </w:r>
            <w:r w:rsidRPr="00E25E09">
              <w:rPr>
                <w:rFonts w:ascii="Times New Roman" w:hAnsi="Times New Roman"/>
                <w:sz w:val="24"/>
                <w:szCs w:val="24"/>
              </w:rPr>
              <w:t>. V súčasnosti ide o </w:t>
            </w:r>
            <w:r w:rsidRPr="00A72121">
              <w:rPr>
                <w:rFonts w:ascii="Times New Roman" w:hAnsi="Times New Roman"/>
                <w:sz w:val="24"/>
                <w:szCs w:val="24"/>
              </w:rPr>
              <w:t>približne o takmer 80 tisíc vozidiel</w:t>
            </w:r>
            <w:r w:rsidRPr="00E25E09">
              <w:rPr>
                <w:rFonts w:ascii="Times New Roman" w:hAnsi="Times New Roman"/>
                <w:sz w:val="24"/>
                <w:szCs w:val="24"/>
              </w:rPr>
              <w:t xml:space="preserve"> používaných na podnikanie a ich počet by aj po prijatí navrhovaných zmien mal byť rovnaký. Návrh sa teda netýka plošne všetkých podnikateľov, ale iba tých ktorí na podnikanie používajú úžitkové vozidlá (ťahač, náves a kategórie vozidiel N3 a O4</w:t>
            </w:r>
            <w:r>
              <w:rPr>
                <w:rFonts w:ascii="Times New Roman" w:hAnsi="Times New Roman"/>
                <w:sz w:val="24"/>
                <w:szCs w:val="24"/>
              </w:rPr>
              <w:t xml:space="preserve"> a autobusy kategórie M2 a M3</w:t>
            </w:r>
            <w:r w:rsidRPr="00E25E09">
              <w:rPr>
                <w:rFonts w:ascii="Times New Roman" w:hAnsi="Times New Roman"/>
                <w:sz w:val="24"/>
                <w:szCs w:val="24"/>
              </w:rPr>
              <w:t xml:space="preserve">). Z dostupnej štatistiky nie je možné rozčleniť právnické osoby na MSP a ostatné podnikateľské subjekty. Vplyv na podnikateľské subjekty je rozdiely aj z hľadiska štruktúry vozidiel využívaných na podnikanie a to konkrétne v závislosti od počtu vozidiel, kategórií vozidiel, ako aj veku vozidlového parku. </w:t>
            </w:r>
          </w:p>
        </w:tc>
      </w:tr>
      <w:tr w:rsidR="005F34E6" w:rsidRPr="00E25E09" w:rsidTr="00B30BB0">
        <w:trPr>
          <w:trHeight w:val="339"/>
        </w:trPr>
        <w:tc>
          <w:tcPr>
            <w:tcW w:w="9212" w:type="dxa"/>
            <w:shd w:val="clear" w:color="auto" w:fill="auto"/>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3.2 Vyhodnotenie konzultácií</w:t>
            </w:r>
          </w:p>
          <w:p w:rsidR="005F34E6" w:rsidRPr="00E25E09" w:rsidRDefault="005F34E6" w:rsidP="001111E9">
            <w:pPr>
              <w:rPr>
                <w:rFonts w:ascii="Times New Roman" w:hAnsi="Times New Roman"/>
                <w:b/>
                <w:sz w:val="24"/>
                <w:szCs w:val="24"/>
              </w:rPr>
            </w:pPr>
            <w:r w:rsidRPr="00E25E09">
              <w:rPr>
                <w:rFonts w:ascii="Times New Roman" w:hAnsi="Times New Roman"/>
                <w:sz w:val="24"/>
                <w:szCs w:val="24"/>
              </w:rPr>
              <w:t xml:space="preserve">       - </w:t>
            </w:r>
            <w:r w:rsidRPr="00E25E09">
              <w:rPr>
                <w:rFonts w:ascii="Times New Roman" w:hAnsi="Times New Roman"/>
                <w:b/>
                <w:sz w:val="24"/>
                <w:szCs w:val="24"/>
              </w:rPr>
              <w:t>z toho MSP</w:t>
            </w:r>
          </w:p>
        </w:tc>
      </w:tr>
      <w:tr w:rsidR="005F34E6" w:rsidRPr="00E25E09" w:rsidTr="00B30BB0">
        <w:trPr>
          <w:trHeight w:val="557"/>
        </w:trPr>
        <w:tc>
          <w:tcPr>
            <w:tcW w:w="9212" w:type="dxa"/>
            <w:shd w:val="clear" w:color="auto" w:fill="auto"/>
          </w:tcPr>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Uveďte, akou formou (verejné alebo cielené konzultácie a prečo) a s kým bol návrh konzultovaný.</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Ako dlho trvali konzultácie?</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 xml:space="preserve">Uveďte hlavné body konzultácií a výsledky konzultácií. </w:t>
            </w:r>
          </w:p>
        </w:tc>
      </w:tr>
      <w:tr w:rsidR="005F34E6" w:rsidRPr="00E25E09" w:rsidTr="00B30BB0">
        <w:trPr>
          <w:trHeight w:val="1440"/>
        </w:trPr>
        <w:tc>
          <w:tcPr>
            <w:tcW w:w="9212" w:type="dxa"/>
            <w:shd w:val="clear" w:color="auto" w:fill="auto"/>
          </w:tcPr>
          <w:p w:rsidR="005F34E6" w:rsidRPr="00E25E09" w:rsidRDefault="005F34E6" w:rsidP="001111E9">
            <w:pPr>
              <w:jc w:val="both"/>
              <w:rPr>
                <w:rFonts w:ascii="Times New Roman" w:hAnsi="Times New Roman"/>
                <w:b/>
                <w:color w:val="000000"/>
                <w:sz w:val="24"/>
                <w:szCs w:val="24"/>
              </w:rPr>
            </w:pPr>
            <w:r>
              <w:rPr>
                <w:rFonts w:ascii="Times New Roman" w:hAnsi="Times New Roman"/>
                <w:b/>
                <w:color w:val="000000"/>
                <w:sz w:val="24"/>
                <w:szCs w:val="24"/>
              </w:rPr>
              <w:t>Na konzultácie boli prizvaní:</w:t>
            </w:r>
          </w:p>
        </w:tc>
      </w:tr>
      <w:tr w:rsidR="005F34E6" w:rsidRPr="00E25E09" w:rsidTr="00B30BB0">
        <w:tc>
          <w:tcPr>
            <w:tcW w:w="9212" w:type="dxa"/>
            <w:shd w:val="clear" w:color="auto" w:fill="auto"/>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3.3 Náklady regulácie</w:t>
            </w:r>
          </w:p>
          <w:p w:rsidR="005F34E6" w:rsidRPr="00E25E09" w:rsidRDefault="005F34E6" w:rsidP="001111E9">
            <w:pPr>
              <w:rPr>
                <w:rFonts w:ascii="Times New Roman" w:hAnsi="Times New Roman"/>
                <w:b/>
                <w:sz w:val="24"/>
                <w:szCs w:val="24"/>
              </w:rPr>
            </w:pPr>
            <w:r w:rsidRPr="00E25E09">
              <w:rPr>
                <w:rFonts w:ascii="Times New Roman" w:hAnsi="Times New Roman"/>
                <w:sz w:val="24"/>
                <w:szCs w:val="24"/>
              </w:rPr>
              <w:lastRenderedPageBreak/>
              <w:t xml:space="preserve">      - </w:t>
            </w:r>
            <w:r w:rsidRPr="00E25E09">
              <w:rPr>
                <w:rFonts w:ascii="Times New Roman" w:hAnsi="Times New Roman"/>
                <w:b/>
                <w:sz w:val="24"/>
                <w:szCs w:val="24"/>
              </w:rPr>
              <w:t>z toho MSP</w:t>
            </w:r>
          </w:p>
        </w:tc>
      </w:tr>
      <w:tr w:rsidR="005F34E6" w:rsidRPr="00E25E09" w:rsidTr="00B30BB0">
        <w:tc>
          <w:tcPr>
            <w:tcW w:w="9212" w:type="dxa"/>
            <w:shd w:val="clear" w:color="auto" w:fill="auto"/>
          </w:tcPr>
          <w:p w:rsidR="005F34E6" w:rsidRPr="00E25E09" w:rsidRDefault="005F34E6" w:rsidP="001111E9">
            <w:pPr>
              <w:rPr>
                <w:rFonts w:ascii="Times New Roman" w:hAnsi="Times New Roman"/>
                <w:b/>
                <w:i/>
                <w:sz w:val="24"/>
                <w:szCs w:val="24"/>
              </w:rPr>
            </w:pPr>
            <w:r w:rsidRPr="00E25E09">
              <w:rPr>
                <w:rFonts w:ascii="Times New Roman" w:hAnsi="Times New Roman"/>
                <w:b/>
                <w:i/>
                <w:sz w:val="24"/>
                <w:szCs w:val="24"/>
              </w:rPr>
              <w:lastRenderedPageBreak/>
              <w:t>3.3.1 Priame finančné náklady</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rsidR="005F34E6" w:rsidRPr="00E25E09" w:rsidTr="00B30BB0">
        <w:trPr>
          <w:trHeight w:val="2180"/>
        </w:trPr>
        <w:tc>
          <w:tcPr>
            <w:tcW w:w="9212" w:type="dxa"/>
            <w:shd w:val="clear" w:color="auto" w:fill="auto"/>
          </w:tcPr>
          <w:p w:rsidR="005F34E6" w:rsidRDefault="005F34E6" w:rsidP="001111E9">
            <w:pPr>
              <w:rPr>
                <w:color w:val="1F497D"/>
              </w:rPr>
            </w:pPr>
            <w:r>
              <w:rPr>
                <w:rFonts w:ascii="Times New Roman" w:hAnsi="Times New Roman"/>
                <w:i/>
                <w:iCs/>
                <w:sz w:val="24"/>
                <w:szCs w:val="24"/>
              </w:rPr>
              <w:t xml:space="preserve">Dochádza k priamemu zníženiu finančných nákladov MSP z titulu zníženia daňového zaťaženia. V prípade jednotlivého vozidla kategórie M2, M3 a N3 dôjde k zníženiu sadzby dane priemere o 25% (nominálna úspora až do 700 eur ročne).  V prípade jednotlivého návesu kategórie O4 dôjde k zníženiu dane až o 71% z dôvodu súbežného zníženia sadzby dane z titulu zrušenia podmienky párovania a ďalšieho zníženia o 60% bez závislosti na veku vozidla (nominálne až do 2 200 eur ročne). Väčšie zvýhodnenie sa týka najmä jednotlivých vozidiel ťahač a náves, pretože podľa nových ustanovení zákona budú týmto vozidlám priznané rovnaké sadzby dane ako keby ťahač a náves jazdili v návesovej jazdnej súprave. </w:t>
            </w:r>
            <w:r w:rsidRPr="000D0292">
              <w:rPr>
                <w:rFonts w:ascii="Times New Roman" w:hAnsi="Times New Roman"/>
                <w:i/>
                <w:iCs/>
                <w:sz w:val="24"/>
                <w:szCs w:val="24"/>
              </w:rPr>
              <w:t>Pokiaľ ide o spoločné posúdenie vozidla ťahač a náves v návesovej jazdnej súprave, percentuálne zníženie sadzby dane je  okolo 42 %, čo nominálne predstavuje priemernú zmenu 727 eur, resp. maximálnu zmenu až do výšky 2 520 eur.</w:t>
            </w:r>
          </w:p>
          <w:p w:rsidR="005F34E6" w:rsidRDefault="005F34E6" w:rsidP="001111E9">
            <w:pPr>
              <w:rPr>
                <w:rFonts w:ascii="Times New Roman" w:hAnsi="Times New Roman"/>
                <w:i/>
                <w:sz w:val="24"/>
                <w:szCs w:val="24"/>
              </w:rPr>
            </w:pPr>
          </w:p>
          <w:p w:rsidR="005F34E6" w:rsidRDefault="005F34E6" w:rsidP="001111E9">
            <w:pPr>
              <w:rPr>
                <w:rFonts w:ascii="Times New Roman" w:hAnsi="Times New Roman"/>
                <w:i/>
                <w:sz w:val="24"/>
                <w:szCs w:val="24"/>
              </w:rPr>
            </w:pPr>
          </w:p>
          <w:tbl>
            <w:tblPr>
              <w:tblW w:w="5670" w:type="dxa"/>
              <w:tblCellMar>
                <w:left w:w="0" w:type="dxa"/>
                <w:right w:w="0" w:type="dxa"/>
              </w:tblCellMar>
              <w:tblLook w:val="04A0" w:firstRow="1" w:lastRow="0" w:firstColumn="1" w:lastColumn="0" w:noHBand="0" w:noVBand="1"/>
            </w:tblPr>
            <w:tblGrid>
              <w:gridCol w:w="4253"/>
              <w:gridCol w:w="1417"/>
            </w:tblGrid>
            <w:tr w:rsidR="005F34E6" w:rsidRPr="005441B0" w:rsidTr="001111E9">
              <w:trPr>
                <w:trHeight w:val="255"/>
              </w:trPr>
              <w:tc>
                <w:tcPr>
                  <w:tcW w:w="4253" w:type="dxa"/>
                  <w:tcBorders>
                    <w:top w:val="nil"/>
                    <w:left w:val="nil"/>
                    <w:bottom w:val="single" w:sz="8" w:space="0" w:color="auto"/>
                    <w:right w:val="nil"/>
                  </w:tcBorders>
                  <w:noWrap/>
                  <w:tcMar>
                    <w:top w:w="0" w:type="dxa"/>
                    <w:left w:w="70" w:type="dxa"/>
                    <w:bottom w:w="0" w:type="dxa"/>
                    <w:right w:w="70" w:type="dxa"/>
                  </w:tcMar>
                  <w:vAlign w:val="bottom"/>
                  <w:hideMark/>
                </w:tcPr>
                <w:p w:rsidR="005F34E6" w:rsidRPr="005441B0" w:rsidRDefault="005F34E6" w:rsidP="001111E9">
                  <w:pPr>
                    <w:tabs>
                      <w:tab w:val="num" w:pos="1080"/>
                    </w:tabs>
                    <w:spacing w:after="0" w:line="240" w:lineRule="auto"/>
                    <w:jc w:val="both"/>
                    <w:rPr>
                      <w:rFonts w:ascii="Times New Roman" w:hAnsi="Times New Roman"/>
                      <w:b/>
                      <w:bCs/>
                      <w:sz w:val="24"/>
                      <w:szCs w:val="24"/>
                      <w:lang w:eastAsia="sk-SK"/>
                    </w:rPr>
                  </w:pPr>
                  <w:r w:rsidRPr="005441B0">
                    <w:rPr>
                      <w:rFonts w:ascii="Times New Roman" w:hAnsi="Times New Roman"/>
                      <w:b/>
                      <w:bCs/>
                      <w:sz w:val="24"/>
                      <w:szCs w:val="24"/>
                      <w:lang w:eastAsia="sk-SK"/>
                    </w:rPr>
                    <w:t xml:space="preserve">Rozdelenie </w:t>
                  </w:r>
                  <w:r>
                    <w:rPr>
                      <w:rFonts w:ascii="Times New Roman" w:hAnsi="Times New Roman"/>
                      <w:b/>
                      <w:bCs/>
                      <w:sz w:val="24"/>
                      <w:szCs w:val="24"/>
                      <w:lang w:eastAsia="sk-SK"/>
                    </w:rPr>
                    <w:t xml:space="preserve">fiškálneho vplyvu </w:t>
                  </w:r>
                  <w:r w:rsidRPr="005441B0">
                    <w:rPr>
                      <w:rFonts w:ascii="Times New Roman" w:hAnsi="Times New Roman"/>
                      <w:b/>
                      <w:bCs/>
                      <w:sz w:val="24"/>
                      <w:szCs w:val="24"/>
                      <w:lang w:eastAsia="sk-SK"/>
                    </w:rPr>
                    <w:t>na vozidlá</w:t>
                  </w:r>
                </w:p>
              </w:tc>
              <w:tc>
                <w:tcPr>
                  <w:tcW w:w="1417" w:type="dxa"/>
                  <w:tcBorders>
                    <w:top w:val="nil"/>
                    <w:left w:val="nil"/>
                    <w:bottom w:val="single" w:sz="8" w:space="0" w:color="auto"/>
                    <w:right w:val="nil"/>
                  </w:tcBorders>
                  <w:noWrap/>
                  <w:tcMar>
                    <w:top w:w="0" w:type="dxa"/>
                    <w:left w:w="70" w:type="dxa"/>
                    <w:bottom w:w="0" w:type="dxa"/>
                    <w:right w:w="70" w:type="dxa"/>
                  </w:tcMar>
                  <w:vAlign w:val="bottom"/>
                  <w:hideMark/>
                </w:tcPr>
                <w:p w:rsidR="005F34E6" w:rsidRPr="005441B0" w:rsidRDefault="005F34E6" w:rsidP="001111E9">
                  <w:pPr>
                    <w:tabs>
                      <w:tab w:val="num" w:pos="1080"/>
                    </w:tabs>
                    <w:spacing w:after="0" w:line="240" w:lineRule="auto"/>
                    <w:jc w:val="both"/>
                    <w:rPr>
                      <w:rFonts w:ascii="Times New Roman" w:hAnsi="Times New Roman"/>
                      <w:b/>
                      <w:bCs/>
                      <w:sz w:val="24"/>
                      <w:szCs w:val="24"/>
                      <w:lang w:eastAsia="sk-SK"/>
                    </w:rPr>
                  </w:pPr>
                  <w:r w:rsidRPr="005441B0">
                    <w:rPr>
                      <w:rFonts w:ascii="Times New Roman" w:hAnsi="Times New Roman"/>
                      <w:b/>
                      <w:bCs/>
                      <w:sz w:val="24"/>
                      <w:szCs w:val="24"/>
                      <w:lang w:eastAsia="sk-SK"/>
                    </w:rPr>
                    <w:t>(v mil. eur)</w:t>
                  </w:r>
                </w:p>
              </w:tc>
            </w:tr>
            <w:tr w:rsidR="005F34E6" w:rsidRPr="005441B0"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Autobusy (M2,M3)</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-0,5</w:t>
                  </w:r>
                </w:p>
              </w:tc>
            </w:tr>
            <w:tr w:rsidR="005F34E6" w:rsidRPr="005441B0"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Ťahač</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-3,9</w:t>
                  </w:r>
                </w:p>
              </w:tc>
            </w:tr>
            <w:tr w:rsidR="005F34E6" w:rsidRPr="005441B0" w:rsidTr="001111E9">
              <w:trPr>
                <w:trHeight w:val="255"/>
              </w:trPr>
              <w:tc>
                <w:tcPr>
                  <w:tcW w:w="4253" w:type="dxa"/>
                  <w:shd w:val="clear" w:color="auto" w:fill="auto"/>
                  <w:noWrap/>
                  <w:tcMar>
                    <w:top w:w="0" w:type="dxa"/>
                    <w:left w:w="70" w:type="dxa"/>
                    <w:bottom w:w="0" w:type="dxa"/>
                    <w:right w:w="70" w:type="dxa"/>
                  </w:tcMar>
                  <w:vAlign w:val="bottom"/>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Náves O4</w:t>
                  </w:r>
                </w:p>
              </w:tc>
              <w:tc>
                <w:tcPr>
                  <w:tcW w:w="1417" w:type="dxa"/>
                  <w:shd w:val="clear" w:color="auto" w:fill="auto"/>
                  <w:noWrap/>
                  <w:tcMar>
                    <w:top w:w="0" w:type="dxa"/>
                    <w:left w:w="70" w:type="dxa"/>
                    <w:bottom w:w="0" w:type="dxa"/>
                    <w:right w:w="70" w:type="dxa"/>
                  </w:tcMar>
                  <w:vAlign w:val="bottom"/>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-15</w:t>
                  </w:r>
                </w:p>
              </w:tc>
            </w:tr>
            <w:tr w:rsidR="005F34E6" w:rsidRPr="005441B0"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Ostatné nákladné vozidlá</w:t>
                  </w:r>
                  <w:r w:rsidRPr="000D49E5">
                    <w:rPr>
                      <w:rFonts w:ascii="Times New Roman" w:hAnsi="Times New Roman"/>
                      <w:bCs/>
                      <w:sz w:val="24"/>
                      <w:szCs w:val="24"/>
                      <w:lang w:eastAsia="sk-SK"/>
                    </w:rPr>
                    <w:t xml:space="preserve"> (N3)</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-6,4</w:t>
                  </w:r>
                </w:p>
              </w:tc>
            </w:tr>
            <w:tr w:rsidR="005F34E6" w:rsidRPr="005441B0" w:rsidTr="001111E9">
              <w:trPr>
                <w:trHeight w:val="255"/>
              </w:trPr>
              <w:tc>
                <w:tcPr>
                  <w:tcW w:w="42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Odstránenie podmienky párovania</w:t>
                  </w:r>
                </w:p>
              </w:tc>
              <w:tc>
                <w:tcPr>
                  <w:tcW w:w="1417"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sidRPr="000D49E5">
                    <w:rPr>
                      <w:rFonts w:ascii="Times New Roman" w:hAnsi="Times New Roman"/>
                      <w:bCs/>
                      <w:sz w:val="24"/>
                      <w:szCs w:val="24"/>
                      <w:lang w:eastAsia="sk-SK"/>
                    </w:rPr>
                    <w:t>-2,7</w:t>
                  </w:r>
                </w:p>
              </w:tc>
            </w:tr>
            <w:tr w:rsidR="005F34E6" w:rsidRPr="005441B0"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
                      <w:bCs/>
                      <w:sz w:val="24"/>
                      <w:szCs w:val="24"/>
                      <w:lang w:eastAsia="sk-SK"/>
                    </w:rPr>
                  </w:pPr>
                  <w:r w:rsidRPr="000D49E5">
                    <w:rPr>
                      <w:rFonts w:ascii="Times New Roman" w:hAnsi="Times New Roman"/>
                      <w:b/>
                      <w:bCs/>
                      <w:sz w:val="24"/>
                      <w:szCs w:val="24"/>
                      <w:lang w:eastAsia="sk-SK"/>
                    </w:rPr>
                    <w:t>Spolu</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
                      <w:bCs/>
                      <w:sz w:val="24"/>
                      <w:szCs w:val="24"/>
                      <w:lang w:eastAsia="sk-SK"/>
                    </w:rPr>
                  </w:pPr>
                  <w:r w:rsidRPr="000D49E5">
                    <w:rPr>
                      <w:rFonts w:ascii="Times New Roman" w:hAnsi="Times New Roman"/>
                      <w:b/>
                      <w:bCs/>
                      <w:sz w:val="24"/>
                      <w:szCs w:val="24"/>
                      <w:lang w:eastAsia="sk-SK"/>
                    </w:rPr>
                    <w:t>-28,5</w:t>
                  </w:r>
                </w:p>
              </w:tc>
            </w:tr>
          </w:tbl>
          <w:p w:rsidR="005F34E6" w:rsidRDefault="005F34E6" w:rsidP="001111E9">
            <w:pPr>
              <w:rPr>
                <w:rFonts w:ascii="Times New Roman" w:hAnsi="Times New Roman"/>
                <w:i/>
                <w:sz w:val="24"/>
                <w:szCs w:val="24"/>
              </w:rPr>
            </w:pPr>
          </w:p>
          <w:tbl>
            <w:tblPr>
              <w:tblW w:w="8504" w:type="dxa"/>
              <w:tblCellMar>
                <w:left w:w="0" w:type="dxa"/>
                <w:right w:w="0" w:type="dxa"/>
              </w:tblCellMar>
              <w:tblLook w:val="04A0" w:firstRow="1" w:lastRow="0" w:firstColumn="1" w:lastColumn="0" w:noHBand="0" w:noVBand="1"/>
            </w:tblPr>
            <w:tblGrid>
              <w:gridCol w:w="4253"/>
              <w:gridCol w:w="1417"/>
              <w:gridCol w:w="1417"/>
              <w:gridCol w:w="1417"/>
            </w:tblGrid>
            <w:tr w:rsidR="005F34E6" w:rsidRPr="005441B0" w:rsidTr="001111E9">
              <w:trPr>
                <w:trHeight w:val="255"/>
              </w:trPr>
              <w:tc>
                <w:tcPr>
                  <w:tcW w:w="4253" w:type="dxa"/>
                  <w:tcBorders>
                    <w:top w:val="nil"/>
                    <w:left w:val="nil"/>
                    <w:bottom w:val="single" w:sz="8" w:space="0" w:color="auto"/>
                    <w:right w:val="nil"/>
                  </w:tcBorders>
                  <w:noWrap/>
                  <w:tcMar>
                    <w:top w:w="0" w:type="dxa"/>
                    <w:left w:w="70" w:type="dxa"/>
                    <w:bottom w:w="0" w:type="dxa"/>
                    <w:right w:w="70" w:type="dxa"/>
                  </w:tcMar>
                  <w:vAlign w:val="bottom"/>
                  <w:hideMark/>
                </w:tcPr>
                <w:p w:rsidR="005F34E6" w:rsidRPr="00A87102" w:rsidRDefault="005F34E6" w:rsidP="001111E9">
                  <w:pPr>
                    <w:tabs>
                      <w:tab w:val="num" w:pos="1080"/>
                    </w:tabs>
                    <w:spacing w:after="0" w:line="240" w:lineRule="auto"/>
                    <w:jc w:val="both"/>
                    <w:rPr>
                      <w:rFonts w:ascii="Times New Roman" w:hAnsi="Times New Roman"/>
                      <w:b/>
                      <w:bCs/>
                      <w:lang w:eastAsia="sk-SK"/>
                    </w:rPr>
                  </w:pPr>
                  <w:r w:rsidRPr="00A87102">
                    <w:rPr>
                      <w:rFonts w:ascii="Times New Roman" w:hAnsi="Times New Roman"/>
                      <w:b/>
                      <w:bCs/>
                      <w:lang w:eastAsia="sk-SK"/>
                    </w:rPr>
                    <w:t>Príklad zmeny zdanenia vozidiel</w:t>
                  </w:r>
                </w:p>
              </w:tc>
              <w:tc>
                <w:tcPr>
                  <w:tcW w:w="1417" w:type="dxa"/>
                  <w:tcBorders>
                    <w:top w:val="nil"/>
                    <w:left w:val="nil"/>
                    <w:bottom w:val="single" w:sz="8" w:space="0" w:color="auto"/>
                    <w:right w:val="nil"/>
                  </w:tcBorders>
                  <w:noWrap/>
                  <w:tcMar>
                    <w:top w:w="0" w:type="dxa"/>
                    <w:left w:w="70" w:type="dxa"/>
                    <w:bottom w:w="0" w:type="dxa"/>
                    <w:right w:w="70" w:type="dxa"/>
                  </w:tcMar>
                  <w:vAlign w:val="bottom"/>
                  <w:hideMark/>
                </w:tcPr>
                <w:p w:rsidR="005F34E6" w:rsidRPr="00A87102" w:rsidRDefault="005F34E6" w:rsidP="001111E9">
                  <w:pPr>
                    <w:tabs>
                      <w:tab w:val="num" w:pos="1080"/>
                    </w:tabs>
                    <w:spacing w:after="0" w:line="240" w:lineRule="auto"/>
                    <w:jc w:val="both"/>
                    <w:rPr>
                      <w:rFonts w:ascii="Times New Roman" w:hAnsi="Times New Roman"/>
                      <w:b/>
                      <w:bCs/>
                      <w:lang w:eastAsia="sk-SK"/>
                    </w:rPr>
                  </w:pPr>
                  <w:r w:rsidRPr="00A87102">
                    <w:rPr>
                      <w:rFonts w:ascii="Times New Roman" w:hAnsi="Times New Roman"/>
                      <w:b/>
                      <w:bCs/>
                      <w:lang w:eastAsia="sk-SK"/>
                    </w:rPr>
                    <w:t>Daň pôvodná</w:t>
                  </w:r>
                </w:p>
              </w:tc>
              <w:tc>
                <w:tcPr>
                  <w:tcW w:w="1417" w:type="dxa"/>
                  <w:tcBorders>
                    <w:top w:val="nil"/>
                    <w:left w:val="nil"/>
                    <w:bottom w:val="single" w:sz="8" w:space="0" w:color="auto"/>
                    <w:right w:val="nil"/>
                  </w:tcBorders>
                </w:tcPr>
                <w:p w:rsidR="005F34E6" w:rsidRPr="00A87102" w:rsidRDefault="005F34E6" w:rsidP="001111E9">
                  <w:pPr>
                    <w:tabs>
                      <w:tab w:val="num" w:pos="1080"/>
                    </w:tabs>
                    <w:spacing w:after="0" w:line="240" w:lineRule="auto"/>
                    <w:jc w:val="both"/>
                    <w:rPr>
                      <w:rFonts w:ascii="Times New Roman" w:hAnsi="Times New Roman"/>
                      <w:b/>
                      <w:bCs/>
                      <w:lang w:eastAsia="sk-SK"/>
                    </w:rPr>
                  </w:pPr>
                  <w:r w:rsidRPr="00A87102">
                    <w:rPr>
                      <w:rFonts w:ascii="Times New Roman" w:hAnsi="Times New Roman"/>
                      <w:b/>
                      <w:bCs/>
                      <w:lang w:eastAsia="sk-SK"/>
                    </w:rPr>
                    <w:t>Daň nová</w:t>
                  </w:r>
                </w:p>
              </w:tc>
              <w:tc>
                <w:tcPr>
                  <w:tcW w:w="1417" w:type="dxa"/>
                  <w:tcBorders>
                    <w:top w:val="nil"/>
                    <w:left w:val="nil"/>
                    <w:bottom w:val="single" w:sz="8" w:space="0" w:color="auto"/>
                    <w:right w:val="nil"/>
                  </w:tcBorders>
                </w:tcPr>
                <w:p w:rsidR="005F34E6" w:rsidRPr="00A87102" w:rsidRDefault="005F34E6" w:rsidP="001111E9">
                  <w:pPr>
                    <w:tabs>
                      <w:tab w:val="num" w:pos="1080"/>
                    </w:tabs>
                    <w:spacing w:after="0" w:line="240" w:lineRule="auto"/>
                    <w:jc w:val="both"/>
                    <w:rPr>
                      <w:rFonts w:ascii="Times New Roman" w:hAnsi="Times New Roman"/>
                      <w:b/>
                      <w:bCs/>
                      <w:lang w:eastAsia="sk-SK"/>
                    </w:rPr>
                  </w:pPr>
                  <w:r w:rsidRPr="00A87102">
                    <w:rPr>
                      <w:rFonts w:ascii="Times New Roman" w:hAnsi="Times New Roman"/>
                      <w:b/>
                      <w:bCs/>
                      <w:lang w:eastAsia="sk-SK"/>
                    </w:rPr>
                    <w:t>Rozdiel</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Autobus (M2, 5t, vek 1 rok)</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234</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156</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-78 (-33,3%)</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Autobus (M2, 5t, vek 14 rokov)</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374</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312</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-62 (-16,7%)</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Autobus (M3, 17t, vek 1 rok)</w:t>
                  </w:r>
                </w:p>
              </w:tc>
              <w:tc>
                <w:tcPr>
                  <w:tcW w:w="1417" w:type="dxa"/>
                  <w:shd w:val="clear" w:color="auto" w:fill="auto"/>
                  <w:noWrap/>
                  <w:tcMar>
                    <w:top w:w="0" w:type="dxa"/>
                    <w:left w:w="70" w:type="dxa"/>
                    <w:bottom w:w="0" w:type="dxa"/>
                    <w:right w:w="70" w:type="dxa"/>
                  </w:tcMar>
                  <w:vAlign w:val="bottom"/>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505</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336</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-169 (-33,3%)</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Autobus (M3, 17t, vek 14 rokov)</w:t>
                  </w:r>
                </w:p>
              </w:tc>
              <w:tc>
                <w:tcPr>
                  <w:tcW w:w="1417" w:type="dxa"/>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808</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673</w:t>
                  </w:r>
                </w:p>
              </w:tc>
              <w:tc>
                <w:tcPr>
                  <w:tcW w:w="1417" w:type="dxa"/>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-135 (-16,7%)</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Ťahač (N3, 18t, 2 nápravy, 1 rok)</w:t>
                  </w:r>
                </w:p>
              </w:tc>
              <w:tc>
                <w:tcPr>
                  <w:tcW w:w="1417"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817</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467</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-350 (-43%)</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Ťahač (N3, 18t, 2 nápravy, 14 rokov)</w:t>
                  </w:r>
                </w:p>
              </w:tc>
              <w:tc>
                <w:tcPr>
                  <w:tcW w:w="1417"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1307</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933</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-374 (-29%)</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Náves (O4, 22t, 3 nápravy, 1 rok)</w:t>
                  </w:r>
                </w:p>
              </w:tc>
              <w:tc>
                <w:tcPr>
                  <w:tcW w:w="1417"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858</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393</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-465 (-54%)</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 xml:space="preserve">Náves (O4, 22t, 3 nápravy, 14 rokov) </w:t>
                  </w:r>
                </w:p>
              </w:tc>
              <w:tc>
                <w:tcPr>
                  <w:tcW w:w="1417"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1373</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393</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-980 (-71%)</w:t>
                  </w:r>
                </w:p>
              </w:tc>
            </w:tr>
            <w:tr w:rsidR="005F34E6" w:rsidRPr="000D49E5" w:rsidTr="001111E9">
              <w:trPr>
                <w:trHeight w:val="255"/>
              </w:trPr>
              <w:tc>
                <w:tcPr>
                  <w:tcW w:w="4253"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Návesová súprava (ťahač + náves, 1 rok)</w:t>
                  </w:r>
                </w:p>
              </w:tc>
              <w:tc>
                <w:tcPr>
                  <w:tcW w:w="1417" w:type="dxa"/>
                  <w:shd w:val="clear" w:color="auto" w:fill="auto"/>
                  <w:noWrap/>
                  <w:tcMar>
                    <w:top w:w="0" w:type="dxa"/>
                    <w:left w:w="70" w:type="dxa"/>
                    <w:bottom w:w="0" w:type="dxa"/>
                    <w:right w:w="70" w:type="dxa"/>
                  </w:tcMar>
                  <w:vAlign w:val="bottom"/>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1436</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859</w:t>
                  </w:r>
                </w:p>
              </w:tc>
              <w:tc>
                <w:tcPr>
                  <w:tcW w:w="1417" w:type="dxa"/>
                </w:tcPr>
                <w:p w:rsidR="005F34E6"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-577 (-40%)</w:t>
                  </w:r>
                </w:p>
              </w:tc>
            </w:tr>
            <w:tr w:rsidR="005F34E6" w:rsidRPr="000D49E5" w:rsidTr="001111E9">
              <w:trPr>
                <w:trHeight w:val="255"/>
              </w:trPr>
              <w:tc>
                <w:tcPr>
                  <w:tcW w:w="4253"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Návesová súprava (ťahač + náves, 14 r.)</w:t>
                  </w:r>
                </w:p>
              </w:tc>
              <w:tc>
                <w:tcPr>
                  <w:tcW w:w="1417" w:type="dxa"/>
                  <w:tcBorders>
                    <w:top w:val="nil"/>
                    <w:left w:val="nil"/>
                    <w:bottom w:val="single" w:sz="8" w:space="0" w:color="auto"/>
                    <w:right w:val="nil"/>
                  </w:tcBorders>
                  <w:shd w:val="clear" w:color="auto" w:fill="auto"/>
                  <w:noWrap/>
                  <w:tcMar>
                    <w:top w:w="0" w:type="dxa"/>
                    <w:left w:w="70" w:type="dxa"/>
                    <w:bottom w:w="0" w:type="dxa"/>
                    <w:right w:w="70" w:type="dxa"/>
                  </w:tcMar>
                  <w:vAlign w:val="bottom"/>
                  <w:hideMark/>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2298</w:t>
                  </w:r>
                </w:p>
              </w:tc>
              <w:tc>
                <w:tcPr>
                  <w:tcW w:w="1417" w:type="dxa"/>
                  <w:tcBorders>
                    <w:top w:val="nil"/>
                    <w:left w:val="nil"/>
                    <w:bottom w:val="single" w:sz="8" w:space="0" w:color="auto"/>
                    <w:right w:val="nil"/>
                  </w:tcBorders>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1326</w:t>
                  </w:r>
                </w:p>
              </w:tc>
              <w:tc>
                <w:tcPr>
                  <w:tcW w:w="1417" w:type="dxa"/>
                  <w:tcBorders>
                    <w:top w:val="nil"/>
                    <w:left w:val="nil"/>
                    <w:bottom w:val="single" w:sz="8" w:space="0" w:color="auto"/>
                    <w:right w:val="nil"/>
                  </w:tcBorders>
                </w:tcPr>
                <w:p w:rsidR="005F34E6" w:rsidRPr="000D49E5" w:rsidRDefault="005F34E6" w:rsidP="001111E9">
                  <w:pPr>
                    <w:tabs>
                      <w:tab w:val="num" w:pos="1080"/>
                    </w:tabs>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-972 (-42%)</w:t>
                  </w:r>
                </w:p>
              </w:tc>
            </w:tr>
          </w:tbl>
          <w:p w:rsidR="005F34E6" w:rsidRDefault="005F34E6" w:rsidP="001111E9">
            <w:pPr>
              <w:rPr>
                <w:rFonts w:ascii="Times New Roman" w:hAnsi="Times New Roman"/>
                <w:i/>
                <w:sz w:val="24"/>
                <w:szCs w:val="24"/>
              </w:rPr>
            </w:pPr>
          </w:p>
          <w:p w:rsidR="005F34E6" w:rsidRPr="00E25E09" w:rsidRDefault="005F34E6" w:rsidP="001111E9">
            <w:pPr>
              <w:rPr>
                <w:rFonts w:ascii="Times New Roman" w:hAnsi="Times New Roman"/>
                <w:i/>
                <w:sz w:val="24"/>
                <w:szCs w:val="24"/>
              </w:rPr>
            </w:pPr>
          </w:p>
        </w:tc>
      </w:tr>
      <w:tr w:rsidR="005F34E6" w:rsidRPr="00E25E09" w:rsidTr="00B30BB0">
        <w:tc>
          <w:tcPr>
            <w:tcW w:w="9212" w:type="dxa"/>
            <w:shd w:val="clear" w:color="auto" w:fill="auto"/>
          </w:tcPr>
          <w:p w:rsidR="005F34E6" w:rsidRPr="00E25E09" w:rsidRDefault="005F34E6" w:rsidP="001111E9">
            <w:pPr>
              <w:rPr>
                <w:rFonts w:ascii="Times New Roman" w:hAnsi="Times New Roman"/>
                <w:b/>
                <w:i/>
                <w:sz w:val="24"/>
                <w:szCs w:val="24"/>
              </w:rPr>
            </w:pPr>
            <w:r w:rsidRPr="00E25E09">
              <w:rPr>
                <w:rFonts w:ascii="Times New Roman" w:hAnsi="Times New Roman"/>
                <w:b/>
                <w:i/>
                <w:sz w:val="24"/>
                <w:szCs w:val="24"/>
              </w:rPr>
              <w:t>3.3.2 Nepriame finančné náklady</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lastRenderedPageBreak/>
              <w:t>Vyžaduje si predkladaný návrh dodatočné náklady na nákup tovarov alebo služieb? Zvyšuje predkladaný návrh náklady súvisiace so zamestnávaním? Ak áno, popíšte a vyčíslite ich. Uveďte tiež spôsob ich výpočtu.</w:t>
            </w:r>
          </w:p>
        </w:tc>
      </w:tr>
      <w:tr w:rsidR="005F34E6" w:rsidRPr="00E25E09" w:rsidTr="00B30BB0">
        <w:tc>
          <w:tcPr>
            <w:tcW w:w="9212" w:type="dxa"/>
            <w:shd w:val="clear" w:color="auto" w:fill="auto"/>
          </w:tcPr>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lastRenderedPageBreak/>
              <w:t>Bez vplyvu.</w:t>
            </w:r>
          </w:p>
          <w:p w:rsidR="005F34E6" w:rsidRPr="00E25E09" w:rsidRDefault="005F34E6" w:rsidP="001111E9">
            <w:pPr>
              <w:rPr>
                <w:rFonts w:ascii="Times New Roman" w:hAnsi="Times New Roman"/>
                <w:b/>
                <w:i/>
                <w:sz w:val="24"/>
                <w:szCs w:val="24"/>
              </w:rPr>
            </w:pPr>
          </w:p>
          <w:p w:rsidR="005F34E6" w:rsidRPr="00E25E09" w:rsidRDefault="005F34E6" w:rsidP="001111E9">
            <w:pPr>
              <w:rPr>
                <w:rFonts w:ascii="Times New Roman" w:hAnsi="Times New Roman"/>
                <w:b/>
                <w:i/>
                <w:sz w:val="24"/>
                <w:szCs w:val="24"/>
              </w:rPr>
            </w:pPr>
          </w:p>
          <w:p w:rsidR="005F34E6" w:rsidRPr="00E25E09" w:rsidRDefault="005F34E6" w:rsidP="001111E9">
            <w:pPr>
              <w:rPr>
                <w:rFonts w:ascii="Times New Roman" w:hAnsi="Times New Roman"/>
                <w:b/>
                <w:i/>
                <w:sz w:val="24"/>
                <w:szCs w:val="24"/>
              </w:rPr>
            </w:pPr>
          </w:p>
        </w:tc>
      </w:tr>
      <w:tr w:rsidR="005F34E6" w:rsidRPr="00E25E09" w:rsidTr="00B30BB0">
        <w:tc>
          <w:tcPr>
            <w:tcW w:w="9212" w:type="dxa"/>
            <w:shd w:val="clear" w:color="auto" w:fill="auto"/>
          </w:tcPr>
          <w:p w:rsidR="005F34E6" w:rsidRPr="00E25E09" w:rsidRDefault="005F34E6" w:rsidP="001111E9">
            <w:pPr>
              <w:rPr>
                <w:rFonts w:ascii="Times New Roman" w:hAnsi="Times New Roman"/>
                <w:b/>
                <w:i/>
                <w:sz w:val="24"/>
                <w:szCs w:val="24"/>
              </w:rPr>
            </w:pPr>
            <w:r w:rsidRPr="00E25E09">
              <w:rPr>
                <w:rFonts w:ascii="Times New Roman" w:hAnsi="Times New Roman"/>
                <w:b/>
                <w:i/>
                <w:sz w:val="24"/>
                <w:szCs w:val="24"/>
              </w:rPr>
              <w:t>3.3.3 Administratívne náklady</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5F34E6" w:rsidRPr="00E25E09" w:rsidTr="00B30BB0">
        <w:tc>
          <w:tcPr>
            <w:tcW w:w="9212" w:type="dxa"/>
            <w:shd w:val="clear" w:color="auto" w:fill="auto"/>
          </w:tcPr>
          <w:p w:rsidR="005F34E6" w:rsidRPr="006B1EEE" w:rsidRDefault="005F34E6" w:rsidP="001111E9">
            <w:pPr>
              <w:rPr>
                <w:rFonts w:ascii="Times New Roman" w:hAnsi="Times New Roman"/>
                <w:sz w:val="24"/>
                <w:szCs w:val="24"/>
              </w:rPr>
            </w:pPr>
            <w:r w:rsidRPr="00A87102">
              <w:rPr>
                <w:rFonts w:ascii="Times New Roman" w:hAnsi="Times New Roman"/>
                <w:sz w:val="24"/>
                <w:szCs w:val="24"/>
              </w:rPr>
              <w:t>Zjednodušujú a stransparentňujú sa pravidlá pri zaraďovaní ťahača a návesu do návesovej jazdnej súpravy pri vypĺňaní daňového priznania a pri výpočte predpokladanej dane a stanovovaní preddavkov na daň z motorových vozidiel.</w:t>
            </w:r>
          </w:p>
        </w:tc>
      </w:tr>
      <w:tr w:rsidR="005F34E6" w:rsidRPr="00E25E09" w:rsidTr="00B30BB0">
        <w:trPr>
          <w:trHeight w:val="2318"/>
        </w:trPr>
        <w:tc>
          <w:tcPr>
            <w:tcW w:w="9212" w:type="dxa"/>
            <w:shd w:val="clear" w:color="auto" w:fill="auto"/>
          </w:tcPr>
          <w:p w:rsidR="005F34E6" w:rsidRPr="00E25E09" w:rsidRDefault="005F34E6" w:rsidP="001111E9">
            <w:pPr>
              <w:rPr>
                <w:rFonts w:ascii="Times New Roman" w:hAnsi="Times New Roman"/>
                <w:sz w:val="24"/>
                <w:szCs w:val="24"/>
              </w:rPr>
            </w:pPr>
            <w:r w:rsidRPr="00E25E09">
              <w:rPr>
                <w:rFonts w:ascii="Times New Roman" w:hAnsi="Times New Roman"/>
                <w:b/>
                <w:sz w:val="24"/>
                <w:szCs w:val="24"/>
              </w:rPr>
              <w:t>3.3.4 Súhrnná tabuľka nákladov regulácie</w:t>
            </w:r>
          </w:p>
          <w:p w:rsidR="005F34E6" w:rsidRPr="00E25E09" w:rsidRDefault="005F34E6" w:rsidP="001111E9">
            <w:pPr>
              <w:rPr>
                <w:rFonts w:ascii="Times New Roman" w:hAnsi="Times New Roman"/>
                <w:sz w:val="24"/>
                <w:szCs w:val="24"/>
              </w:rPr>
            </w:pPr>
          </w:p>
          <w:tbl>
            <w:tblPr>
              <w:tblStyle w:val="Mriekatabuky"/>
              <w:tblW w:w="0" w:type="auto"/>
              <w:tblLook w:val="04A0" w:firstRow="1" w:lastRow="0" w:firstColumn="1" w:lastColumn="0" w:noHBand="0" w:noVBand="1"/>
            </w:tblPr>
            <w:tblGrid>
              <w:gridCol w:w="2950"/>
              <w:gridCol w:w="2940"/>
              <w:gridCol w:w="2944"/>
            </w:tblGrid>
            <w:tr w:rsidR="005F34E6" w:rsidRPr="00E25E09" w:rsidTr="001111E9">
              <w:tc>
                <w:tcPr>
                  <w:tcW w:w="2950"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rPr>
                      <w:rFonts w:ascii="Times New Roman" w:hAnsi="Times New Roman"/>
                      <w:sz w:val="24"/>
                      <w:szCs w:val="24"/>
                    </w:rPr>
                  </w:pPr>
                </w:p>
              </w:tc>
              <w:tc>
                <w:tcPr>
                  <w:tcW w:w="2941"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jc w:val="center"/>
                    <w:rPr>
                      <w:rFonts w:ascii="Times New Roman" w:hAnsi="Times New Roman"/>
                      <w:sz w:val="24"/>
                      <w:szCs w:val="24"/>
                    </w:rPr>
                  </w:pPr>
                  <w:r w:rsidRPr="00E25E09">
                    <w:rPr>
                      <w:rFonts w:ascii="Times New Roman" w:hAnsi="Times New Roman"/>
                      <w:sz w:val="24"/>
                      <w:szCs w:val="24"/>
                    </w:rPr>
                    <w:t>Náklady na 1 podnikateľa*</w:t>
                  </w:r>
                </w:p>
              </w:tc>
              <w:tc>
                <w:tcPr>
                  <w:tcW w:w="2945"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jc w:val="center"/>
                    <w:rPr>
                      <w:rFonts w:ascii="Times New Roman" w:hAnsi="Times New Roman"/>
                      <w:sz w:val="24"/>
                      <w:szCs w:val="24"/>
                    </w:rPr>
                  </w:pPr>
                  <w:r w:rsidRPr="00E25E09">
                    <w:rPr>
                      <w:rFonts w:ascii="Times New Roman" w:hAnsi="Times New Roman"/>
                      <w:sz w:val="24"/>
                      <w:szCs w:val="24"/>
                    </w:rPr>
                    <w:t>Náklady na celé podnikateľské prostredie**</w:t>
                  </w:r>
                </w:p>
              </w:tc>
            </w:tr>
            <w:tr w:rsidR="005F34E6" w:rsidRPr="00E25E09" w:rsidTr="001111E9">
              <w:tc>
                <w:tcPr>
                  <w:tcW w:w="2950"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rPr>
                      <w:rFonts w:ascii="Times New Roman" w:hAnsi="Times New Roman"/>
                      <w:sz w:val="24"/>
                      <w:szCs w:val="24"/>
                    </w:rPr>
                  </w:pPr>
                  <w:r w:rsidRPr="00E25E09">
                    <w:rPr>
                      <w:rFonts w:ascii="Times New Roman" w:hAnsi="Times New Roman"/>
                      <w:sz w:val="24"/>
                      <w:szCs w:val="24"/>
                    </w:rPr>
                    <w:t>Priame finančné náklady</w:t>
                  </w:r>
                </w:p>
              </w:tc>
              <w:tc>
                <w:tcPr>
                  <w:tcW w:w="2941"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-2765 eur</w:t>
                  </w:r>
                </w:p>
              </w:tc>
              <w:tc>
                <w:tcPr>
                  <w:tcW w:w="2945"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-28,5 mil. eur ročne</w:t>
                  </w:r>
                </w:p>
              </w:tc>
            </w:tr>
            <w:tr w:rsidR="005F34E6" w:rsidRPr="00E25E09" w:rsidTr="001111E9">
              <w:tc>
                <w:tcPr>
                  <w:tcW w:w="2950"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rPr>
                      <w:rFonts w:ascii="Times New Roman" w:hAnsi="Times New Roman"/>
                      <w:sz w:val="24"/>
                      <w:szCs w:val="24"/>
                    </w:rPr>
                  </w:pPr>
                  <w:r w:rsidRPr="00E25E09">
                    <w:rPr>
                      <w:rFonts w:ascii="Times New Roman" w:hAnsi="Times New Roman"/>
                      <w:sz w:val="24"/>
                      <w:szCs w:val="24"/>
                    </w:rPr>
                    <w:t>Nepriame finančné náklady</w:t>
                  </w:r>
                </w:p>
              </w:tc>
              <w:tc>
                <w:tcPr>
                  <w:tcW w:w="2941"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0</w:t>
                  </w:r>
                </w:p>
              </w:tc>
              <w:tc>
                <w:tcPr>
                  <w:tcW w:w="2945"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0</w:t>
                  </w:r>
                </w:p>
              </w:tc>
            </w:tr>
            <w:tr w:rsidR="005F34E6" w:rsidRPr="00E25E09" w:rsidTr="001111E9">
              <w:tc>
                <w:tcPr>
                  <w:tcW w:w="2950"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rPr>
                      <w:rFonts w:ascii="Times New Roman" w:hAnsi="Times New Roman"/>
                      <w:sz w:val="24"/>
                      <w:szCs w:val="24"/>
                    </w:rPr>
                  </w:pPr>
                  <w:r w:rsidRPr="00E25E09">
                    <w:rPr>
                      <w:rFonts w:ascii="Times New Roman" w:hAnsi="Times New Roman"/>
                      <w:sz w:val="24"/>
                      <w:szCs w:val="24"/>
                    </w:rPr>
                    <w:t>Administratívne náklady</w:t>
                  </w:r>
                </w:p>
              </w:tc>
              <w:tc>
                <w:tcPr>
                  <w:tcW w:w="2941"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0</w:t>
                  </w:r>
                </w:p>
              </w:tc>
              <w:tc>
                <w:tcPr>
                  <w:tcW w:w="2945"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0</w:t>
                  </w:r>
                </w:p>
              </w:tc>
            </w:tr>
            <w:tr w:rsidR="005F34E6" w:rsidRPr="00E25E09" w:rsidTr="001111E9">
              <w:tc>
                <w:tcPr>
                  <w:tcW w:w="2950" w:type="dxa"/>
                  <w:tcBorders>
                    <w:top w:val="single" w:sz="4" w:space="0" w:color="auto"/>
                    <w:left w:val="single" w:sz="4" w:space="0" w:color="auto"/>
                    <w:bottom w:val="single" w:sz="4" w:space="0" w:color="auto"/>
                    <w:right w:val="single" w:sz="4" w:space="0" w:color="auto"/>
                  </w:tcBorders>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Celkové náklady regulácie</w:t>
                  </w:r>
                </w:p>
              </w:tc>
              <w:tc>
                <w:tcPr>
                  <w:tcW w:w="2941"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b/>
                      <w:sz w:val="24"/>
                      <w:szCs w:val="24"/>
                    </w:rPr>
                  </w:pPr>
                  <w:r w:rsidRPr="00E70B1D">
                    <w:rPr>
                      <w:rFonts w:ascii="Times New Roman" w:hAnsi="Times New Roman"/>
                      <w:sz w:val="24"/>
                      <w:szCs w:val="24"/>
                    </w:rPr>
                    <w:t>-2765 eur</w:t>
                  </w:r>
                </w:p>
              </w:tc>
              <w:tc>
                <w:tcPr>
                  <w:tcW w:w="2945" w:type="dxa"/>
                  <w:tcBorders>
                    <w:top w:val="single" w:sz="4" w:space="0" w:color="auto"/>
                    <w:left w:val="single" w:sz="4" w:space="0" w:color="auto"/>
                    <w:bottom w:val="single" w:sz="4" w:space="0" w:color="auto"/>
                    <w:right w:val="single" w:sz="4" w:space="0" w:color="auto"/>
                  </w:tcBorders>
                </w:tcPr>
                <w:p w:rsidR="005F34E6" w:rsidRPr="00E70B1D" w:rsidRDefault="005F34E6" w:rsidP="001111E9">
                  <w:pPr>
                    <w:jc w:val="center"/>
                    <w:rPr>
                      <w:rFonts w:ascii="Times New Roman" w:hAnsi="Times New Roman"/>
                      <w:sz w:val="24"/>
                      <w:szCs w:val="24"/>
                    </w:rPr>
                  </w:pPr>
                  <w:r w:rsidRPr="00E70B1D">
                    <w:rPr>
                      <w:rFonts w:ascii="Times New Roman" w:hAnsi="Times New Roman"/>
                      <w:sz w:val="24"/>
                      <w:szCs w:val="24"/>
                    </w:rPr>
                    <w:t>-28,5 mil. eur ročne</w:t>
                  </w:r>
                </w:p>
              </w:tc>
            </w:tr>
            <w:tr w:rsidR="005F34E6" w:rsidRPr="00E25E09" w:rsidTr="001111E9">
              <w:tc>
                <w:tcPr>
                  <w:tcW w:w="8836" w:type="dxa"/>
                  <w:gridSpan w:val="3"/>
                  <w:tcBorders>
                    <w:top w:val="single" w:sz="4" w:space="0" w:color="auto"/>
                    <w:left w:val="single" w:sz="4" w:space="0" w:color="auto"/>
                    <w:bottom w:val="single" w:sz="4" w:space="0" w:color="auto"/>
                    <w:right w:val="single" w:sz="4" w:space="0" w:color="auto"/>
                  </w:tcBorders>
                </w:tcPr>
                <w:p w:rsidR="005F34E6" w:rsidRPr="00E25E09" w:rsidRDefault="005F34E6" w:rsidP="001111E9">
                  <w:pPr>
                    <w:rPr>
                      <w:rFonts w:ascii="Times New Roman" w:hAnsi="Times New Roman"/>
                      <w:sz w:val="24"/>
                      <w:szCs w:val="24"/>
                    </w:rPr>
                  </w:pPr>
                  <w:r w:rsidRPr="00E25E09">
                    <w:rPr>
                      <w:rFonts w:ascii="Times New Roman" w:hAnsi="Times New Roman"/>
                      <w:sz w:val="24"/>
                      <w:szCs w:val="24"/>
                    </w:rPr>
                    <w:t>*Mínusové znamienko uvádza zníženie nákladov pre podnikateľský subjekt</w:t>
                  </w:r>
                </w:p>
              </w:tc>
            </w:tr>
          </w:tbl>
          <w:p w:rsidR="005F34E6" w:rsidRPr="00E25E09" w:rsidRDefault="005F34E6" w:rsidP="001111E9">
            <w:pPr>
              <w:jc w:val="both"/>
              <w:rPr>
                <w:rFonts w:ascii="Times New Roman" w:hAnsi="Times New Roman"/>
                <w:i/>
                <w:sz w:val="24"/>
                <w:szCs w:val="24"/>
              </w:rPr>
            </w:pPr>
          </w:p>
        </w:tc>
      </w:tr>
      <w:tr w:rsidR="005F34E6" w:rsidRPr="00E25E09" w:rsidTr="00B30BB0">
        <w:tc>
          <w:tcPr>
            <w:tcW w:w="9212" w:type="dxa"/>
            <w:shd w:val="clear" w:color="auto" w:fill="auto"/>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3.4 Konkurencieschopnosť a správanie sa podnikov na trhu</w:t>
            </w:r>
          </w:p>
          <w:p w:rsidR="005F34E6" w:rsidRPr="00E25E09" w:rsidRDefault="005F34E6" w:rsidP="001111E9">
            <w:pPr>
              <w:rPr>
                <w:rFonts w:ascii="Times New Roman" w:hAnsi="Times New Roman"/>
                <w:sz w:val="24"/>
                <w:szCs w:val="24"/>
              </w:rPr>
            </w:pPr>
            <w:r w:rsidRPr="00E25E09">
              <w:rPr>
                <w:rFonts w:ascii="Times New Roman" w:hAnsi="Times New Roman"/>
                <w:b/>
                <w:sz w:val="24"/>
                <w:szCs w:val="24"/>
              </w:rPr>
              <w:t xml:space="preserve">       </w:t>
            </w:r>
            <w:r w:rsidRPr="00E25E09">
              <w:rPr>
                <w:rFonts w:ascii="Times New Roman" w:hAnsi="Times New Roman"/>
                <w:sz w:val="24"/>
                <w:szCs w:val="24"/>
              </w:rPr>
              <w:t xml:space="preserve">- </w:t>
            </w:r>
            <w:r w:rsidRPr="00E25E09">
              <w:rPr>
                <w:rFonts w:ascii="Times New Roman" w:hAnsi="Times New Roman"/>
                <w:b/>
                <w:sz w:val="24"/>
                <w:szCs w:val="24"/>
              </w:rPr>
              <w:t>z toho MSP</w:t>
            </w:r>
          </w:p>
        </w:tc>
      </w:tr>
      <w:tr w:rsidR="005F34E6" w:rsidRPr="00E25E09" w:rsidTr="00B30BB0">
        <w:tc>
          <w:tcPr>
            <w:tcW w:w="9212" w:type="dxa"/>
            <w:shd w:val="clear" w:color="auto" w:fill="auto"/>
          </w:tcPr>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Ako ovplyvní cenu alebo dostupnosť základných zdrojov (suroviny, mechanizmy, pracovná sila, energie atď.)?</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Ovplyvňuje prístup k financiám? Ak áno, ako?</w:t>
            </w:r>
          </w:p>
        </w:tc>
      </w:tr>
      <w:tr w:rsidR="005F34E6" w:rsidRPr="00E25E09" w:rsidTr="00B30BB0">
        <w:trPr>
          <w:trHeight w:val="1282"/>
        </w:trPr>
        <w:tc>
          <w:tcPr>
            <w:tcW w:w="9212" w:type="dxa"/>
            <w:shd w:val="clear" w:color="auto" w:fill="auto"/>
          </w:tcPr>
          <w:p w:rsidR="005F34E6" w:rsidRPr="00E25E09" w:rsidRDefault="005F34E6" w:rsidP="001111E9">
            <w:pPr>
              <w:jc w:val="both"/>
              <w:rPr>
                <w:rFonts w:ascii="Times New Roman" w:hAnsi="Times New Roman"/>
                <w:sz w:val="24"/>
                <w:szCs w:val="24"/>
              </w:rPr>
            </w:pPr>
            <w:r w:rsidRPr="00E25E09">
              <w:rPr>
                <w:rFonts w:ascii="Times New Roman" w:hAnsi="Times New Roman"/>
                <w:sz w:val="24"/>
                <w:szCs w:val="24"/>
              </w:rPr>
              <w:lastRenderedPageBreak/>
              <w:t>Návrh pre vybrané skupiny (výrobca, dovozca, predajca) nemá žiaden vplyv, nakoľko daň z motorových vozidiel platí daňový subjekt, ktorý používa vozidlo na podnikanie za podmienok stanovených zákonom o. i. s podmienkou, že vozidlo je evidované v SR.</w:t>
            </w:r>
          </w:p>
        </w:tc>
      </w:tr>
      <w:tr w:rsidR="005F34E6" w:rsidRPr="00E25E09" w:rsidTr="00B30BB0">
        <w:tc>
          <w:tcPr>
            <w:tcW w:w="9212" w:type="dxa"/>
            <w:shd w:val="clear" w:color="auto" w:fill="auto"/>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 xml:space="preserve">3.5 Inovácie </w:t>
            </w:r>
          </w:p>
          <w:p w:rsidR="005F34E6" w:rsidRPr="00E25E09" w:rsidRDefault="005F34E6" w:rsidP="001111E9">
            <w:pPr>
              <w:rPr>
                <w:rFonts w:ascii="Times New Roman" w:hAnsi="Times New Roman"/>
                <w:b/>
                <w:sz w:val="24"/>
                <w:szCs w:val="24"/>
              </w:rPr>
            </w:pPr>
            <w:r w:rsidRPr="00E25E09">
              <w:rPr>
                <w:rFonts w:ascii="Times New Roman" w:hAnsi="Times New Roman"/>
                <w:sz w:val="24"/>
                <w:szCs w:val="24"/>
              </w:rPr>
              <w:t xml:space="preserve">       - </w:t>
            </w:r>
            <w:r w:rsidRPr="00E25E09">
              <w:rPr>
                <w:rFonts w:ascii="Times New Roman" w:hAnsi="Times New Roman"/>
                <w:b/>
                <w:sz w:val="24"/>
                <w:szCs w:val="24"/>
              </w:rPr>
              <w:t>z toho MSP</w:t>
            </w:r>
          </w:p>
        </w:tc>
      </w:tr>
      <w:tr w:rsidR="005F34E6" w:rsidRPr="00E25E09" w:rsidTr="00B30BB0">
        <w:tc>
          <w:tcPr>
            <w:tcW w:w="9212" w:type="dxa"/>
            <w:shd w:val="clear" w:color="auto" w:fill="auto"/>
          </w:tcPr>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Uveďte, ako podporuje navrhovaná zmena inovácie.</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Zjednodušuje uvedenie alebo rozšírenie nových výrobných metód, technológií a výrobkov na trh?</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Uveďte, ako vplýva navrhovaná zmena na jednotlivé práva duševného vlastníctva (napr. patenty, ochranné známky, autorské práva, vlastníctvo know-how).</w:t>
            </w:r>
          </w:p>
          <w:p w:rsidR="005F34E6" w:rsidRPr="00E25E09" w:rsidRDefault="005F34E6" w:rsidP="001111E9">
            <w:pPr>
              <w:rPr>
                <w:rFonts w:ascii="Times New Roman" w:hAnsi="Times New Roman"/>
                <w:i/>
                <w:sz w:val="24"/>
                <w:szCs w:val="24"/>
              </w:rPr>
            </w:pPr>
            <w:r w:rsidRPr="00E25E09">
              <w:rPr>
                <w:rFonts w:ascii="Times New Roman" w:hAnsi="Times New Roman"/>
                <w:i/>
                <w:sz w:val="24"/>
                <w:szCs w:val="24"/>
              </w:rPr>
              <w:t>Podporuje vyššiu efektivitu výroby/využívania zdrojov? Ak áno, ako?</w:t>
            </w:r>
          </w:p>
          <w:p w:rsidR="005F34E6" w:rsidRPr="00E25E09" w:rsidRDefault="005F34E6" w:rsidP="001111E9">
            <w:pPr>
              <w:rPr>
                <w:rFonts w:ascii="Times New Roman" w:hAnsi="Times New Roman"/>
                <w:sz w:val="24"/>
                <w:szCs w:val="24"/>
              </w:rPr>
            </w:pPr>
            <w:r w:rsidRPr="00E25E09">
              <w:rPr>
                <w:rFonts w:ascii="Times New Roman" w:hAnsi="Times New Roman"/>
                <w:i/>
                <w:sz w:val="24"/>
                <w:szCs w:val="24"/>
              </w:rPr>
              <w:t>Vytvorí zmena nové pracovné miesta pre zamestnancov výskumu a vývoja v SR?</w:t>
            </w:r>
          </w:p>
        </w:tc>
      </w:tr>
      <w:tr w:rsidR="005F34E6" w:rsidRPr="00E25E09" w:rsidTr="00B30BB0">
        <w:trPr>
          <w:trHeight w:val="1747"/>
        </w:trPr>
        <w:tc>
          <w:tcPr>
            <w:tcW w:w="9212" w:type="dxa"/>
            <w:shd w:val="clear" w:color="auto" w:fill="auto"/>
          </w:tcPr>
          <w:p w:rsidR="005F34E6" w:rsidRPr="00E25E09" w:rsidRDefault="005F34E6" w:rsidP="001111E9">
            <w:pPr>
              <w:jc w:val="both"/>
              <w:rPr>
                <w:rFonts w:ascii="Times New Roman" w:hAnsi="Times New Roman"/>
                <w:sz w:val="24"/>
                <w:szCs w:val="24"/>
              </w:rPr>
            </w:pPr>
            <w:r w:rsidRPr="00E25E09">
              <w:rPr>
                <w:rFonts w:ascii="Times New Roman" w:hAnsi="Times New Roman"/>
                <w:sz w:val="24"/>
                <w:szCs w:val="24"/>
              </w:rPr>
              <w:t xml:space="preserve">Návrh pozitívne ovplyvní  držiteľov alebo užívateľov vozidiel kategórie </w:t>
            </w:r>
            <w:r>
              <w:rPr>
                <w:rFonts w:ascii="Times New Roman" w:hAnsi="Times New Roman"/>
                <w:sz w:val="24"/>
                <w:szCs w:val="24"/>
              </w:rPr>
              <w:t xml:space="preserve">M2, M3 a </w:t>
            </w:r>
            <w:r w:rsidRPr="00E25E09">
              <w:rPr>
                <w:rFonts w:ascii="Times New Roman" w:hAnsi="Times New Roman"/>
                <w:sz w:val="24"/>
                <w:szCs w:val="24"/>
              </w:rPr>
              <w:t>N3 tým, že v dôsledku veku vozidla sa neuplatní na toto vozi</w:t>
            </w:r>
            <w:r>
              <w:rPr>
                <w:rFonts w:ascii="Times New Roman" w:hAnsi="Times New Roman"/>
                <w:sz w:val="24"/>
                <w:szCs w:val="24"/>
              </w:rPr>
              <w:t>dlo zvýšenie ročnej sadzby dane a u vozidiel kategórie  O4 sa uplatní zníženie o 60% bez ohľadu na vek vozidla.</w:t>
            </w:r>
            <w:r w:rsidRPr="00E25E09">
              <w:rPr>
                <w:rFonts w:ascii="Times New Roman" w:hAnsi="Times New Roman"/>
                <w:sz w:val="24"/>
                <w:szCs w:val="24"/>
              </w:rPr>
              <w:t xml:space="preserve"> Uvedený návrh bude mať pozitívny vplyv aj na držiteľov alebo užívateľov úžitkových vozidiel (ťahač a náves), nakoľko návrhom sa odstraňuje zložitý mechanizmus párovania týchto úžitkových vozidiel iba raz do jednej návesovej jazdnej súpravy a súčasne sa na tieto vozidlá zavádzajú nové nižšie sadzby dane samostatnou prílohou č.1a. Ďalej sa posilňuje environmentálne kritérium daňového zvýhodnenia najnovších (a teda aj najmodernejších) vozidiel kategórie </w:t>
            </w:r>
            <w:r>
              <w:rPr>
                <w:rFonts w:ascii="Times New Roman" w:hAnsi="Times New Roman"/>
                <w:sz w:val="24"/>
                <w:szCs w:val="24"/>
              </w:rPr>
              <w:t xml:space="preserve">M2, M3 a </w:t>
            </w:r>
            <w:r w:rsidRPr="00E25E09">
              <w:rPr>
                <w:rFonts w:ascii="Times New Roman" w:hAnsi="Times New Roman"/>
                <w:sz w:val="24"/>
                <w:szCs w:val="24"/>
              </w:rPr>
              <w:t>N3 a to uplatnením „zľavy“ zo sadzby dane až do -50%</w:t>
            </w:r>
            <w:r>
              <w:rPr>
                <w:rFonts w:ascii="Times New Roman" w:hAnsi="Times New Roman"/>
                <w:sz w:val="24"/>
                <w:szCs w:val="24"/>
              </w:rPr>
              <w:t xml:space="preserve"> a u vozidiel kategórie O4 </w:t>
            </w:r>
            <w:r w:rsidRPr="007F54B3">
              <w:rPr>
                <w:rFonts w:ascii="Times New Roman" w:hAnsi="Times New Roman"/>
                <w:sz w:val="24"/>
                <w:szCs w:val="24"/>
              </w:rPr>
              <w:t xml:space="preserve">uplatnením „zľavy“ zo sadzby dane </w:t>
            </w:r>
            <w:r>
              <w:rPr>
                <w:rFonts w:ascii="Times New Roman" w:hAnsi="Times New Roman"/>
                <w:sz w:val="24"/>
                <w:szCs w:val="24"/>
              </w:rPr>
              <w:t>-60</w:t>
            </w:r>
            <w:r w:rsidRPr="007F54B3">
              <w:rPr>
                <w:rFonts w:ascii="Times New Roman" w:hAnsi="Times New Roman"/>
                <w:sz w:val="24"/>
                <w:szCs w:val="24"/>
              </w:rPr>
              <w:t xml:space="preserve">% </w:t>
            </w:r>
            <w:r w:rsidRPr="00E25E09">
              <w:rPr>
                <w:rFonts w:ascii="Times New Roman" w:hAnsi="Times New Roman"/>
                <w:sz w:val="24"/>
                <w:szCs w:val="24"/>
              </w:rPr>
              <w:t xml:space="preserve"> (pre vozidlá s konvenčným spaľovacím motorom; pre vozidlá s pohonom na CNG, LNG na vodík, hybrid alebo elektrinu sa uplatnia ďalšie úľavy na dani podľa nezmeneného mechanizmu).</w:t>
            </w:r>
          </w:p>
          <w:p w:rsidR="005F34E6" w:rsidRPr="00E25E09" w:rsidRDefault="005F34E6" w:rsidP="001111E9">
            <w:pPr>
              <w:rPr>
                <w:rFonts w:ascii="Times New Roman" w:hAnsi="Times New Roman"/>
                <w:i/>
                <w:sz w:val="24"/>
                <w:szCs w:val="24"/>
              </w:rPr>
            </w:pPr>
          </w:p>
        </w:tc>
      </w:tr>
    </w:tbl>
    <w:p w:rsidR="005F34E6" w:rsidRPr="00E25E09" w:rsidRDefault="005F34E6" w:rsidP="005F34E6">
      <w:pPr>
        <w:rPr>
          <w:rFonts w:ascii="Times New Roman" w:hAnsi="Times New Roman"/>
          <w:sz w:val="24"/>
          <w:szCs w:val="24"/>
        </w:rPr>
      </w:pPr>
    </w:p>
    <w:p w:rsidR="005F34E6" w:rsidRDefault="005F34E6" w:rsidP="005F34E6">
      <w:pPr>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F34E6" w:rsidRPr="00E25E09" w:rsidTr="001111E9">
        <w:trPr>
          <w:trHeight w:val="566"/>
        </w:trPr>
        <w:tc>
          <w:tcPr>
            <w:tcW w:w="9062" w:type="dxa"/>
            <w:shd w:val="clear" w:color="auto" w:fill="D9D9D9"/>
            <w:vAlign w:val="center"/>
            <w:hideMark/>
          </w:tcPr>
          <w:p w:rsidR="005F34E6" w:rsidRPr="00E25E09" w:rsidRDefault="005F34E6" w:rsidP="001111E9">
            <w:pPr>
              <w:jc w:val="center"/>
              <w:rPr>
                <w:rFonts w:ascii="Times New Roman" w:hAnsi="Times New Roman"/>
                <w:sz w:val="24"/>
                <w:szCs w:val="24"/>
              </w:rPr>
            </w:pPr>
            <w:r w:rsidRPr="00E25E09">
              <w:rPr>
                <w:rFonts w:ascii="Times New Roman" w:hAnsi="Times New Roman"/>
                <w:sz w:val="24"/>
                <w:szCs w:val="24"/>
              </w:rPr>
              <w:lastRenderedPageBreak/>
              <w:br w:type="page"/>
            </w:r>
            <w:r w:rsidRPr="00E25E09">
              <w:rPr>
                <w:rFonts w:ascii="Times New Roman" w:hAnsi="Times New Roman"/>
                <w:b/>
                <w:sz w:val="24"/>
                <w:szCs w:val="24"/>
              </w:rPr>
              <w:t>Analýza vplyvov na životné prostredie</w:t>
            </w:r>
          </w:p>
        </w:tc>
      </w:tr>
      <w:tr w:rsidR="005F34E6" w:rsidRPr="00E25E09" w:rsidTr="001111E9">
        <w:trPr>
          <w:trHeight w:val="688"/>
        </w:trPr>
        <w:tc>
          <w:tcPr>
            <w:tcW w:w="9062" w:type="dxa"/>
            <w:shd w:val="clear" w:color="auto" w:fill="D9D9D9"/>
            <w:vAlign w:val="center"/>
            <w:hideMark/>
          </w:tcPr>
          <w:p w:rsidR="005F34E6" w:rsidRPr="00E25E09" w:rsidRDefault="005F34E6" w:rsidP="001111E9">
            <w:pPr>
              <w:rPr>
                <w:rFonts w:ascii="Times New Roman" w:hAnsi="Times New Roman"/>
                <w:i/>
                <w:sz w:val="24"/>
                <w:szCs w:val="24"/>
              </w:rPr>
            </w:pPr>
            <w:r w:rsidRPr="00E25E09">
              <w:rPr>
                <w:rFonts w:ascii="Times New Roman" w:hAnsi="Times New Roman"/>
                <w:b/>
                <w:sz w:val="24"/>
                <w:szCs w:val="24"/>
              </w:rPr>
              <w:t>5.1 Ktoré zložky životného prostredia (najmä ovzdušie, voda, horniny, pôda, organizmy) budú predkladaným materiálom ovplyvnené a aký bude ich vplyv ?</w:t>
            </w:r>
          </w:p>
        </w:tc>
      </w:tr>
      <w:tr w:rsidR="005F34E6" w:rsidRPr="00E25E09" w:rsidTr="001111E9">
        <w:trPr>
          <w:trHeight w:val="995"/>
        </w:trPr>
        <w:tc>
          <w:tcPr>
            <w:tcW w:w="9062" w:type="dxa"/>
          </w:tcPr>
          <w:p w:rsidR="005F34E6" w:rsidRPr="00E25E09" w:rsidRDefault="005F34E6" w:rsidP="001111E9">
            <w:pPr>
              <w:jc w:val="both"/>
              <w:rPr>
                <w:rFonts w:ascii="Times New Roman" w:hAnsi="Times New Roman"/>
                <w:sz w:val="24"/>
                <w:szCs w:val="24"/>
              </w:rPr>
            </w:pPr>
            <w:r w:rsidRPr="00E25E09">
              <w:rPr>
                <w:rFonts w:ascii="Times New Roman" w:hAnsi="Times New Roman"/>
                <w:sz w:val="24"/>
                <w:szCs w:val="24"/>
              </w:rPr>
              <w:t>Žiadne.</w:t>
            </w:r>
          </w:p>
        </w:tc>
      </w:tr>
      <w:tr w:rsidR="005F34E6" w:rsidRPr="00E25E09" w:rsidTr="001111E9">
        <w:trPr>
          <w:trHeight w:val="404"/>
        </w:trPr>
        <w:tc>
          <w:tcPr>
            <w:tcW w:w="9062" w:type="dxa"/>
            <w:shd w:val="clear" w:color="auto" w:fill="D9D9D9"/>
            <w:vAlign w:val="center"/>
            <w:hideMark/>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 xml:space="preserve">5.2 Bude mať predkladaný materiál vplyv na chránené územia a ak áno, aký? </w:t>
            </w:r>
          </w:p>
        </w:tc>
      </w:tr>
      <w:tr w:rsidR="005F34E6" w:rsidRPr="00E25E09" w:rsidTr="001111E9">
        <w:trPr>
          <w:trHeight w:val="987"/>
        </w:trPr>
        <w:tc>
          <w:tcPr>
            <w:tcW w:w="9062" w:type="dxa"/>
          </w:tcPr>
          <w:p w:rsidR="005F34E6" w:rsidRPr="00E25E09" w:rsidRDefault="005F34E6" w:rsidP="001111E9">
            <w:pPr>
              <w:jc w:val="both"/>
              <w:rPr>
                <w:rFonts w:ascii="Times New Roman" w:hAnsi="Times New Roman"/>
                <w:sz w:val="24"/>
                <w:szCs w:val="24"/>
              </w:rPr>
            </w:pPr>
            <w:r w:rsidRPr="00E25E09">
              <w:rPr>
                <w:rFonts w:ascii="Times New Roman" w:hAnsi="Times New Roman"/>
                <w:sz w:val="24"/>
                <w:szCs w:val="24"/>
              </w:rPr>
              <w:t>Žiadne.</w:t>
            </w:r>
          </w:p>
        </w:tc>
      </w:tr>
      <w:tr w:rsidR="005F34E6" w:rsidRPr="00E25E09" w:rsidTr="001111E9">
        <w:trPr>
          <w:trHeight w:val="698"/>
        </w:trPr>
        <w:tc>
          <w:tcPr>
            <w:tcW w:w="9062" w:type="dxa"/>
            <w:shd w:val="clear" w:color="auto" w:fill="D9D9D9"/>
            <w:vAlign w:val="center"/>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5.3 Bude mať predkladaný materiál vplyvy na životné prostredie presahujúce štátne hranice? (ktoré zložky a ako budú najviac ovplyvnené)?</w:t>
            </w:r>
          </w:p>
        </w:tc>
      </w:tr>
      <w:tr w:rsidR="005F34E6" w:rsidRPr="00E25E09" w:rsidTr="001111E9">
        <w:trPr>
          <w:trHeight w:val="969"/>
        </w:trPr>
        <w:tc>
          <w:tcPr>
            <w:tcW w:w="9062" w:type="dxa"/>
          </w:tcPr>
          <w:p w:rsidR="005F34E6" w:rsidRPr="00E25E09" w:rsidRDefault="005F34E6" w:rsidP="001111E9">
            <w:pPr>
              <w:jc w:val="both"/>
              <w:rPr>
                <w:rFonts w:ascii="Times New Roman" w:hAnsi="Times New Roman"/>
                <w:b/>
                <w:sz w:val="24"/>
                <w:szCs w:val="24"/>
              </w:rPr>
            </w:pPr>
            <w:r w:rsidRPr="00E25E09">
              <w:rPr>
                <w:rFonts w:ascii="Times New Roman" w:hAnsi="Times New Roman"/>
                <w:sz w:val="24"/>
                <w:szCs w:val="24"/>
              </w:rPr>
              <w:t>Žiadne.</w:t>
            </w:r>
          </w:p>
        </w:tc>
      </w:tr>
      <w:tr w:rsidR="005F34E6" w:rsidRPr="00E25E09" w:rsidTr="001111E9">
        <w:trPr>
          <w:trHeight w:val="713"/>
        </w:trPr>
        <w:tc>
          <w:tcPr>
            <w:tcW w:w="9062" w:type="dxa"/>
            <w:shd w:val="clear" w:color="auto" w:fill="D9D9D9"/>
            <w:vAlign w:val="center"/>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5.4 Aké opatrenia budú prijaté na zmiernenie negatívneho vplyvu na životné prostredie?</w:t>
            </w:r>
          </w:p>
        </w:tc>
      </w:tr>
      <w:tr w:rsidR="005F34E6" w:rsidRPr="00E25E09" w:rsidTr="001111E9">
        <w:trPr>
          <w:trHeight w:val="979"/>
        </w:trPr>
        <w:tc>
          <w:tcPr>
            <w:tcW w:w="9062" w:type="dxa"/>
            <w:shd w:val="clear" w:color="auto" w:fill="FFFFFF"/>
          </w:tcPr>
          <w:p w:rsidR="005F34E6" w:rsidRPr="00E25E09" w:rsidRDefault="005F34E6" w:rsidP="001111E9">
            <w:pPr>
              <w:jc w:val="both"/>
              <w:rPr>
                <w:rFonts w:ascii="Times New Roman" w:hAnsi="Times New Roman"/>
                <w:b/>
                <w:sz w:val="24"/>
                <w:szCs w:val="24"/>
              </w:rPr>
            </w:pPr>
            <w:r w:rsidRPr="00E25E09">
              <w:rPr>
                <w:rFonts w:ascii="Times New Roman" w:hAnsi="Times New Roman"/>
                <w:sz w:val="24"/>
                <w:szCs w:val="24"/>
              </w:rPr>
              <w:t>Žiadne.</w:t>
            </w:r>
          </w:p>
        </w:tc>
      </w:tr>
    </w:tbl>
    <w:p w:rsidR="005F34E6" w:rsidRPr="00E25E09" w:rsidRDefault="005F34E6" w:rsidP="005F34E6">
      <w:pPr>
        <w:rPr>
          <w:rFonts w:ascii="Times New Roman" w:hAnsi="Times New Roman"/>
          <w:sz w:val="24"/>
          <w:szCs w:val="24"/>
        </w:rPr>
      </w:pPr>
    </w:p>
    <w:p w:rsidR="005F34E6" w:rsidRPr="00E25E09" w:rsidRDefault="005F34E6" w:rsidP="005F34E6">
      <w:pPr>
        <w:rPr>
          <w:rFonts w:ascii="Times New Roman" w:hAnsi="Times New Roman"/>
          <w:sz w:val="24"/>
          <w:szCs w:val="24"/>
        </w:rPr>
      </w:pPr>
    </w:p>
    <w:p w:rsidR="005F34E6" w:rsidRPr="00E25E09" w:rsidRDefault="005F34E6" w:rsidP="005F34E6">
      <w:pPr>
        <w:rPr>
          <w:rFonts w:ascii="Times New Roman" w:hAnsi="Times New Roman"/>
          <w:sz w:val="24"/>
          <w:szCs w:val="24"/>
        </w:rPr>
      </w:pPr>
      <w:r w:rsidRPr="00E25E09">
        <w:rPr>
          <w:rFonts w:ascii="Times New Roman" w:hAnsi="Times New Roman"/>
          <w:sz w:val="24"/>
          <w:szCs w:val="24"/>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5F34E6" w:rsidRPr="00E25E09" w:rsidTr="001111E9">
        <w:trPr>
          <w:trHeight w:val="20"/>
        </w:trPr>
        <w:tc>
          <w:tcPr>
            <w:tcW w:w="9371" w:type="dxa"/>
            <w:gridSpan w:val="6"/>
            <w:shd w:val="clear" w:color="auto" w:fill="BFBFBF"/>
            <w:vAlign w:val="center"/>
          </w:tcPr>
          <w:p w:rsidR="005F34E6" w:rsidRPr="00E25E09" w:rsidRDefault="005F34E6" w:rsidP="001111E9">
            <w:pPr>
              <w:jc w:val="center"/>
              <w:rPr>
                <w:rFonts w:ascii="Times New Roman" w:hAnsi="Times New Roman"/>
                <w:b/>
                <w:bCs/>
                <w:sz w:val="24"/>
                <w:szCs w:val="24"/>
              </w:rPr>
            </w:pPr>
            <w:r w:rsidRPr="00E25E09">
              <w:rPr>
                <w:rFonts w:ascii="Times New Roman" w:hAnsi="Times New Roman"/>
                <w:b/>
                <w:bCs/>
                <w:sz w:val="24"/>
                <w:szCs w:val="24"/>
              </w:rPr>
              <w:lastRenderedPageBreak/>
              <w:t>Analýza vplyvov na informatizáciu spoločnosti</w:t>
            </w:r>
          </w:p>
          <w:p w:rsidR="005F34E6" w:rsidRPr="00E25E09" w:rsidRDefault="005F34E6" w:rsidP="001111E9">
            <w:pPr>
              <w:jc w:val="center"/>
              <w:rPr>
                <w:rFonts w:ascii="Times New Roman" w:hAnsi="Times New Roman"/>
                <w:b/>
                <w:i/>
                <w:iCs/>
                <w:sz w:val="24"/>
                <w:szCs w:val="24"/>
              </w:rPr>
            </w:pPr>
            <w:r w:rsidRPr="00E25E09">
              <w:rPr>
                <w:rFonts w:ascii="Times New Roman" w:hAnsi="Times New Roman"/>
                <w:b/>
                <w:sz w:val="24"/>
                <w:szCs w:val="24"/>
              </w:rPr>
              <w:t>Budovanie základných pilierov informatizácie</w:t>
            </w:r>
          </w:p>
        </w:tc>
      </w:tr>
      <w:tr w:rsidR="005F34E6" w:rsidRPr="00E25E09" w:rsidTr="001111E9">
        <w:trPr>
          <w:trHeight w:val="681"/>
        </w:trPr>
        <w:tc>
          <w:tcPr>
            <w:tcW w:w="3956" w:type="dxa"/>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Obsah</w:t>
            </w:r>
          </w:p>
        </w:tc>
        <w:tc>
          <w:tcPr>
            <w:tcW w:w="1162" w:type="dxa"/>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A – nová služba</w:t>
            </w:r>
          </w:p>
          <w:p w:rsidR="005F34E6" w:rsidRPr="00E25E09" w:rsidRDefault="005F34E6" w:rsidP="001111E9">
            <w:pPr>
              <w:jc w:val="center"/>
              <w:rPr>
                <w:rFonts w:ascii="Times New Roman" w:hAnsi="Times New Roman"/>
                <w:i/>
                <w:iCs/>
                <w:sz w:val="24"/>
                <w:szCs w:val="24"/>
              </w:rPr>
            </w:pPr>
            <w:r w:rsidRPr="00E25E09">
              <w:rPr>
                <w:rFonts w:ascii="Times New Roman" w:hAnsi="Times New Roman"/>
                <w:b/>
                <w:sz w:val="24"/>
                <w:szCs w:val="24"/>
              </w:rPr>
              <w:t>B – zmena služby</w:t>
            </w:r>
          </w:p>
        </w:tc>
        <w:tc>
          <w:tcPr>
            <w:tcW w:w="1560" w:type="dxa"/>
            <w:shd w:val="clear" w:color="auto" w:fill="C0C0C0"/>
            <w:vAlign w:val="center"/>
          </w:tcPr>
          <w:p w:rsidR="005F34E6" w:rsidRPr="00E25E09" w:rsidRDefault="005F34E6" w:rsidP="001111E9">
            <w:pPr>
              <w:jc w:val="center"/>
              <w:rPr>
                <w:rFonts w:ascii="Times New Roman" w:hAnsi="Times New Roman"/>
                <w:i/>
                <w:iCs/>
                <w:sz w:val="24"/>
                <w:szCs w:val="24"/>
              </w:rPr>
            </w:pPr>
          </w:p>
          <w:p w:rsidR="005F34E6" w:rsidRPr="00E25E09" w:rsidRDefault="005F34E6" w:rsidP="001111E9">
            <w:pPr>
              <w:jc w:val="center"/>
              <w:rPr>
                <w:rFonts w:ascii="Times New Roman" w:hAnsi="Times New Roman"/>
                <w:sz w:val="24"/>
                <w:szCs w:val="24"/>
              </w:rPr>
            </w:pPr>
            <w:r w:rsidRPr="00E25E09">
              <w:rPr>
                <w:rFonts w:ascii="Times New Roman" w:hAnsi="Times New Roman"/>
                <w:b/>
                <w:sz w:val="24"/>
                <w:szCs w:val="24"/>
              </w:rPr>
              <w:t>Kód služby</w:t>
            </w:r>
          </w:p>
        </w:tc>
        <w:tc>
          <w:tcPr>
            <w:tcW w:w="1701" w:type="dxa"/>
            <w:gridSpan w:val="2"/>
            <w:shd w:val="clear" w:color="auto" w:fill="C0C0C0"/>
            <w:vAlign w:val="center"/>
          </w:tcPr>
          <w:p w:rsidR="005F34E6" w:rsidRPr="00E25E09" w:rsidRDefault="005F34E6" w:rsidP="001111E9">
            <w:pPr>
              <w:jc w:val="center"/>
              <w:rPr>
                <w:rFonts w:ascii="Times New Roman" w:hAnsi="Times New Roman"/>
                <w:b/>
                <w:sz w:val="24"/>
                <w:szCs w:val="24"/>
              </w:rPr>
            </w:pPr>
          </w:p>
          <w:p w:rsidR="005F34E6" w:rsidRPr="00E25E09" w:rsidRDefault="005F34E6" w:rsidP="001111E9">
            <w:pPr>
              <w:jc w:val="center"/>
              <w:rPr>
                <w:rFonts w:ascii="Times New Roman" w:hAnsi="Times New Roman"/>
                <w:i/>
                <w:iCs/>
                <w:sz w:val="24"/>
                <w:szCs w:val="24"/>
              </w:rPr>
            </w:pPr>
            <w:r w:rsidRPr="00E25E09">
              <w:rPr>
                <w:rFonts w:ascii="Times New Roman" w:hAnsi="Times New Roman"/>
                <w:b/>
                <w:sz w:val="24"/>
                <w:szCs w:val="24"/>
              </w:rPr>
              <w:t>Názov služby</w:t>
            </w:r>
          </w:p>
        </w:tc>
        <w:tc>
          <w:tcPr>
            <w:tcW w:w="992" w:type="dxa"/>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Úroveň elektronizácie služby</w:t>
            </w:r>
          </w:p>
          <w:p w:rsidR="005F34E6" w:rsidRPr="00E25E09" w:rsidRDefault="005F34E6" w:rsidP="001111E9">
            <w:pPr>
              <w:jc w:val="center"/>
              <w:rPr>
                <w:rFonts w:ascii="Times New Roman" w:hAnsi="Times New Roman"/>
                <w:i/>
                <w:iCs/>
                <w:sz w:val="24"/>
                <w:szCs w:val="24"/>
              </w:rPr>
            </w:pPr>
            <w:r w:rsidRPr="00E25E09">
              <w:rPr>
                <w:rFonts w:ascii="Times New Roman" w:hAnsi="Times New Roman"/>
                <w:b/>
                <w:sz w:val="24"/>
                <w:szCs w:val="24"/>
              </w:rPr>
              <w:t>(0 až 5)</w:t>
            </w:r>
          </w:p>
        </w:tc>
      </w:tr>
      <w:tr w:rsidR="005F34E6" w:rsidRPr="00E25E09" w:rsidTr="001111E9">
        <w:trPr>
          <w:trHeight w:val="20"/>
        </w:trPr>
        <w:tc>
          <w:tcPr>
            <w:tcW w:w="3956" w:type="dxa"/>
          </w:tcPr>
          <w:p w:rsidR="005F34E6" w:rsidRPr="00E25E09" w:rsidRDefault="005F34E6" w:rsidP="001111E9">
            <w:pPr>
              <w:jc w:val="both"/>
              <w:rPr>
                <w:rFonts w:ascii="Times New Roman" w:hAnsi="Times New Roman"/>
                <w:sz w:val="24"/>
                <w:szCs w:val="24"/>
              </w:rPr>
            </w:pPr>
            <w:r w:rsidRPr="00E25E09">
              <w:rPr>
                <w:rFonts w:ascii="Times New Roman" w:hAnsi="Times New Roman"/>
                <w:b/>
                <w:sz w:val="24"/>
                <w:szCs w:val="24"/>
              </w:rPr>
              <w:t>6.1.</w:t>
            </w:r>
            <w:r w:rsidRPr="00E25E09">
              <w:rPr>
                <w:rFonts w:ascii="Times New Roman" w:hAnsi="Times New Roman"/>
                <w:sz w:val="24"/>
                <w:szCs w:val="24"/>
              </w:rPr>
              <w:t xml:space="preserve"> Predpokladá predložený návrh zmenu existujúcich elektronických služieb verejnej správy alebo vytvorenie nových služieb?</w:t>
            </w:r>
          </w:p>
          <w:p w:rsidR="005F34E6" w:rsidRPr="00E25E09" w:rsidRDefault="005F34E6" w:rsidP="001111E9">
            <w:pPr>
              <w:spacing w:line="20" w:lineRule="atLeast"/>
              <w:jc w:val="both"/>
              <w:rPr>
                <w:rFonts w:ascii="Times New Roman" w:hAnsi="Times New Roman"/>
                <w:b/>
                <w:sz w:val="24"/>
                <w:szCs w:val="24"/>
              </w:rPr>
            </w:pPr>
            <w:r w:rsidRPr="00E25E09">
              <w:rPr>
                <w:rFonts w:ascii="Times New Roman" w:hAnsi="Times New Roman"/>
                <w:i/>
                <w:iCs/>
                <w:sz w:val="24"/>
                <w:szCs w:val="24"/>
              </w:rPr>
              <w:t>(Ak áno, uveďte zmenu služby alebo vytvorenie novej služby, ďalej  jej kód, názov a úroveň elektronizácie podľa katalógu eGovernment služieb, ktorý je vedený v centrálnom metainformačnom systéme verejnej správy.)</w:t>
            </w:r>
            <w:r w:rsidRPr="00E25E09">
              <w:rPr>
                <w:rFonts w:ascii="Times New Roman" w:hAnsi="Times New Roman"/>
                <w:sz w:val="24"/>
                <w:szCs w:val="24"/>
              </w:rPr>
              <w:t xml:space="preserve"> </w:t>
            </w:r>
          </w:p>
        </w:tc>
        <w:tc>
          <w:tcPr>
            <w:tcW w:w="1162" w:type="dxa"/>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X</w:t>
            </w:r>
          </w:p>
        </w:tc>
        <w:tc>
          <w:tcPr>
            <w:tcW w:w="1560" w:type="dxa"/>
          </w:tcPr>
          <w:p w:rsidR="005F34E6" w:rsidRPr="00E25E09" w:rsidRDefault="005F34E6" w:rsidP="001111E9">
            <w:pPr>
              <w:jc w:val="center"/>
              <w:rPr>
                <w:rFonts w:ascii="Times New Roman" w:hAnsi="Times New Roman"/>
                <w:b/>
                <w:sz w:val="24"/>
                <w:szCs w:val="24"/>
              </w:rPr>
            </w:pPr>
          </w:p>
        </w:tc>
        <w:tc>
          <w:tcPr>
            <w:tcW w:w="1701" w:type="dxa"/>
            <w:gridSpan w:val="2"/>
          </w:tcPr>
          <w:p w:rsidR="005F34E6" w:rsidRPr="00E25E09" w:rsidRDefault="005F34E6" w:rsidP="001111E9">
            <w:pPr>
              <w:rPr>
                <w:rFonts w:ascii="Times New Roman" w:hAnsi="Times New Roman"/>
                <w:b/>
                <w:sz w:val="24"/>
                <w:szCs w:val="24"/>
              </w:rPr>
            </w:pPr>
          </w:p>
        </w:tc>
        <w:tc>
          <w:tcPr>
            <w:tcW w:w="992" w:type="dxa"/>
          </w:tcPr>
          <w:p w:rsidR="005F34E6" w:rsidRPr="00E25E09" w:rsidRDefault="005F34E6" w:rsidP="001111E9">
            <w:pPr>
              <w:rPr>
                <w:rFonts w:ascii="Times New Roman" w:hAnsi="Times New Roman"/>
                <w:b/>
                <w:i/>
                <w:sz w:val="24"/>
                <w:szCs w:val="24"/>
              </w:rPr>
            </w:pPr>
          </w:p>
          <w:p w:rsidR="005F34E6" w:rsidRPr="00E25E09" w:rsidRDefault="005F34E6" w:rsidP="001111E9">
            <w:pPr>
              <w:jc w:val="center"/>
              <w:rPr>
                <w:rFonts w:ascii="Times New Roman" w:hAnsi="Times New Roman"/>
                <w:b/>
                <w:sz w:val="24"/>
                <w:szCs w:val="24"/>
              </w:rPr>
            </w:pPr>
          </w:p>
          <w:p w:rsidR="005F34E6" w:rsidRPr="00E25E09" w:rsidRDefault="005F34E6" w:rsidP="001111E9">
            <w:pPr>
              <w:jc w:val="center"/>
              <w:rPr>
                <w:rFonts w:ascii="Times New Roman" w:hAnsi="Times New Roman"/>
                <w:b/>
                <w:sz w:val="24"/>
                <w:szCs w:val="24"/>
              </w:rPr>
            </w:pPr>
          </w:p>
        </w:tc>
      </w:tr>
      <w:tr w:rsidR="005F34E6" w:rsidRPr="00E25E09" w:rsidTr="001111E9">
        <w:trPr>
          <w:trHeight w:val="20"/>
        </w:trPr>
        <w:tc>
          <w:tcPr>
            <w:tcW w:w="3956" w:type="dxa"/>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Infraštruktúra</w:t>
            </w:r>
          </w:p>
        </w:tc>
        <w:tc>
          <w:tcPr>
            <w:tcW w:w="1162" w:type="dxa"/>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A – nový systém</w:t>
            </w:r>
          </w:p>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B – zmena systému</w:t>
            </w:r>
          </w:p>
        </w:tc>
        <w:tc>
          <w:tcPr>
            <w:tcW w:w="1560" w:type="dxa"/>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Kód systému</w:t>
            </w:r>
          </w:p>
        </w:tc>
        <w:tc>
          <w:tcPr>
            <w:tcW w:w="2693" w:type="dxa"/>
            <w:gridSpan w:val="3"/>
            <w:shd w:val="clear" w:color="auto" w:fill="C0C0C0"/>
            <w:vAlign w:val="center"/>
          </w:tcPr>
          <w:p w:rsidR="005F34E6" w:rsidRPr="00E25E09" w:rsidRDefault="005F34E6" w:rsidP="001111E9">
            <w:pPr>
              <w:jc w:val="center"/>
              <w:rPr>
                <w:rFonts w:ascii="Times New Roman" w:hAnsi="Times New Roman"/>
                <w:b/>
                <w:sz w:val="24"/>
                <w:szCs w:val="24"/>
              </w:rPr>
            </w:pPr>
            <w:r w:rsidRPr="00E25E09">
              <w:rPr>
                <w:rFonts w:ascii="Times New Roman" w:hAnsi="Times New Roman"/>
                <w:b/>
                <w:sz w:val="24"/>
                <w:szCs w:val="24"/>
              </w:rPr>
              <w:t>Názov systému</w:t>
            </w:r>
          </w:p>
        </w:tc>
      </w:tr>
      <w:tr w:rsidR="005F34E6" w:rsidRPr="00E25E09" w:rsidTr="001111E9">
        <w:trPr>
          <w:trHeight w:val="20"/>
        </w:trPr>
        <w:tc>
          <w:tcPr>
            <w:tcW w:w="3956" w:type="dxa"/>
          </w:tcPr>
          <w:p w:rsidR="005F34E6" w:rsidRPr="00E25E09" w:rsidRDefault="005F34E6" w:rsidP="001111E9">
            <w:pPr>
              <w:jc w:val="both"/>
              <w:rPr>
                <w:rFonts w:ascii="Times New Roman" w:hAnsi="Times New Roman"/>
                <w:sz w:val="24"/>
                <w:szCs w:val="24"/>
              </w:rPr>
            </w:pPr>
            <w:r w:rsidRPr="00E25E09">
              <w:rPr>
                <w:rFonts w:ascii="Times New Roman" w:hAnsi="Times New Roman"/>
                <w:b/>
                <w:sz w:val="24"/>
                <w:szCs w:val="24"/>
              </w:rPr>
              <w:t>6.2.</w:t>
            </w:r>
            <w:r w:rsidRPr="00E25E09">
              <w:rPr>
                <w:rFonts w:ascii="Times New Roman" w:hAnsi="Times New Roman"/>
                <w:sz w:val="24"/>
                <w:szCs w:val="24"/>
              </w:rPr>
              <w:t xml:space="preserve"> Predpokladá predložený návrh zmenu existujúceho alebo vytvorenie nového informačného systému verejnej správy?</w:t>
            </w:r>
          </w:p>
          <w:p w:rsidR="005F34E6" w:rsidRPr="00E25E09" w:rsidRDefault="005F34E6" w:rsidP="001111E9">
            <w:pPr>
              <w:spacing w:line="20" w:lineRule="atLeast"/>
              <w:jc w:val="both"/>
              <w:rPr>
                <w:rFonts w:ascii="Times New Roman" w:hAnsi="Times New Roman"/>
                <w:sz w:val="24"/>
                <w:szCs w:val="24"/>
              </w:rPr>
            </w:pPr>
            <w:r w:rsidRPr="00E25E09">
              <w:rPr>
                <w:rFonts w:ascii="Times New Roman" w:hAnsi="Times New Roman"/>
                <w:i/>
                <w:iCs/>
                <w:sz w:val="24"/>
                <w:szCs w:val="24"/>
              </w:rPr>
              <w:t>(Ak áno, uveďte zmenu systému alebo vytvorenie nového systému, ďalej jeho kód a názov z centrálneho metainformačného systému verejnej správy.)</w:t>
            </w:r>
          </w:p>
        </w:tc>
        <w:tc>
          <w:tcPr>
            <w:tcW w:w="1162" w:type="dxa"/>
          </w:tcPr>
          <w:p w:rsidR="005F34E6" w:rsidRPr="00E25E09" w:rsidRDefault="005F34E6" w:rsidP="001111E9">
            <w:pPr>
              <w:jc w:val="center"/>
              <w:rPr>
                <w:rFonts w:ascii="Times New Roman" w:hAnsi="Times New Roman"/>
                <w:i/>
                <w:iCs/>
                <w:sz w:val="24"/>
                <w:szCs w:val="24"/>
              </w:rPr>
            </w:pPr>
            <w:r w:rsidRPr="00E25E09">
              <w:rPr>
                <w:rFonts w:ascii="Times New Roman" w:hAnsi="Times New Roman"/>
                <w:b/>
                <w:sz w:val="24"/>
                <w:szCs w:val="24"/>
              </w:rPr>
              <w:t>X</w:t>
            </w:r>
          </w:p>
        </w:tc>
        <w:tc>
          <w:tcPr>
            <w:tcW w:w="1560" w:type="dxa"/>
          </w:tcPr>
          <w:p w:rsidR="005F34E6" w:rsidRPr="00E25E09" w:rsidRDefault="005F34E6" w:rsidP="001111E9">
            <w:pPr>
              <w:jc w:val="center"/>
              <w:rPr>
                <w:rFonts w:ascii="Times New Roman" w:hAnsi="Times New Roman"/>
                <w:i/>
                <w:iCs/>
                <w:sz w:val="24"/>
                <w:szCs w:val="24"/>
              </w:rPr>
            </w:pPr>
          </w:p>
        </w:tc>
        <w:tc>
          <w:tcPr>
            <w:tcW w:w="2693" w:type="dxa"/>
            <w:gridSpan w:val="3"/>
          </w:tcPr>
          <w:p w:rsidR="005F34E6" w:rsidRPr="00E25E09" w:rsidRDefault="005F34E6" w:rsidP="001111E9">
            <w:pPr>
              <w:rPr>
                <w:rFonts w:ascii="Times New Roman" w:hAnsi="Times New Roman"/>
                <w:i/>
                <w:iCs/>
                <w:sz w:val="24"/>
                <w:szCs w:val="24"/>
              </w:rPr>
            </w:pPr>
          </w:p>
        </w:tc>
      </w:tr>
      <w:tr w:rsidR="005F34E6" w:rsidRPr="00E25E09" w:rsidTr="001111E9">
        <w:trPr>
          <w:trHeight w:val="20"/>
        </w:trPr>
        <w:tc>
          <w:tcPr>
            <w:tcW w:w="3956" w:type="dxa"/>
            <w:shd w:val="clear" w:color="auto" w:fill="BFBFBF"/>
            <w:vAlign w:val="center"/>
          </w:tcPr>
          <w:p w:rsidR="005F34E6" w:rsidRPr="00E25E09" w:rsidRDefault="005F34E6" w:rsidP="001111E9">
            <w:pPr>
              <w:spacing w:line="20" w:lineRule="atLeast"/>
              <w:ind w:hanging="55"/>
              <w:jc w:val="center"/>
              <w:rPr>
                <w:rFonts w:ascii="Times New Roman" w:hAnsi="Times New Roman"/>
                <w:b/>
                <w:sz w:val="24"/>
                <w:szCs w:val="24"/>
              </w:rPr>
            </w:pPr>
            <w:r w:rsidRPr="00E25E09">
              <w:rPr>
                <w:rFonts w:ascii="Times New Roman" w:hAnsi="Times New Roman"/>
                <w:b/>
                <w:sz w:val="24"/>
                <w:szCs w:val="24"/>
              </w:rPr>
              <w:t>Financovanie procesu informatizácie</w:t>
            </w:r>
          </w:p>
        </w:tc>
        <w:tc>
          <w:tcPr>
            <w:tcW w:w="1162" w:type="dxa"/>
            <w:shd w:val="clear" w:color="auto" w:fill="BFBFBF"/>
            <w:vAlign w:val="center"/>
          </w:tcPr>
          <w:p w:rsidR="005F34E6" w:rsidRPr="00E25E09" w:rsidRDefault="005F34E6" w:rsidP="001111E9">
            <w:pPr>
              <w:jc w:val="center"/>
              <w:rPr>
                <w:rFonts w:ascii="Times New Roman" w:hAnsi="Times New Roman"/>
                <w:b/>
                <w:i/>
                <w:iCs/>
                <w:sz w:val="24"/>
                <w:szCs w:val="24"/>
              </w:rPr>
            </w:pPr>
            <w:r w:rsidRPr="00E25E09">
              <w:rPr>
                <w:rFonts w:ascii="Times New Roman" w:hAnsi="Times New Roman"/>
                <w:b/>
                <w:sz w:val="24"/>
                <w:szCs w:val="24"/>
              </w:rPr>
              <w:t>Rezortná úroveň</w:t>
            </w:r>
          </w:p>
        </w:tc>
        <w:tc>
          <w:tcPr>
            <w:tcW w:w="2268" w:type="dxa"/>
            <w:gridSpan w:val="2"/>
            <w:shd w:val="clear" w:color="auto" w:fill="BFBFBF"/>
            <w:vAlign w:val="center"/>
          </w:tcPr>
          <w:p w:rsidR="005F34E6" w:rsidRPr="00E25E09" w:rsidRDefault="005F34E6" w:rsidP="001111E9">
            <w:pPr>
              <w:jc w:val="center"/>
              <w:rPr>
                <w:rFonts w:ascii="Times New Roman" w:hAnsi="Times New Roman"/>
                <w:b/>
                <w:i/>
                <w:iCs/>
                <w:sz w:val="24"/>
                <w:szCs w:val="24"/>
              </w:rPr>
            </w:pPr>
            <w:r w:rsidRPr="00E25E09">
              <w:rPr>
                <w:rFonts w:ascii="Times New Roman" w:hAnsi="Times New Roman"/>
                <w:b/>
                <w:sz w:val="24"/>
                <w:szCs w:val="24"/>
              </w:rPr>
              <w:t>Nadrezortná úroveň</w:t>
            </w:r>
          </w:p>
          <w:p w:rsidR="005F34E6" w:rsidRPr="00E25E09" w:rsidRDefault="005F34E6" w:rsidP="001111E9">
            <w:pPr>
              <w:jc w:val="center"/>
              <w:rPr>
                <w:rFonts w:ascii="Times New Roman" w:hAnsi="Times New Roman"/>
                <w:b/>
                <w:sz w:val="24"/>
                <w:szCs w:val="24"/>
              </w:rPr>
            </w:pPr>
          </w:p>
        </w:tc>
        <w:tc>
          <w:tcPr>
            <w:tcW w:w="1985" w:type="dxa"/>
            <w:gridSpan w:val="2"/>
            <w:shd w:val="clear" w:color="auto" w:fill="BFBFBF"/>
            <w:vAlign w:val="center"/>
          </w:tcPr>
          <w:p w:rsidR="005F34E6" w:rsidRPr="00E25E09" w:rsidRDefault="005F34E6" w:rsidP="001111E9">
            <w:pPr>
              <w:rPr>
                <w:rFonts w:ascii="Times New Roman" w:hAnsi="Times New Roman"/>
                <w:b/>
                <w:sz w:val="24"/>
                <w:szCs w:val="24"/>
              </w:rPr>
            </w:pPr>
            <w:r w:rsidRPr="00E25E09">
              <w:rPr>
                <w:rFonts w:ascii="Times New Roman" w:hAnsi="Times New Roman"/>
                <w:b/>
                <w:sz w:val="24"/>
                <w:szCs w:val="24"/>
              </w:rPr>
              <w:t>A - z prostriedkov EÚ   B - z ďalších zdrojov financovania</w:t>
            </w:r>
          </w:p>
        </w:tc>
      </w:tr>
      <w:tr w:rsidR="005F34E6" w:rsidRPr="00E25E09" w:rsidTr="001111E9">
        <w:trPr>
          <w:trHeight w:val="20"/>
        </w:trPr>
        <w:tc>
          <w:tcPr>
            <w:tcW w:w="3956" w:type="dxa"/>
          </w:tcPr>
          <w:p w:rsidR="005F34E6" w:rsidRPr="00E25E09" w:rsidRDefault="005F34E6" w:rsidP="001111E9">
            <w:pPr>
              <w:jc w:val="both"/>
              <w:rPr>
                <w:rFonts w:ascii="Times New Roman" w:hAnsi="Times New Roman"/>
                <w:sz w:val="24"/>
                <w:szCs w:val="24"/>
              </w:rPr>
            </w:pPr>
            <w:r w:rsidRPr="00E25E09">
              <w:rPr>
                <w:rFonts w:ascii="Times New Roman" w:hAnsi="Times New Roman"/>
                <w:b/>
                <w:sz w:val="24"/>
                <w:szCs w:val="24"/>
              </w:rPr>
              <w:lastRenderedPageBreak/>
              <w:t>6.3.</w:t>
            </w:r>
            <w:r w:rsidRPr="00E25E09">
              <w:rPr>
                <w:rFonts w:ascii="Times New Roman" w:hAnsi="Times New Roman"/>
                <w:sz w:val="24"/>
                <w:szCs w:val="24"/>
              </w:rPr>
              <w:t xml:space="preserve"> Vyžaduje si proces informatizácie  finančné investície?</w:t>
            </w:r>
          </w:p>
          <w:p w:rsidR="005F34E6" w:rsidRPr="00E25E09" w:rsidRDefault="005F34E6" w:rsidP="001111E9">
            <w:pPr>
              <w:spacing w:line="20" w:lineRule="atLeast"/>
              <w:jc w:val="both"/>
              <w:rPr>
                <w:rFonts w:ascii="Times New Roman" w:hAnsi="Times New Roman"/>
                <w:sz w:val="24"/>
                <w:szCs w:val="24"/>
              </w:rPr>
            </w:pPr>
            <w:r w:rsidRPr="00E25E09">
              <w:rPr>
                <w:rFonts w:ascii="Times New Roman" w:hAnsi="Times New Roman"/>
                <w:i/>
                <w:iCs/>
                <w:sz w:val="24"/>
                <w:szCs w:val="24"/>
              </w:rPr>
              <w:t>(Uveďte príslušnú úroveň financovania a kvantifikáciu finančných výdavkov uveďte  v analýze vplyvov na rozpočet verejnej správy.)</w:t>
            </w:r>
          </w:p>
        </w:tc>
        <w:tc>
          <w:tcPr>
            <w:tcW w:w="1162" w:type="dxa"/>
          </w:tcPr>
          <w:p w:rsidR="005F34E6" w:rsidRPr="00E25E09" w:rsidRDefault="005F34E6" w:rsidP="001111E9">
            <w:pPr>
              <w:jc w:val="center"/>
              <w:rPr>
                <w:rFonts w:ascii="Times New Roman" w:hAnsi="Times New Roman"/>
                <w:i/>
                <w:iCs/>
                <w:sz w:val="24"/>
                <w:szCs w:val="24"/>
              </w:rPr>
            </w:pPr>
            <w:r w:rsidRPr="00E25E09">
              <w:rPr>
                <w:rFonts w:ascii="Times New Roman" w:hAnsi="Times New Roman"/>
                <w:b/>
                <w:sz w:val="24"/>
                <w:szCs w:val="24"/>
              </w:rPr>
              <w:t>X</w:t>
            </w:r>
          </w:p>
        </w:tc>
        <w:tc>
          <w:tcPr>
            <w:tcW w:w="2268" w:type="dxa"/>
            <w:gridSpan w:val="2"/>
          </w:tcPr>
          <w:p w:rsidR="005F34E6" w:rsidRPr="00E25E09" w:rsidRDefault="005F34E6" w:rsidP="001111E9">
            <w:pPr>
              <w:rPr>
                <w:rFonts w:ascii="Times New Roman" w:hAnsi="Times New Roman"/>
                <w:i/>
                <w:iCs/>
                <w:sz w:val="24"/>
                <w:szCs w:val="24"/>
              </w:rPr>
            </w:pPr>
          </w:p>
        </w:tc>
        <w:tc>
          <w:tcPr>
            <w:tcW w:w="1985" w:type="dxa"/>
            <w:gridSpan w:val="2"/>
          </w:tcPr>
          <w:p w:rsidR="005F34E6" w:rsidRPr="00E25E09" w:rsidRDefault="005F34E6" w:rsidP="001111E9">
            <w:pPr>
              <w:rPr>
                <w:rFonts w:ascii="Times New Roman" w:hAnsi="Times New Roman"/>
                <w:i/>
                <w:iCs/>
                <w:sz w:val="24"/>
                <w:szCs w:val="24"/>
              </w:rPr>
            </w:pPr>
          </w:p>
        </w:tc>
      </w:tr>
    </w:tbl>
    <w:p w:rsidR="005F34E6" w:rsidRPr="00E25E09" w:rsidRDefault="005F34E6" w:rsidP="005F34E6">
      <w:pPr>
        <w:rPr>
          <w:rFonts w:ascii="Times New Roman" w:hAnsi="Times New Roman"/>
          <w:b/>
          <w:bCs/>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5F34E6" w:rsidRPr="00E25E09" w:rsidTr="001111E9">
        <w:trPr>
          <w:trHeight w:val="822"/>
        </w:trPr>
        <w:tc>
          <w:tcPr>
            <w:tcW w:w="9371" w:type="dxa"/>
            <w:shd w:val="clear" w:color="auto" w:fill="BFBFBF"/>
            <w:vAlign w:val="center"/>
          </w:tcPr>
          <w:p w:rsidR="005F34E6" w:rsidRPr="00E25E09" w:rsidRDefault="005F34E6" w:rsidP="001111E9">
            <w:pPr>
              <w:spacing w:line="240" w:lineRule="auto"/>
              <w:jc w:val="center"/>
              <w:rPr>
                <w:rFonts w:ascii="Times New Roman" w:hAnsi="Times New Roman"/>
                <w:b/>
                <w:bCs/>
                <w:sz w:val="24"/>
                <w:szCs w:val="24"/>
              </w:rPr>
            </w:pPr>
            <w:r w:rsidRPr="00E25E09">
              <w:rPr>
                <w:rFonts w:ascii="Times New Roman" w:hAnsi="Times New Roman"/>
                <w:sz w:val="24"/>
                <w:szCs w:val="24"/>
              </w:rPr>
              <w:br w:type="page"/>
            </w:r>
            <w:r w:rsidRPr="00E25E09">
              <w:rPr>
                <w:rFonts w:ascii="Times New Roman" w:hAnsi="Times New Roman"/>
                <w:b/>
                <w:bCs/>
                <w:sz w:val="24"/>
                <w:szCs w:val="24"/>
              </w:rPr>
              <w:t>Analýza vplyvov na služby verejnej správy pre občana</w:t>
            </w:r>
          </w:p>
          <w:p w:rsidR="005F34E6" w:rsidRPr="00E25E09" w:rsidRDefault="005F34E6" w:rsidP="001111E9">
            <w:pPr>
              <w:spacing w:line="240" w:lineRule="auto"/>
              <w:rPr>
                <w:rFonts w:ascii="Times New Roman" w:hAnsi="Times New Roman"/>
                <w:b/>
                <w:i/>
                <w:iCs/>
                <w:sz w:val="24"/>
                <w:szCs w:val="24"/>
              </w:rPr>
            </w:pPr>
          </w:p>
        </w:tc>
      </w:tr>
      <w:tr w:rsidR="005F34E6" w:rsidRPr="00E25E09" w:rsidTr="001111E9">
        <w:trPr>
          <w:trHeight w:val="367"/>
        </w:trPr>
        <w:tc>
          <w:tcPr>
            <w:tcW w:w="9371" w:type="dxa"/>
            <w:shd w:val="clear" w:color="auto" w:fill="C0C0C0"/>
            <w:vAlign w:val="center"/>
          </w:tcPr>
          <w:p w:rsidR="005F34E6" w:rsidRPr="00E25E09" w:rsidRDefault="005F34E6" w:rsidP="001111E9">
            <w:pPr>
              <w:spacing w:line="240" w:lineRule="auto"/>
              <w:jc w:val="center"/>
              <w:rPr>
                <w:rFonts w:ascii="Times New Roman" w:hAnsi="Times New Roman"/>
                <w:b/>
                <w:sz w:val="24"/>
                <w:szCs w:val="24"/>
              </w:rPr>
            </w:pPr>
            <w:r w:rsidRPr="00E25E09">
              <w:rPr>
                <w:rFonts w:ascii="Times New Roman" w:hAnsi="Times New Roman"/>
                <w:b/>
                <w:sz w:val="24"/>
                <w:szCs w:val="24"/>
              </w:rPr>
              <w:t xml:space="preserve">7.1 Identifikácia služby verejnej správy, ktorá je dotknutá návrhom </w:t>
            </w:r>
          </w:p>
        </w:tc>
      </w:tr>
      <w:tr w:rsidR="005F34E6" w:rsidRPr="00E25E09" w:rsidTr="001111E9">
        <w:trPr>
          <w:trHeight w:val="316"/>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b/>
                <w:sz w:val="24"/>
                <w:szCs w:val="24"/>
              </w:rPr>
              <w:t>7.1.1 Predpokladá predložený návrh zmenu existujúcej služby verejnej správy alebo vytvorenie novej služby?</w:t>
            </w:r>
            <w:r w:rsidRPr="00E25E09">
              <w:rPr>
                <w:rFonts w:ascii="Times New Roman" w:hAnsi="Times New Roman"/>
                <w:i/>
                <w:sz w:val="24"/>
                <w:szCs w:val="24"/>
              </w:rPr>
              <w:t xml:space="preserve"> </w:t>
            </w:r>
          </w:p>
        </w:tc>
      </w:tr>
      <w:tr w:rsidR="005F34E6" w:rsidRPr="00E25E09" w:rsidTr="001111E9">
        <w:trPr>
          <w:trHeight w:val="296"/>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i/>
                <w:sz w:val="24"/>
                <w:szCs w:val="24"/>
              </w:rPr>
              <w:t xml:space="preserve">Zmena existujúcej služby (konkretizujte a popíšte) </w:t>
            </w:r>
          </w:p>
        </w:tc>
      </w:tr>
      <w:tr w:rsidR="005F34E6" w:rsidRPr="00E25E09" w:rsidTr="001111E9">
        <w:trPr>
          <w:trHeight w:val="655"/>
        </w:trPr>
        <w:tc>
          <w:tcPr>
            <w:tcW w:w="9371" w:type="dxa"/>
          </w:tcPr>
          <w:p w:rsidR="005F34E6" w:rsidRPr="00E25E09" w:rsidRDefault="005F34E6" w:rsidP="001111E9">
            <w:pPr>
              <w:spacing w:line="240" w:lineRule="auto"/>
              <w:rPr>
                <w:rFonts w:ascii="Times New Roman" w:hAnsi="Times New Roman"/>
                <w:i/>
                <w:sz w:val="24"/>
                <w:szCs w:val="24"/>
              </w:rPr>
            </w:pPr>
          </w:p>
        </w:tc>
      </w:tr>
      <w:tr w:rsidR="005F34E6" w:rsidRPr="00E25E09" w:rsidTr="001111E9">
        <w:trPr>
          <w:trHeight w:val="212"/>
        </w:trPr>
        <w:tc>
          <w:tcPr>
            <w:tcW w:w="9371" w:type="dxa"/>
          </w:tcPr>
          <w:p w:rsidR="005F34E6" w:rsidRPr="00E25E09" w:rsidRDefault="005F34E6" w:rsidP="001111E9">
            <w:pPr>
              <w:spacing w:line="240" w:lineRule="auto"/>
              <w:rPr>
                <w:rFonts w:ascii="Times New Roman" w:hAnsi="Times New Roman"/>
                <w:i/>
                <w:sz w:val="24"/>
                <w:szCs w:val="24"/>
              </w:rPr>
            </w:pPr>
            <w:r w:rsidRPr="00E25E09">
              <w:rPr>
                <w:rFonts w:ascii="Times New Roman" w:hAnsi="Times New Roman"/>
                <w:i/>
                <w:sz w:val="24"/>
                <w:szCs w:val="24"/>
              </w:rPr>
              <w:t>Nová služba (konkretizujte a popíšte)</w:t>
            </w:r>
          </w:p>
        </w:tc>
      </w:tr>
      <w:tr w:rsidR="005F34E6" w:rsidRPr="00E25E09" w:rsidTr="001111E9">
        <w:trPr>
          <w:trHeight w:val="598"/>
        </w:trPr>
        <w:tc>
          <w:tcPr>
            <w:tcW w:w="9371" w:type="dxa"/>
          </w:tcPr>
          <w:p w:rsidR="005F34E6" w:rsidRPr="00E25E09" w:rsidRDefault="005F34E6" w:rsidP="001111E9">
            <w:pPr>
              <w:spacing w:line="240" w:lineRule="auto"/>
              <w:rPr>
                <w:rFonts w:ascii="Times New Roman" w:hAnsi="Times New Roman"/>
                <w:i/>
                <w:sz w:val="24"/>
                <w:szCs w:val="24"/>
              </w:rPr>
            </w:pPr>
          </w:p>
        </w:tc>
      </w:tr>
      <w:tr w:rsidR="005F34E6" w:rsidRPr="00E25E09" w:rsidTr="001111E9">
        <w:trPr>
          <w:trHeight w:val="248"/>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b/>
                <w:sz w:val="24"/>
                <w:szCs w:val="24"/>
              </w:rPr>
              <w:t>7.1.2 Špecifikácia služby verejnej správy, ktorá je dotknutá návrhom</w:t>
            </w:r>
          </w:p>
        </w:tc>
      </w:tr>
      <w:tr w:rsidR="005F34E6" w:rsidRPr="00E25E09" w:rsidTr="001111E9">
        <w:trPr>
          <w:trHeight w:val="248"/>
        </w:trPr>
        <w:tc>
          <w:tcPr>
            <w:tcW w:w="9371" w:type="dxa"/>
          </w:tcPr>
          <w:p w:rsidR="005F34E6" w:rsidRPr="00E25E09" w:rsidRDefault="005F34E6" w:rsidP="001111E9">
            <w:pPr>
              <w:spacing w:line="240" w:lineRule="auto"/>
              <w:rPr>
                <w:rFonts w:ascii="Times New Roman" w:hAnsi="Times New Roman"/>
                <w:i/>
                <w:sz w:val="24"/>
                <w:szCs w:val="24"/>
              </w:rPr>
            </w:pPr>
            <w:r w:rsidRPr="00E25E09">
              <w:rPr>
                <w:rFonts w:ascii="Times New Roman" w:hAnsi="Times New Roman"/>
                <w:i/>
                <w:sz w:val="24"/>
                <w:szCs w:val="24"/>
              </w:rPr>
              <w:t xml:space="preserve">Názov služby </w:t>
            </w:r>
          </w:p>
        </w:tc>
      </w:tr>
      <w:tr w:rsidR="005F34E6" w:rsidRPr="00E25E09" w:rsidTr="001111E9">
        <w:trPr>
          <w:trHeight w:val="545"/>
        </w:trPr>
        <w:tc>
          <w:tcPr>
            <w:tcW w:w="9371" w:type="dxa"/>
          </w:tcPr>
          <w:p w:rsidR="005F34E6" w:rsidRPr="00E25E09" w:rsidRDefault="005F34E6" w:rsidP="001111E9">
            <w:pPr>
              <w:widowControl w:val="0"/>
              <w:adjustRightInd w:val="0"/>
              <w:spacing w:after="0" w:line="240" w:lineRule="auto"/>
              <w:ind w:left="720"/>
              <w:jc w:val="both"/>
              <w:textAlignment w:val="baseline"/>
              <w:rPr>
                <w:rFonts w:ascii="Times New Roman" w:hAnsi="Times New Roman"/>
                <w:i/>
                <w:sz w:val="24"/>
                <w:szCs w:val="24"/>
              </w:rPr>
            </w:pPr>
          </w:p>
        </w:tc>
      </w:tr>
      <w:tr w:rsidR="005F34E6" w:rsidRPr="00E25E09" w:rsidTr="001111E9">
        <w:trPr>
          <w:trHeight w:val="248"/>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i/>
                <w:sz w:val="24"/>
                <w:szCs w:val="24"/>
              </w:rPr>
              <w:t>Platná právna úprava, na základe ktorej je služba poskytovaná (ak ide o zmenu existujúcej služby)</w:t>
            </w:r>
          </w:p>
        </w:tc>
      </w:tr>
      <w:tr w:rsidR="005F34E6" w:rsidRPr="00E25E09" w:rsidTr="001111E9">
        <w:trPr>
          <w:trHeight w:val="630"/>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b/>
                <w:sz w:val="24"/>
                <w:szCs w:val="24"/>
              </w:rPr>
              <w:t>Zákon č. 361/2004 Z. z. o dani z motorových vozidiel a o zmene a doplnení niektorých zákonov v znení neskorších predpisov</w:t>
            </w:r>
          </w:p>
        </w:tc>
      </w:tr>
      <w:tr w:rsidR="005F34E6" w:rsidRPr="00E25E09" w:rsidTr="001111E9">
        <w:trPr>
          <w:trHeight w:val="220"/>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i/>
                <w:sz w:val="24"/>
                <w:szCs w:val="24"/>
              </w:rPr>
              <w:t xml:space="preserve">Subjekt, ktorý je na základe platnej právnej úpravy oprávnený službu poskytovať </w:t>
            </w:r>
          </w:p>
        </w:tc>
      </w:tr>
      <w:tr w:rsidR="005F34E6" w:rsidRPr="00E25E09" w:rsidTr="001111E9">
        <w:trPr>
          <w:trHeight w:val="587"/>
        </w:trPr>
        <w:tc>
          <w:tcPr>
            <w:tcW w:w="9371" w:type="dxa"/>
          </w:tcPr>
          <w:p w:rsidR="005F34E6" w:rsidRPr="00E25E09" w:rsidRDefault="005F34E6" w:rsidP="001111E9">
            <w:pPr>
              <w:spacing w:line="240" w:lineRule="auto"/>
              <w:rPr>
                <w:rFonts w:ascii="Times New Roman" w:hAnsi="Times New Roman"/>
                <w:sz w:val="24"/>
                <w:szCs w:val="24"/>
              </w:rPr>
            </w:pPr>
            <w:r w:rsidRPr="00E25E09">
              <w:rPr>
                <w:rFonts w:ascii="Times New Roman" w:hAnsi="Times New Roman"/>
                <w:sz w:val="24"/>
                <w:szCs w:val="24"/>
              </w:rPr>
              <w:t>Finančná správa - Daňové úrady</w:t>
            </w:r>
          </w:p>
        </w:tc>
      </w:tr>
      <w:tr w:rsidR="005F34E6" w:rsidRPr="00E25E09" w:rsidTr="001111E9">
        <w:trPr>
          <w:trHeight w:val="423"/>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b/>
                <w:sz w:val="24"/>
                <w:szCs w:val="24"/>
              </w:rPr>
              <w:t xml:space="preserve">7.1.3 O aký vplyv na službu verejnej správy ide? </w:t>
            </w:r>
          </w:p>
        </w:tc>
      </w:tr>
      <w:tr w:rsidR="005F34E6" w:rsidRPr="00E25E09" w:rsidTr="001111E9">
        <w:trPr>
          <w:trHeight w:val="256"/>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i/>
                <w:sz w:val="24"/>
                <w:szCs w:val="24"/>
              </w:rPr>
              <w:t xml:space="preserve">Priamy vplyv (popíšte) </w:t>
            </w:r>
          </w:p>
        </w:tc>
      </w:tr>
      <w:tr w:rsidR="005F34E6" w:rsidRPr="00E25E09" w:rsidTr="001111E9">
        <w:trPr>
          <w:trHeight w:val="543"/>
        </w:trPr>
        <w:tc>
          <w:tcPr>
            <w:tcW w:w="9371" w:type="dxa"/>
          </w:tcPr>
          <w:p w:rsidR="005F34E6" w:rsidRPr="00E25E09" w:rsidRDefault="005F34E6" w:rsidP="001111E9">
            <w:pPr>
              <w:spacing w:line="240" w:lineRule="auto"/>
              <w:rPr>
                <w:rFonts w:ascii="Times New Roman" w:hAnsi="Times New Roman"/>
                <w:sz w:val="24"/>
                <w:szCs w:val="24"/>
              </w:rPr>
            </w:pP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b/>
                <w:i/>
                <w:sz w:val="24"/>
                <w:szCs w:val="24"/>
              </w:rPr>
            </w:pPr>
            <w:r w:rsidRPr="00E25E09">
              <w:rPr>
                <w:rFonts w:ascii="Times New Roman" w:hAnsi="Times New Roman"/>
                <w:i/>
                <w:sz w:val="24"/>
                <w:szCs w:val="24"/>
              </w:rPr>
              <w:lastRenderedPageBreak/>
              <w:t xml:space="preserve">Nepriamy vplyv (popíšte) </w:t>
            </w:r>
          </w:p>
        </w:tc>
      </w:tr>
      <w:tr w:rsidR="005F34E6" w:rsidRPr="00E25E09" w:rsidTr="001111E9">
        <w:trPr>
          <w:trHeight w:val="616"/>
        </w:trPr>
        <w:tc>
          <w:tcPr>
            <w:tcW w:w="9371" w:type="dxa"/>
          </w:tcPr>
          <w:p w:rsidR="005F34E6" w:rsidRPr="00E25E09" w:rsidRDefault="005F34E6" w:rsidP="001111E9">
            <w:pPr>
              <w:spacing w:line="240" w:lineRule="auto"/>
              <w:rPr>
                <w:rFonts w:ascii="Times New Roman" w:hAnsi="Times New Roman"/>
                <w:b/>
                <w:i/>
                <w:sz w:val="24"/>
                <w:szCs w:val="24"/>
              </w:rPr>
            </w:pPr>
          </w:p>
        </w:tc>
      </w:tr>
      <w:tr w:rsidR="005F34E6" w:rsidRPr="00E25E09" w:rsidTr="001111E9">
        <w:trPr>
          <w:trHeight w:val="20"/>
        </w:trPr>
        <w:tc>
          <w:tcPr>
            <w:tcW w:w="9371" w:type="dxa"/>
            <w:shd w:val="clear" w:color="auto" w:fill="C0C0C0"/>
            <w:vAlign w:val="center"/>
          </w:tcPr>
          <w:p w:rsidR="005F34E6" w:rsidRPr="00E25E09" w:rsidRDefault="005F34E6" w:rsidP="001111E9">
            <w:pPr>
              <w:spacing w:line="240" w:lineRule="auto"/>
              <w:jc w:val="center"/>
              <w:rPr>
                <w:rFonts w:ascii="Times New Roman" w:hAnsi="Times New Roman"/>
                <w:b/>
                <w:sz w:val="24"/>
                <w:szCs w:val="24"/>
              </w:rPr>
            </w:pPr>
            <w:r w:rsidRPr="00E25E09">
              <w:rPr>
                <w:rFonts w:ascii="Times New Roman" w:hAnsi="Times New Roman"/>
                <w:b/>
                <w:sz w:val="24"/>
                <w:szCs w:val="24"/>
              </w:rPr>
              <w:t>7.2 Vplyv služieb verejnej správy na občana</w:t>
            </w:r>
          </w:p>
        </w:tc>
      </w:tr>
      <w:tr w:rsidR="005F34E6" w:rsidRPr="00E25E09" w:rsidTr="001111E9">
        <w:trPr>
          <w:trHeight w:val="388"/>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b/>
                <w:sz w:val="24"/>
                <w:szCs w:val="24"/>
              </w:rPr>
              <w:t xml:space="preserve">7.2.1 Náklady </w:t>
            </w:r>
          </w:p>
        </w:tc>
      </w:tr>
      <w:tr w:rsidR="005F34E6" w:rsidRPr="00E25E09" w:rsidTr="001111E9">
        <w:trPr>
          <w:trHeight w:val="226"/>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i/>
                <w:sz w:val="24"/>
                <w:szCs w:val="24"/>
              </w:rPr>
              <w:t xml:space="preserve">Zníženie priamych finančných nákladov </w:t>
            </w:r>
          </w:p>
        </w:tc>
      </w:tr>
      <w:tr w:rsidR="005F34E6" w:rsidRPr="00E25E09" w:rsidTr="001111E9">
        <w:trPr>
          <w:trHeight w:val="599"/>
        </w:trPr>
        <w:tc>
          <w:tcPr>
            <w:tcW w:w="9371" w:type="dxa"/>
          </w:tcPr>
          <w:p w:rsidR="005F34E6" w:rsidRPr="00E25E09" w:rsidRDefault="005F34E6" w:rsidP="001111E9">
            <w:pPr>
              <w:spacing w:line="240" w:lineRule="auto"/>
              <w:rPr>
                <w:rFonts w:ascii="Times New Roman" w:hAnsi="Times New Roman"/>
                <w:sz w:val="24"/>
                <w:szCs w:val="24"/>
              </w:rPr>
            </w:pPr>
            <w:r w:rsidRPr="00E25E09">
              <w:rPr>
                <w:rFonts w:ascii="Times New Roman" w:hAnsi="Times New Roman"/>
                <w:sz w:val="24"/>
                <w:szCs w:val="24"/>
              </w:rPr>
              <w:t>Žiadne.</w:t>
            </w:r>
          </w:p>
        </w:tc>
      </w:tr>
      <w:tr w:rsidR="005F34E6" w:rsidRPr="00E25E09" w:rsidTr="001111E9">
        <w:trPr>
          <w:trHeight w:val="294"/>
        </w:trPr>
        <w:tc>
          <w:tcPr>
            <w:tcW w:w="9371" w:type="dxa"/>
          </w:tcPr>
          <w:p w:rsidR="005F34E6" w:rsidRPr="00E25E09" w:rsidRDefault="005F34E6" w:rsidP="001111E9">
            <w:pPr>
              <w:spacing w:line="240" w:lineRule="auto"/>
              <w:rPr>
                <w:rFonts w:ascii="Times New Roman" w:hAnsi="Times New Roman"/>
                <w:i/>
                <w:sz w:val="24"/>
                <w:szCs w:val="24"/>
              </w:rPr>
            </w:pPr>
            <w:r w:rsidRPr="00E25E09">
              <w:rPr>
                <w:rFonts w:ascii="Times New Roman" w:hAnsi="Times New Roman"/>
                <w:i/>
                <w:sz w:val="24"/>
                <w:szCs w:val="24"/>
              </w:rPr>
              <w:t>Zvýšenie priamych finančných nákladov</w:t>
            </w:r>
          </w:p>
        </w:tc>
      </w:tr>
      <w:tr w:rsidR="005F34E6" w:rsidRPr="00E25E09" w:rsidTr="001111E9">
        <w:trPr>
          <w:trHeight w:val="572"/>
        </w:trPr>
        <w:tc>
          <w:tcPr>
            <w:tcW w:w="9371" w:type="dxa"/>
          </w:tcPr>
          <w:p w:rsidR="005F34E6" w:rsidRPr="00E25E09" w:rsidRDefault="005F34E6" w:rsidP="001111E9">
            <w:pPr>
              <w:spacing w:line="240" w:lineRule="auto"/>
              <w:rPr>
                <w:rFonts w:ascii="Times New Roman" w:hAnsi="Times New Roman"/>
                <w:i/>
                <w:sz w:val="24"/>
                <w:szCs w:val="24"/>
              </w:rPr>
            </w:pPr>
            <w:r w:rsidRPr="00E25E09">
              <w:rPr>
                <w:rFonts w:ascii="Times New Roman" w:hAnsi="Times New Roman"/>
                <w:sz w:val="24"/>
                <w:szCs w:val="24"/>
              </w:rPr>
              <w:t>Žiadne.</w:t>
            </w:r>
          </w:p>
        </w:tc>
      </w:tr>
      <w:tr w:rsidR="005F34E6" w:rsidRPr="00E25E09" w:rsidTr="001111E9">
        <w:trPr>
          <w:trHeight w:val="214"/>
        </w:trPr>
        <w:tc>
          <w:tcPr>
            <w:tcW w:w="9371" w:type="dxa"/>
          </w:tcPr>
          <w:p w:rsidR="005F34E6" w:rsidRPr="00E25E09" w:rsidRDefault="005F34E6" w:rsidP="001111E9">
            <w:pPr>
              <w:spacing w:line="240" w:lineRule="auto"/>
              <w:rPr>
                <w:rFonts w:ascii="Times New Roman" w:hAnsi="Times New Roman"/>
                <w:i/>
                <w:sz w:val="24"/>
                <w:szCs w:val="24"/>
              </w:rPr>
            </w:pPr>
            <w:r w:rsidRPr="00E25E09">
              <w:rPr>
                <w:rFonts w:ascii="Times New Roman" w:hAnsi="Times New Roman"/>
                <w:i/>
                <w:sz w:val="24"/>
                <w:szCs w:val="24"/>
              </w:rPr>
              <w:t>Zníženie nepriamych finančných nákladov</w:t>
            </w:r>
          </w:p>
        </w:tc>
      </w:tr>
      <w:tr w:rsidR="005F34E6" w:rsidRPr="00E25E09" w:rsidTr="001111E9">
        <w:trPr>
          <w:trHeight w:val="707"/>
        </w:trPr>
        <w:tc>
          <w:tcPr>
            <w:tcW w:w="9371" w:type="dxa"/>
          </w:tcPr>
          <w:p w:rsidR="005F34E6" w:rsidRPr="00E25E09" w:rsidRDefault="005F34E6" w:rsidP="001111E9">
            <w:pPr>
              <w:spacing w:line="240" w:lineRule="auto"/>
              <w:rPr>
                <w:rFonts w:ascii="Times New Roman" w:hAnsi="Times New Roman"/>
                <w:sz w:val="24"/>
                <w:szCs w:val="24"/>
              </w:rPr>
            </w:pPr>
            <w:r w:rsidRPr="00E25E09">
              <w:rPr>
                <w:rFonts w:ascii="Times New Roman" w:hAnsi="Times New Roman"/>
                <w:sz w:val="24"/>
                <w:szCs w:val="24"/>
              </w:rPr>
              <w:t>Žiadne.</w:t>
            </w:r>
          </w:p>
        </w:tc>
      </w:tr>
      <w:tr w:rsidR="005F34E6" w:rsidRPr="00E25E09" w:rsidTr="001111E9">
        <w:trPr>
          <w:trHeight w:val="388"/>
        </w:trPr>
        <w:tc>
          <w:tcPr>
            <w:tcW w:w="9371" w:type="dxa"/>
          </w:tcPr>
          <w:p w:rsidR="005F34E6" w:rsidRPr="00E25E09" w:rsidRDefault="005F34E6" w:rsidP="001111E9">
            <w:pPr>
              <w:spacing w:line="240" w:lineRule="auto"/>
              <w:rPr>
                <w:rFonts w:ascii="Times New Roman" w:hAnsi="Times New Roman"/>
                <w:i/>
                <w:sz w:val="24"/>
                <w:szCs w:val="24"/>
              </w:rPr>
            </w:pPr>
            <w:r w:rsidRPr="00E25E09">
              <w:rPr>
                <w:rFonts w:ascii="Times New Roman" w:hAnsi="Times New Roman"/>
                <w:i/>
                <w:sz w:val="24"/>
                <w:szCs w:val="24"/>
              </w:rPr>
              <w:t>Zvýšenie nepriamych finančných nákladov</w:t>
            </w:r>
          </w:p>
        </w:tc>
      </w:tr>
      <w:tr w:rsidR="005F34E6" w:rsidRPr="00E25E09" w:rsidTr="001111E9">
        <w:trPr>
          <w:trHeight w:val="800"/>
        </w:trPr>
        <w:tc>
          <w:tcPr>
            <w:tcW w:w="9371" w:type="dxa"/>
          </w:tcPr>
          <w:p w:rsidR="005F34E6" w:rsidRPr="00E25E09" w:rsidRDefault="005F34E6" w:rsidP="001111E9">
            <w:pPr>
              <w:spacing w:line="240" w:lineRule="auto"/>
              <w:rPr>
                <w:rFonts w:ascii="Times New Roman" w:hAnsi="Times New Roman"/>
                <w:sz w:val="24"/>
                <w:szCs w:val="24"/>
              </w:rPr>
            </w:pPr>
            <w:r w:rsidRPr="00E25E09">
              <w:rPr>
                <w:rFonts w:ascii="Times New Roman" w:hAnsi="Times New Roman"/>
                <w:sz w:val="24"/>
                <w:szCs w:val="24"/>
              </w:rPr>
              <w:t>Žiadne.</w:t>
            </w:r>
          </w:p>
        </w:tc>
      </w:tr>
      <w:tr w:rsidR="005F34E6" w:rsidRPr="00E25E09" w:rsidTr="001111E9">
        <w:trPr>
          <w:trHeight w:val="388"/>
        </w:trPr>
        <w:tc>
          <w:tcPr>
            <w:tcW w:w="9371" w:type="dxa"/>
          </w:tcPr>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b/>
                <w:sz w:val="24"/>
                <w:szCs w:val="24"/>
              </w:rPr>
              <w:t xml:space="preserve">7.2.2 Časový vplyv </w:t>
            </w: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i/>
                <w:sz w:val="24"/>
                <w:szCs w:val="24"/>
              </w:rPr>
              <w:t>Zvýšenie času vybavenia požiadavky (popíšte)</w:t>
            </w:r>
          </w:p>
        </w:tc>
      </w:tr>
      <w:tr w:rsidR="005F34E6" w:rsidRPr="00E25E09" w:rsidTr="001111E9">
        <w:trPr>
          <w:trHeight w:val="703"/>
        </w:trPr>
        <w:tc>
          <w:tcPr>
            <w:tcW w:w="9371" w:type="dxa"/>
          </w:tcPr>
          <w:p w:rsidR="005F34E6" w:rsidRPr="00E25E09" w:rsidRDefault="005F34E6" w:rsidP="001111E9">
            <w:pPr>
              <w:spacing w:line="240" w:lineRule="auto"/>
              <w:rPr>
                <w:rFonts w:ascii="Times New Roman" w:hAnsi="Times New Roman"/>
                <w:sz w:val="24"/>
                <w:szCs w:val="24"/>
              </w:rPr>
            </w:pPr>
            <w:r w:rsidRPr="00E25E09">
              <w:rPr>
                <w:rFonts w:ascii="Times New Roman" w:hAnsi="Times New Roman"/>
                <w:sz w:val="24"/>
                <w:szCs w:val="24"/>
              </w:rPr>
              <w:t xml:space="preserve">Bez dodatočných časových nárokov. </w:t>
            </w: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i/>
                <w:sz w:val="24"/>
                <w:szCs w:val="24"/>
              </w:rPr>
              <w:t>Zníženie času  vybavenia požiadavky (popíšte)</w:t>
            </w:r>
          </w:p>
        </w:tc>
      </w:tr>
      <w:tr w:rsidR="005F34E6" w:rsidRPr="00E25E09" w:rsidTr="001111E9">
        <w:trPr>
          <w:trHeight w:val="729"/>
        </w:trPr>
        <w:tc>
          <w:tcPr>
            <w:tcW w:w="9371" w:type="dxa"/>
          </w:tcPr>
          <w:p w:rsidR="005F34E6" w:rsidRPr="00E25E09" w:rsidRDefault="005F34E6" w:rsidP="001111E9">
            <w:pPr>
              <w:spacing w:line="240" w:lineRule="auto"/>
              <w:rPr>
                <w:rFonts w:ascii="Times New Roman" w:hAnsi="Times New Roman"/>
                <w:b/>
                <w:sz w:val="24"/>
                <w:szCs w:val="24"/>
              </w:rPr>
            </w:pPr>
          </w:p>
        </w:tc>
      </w:tr>
      <w:tr w:rsidR="005F34E6" w:rsidRPr="00E25E09" w:rsidTr="001111E9">
        <w:trPr>
          <w:trHeight w:val="424"/>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b/>
                <w:sz w:val="24"/>
                <w:szCs w:val="24"/>
              </w:rPr>
              <w:t xml:space="preserve">7.2.3 Ktorá skupina občanov bude predloženým návrhom ovplyvnená? </w:t>
            </w:r>
          </w:p>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i/>
                <w:iCs/>
                <w:sz w:val="24"/>
                <w:szCs w:val="24"/>
              </w:rPr>
              <w:t>Špecifikujte skupinu občanov, ktorá bude návrhom ovplyvnená (napr. držitelia vodičských oprávnení). Aká je  veľkosť tejto skupiny?</w:t>
            </w:r>
          </w:p>
        </w:tc>
      </w:tr>
      <w:tr w:rsidR="005F34E6" w:rsidRPr="00E25E09" w:rsidTr="001111E9">
        <w:trPr>
          <w:trHeight w:val="734"/>
        </w:trPr>
        <w:tc>
          <w:tcPr>
            <w:tcW w:w="9371" w:type="dxa"/>
          </w:tcPr>
          <w:p w:rsidR="005F34E6" w:rsidRPr="00E25E09" w:rsidRDefault="005F34E6" w:rsidP="001111E9">
            <w:pPr>
              <w:spacing w:line="240" w:lineRule="auto"/>
              <w:rPr>
                <w:rFonts w:ascii="Times New Roman" w:hAnsi="Times New Roman"/>
                <w:iCs/>
                <w:sz w:val="24"/>
                <w:szCs w:val="24"/>
              </w:rPr>
            </w:pPr>
            <w:r w:rsidRPr="00E25E09">
              <w:rPr>
                <w:rFonts w:ascii="Times New Roman" w:hAnsi="Times New Roman"/>
                <w:iCs/>
                <w:sz w:val="24"/>
                <w:szCs w:val="24"/>
              </w:rPr>
              <w:t>Podnikateľské subjekty používajúce vozidlá vymedzených kategórií na podnikanie.</w:t>
            </w: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b/>
                <w:sz w:val="24"/>
                <w:szCs w:val="24"/>
              </w:rPr>
              <w:t xml:space="preserve">7.2.4 Vyplývajú z návrhu pre občana pri vybavení svojej požiadavky nové povinnosti alebo zanikajú už existujúce povinnosti?  </w:t>
            </w: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i/>
                <w:iCs/>
                <w:sz w:val="24"/>
                <w:szCs w:val="24"/>
              </w:rPr>
              <w:lastRenderedPageBreak/>
              <w:t xml:space="preserve">Nové povinnosti (identifikujte) </w:t>
            </w:r>
          </w:p>
        </w:tc>
      </w:tr>
      <w:tr w:rsidR="005F34E6" w:rsidRPr="00E25E09" w:rsidTr="001111E9">
        <w:trPr>
          <w:trHeight w:val="726"/>
        </w:trPr>
        <w:tc>
          <w:tcPr>
            <w:tcW w:w="9371" w:type="dxa"/>
          </w:tcPr>
          <w:p w:rsidR="005F34E6" w:rsidRPr="00E25E09" w:rsidRDefault="005F34E6" w:rsidP="001111E9">
            <w:pPr>
              <w:spacing w:line="240" w:lineRule="auto"/>
              <w:rPr>
                <w:rFonts w:ascii="Times New Roman" w:hAnsi="Times New Roman"/>
                <w:iCs/>
                <w:sz w:val="24"/>
                <w:szCs w:val="24"/>
              </w:rPr>
            </w:pPr>
            <w:r w:rsidRPr="00E25E09">
              <w:rPr>
                <w:rFonts w:ascii="Times New Roman" w:hAnsi="Times New Roman"/>
                <w:iCs/>
                <w:sz w:val="24"/>
                <w:szCs w:val="24"/>
              </w:rPr>
              <w:t>Žiadne.</w:t>
            </w: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i/>
                <w:iCs/>
                <w:sz w:val="24"/>
                <w:szCs w:val="24"/>
              </w:rPr>
              <w:t>Zanikajúce povinnosti (identifikujte)</w:t>
            </w:r>
          </w:p>
        </w:tc>
      </w:tr>
      <w:tr w:rsidR="005F34E6" w:rsidRPr="00E25E09" w:rsidTr="001111E9">
        <w:trPr>
          <w:trHeight w:val="609"/>
        </w:trPr>
        <w:tc>
          <w:tcPr>
            <w:tcW w:w="9371" w:type="dxa"/>
          </w:tcPr>
          <w:p w:rsidR="005F34E6" w:rsidRPr="00E25E09" w:rsidRDefault="005F34E6" w:rsidP="001111E9">
            <w:pPr>
              <w:spacing w:line="240" w:lineRule="auto"/>
              <w:rPr>
                <w:rFonts w:ascii="Times New Roman" w:hAnsi="Times New Roman"/>
                <w:iCs/>
                <w:sz w:val="24"/>
                <w:szCs w:val="24"/>
              </w:rPr>
            </w:pPr>
            <w:r w:rsidRPr="00E25E09">
              <w:rPr>
                <w:rFonts w:ascii="Times New Roman" w:hAnsi="Times New Roman"/>
                <w:iCs/>
                <w:sz w:val="24"/>
                <w:szCs w:val="24"/>
              </w:rPr>
              <w:t>Žiadne.</w:t>
            </w:r>
          </w:p>
          <w:p w:rsidR="005F34E6" w:rsidRPr="00E25E09" w:rsidRDefault="005F34E6" w:rsidP="001111E9">
            <w:pPr>
              <w:spacing w:line="240" w:lineRule="auto"/>
              <w:rPr>
                <w:rFonts w:ascii="Times New Roman" w:hAnsi="Times New Roman"/>
                <w:i/>
                <w:iCs/>
                <w:sz w:val="24"/>
                <w:szCs w:val="24"/>
              </w:rPr>
            </w:pPr>
          </w:p>
          <w:p w:rsidR="005F34E6" w:rsidRPr="00E25E09" w:rsidRDefault="005F34E6" w:rsidP="001111E9">
            <w:pPr>
              <w:spacing w:line="240" w:lineRule="auto"/>
              <w:rPr>
                <w:rFonts w:ascii="Times New Roman" w:hAnsi="Times New Roman"/>
                <w:i/>
                <w:iCs/>
                <w:sz w:val="24"/>
                <w:szCs w:val="24"/>
              </w:rPr>
            </w:pPr>
          </w:p>
          <w:p w:rsidR="005F34E6" w:rsidRPr="00E25E09" w:rsidRDefault="005F34E6" w:rsidP="001111E9">
            <w:pPr>
              <w:spacing w:line="240" w:lineRule="auto"/>
              <w:rPr>
                <w:rFonts w:ascii="Times New Roman" w:hAnsi="Times New Roman"/>
                <w:i/>
                <w:iCs/>
                <w:sz w:val="24"/>
                <w:szCs w:val="24"/>
              </w:rPr>
            </w:pPr>
          </w:p>
        </w:tc>
      </w:tr>
      <w:tr w:rsidR="005F34E6" w:rsidRPr="00E25E09" w:rsidTr="001111E9">
        <w:trPr>
          <w:trHeight w:val="20"/>
        </w:trPr>
        <w:tc>
          <w:tcPr>
            <w:tcW w:w="9371" w:type="dxa"/>
            <w:shd w:val="clear" w:color="auto" w:fill="BFBFBF"/>
            <w:vAlign w:val="center"/>
          </w:tcPr>
          <w:p w:rsidR="005F34E6" w:rsidRPr="00E25E09" w:rsidRDefault="005F34E6" w:rsidP="001111E9">
            <w:pPr>
              <w:spacing w:line="240" w:lineRule="auto"/>
              <w:jc w:val="center"/>
              <w:rPr>
                <w:rFonts w:ascii="Times New Roman" w:hAnsi="Times New Roman"/>
                <w:b/>
                <w:sz w:val="24"/>
                <w:szCs w:val="24"/>
              </w:rPr>
            </w:pPr>
            <w:r w:rsidRPr="00E25E09">
              <w:rPr>
                <w:rFonts w:ascii="Times New Roman" w:hAnsi="Times New Roman"/>
                <w:b/>
                <w:sz w:val="24"/>
                <w:szCs w:val="24"/>
              </w:rPr>
              <w:t>7.3 Vplyv na procesy služieb vo verejnej správe</w:t>
            </w:r>
          </w:p>
        </w:tc>
      </w:tr>
      <w:tr w:rsidR="005F34E6" w:rsidRPr="00E25E09" w:rsidTr="001111E9">
        <w:trPr>
          <w:trHeight w:val="390"/>
        </w:trPr>
        <w:tc>
          <w:tcPr>
            <w:tcW w:w="9371" w:type="dxa"/>
          </w:tcPr>
          <w:p w:rsidR="005F34E6" w:rsidRPr="00E25E09" w:rsidRDefault="005F34E6" w:rsidP="001111E9">
            <w:pPr>
              <w:spacing w:line="240" w:lineRule="auto"/>
              <w:rPr>
                <w:rFonts w:ascii="Times New Roman" w:hAnsi="Times New Roman"/>
                <w:b/>
                <w:sz w:val="24"/>
                <w:szCs w:val="24"/>
              </w:rPr>
            </w:pPr>
            <w:r w:rsidRPr="00E25E09">
              <w:rPr>
                <w:rFonts w:ascii="Times New Roman" w:hAnsi="Times New Roman"/>
                <w:b/>
                <w:sz w:val="24"/>
                <w:szCs w:val="24"/>
              </w:rPr>
              <w:t xml:space="preserve">7.3.1 Ktoré sú dotknuté subjekty verejnej správy? </w:t>
            </w:r>
          </w:p>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i/>
                <w:sz w:val="24"/>
                <w:szCs w:val="24"/>
              </w:rPr>
              <w:t xml:space="preserve">Ktoré subjekty verejnej správy sú účastné procesu poskytnutia služby? </w:t>
            </w:r>
          </w:p>
        </w:tc>
      </w:tr>
      <w:tr w:rsidR="005F34E6" w:rsidRPr="00E25E09" w:rsidTr="001111E9">
        <w:trPr>
          <w:trHeight w:val="733"/>
        </w:trPr>
        <w:tc>
          <w:tcPr>
            <w:tcW w:w="9371" w:type="dxa"/>
          </w:tcPr>
          <w:p w:rsidR="005F34E6" w:rsidRPr="00E25E09" w:rsidRDefault="005F34E6" w:rsidP="001111E9">
            <w:pPr>
              <w:spacing w:line="240" w:lineRule="auto"/>
              <w:rPr>
                <w:rFonts w:ascii="Times New Roman" w:hAnsi="Times New Roman"/>
                <w:sz w:val="24"/>
                <w:szCs w:val="24"/>
              </w:rPr>
            </w:pP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b/>
                <w:sz w:val="24"/>
                <w:szCs w:val="24"/>
              </w:rPr>
              <w:t xml:space="preserve">7.3.2 Vyplývajú z návrhu pre orgán verejnej správy pri vybavení požiadavky nové povinnosti alebo zanikajú už existujúce povinnosti?  </w:t>
            </w:r>
            <w:r w:rsidRPr="00E25E09">
              <w:rPr>
                <w:rFonts w:ascii="Times New Roman" w:hAnsi="Times New Roman"/>
                <w:iCs/>
                <w:sz w:val="24"/>
                <w:szCs w:val="24"/>
              </w:rPr>
              <w:t xml:space="preserve"> </w:t>
            </w:r>
          </w:p>
        </w:tc>
      </w:tr>
      <w:tr w:rsidR="005F34E6" w:rsidRPr="00E25E09" w:rsidTr="001111E9">
        <w:trPr>
          <w:trHeight w:val="20"/>
        </w:trPr>
        <w:tc>
          <w:tcPr>
            <w:tcW w:w="9371" w:type="dxa"/>
          </w:tcPr>
          <w:p w:rsidR="005F34E6" w:rsidRPr="00E25E09" w:rsidRDefault="005F34E6" w:rsidP="001111E9">
            <w:pPr>
              <w:spacing w:line="240" w:lineRule="auto"/>
              <w:rPr>
                <w:rFonts w:ascii="Times New Roman" w:hAnsi="Times New Roman"/>
                <w:i/>
                <w:iCs/>
                <w:sz w:val="24"/>
                <w:szCs w:val="24"/>
              </w:rPr>
            </w:pPr>
            <w:r w:rsidRPr="00E25E09">
              <w:rPr>
                <w:rFonts w:ascii="Times New Roman" w:hAnsi="Times New Roman"/>
                <w:i/>
                <w:iCs/>
                <w:sz w:val="24"/>
                <w:szCs w:val="24"/>
              </w:rPr>
              <w:t>Nové povinnosti (identifikujte)</w:t>
            </w:r>
          </w:p>
        </w:tc>
      </w:tr>
      <w:tr w:rsidR="005F34E6" w:rsidRPr="00E25E09" w:rsidTr="001111E9">
        <w:trPr>
          <w:trHeight w:val="674"/>
        </w:trPr>
        <w:tc>
          <w:tcPr>
            <w:tcW w:w="9371" w:type="dxa"/>
          </w:tcPr>
          <w:p w:rsidR="005F34E6" w:rsidRPr="00E25E09" w:rsidRDefault="005F34E6" w:rsidP="001111E9">
            <w:pPr>
              <w:spacing w:line="240" w:lineRule="auto"/>
              <w:rPr>
                <w:rFonts w:ascii="Times New Roman" w:hAnsi="Times New Roman"/>
                <w:iCs/>
                <w:sz w:val="24"/>
                <w:szCs w:val="24"/>
              </w:rPr>
            </w:pPr>
            <w:r w:rsidRPr="00E25E09">
              <w:rPr>
                <w:rFonts w:ascii="Times New Roman" w:hAnsi="Times New Roman"/>
                <w:iCs/>
                <w:sz w:val="24"/>
                <w:szCs w:val="24"/>
              </w:rPr>
              <w:t>Žiadne.</w:t>
            </w:r>
          </w:p>
        </w:tc>
      </w:tr>
    </w:tbl>
    <w:p w:rsidR="005F34E6" w:rsidRDefault="005F34E6" w:rsidP="005F34E6">
      <w:pPr>
        <w:spacing w:after="0" w:line="240" w:lineRule="auto"/>
        <w:ind w:firstLine="708"/>
        <w:jc w:val="both"/>
        <w:rPr>
          <w:rFonts w:ascii="Times New Roman" w:hAnsi="Times New Roman"/>
          <w:i/>
          <w:iCs/>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734702" w:rsidRDefault="00734702" w:rsidP="005F34E6">
      <w:pPr>
        <w:spacing w:after="0" w:line="240" w:lineRule="auto"/>
        <w:ind w:firstLine="708"/>
        <w:jc w:val="both"/>
        <w:rPr>
          <w:rFonts w:ascii="Times New Roman" w:hAnsi="Times New Roman"/>
          <w:color w:val="000000" w:themeColor="text1"/>
          <w:sz w:val="24"/>
          <w:szCs w:val="24"/>
        </w:rPr>
      </w:pPr>
    </w:p>
    <w:p w:rsidR="005F34E6" w:rsidRDefault="005F34E6" w:rsidP="005F34E6">
      <w:pPr>
        <w:spacing w:after="0" w:line="240" w:lineRule="auto"/>
        <w:ind w:firstLine="708"/>
        <w:jc w:val="both"/>
        <w:rPr>
          <w:rFonts w:ascii="Times New Roman" w:hAnsi="Times New Roman"/>
          <w:color w:val="000000" w:themeColor="text1"/>
          <w:sz w:val="24"/>
          <w:szCs w:val="24"/>
        </w:rPr>
      </w:pPr>
    </w:p>
    <w:p w:rsidR="005F34E6" w:rsidRPr="00734702" w:rsidRDefault="005F34E6" w:rsidP="005F34E6">
      <w:pPr>
        <w:pStyle w:val="Normlnywebov"/>
        <w:autoSpaceDE w:val="0"/>
        <w:autoSpaceDN w:val="0"/>
        <w:jc w:val="center"/>
        <w:rPr>
          <w:b/>
          <w:bCs/>
        </w:rPr>
      </w:pPr>
      <w:r w:rsidRPr="00734702">
        <w:rPr>
          <w:b/>
          <w:bCs/>
        </w:rPr>
        <w:lastRenderedPageBreak/>
        <w:t>DOLOŽKA ZLUČITEĽNOSTI</w:t>
      </w:r>
    </w:p>
    <w:p w:rsidR="005F34E6" w:rsidRPr="00734702" w:rsidRDefault="005F34E6" w:rsidP="005F34E6">
      <w:pPr>
        <w:pBdr>
          <w:bottom w:val="single" w:sz="12" w:space="1" w:color="auto"/>
        </w:pBdr>
        <w:spacing w:line="240" w:lineRule="auto"/>
        <w:ind w:left="357"/>
        <w:jc w:val="center"/>
        <w:rPr>
          <w:rFonts w:ascii="Times New Roman" w:hAnsi="Times New Roman"/>
          <w:b/>
          <w:sz w:val="24"/>
          <w:szCs w:val="24"/>
        </w:rPr>
      </w:pPr>
      <w:r w:rsidRPr="00734702">
        <w:rPr>
          <w:rFonts w:ascii="Times New Roman" w:hAnsi="Times New Roman"/>
          <w:b/>
          <w:bCs/>
          <w:sz w:val="24"/>
          <w:szCs w:val="24"/>
        </w:rPr>
        <w:t>k n</w:t>
      </w:r>
      <w:r w:rsidRPr="00734702">
        <w:rPr>
          <w:rFonts w:ascii="Times New Roman" w:hAnsi="Times New Roman"/>
          <w:b/>
          <w:sz w:val="24"/>
          <w:szCs w:val="24"/>
        </w:rPr>
        <w:t>ávrhu zákona, ktorým sa mení a dopĺňa zákon č. 361/2014 Z. z. o dani z motorových vozidiel a o zmene a doplnení niektorých zákonov v znení neskorších predpisov s právom Európskej únie</w:t>
      </w:r>
    </w:p>
    <w:p w:rsidR="005F34E6" w:rsidRPr="00734702" w:rsidRDefault="005F34E6" w:rsidP="00734702">
      <w:pPr>
        <w:widowControl w:val="0"/>
        <w:numPr>
          <w:ilvl w:val="0"/>
          <w:numId w:val="2"/>
        </w:numPr>
        <w:autoSpaceDE w:val="0"/>
        <w:autoSpaceDN w:val="0"/>
        <w:spacing w:after="240" w:line="240" w:lineRule="auto"/>
        <w:contextualSpacing/>
        <w:jc w:val="both"/>
        <w:rPr>
          <w:rFonts w:ascii="Times New Roman" w:hAnsi="Times New Roman"/>
          <w:b/>
          <w:bCs/>
          <w:sz w:val="24"/>
          <w:szCs w:val="24"/>
          <w:lang w:eastAsia="sk-SK"/>
        </w:rPr>
      </w:pPr>
      <w:r w:rsidRPr="00734702">
        <w:rPr>
          <w:rFonts w:ascii="Times New Roman" w:hAnsi="Times New Roman"/>
          <w:b/>
          <w:bCs/>
          <w:sz w:val="24"/>
          <w:szCs w:val="24"/>
          <w:lang w:eastAsia="sk-SK"/>
        </w:rPr>
        <w:t>Navrhovateľ zákona:</w:t>
      </w:r>
    </w:p>
    <w:p w:rsidR="005F34E6" w:rsidRPr="00734702" w:rsidRDefault="005F34E6" w:rsidP="005F34E6">
      <w:pPr>
        <w:widowControl w:val="0"/>
        <w:autoSpaceDE w:val="0"/>
        <w:autoSpaceDN w:val="0"/>
        <w:spacing w:before="240" w:after="120" w:line="240" w:lineRule="auto"/>
        <w:ind w:firstLine="357"/>
        <w:contextualSpacing/>
        <w:jc w:val="both"/>
        <w:rPr>
          <w:rFonts w:ascii="Times New Roman" w:hAnsi="Times New Roman"/>
          <w:sz w:val="24"/>
          <w:szCs w:val="24"/>
          <w:lang w:eastAsia="sk-SK"/>
        </w:rPr>
      </w:pPr>
      <w:r w:rsidRPr="00734702">
        <w:rPr>
          <w:rFonts w:ascii="Times New Roman" w:hAnsi="Times New Roman"/>
          <w:sz w:val="24"/>
          <w:szCs w:val="24"/>
          <w:lang w:eastAsia="sk-SK"/>
        </w:rPr>
        <w:t>Vláda Slovenskej republiky.</w:t>
      </w:r>
    </w:p>
    <w:p w:rsidR="005F34E6" w:rsidRPr="00734702" w:rsidRDefault="005F34E6" w:rsidP="005F34E6">
      <w:pPr>
        <w:widowControl w:val="0"/>
        <w:autoSpaceDE w:val="0"/>
        <w:autoSpaceDN w:val="0"/>
        <w:spacing w:before="120" w:after="120" w:line="240" w:lineRule="auto"/>
        <w:ind w:firstLine="357"/>
        <w:contextualSpacing/>
        <w:jc w:val="both"/>
        <w:rPr>
          <w:rFonts w:ascii="Times New Roman" w:hAnsi="Times New Roman"/>
          <w:color w:val="FF0000"/>
          <w:sz w:val="24"/>
          <w:szCs w:val="24"/>
          <w:lang w:eastAsia="sk-SK"/>
        </w:rPr>
      </w:pPr>
    </w:p>
    <w:p w:rsidR="005F34E6" w:rsidRPr="00734702" w:rsidRDefault="005F34E6" w:rsidP="005F34E6">
      <w:pPr>
        <w:widowControl w:val="0"/>
        <w:numPr>
          <w:ilvl w:val="0"/>
          <w:numId w:val="2"/>
        </w:numPr>
        <w:autoSpaceDE w:val="0"/>
        <w:autoSpaceDN w:val="0"/>
        <w:spacing w:after="0" w:line="240" w:lineRule="auto"/>
        <w:ind w:left="357" w:hanging="357"/>
        <w:contextualSpacing/>
        <w:jc w:val="both"/>
        <w:rPr>
          <w:rFonts w:ascii="Times New Roman" w:hAnsi="Times New Roman"/>
          <w:b/>
          <w:bCs/>
          <w:sz w:val="24"/>
          <w:szCs w:val="24"/>
          <w:lang w:eastAsia="sk-SK"/>
        </w:rPr>
      </w:pPr>
      <w:r w:rsidRPr="00734702">
        <w:rPr>
          <w:rFonts w:ascii="Times New Roman" w:hAnsi="Times New Roman"/>
          <w:b/>
          <w:bCs/>
          <w:sz w:val="24"/>
          <w:szCs w:val="24"/>
          <w:lang w:eastAsia="sk-SK"/>
        </w:rPr>
        <w:t xml:space="preserve">Názov návrhu zákona: </w:t>
      </w:r>
    </w:p>
    <w:p w:rsidR="005F34E6" w:rsidRPr="00734702" w:rsidRDefault="005F34E6" w:rsidP="005F34E6">
      <w:pPr>
        <w:pStyle w:val="Zkladntext"/>
        <w:spacing w:after="0"/>
        <w:ind w:left="360"/>
        <w:jc w:val="both"/>
        <w:rPr>
          <w:rFonts w:ascii="Times New Roman" w:hAnsi="Times New Roman"/>
          <w:sz w:val="24"/>
          <w:szCs w:val="24"/>
        </w:rPr>
      </w:pPr>
      <w:r w:rsidRPr="00734702">
        <w:rPr>
          <w:rFonts w:ascii="Times New Roman" w:hAnsi="Times New Roman"/>
          <w:sz w:val="24"/>
          <w:szCs w:val="24"/>
        </w:rPr>
        <w:t xml:space="preserve">Návrh zákona, ktorým sa mení a dopĺňa zákon č. 361/2014 Z. z. o dani z motorových vozidiel a o zmene a doplnení niektorých zákonov v znení neskorších predpisov. </w:t>
      </w:r>
    </w:p>
    <w:p w:rsidR="005F34E6" w:rsidRPr="00734702" w:rsidRDefault="005F34E6" w:rsidP="005F34E6">
      <w:pPr>
        <w:widowControl w:val="0"/>
        <w:autoSpaceDE w:val="0"/>
        <w:autoSpaceDN w:val="0"/>
        <w:spacing w:after="0" w:line="240" w:lineRule="auto"/>
        <w:ind w:left="357"/>
        <w:contextualSpacing/>
        <w:jc w:val="both"/>
        <w:rPr>
          <w:rFonts w:ascii="Times New Roman" w:hAnsi="Times New Roman"/>
          <w:b/>
          <w:bCs/>
          <w:sz w:val="24"/>
          <w:szCs w:val="24"/>
          <w:lang w:eastAsia="sk-SK"/>
        </w:rPr>
      </w:pPr>
    </w:p>
    <w:p w:rsidR="005F34E6" w:rsidRPr="00734702" w:rsidRDefault="005F34E6" w:rsidP="005F34E6">
      <w:pPr>
        <w:pStyle w:val="Zkladntext0"/>
        <w:numPr>
          <w:ilvl w:val="0"/>
          <w:numId w:val="2"/>
        </w:numPr>
        <w:jc w:val="both"/>
        <w:rPr>
          <w:b/>
          <w:bCs/>
          <w:color w:val="auto"/>
          <w:sz w:val="24"/>
          <w:szCs w:val="24"/>
        </w:rPr>
      </w:pPr>
      <w:r w:rsidRPr="00734702">
        <w:rPr>
          <w:b/>
          <w:bCs/>
          <w:color w:val="auto"/>
          <w:sz w:val="24"/>
          <w:szCs w:val="24"/>
        </w:rPr>
        <w:t xml:space="preserve">Predmet návrhu zákona </w:t>
      </w:r>
      <w:r w:rsidRPr="00734702">
        <w:rPr>
          <w:b/>
          <w:color w:val="auto"/>
          <w:sz w:val="24"/>
          <w:szCs w:val="24"/>
        </w:rPr>
        <w:t>je upravený v práve Európskej únie:</w:t>
      </w:r>
    </w:p>
    <w:p w:rsidR="005F34E6" w:rsidRPr="00734702" w:rsidRDefault="005F34E6" w:rsidP="005F34E6">
      <w:pPr>
        <w:pStyle w:val="Zarkazkladnhotextu"/>
        <w:spacing w:before="120"/>
        <w:ind w:left="426"/>
        <w:rPr>
          <w:rFonts w:ascii="Times New Roman" w:hAnsi="Times New Roman"/>
          <w:sz w:val="24"/>
          <w:szCs w:val="24"/>
        </w:rPr>
      </w:pPr>
      <w:r w:rsidRPr="00734702">
        <w:rPr>
          <w:rFonts w:ascii="Times New Roman" w:hAnsi="Times New Roman"/>
          <w:sz w:val="24"/>
          <w:szCs w:val="24"/>
        </w:rPr>
        <w:t>a) Primárne právo:</w:t>
      </w:r>
    </w:p>
    <w:p w:rsidR="005F34E6" w:rsidRPr="00734702" w:rsidRDefault="005F34E6" w:rsidP="005F34E6">
      <w:pPr>
        <w:pStyle w:val="Zarkazkladnhotextu"/>
        <w:numPr>
          <w:ilvl w:val="0"/>
          <w:numId w:val="5"/>
        </w:numPr>
        <w:spacing w:before="120" w:line="240" w:lineRule="auto"/>
        <w:ind w:left="709" w:hanging="283"/>
        <w:jc w:val="both"/>
        <w:rPr>
          <w:rFonts w:ascii="Times New Roman" w:hAnsi="Times New Roman"/>
          <w:sz w:val="24"/>
          <w:szCs w:val="24"/>
        </w:rPr>
      </w:pPr>
      <w:r w:rsidRPr="00734702">
        <w:rPr>
          <w:rFonts w:ascii="Times New Roman" w:hAnsi="Times New Roman"/>
          <w:sz w:val="24"/>
          <w:szCs w:val="24"/>
        </w:rPr>
        <w:t>čl. 91 až 97 a 113 Zmluvy o fungovaní Európskej únie.</w:t>
      </w:r>
    </w:p>
    <w:p w:rsidR="005F34E6" w:rsidRPr="00734702" w:rsidRDefault="005F34E6" w:rsidP="005F34E6">
      <w:pPr>
        <w:spacing w:after="120"/>
        <w:ind w:left="426"/>
        <w:jc w:val="both"/>
        <w:rPr>
          <w:rFonts w:ascii="Times New Roman" w:hAnsi="Times New Roman"/>
          <w:sz w:val="24"/>
          <w:szCs w:val="24"/>
        </w:rPr>
      </w:pPr>
      <w:r w:rsidRPr="00734702">
        <w:rPr>
          <w:rFonts w:ascii="Times New Roman" w:hAnsi="Times New Roman"/>
          <w:sz w:val="24"/>
          <w:szCs w:val="24"/>
        </w:rPr>
        <w:t xml:space="preserve">b) Sekundárne právo: </w:t>
      </w:r>
    </w:p>
    <w:p w:rsidR="005F34E6" w:rsidRPr="00734702" w:rsidRDefault="005F34E6" w:rsidP="005F34E6">
      <w:pPr>
        <w:pStyle w:val="Odsekzoznamu"/>
        <w:numPr>
          <w:ilvl w:val="0"/>
          <w:numId w:val="5"/>
        </w:numPr>
        <w:spacing w:after="120"/>
        <w:ind w:left="709" w:hanging="283"/>
        <w:jc w:val="both"/>
        <w:rPr>
          <w:rFonts w:ascii="Times New Roman" w:hAnsi="Times New Roman"/>
          <w:bCs/>
          <w:iCs/>
          <w:sz w:val="24"/>
          <w:szCs w:val="24"/>
          <w:lang w:eastAsia="cs-CZ"/>
        </w:rPr>
      </w:pPr>
      <w:r w:rsidRPr="00734702">
        <w:rPr>
          <w:rFonts w:ascii="Times New Roman" w:hAnsi="Times New Roman"/>
          <w:sz w:val="24"/>
          <w:szCs w:val="24"/>
        </w:rPr>
        <w:t xml:space="preserve">smernica Európskeho parlamentu a Rady </w:t>
      </w:r>
      <w:r w:rsidRPr="00734702">
        <w:rPr>
          <w:rFonts w:ascii="Times New Roman" w:hAnsi="Times New Roman"/>
          <w:sz w:val="24"/>
          <w:szCs w:val="24"/>
          <w:u w:val="single"/>
        </w:rPr>
        <w:t>1999/62/ES</w:t>
      </w:r>
      <w:r w:rsidRPr="00734702">
        <w:rPr>
          <w:rFonts w:ascii="Times New Roman" w:hAnsi="Times New Roman"/>
          <w:sz w:val="24"/>
          <w:szCs w:val="24"/>
        </w:rPr>
        <w:t xml:space="preserve"> zo 17.júna 1999 o poplatkoch za používanie určitej dopravnej infraštruktúry ťažkými nákladnými vozidlami (</w:t>
      </w:r>
      <w:r w:rsidRPr="00734702">
        <w:rPr>
          <w:rStyle w:val="Zvraznenie"/>
          <w:rFonts w:ascii="Times New Roman" w:hAnsi="Times New Roman"/>
          <w:sz w:val="24"/>
          <w:szCs w:val="24"/>
        </w:rPr>
        <w:t xml:space="preserve">Ú. v. ES L 187, 20.7.1999, </w:t>
      </w:r>
      <w:r w:rsidRPr="00734702">
        <w:rPr>
          <w:rFonts w:ascii="Times New Roman" w:hAnsi="Times New Roman"/>
          <w:sz w:val="24"/>
          <w:szCs w:val="24"/>
        </w:rPr>
        <w:t>Mimoriadne vydanie Ú.v. EÚ kap. 7/zv.4) v platnom znení, gestor: MDV SR,</w:t>
      </w:r>
    </w:p>
    <w:p w:rsidR="005F34E6" w:rsidRPr="00734702" w:rsidRDefault="005F34E6" w:rsidP="005F34E6">
      <w:pPr>
        <w:pStyle w:val="Odsekzoznamu"/>
        <w:numPr>
          <w:ilvl w:val="0"/>
          <w:numId w:val="5"/>
        </w:numPr>
        <w:spacing w:after="120"/>
        <w:ind w:left="709" w:hanging="283"/>
        <w:jc w:val="both"/>
        <w:rPr>
          <w:rStyle w:val="Zvraznenie"/>
          <w:rFonts w:ascii="Times New Roman" w:hAnsi="Times New Roman"/>
          <w:bCs/>
          <w:i w:val="0"/>
          <w:sz w:val="24"/>
          <w:szCs w:val="24"/>
          <w:lang w:eastAsia="cs-CZ"/>
        </w:rPr>
      </w:pPr>
      <w:r w:rsidRPr="00734702">
        <w:rPr>
          <w:rFonts w:ascii="Times New Roman" w:hAnsi="Times New Roman"/>
          <w:sz w:val="24"/>
          <w:szCs w:val="24"/>
        </w:rPr>
        <w:t xml:space="preserve">smernica Rady </w:t>
      </w:r>
      <w:r w:rsidRPr="00734702">
        <w:rPr>
          <w:rFonts w:ascii="Times New Roman" w:hAnsi="Times New Roman"/>
          <w:sz w:val="24"/>
          <w:szCs w:val="24"/>
          <w:u w:val="single"/>
        </w:rPr>
        <w:t>1992/106/EHS</w:t>
      </w:r>
      <w:r w:rsidRPr="00734702">
        <w:rPr>
          <w:rFonts w:ascii="Times New Roman" w:hAnsi="Times New Roman"/>
          <w:sz w:val="24"/>
          <w:szCs w:val="24"/>
        </w:rPr>
        <w:t xml:space="preserve"> zo 7. decembra 1992 o stanovení spoločných pravidiel pre určité typy kombinovanej dopravy tovaru medzi členskými štátmi (</w:t>
      </w:r>
      <w:r w:rsidRPr="00734702">
        <w:rPr>
          <w:rStyle w:val="Zvraznenie"/>
          <w:rFonts w:ascii="Times New Roman" w:hAnsi="Times New Roman"/>
          <w:sz w:val="24"/>
          <w:szCs w:val="24"/>
        </w:rPr>
        <w:t>Ú. v. ES L 368, 17.12.1992) v platnom znení,</w:t>
      </w:r>
      <w:r w:rsidRPr="00734702">
        <w:rPr>
          <w:rFonts w:ascii="Times New Roman" w:hAnsi="Times New Roman"/>
          <w:sz w:val="24"/>
          <w:szCs w:val="24"/>
        </w:rPr>
        <w:t xml:space="preserve"> gestor: MDV SR.</w:t>
      </w:r>
    </w:p>
    <w:p w:rsidR="005F34E6" w:rsidRPr="00734702" w:rsidRDefault="005F34E6" w:rsidP="005F34E6">
      <w:pPr>
        <w:pStyle w:val="Zarkazkladnhotextu"/>
        <w:numPr>
          <w:ilvl w:val="0"/>
          <w:numId w:val="7"/>
        </w:numPr>
        <w:spacing w:before="120" w:after="0" w:line="240" w:lineRule="auto"/>
        <w:jc w:val="both"/>
        <w:rPr>
          <w:rFonts w:ascii="Times New Roman" w:hAnsi="Times New Roman"/>
          <w:sz w:val="24"/>
          <w:szCs w:val="24"/>
        </w:rPr>
      </w:pPr>
      <w:r w:rsidRPr="00734702">
        <w:rPr>
          <w:rFonts w:ascii="Times New Roman" w:hAnsi="Times New Roman"/>
          <w:sz w:val="24"/>
          <w:szCs w:val="24"/>
        </w:rPr>
        <w:t>Judikatúra Súdneho dvora Európskej únie:</w:t>
      </w:r>
    </w:p>
    <w:p w:rsidR="005F34E6" w:rsidRPr="00734702" w:rsidRDefault="005F34E6" w:rsidP="005F34E6">
      <w:pPr>
        <w:pStyle w:val="Zarkazkladnhotextu"/>
        <w:numPr>
          <w:ilvl w:val="0"/>
          <w:numId w:val="9"/>
        </w:numPr>
        <w:spacing w:before="120" w:after="0" w:line="240" w:lineRule="auto"/>
        <w:ind w:left="709" w:hanging="283"/>
        <w:jc w:val="both"/>
        <w:rPr>
          <w:rFonts w:ascii="Times New Roman" w:hAnsi="Times New Roman"/>
          <w:sz w:val="24"/>
          <w:szCs w:val="24"/>
        </w:rPr>
      </w:pPr>
      <w:r w:rsidRPr="00734702">
        <w:rPr>
          <w:rFonts w:ascii="Times New Roman" w:hAnsi="Times New Roman"/>
          <w:sz w:val="24"/>
          <w:szCs w:val="24"/>
        </w:rPr>
        <w:t xml:space="preserve">rozhodnutie Súdneho dvora vo veci C-18/08, </w:t>
      </w:r>
      <w:r w:rsidRPr="00734702">
        <w:rPr>
          <w:rFonts w:ascii="Times New Roman" w:hAnsi="Times New Roman"/>
          <w:bCs/>
          <w:sz w:val="24"/>
          <w:szCs w:val="24"/>
        </w:rPr>
        <w:t>Foselev Sud</w:t>
      </w:r>
      <w:r w:rsidRPr="00734702">
        <w:rPr>
          <w:rFonts w:ascii="Times New Roman" w:hAnsi="Times New Roman"/>
          <w:bCs/>
          <w:sz w:val="24"/>
          <w:szCs w:val="24"/>
        </w:rPr>
        <w:noBreakHyphen/>
        <w:t>Ouest SARL v. Administration des douanes et droits indirects, [2008].</w:t>
      </w:r>
    </w:p>
    <w:p w:rsidR="005F34E6" w:rsidRPr="00734702" w:rsidRDefault="005F34E6" w:rsidP="005F34E6">
      <w:pPr>
        <w:pStyle w:val="Zarkazkladnhotextu"/>
        <w:spacing w:before="120"/>
        <w:ind w:left="709"/>
        <w:rPr>
          <w:rFonts w:ascii="Times New Roman" w:hAnsi="Times New Roman"/>
          <w:bCs/>
          <w:sz w:val="24"/>
          <w:szCs w:val="24"/>
        </w:rPr>
      </w:pPr>
    </w:p>
    <w:p w:rsidR="005F34E6" w:rsidRPr="00734702" w:rsidRDefault="005F34E6" w:rsidP="005F34E6">
      <w:pPr>
        <w:pStyle w:val="Zarkazkladnhotextu"/>
        <w:spacing w:before="120"/>
        <w:ind w:left="709"/>
        <w:rPr>
          <w:rFonts w:ascii="Times New Roman" w:hAnsi="Times New Roman"/>
          <w:bCs/>
          <w:sz w:val="24"/>
          <w:szCs w:val="24"/>
        </w:rPr>
      </w:pPr>
      <w:r w:rsidRPr="00734702">
        <w:rPr>
          <w:rFonts w:ascii="Times New Roman" w:hAnsi="Times New Roman"/>
          <w:bCs/>
          <w:sz w:val="24"/>
          <w:szCs w:val="24"/>
        </w:rPr>
        <w:t>Výrok rozhodnutia:</w:t>
      </w:r>
    </w:p>
    <w:p w:rsidR="005F34E6" w:rsidRPr="00734702" w:rsidRDefault="005F34E6" w:rsidP="005F34E6">
      <w:pPr>
        <w:pStyle w:val="Zarkazkladnhotextu"/>
        <w:spacing w:before="120"/>
        <w:ind w:left="709"/>
        <w:rPr>
          <w:rFonts w:ascii="Times New Roman" w:hAnsi="Times New Roman"/>
          <w:sz w:val="24"/>
          <w:szCs w:val="24"/>
        </w:rPr>
      </w:pPr>
      <w:r w:rsidRPr="00734702">
        <w:rPr>
          <w:rFonts w:ascii="Times New Roman" w:hAnsi="Times New Roman"/>
          <w:bCs/>
          <w:sz w:val="24"/>
          <w:szCs w:val="24"/>
        </w:rPr>
        <w:t>Jednotlivec sa nemôže dovolávať rozhodnutia Komisie 2005/449/ES z 20. júna 2005, ktoré sa týka žiadosti o oslobodenie od dane z motorových vozidiel predloženej Francúzskom podľa článku 6 ods. 2 písm. b) smernice Európskeho parlamentu a Rady 1999/62/ES o poplatkoch za používanie určitej dopravnej infraštruktúry ťažkými nákladnými vozidlami, proti Francúzskej republike, ktorá je adresátom tohto rozhodnutia, na účely získania výhody z oslobodenia od dane povoleného týmto rozhodnutím od jeho oznámenia alebo uverejnenia.</w:t>
      </w:r>
    </w:p>
    <w:p w:rsidR="005F34E6" w:rsidRPr="00734702" w:rsidRDefault="005F34E6" w:rsidP="005F34E6">
      <w:pPr>
        <w:pStyle w:val="Zarkazkladnhotextu"/>
        <w:spacing w:before="120"/>
        <w:ind w:left="757"/>
        <w:rPr>
          <w:rFonts w:ascii="Times New Roman" w:hAnsi="Times New Roman"/>
          <w:sz w:val="24"/>
          <w:szCs w:val="24"/>
        </w:rPr>
      </w:pPr>
    </w:p>
    <w:p w:rsidR="005F34E6" w:rsidRPr="00734702" w:rsidRDefault="005F34E6" w:rsidP="005F34E6">
      <w:pPr>
        <w:numPr>
          <w:ilvl w:val="0"/>
          <w:numId w:val="3"/>
        </w:numPr>
        <w:spacing w:after="120" w:line="240" w:lineRule="auto"/>
        <w:jc w:val="both"/>
        <w:rPr>
          <w:rFonts w:ascii="Times New Roman" w:hAnsi="Times New Roman"/>
          <w:b/>
          <w:bCs/>
          <w:sz w:val="24"/>
          <w:szCs w:val="24"/>
        </w:rPr>
      </w:pPr>
      <w:r w:rsidRPr="00734702">
        <w:rPr>
          <w:rFonts w:ascii="Times New Roman" w:hAnsi="Times New Roman"/>
          <w:b/>
          <w:bCs/>
          <w:sz w:val="24"/>
          <w:szCs w:val="24"/>
        </w:rPr>
        <w:t>Záväzky Slovenskej republiky vo vzťahu k Európskej únii:</w:t>
      </w:r>
    </w:p>
    <w:p w:rsidR="005F34E6" w:rsidRPr="00734702" w:rsidRDefault="005F34E6" w:rsidP="005F34E6">
      <w:pPr>
        <w:numPr>
          <w:ilvl w:val="0"/>
          <w:numId w:val="6"/>
        </w:numPr>
        <w:tabs>
          <w:tab w:val="clear" w:pos="720"/>
          <w:tab w:val="left" w:pos="425"/>
        </w:tabs>
        <w:spacing w:after="120" w:line="240" w:lineRule="auto"/>
        <w:ind w:left="425" w:hanging="425"/>
        <w:jc w:val="both"/>
        <w:rPr>
          <w:rFonts w:ascii="Times New Roman" w:hAnsi="Times New Roman"/>
          <w:sz w:val="24"/>
          <w:szCs w:val="24"/>
          <w:lang w:eastAsia="cs-CZ"/>
        </w:rPr>
      </w:pPr>
      <w:r w:rsidRPr="00734702">
        <w:rPr>
          <w:rFonts w:ascii="Times New Roman" w:hAnsi="Times New Roman"/>
          <w:sz w:val="24"/>
          <w:szCs w:val="24"/>
        </w:rPr>
        <w:t>Lehota na prebratie smernice 1999/62/ES bola stanovená dňom vstupu SR do EÚ, tj. do 1.5.2004</w:t>
      </w:r>
      <w:r w:rsidRPr="00734702">
        <w:rPr>
          <w:rFonts w:ascii="Times New Roman" w:hAnsi="Times New Roman"/>
          <w:sz w:val="24"/>
          <w:szCs w:val="24"/>
          <w:lang w:eastAsia="cs-CZ"/>
        </w:rPr>
        <w:t>.</w:t>
      </w:r>
    </w:p>
    <w:p w:rsidR="005F34E6" w:rsidRPr="00734702" w:rsidRDefault="005F34E6" w:rsidP="005F34E6">
      <w:pPr>
        <w:numPr>
          <w:ilvl w:val="0"/>
          <w:numId w:val="4"/>
        </w:numPr>
        <w:tabs>
          <w:tab w:val="clear" w:pos="360"/>
          <w:tab w:val="num" w:pos="426"/>
          <w:tab w:val="num" w:pos="709"/>
        </w:tabs>
        <w:spacing w:after="120"/>
        <w:ind w:left="426" w:hanging="426"/>
        <w:jc w:val="both"/>
        <w:rPr>
          <w:rFonts w:ascii="Times New Roman" w:hAnsi="Times New Roman"/>
          <w:sz w:val="24"/>
          <w:szCs w:val="24"/>
        </w:rPr>
      </w:pPr>
      <w:r w:rsidRPr="00734702">
        <w:rPr>
          <w:rFonts w:ascii="Times New Roman" w:hAnsi="Times New Roman"/>
          <w:sz w:val="24"/>
          <w:szCs w:val="24"/>
        </w:rPr>
        <w:lastRenderedPageBreak/>
        <w:t>Proti SR nebolo začaté konanie v rámci „EÚ Pilot“, ani nebol začatý postup EK ako aj  nebolo začaté konanie Súdneho dvora EÚ proti SR podľa čl. 258 až 260 Zmluvy o fungovaní Európskej únie.</w:t>
      </w:r>
    </w:p>
    <w:p w:rsidR="005F34E6" w:rsidRPr="00734702" w:rsidRDefault="005F34E6" w:rsidP="005F34E6">
      <w:pPr>
        <w:numPr>
          <w:ilvl w:val="0"/>
          <w:numId w:val="8"/>
        </w:numPr>
        <w:tabs>
          <w:tab w:val="clear" w:pos="720"/>
        </w:tabs>
        <w:spacing w:after="240" w:line="240" w:lineRule="auto"/>
        <w:ind w:left="426" w:hanging="426"/>
        <w:jc w:val="both"/>
        <w:rPr>
          <w:rStyle w:val="Zstupntext"/>
          <w:sz w:val="24"/>
          <w:szCs w:val="24"/>
          <w:lang w:eastAsia="cs-CZ"/>
        </w:rPr>
      </w:pPr>
      <w:r w:rsidRPr="00734702">
        <w:rPr>
          <w:rFonts w:ascii="Times New Roman" w:hAnsi="Times New Roman"/>
          <w:sz w:val="24"/>
          <w:szCs w:val="24"/>
        </w:rPr>
        <w:t>Smernica 1999/62/ES bola úplne prebratá do zákona č. 488/2013 Z. z. o diaľničnej známke a o zmene niektorých zákonov v znení neskorších predpisov, do zákona  č. 474/2013 Z. z. o výbere mýta za užívanie vymedzených úsekov pozemných komunikácií a o zmene a doplnení niektorých zákonov v znení neskorších predpisov, do zákona č. 361/2014 Z. z. o dani z motorových vozidiel a o zmene a doplnení niektorých zákonov v znení neskorších predpisov a do zákona č. 135/1961 Zb. o pozemných komunikáciách (cestný zákon) v znení neskorších predpisov</w:t>
      </w:r>
      <w:r w:rsidRPr="00734702">
        <w:rPr>
          <w:rStyle w:val="Zstupntext"/>
          <w:color w:val="000000"/>
          <w:sz w:val="24"/>
          <w:szCs w:val="24"/>
        </w:rPr>
        <w:t>.</w:t>
      </w:r>
    </w:p>
    <w:p w:rsidR="005F34E6" w:rsidRPr="00734702" w:rsidRDefault="005F34E6" w:rsidP="005F34E6">
      <w:pPr>
        <w:numPr>
          <w:ilvl w:val="0"/>
          <w:numId w:val="3"/>
        </w:numPr>
        <w:tabs>
          <w:tab w:val="num" w:pos="426"/>
          <w:tab w:val="num" w:pos="709"/>
        </w:tabs>
        <w:spacing w:after="120" w:line="240" w:lineRule="auto"/>
        <w:jc w:val="both"/>
        <w:rPr>
          <w:rFonts w:ascii="Times New Roman" w:hAnsi="Times New Roman"/>
          <w:b/>
          <w:bCs/>
          <w:sz w:val="24"/>
          <w:szCs w:val="24"/>
        </w:rPr>
      </w:pPr>
      <w:r w:rsidRPr="00734702">
        <w:rPr>
          <w:rFonts w:ascii="Times New Roman" w:hAnsi="Times New Roman"/>
          <w:b/>
          <w:bCs/>
          <w:sz w:val="24"/>
          <w:szCs w:val="24"/>
        </w:rPr>
        <w:t>Návrh zákona je zlučiteľný s právom Európskej únie:</w:t>
      </w:r>
    </w:p>
    <w:p w:rsidR="005F34E6" w:rsidRPr="00734702" w:rsidRDefault="005F34E6" w:rsidP="005F34E6">
      <w:pPr>
        <w:spacing w:after="120"/>
        <w:ind w:left="360"/>
        <w:jc w:val="both"/>
        <w:rPr>
          <w:rFonts w:ascii="Times New Roman" w:hAnsi="Times New Roman"/>
          <w:sz w:val="24"/>
          <w:szCs w:val="24"/>
        </w:rPr>
      </w:pPr>
      <w:r w:rsidRPr="00734702">
        <w:rPr>
          <w:rFonts w:ascii="Times New Roman" w:hAnsi="Times New Roman"/>
          <w:sz w:val="24"/>
          <w:szCs w:val="24"/>
        </w:rPr>
        <w:t xml:space="preserve"> Úplne.</w:t>
      </w: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734702" w:rsidRDefault="00734702" w:rsidP="005F34E6">
      <w:pPr>
        <w:ind w:left="708" w:hanging="708"/>
        <w:rPr>
          <w:rFonts w:ascii="Times New Roman" w:hAnsi="Times New Roman"/>
          <w:b/>
          <w:bCs/>
          <w:sz w:val="24"/>
          <w:szCs w:val="24"/>
          <w:u w:val="single"/>
          <w:lang w:eastAsia="sk-SK"/>
        </w:rPr>
      </w:pPr>
    </w:p>
    <w:p w:rsidR="005F34E6" w:rsidRPr="00847FC6" w:rsidRDefault="005F34E6" w:rsidP="005F34E6">
      <w:pPr>
        <w:ind w:left="708" w:hanging="708"/>
        <w:rPr>
          <w:rFonts w:ascii="Times New Roman" w:hAnsi="Times New Roman"/>
          <w:b/>
          <w:bCs/>
          <w:sz w:val="24"/>
          <w:szCs w:val="24"/>
          <w:u w:val="single"/>
          <w:lang w:eastAsia="sk-SK"/>
        </w:rPr>
      </w:pPr>
      <w:r w:rsidRPr="00847FC6">
        <w:rPr>
          <w:rFonts w:ascii="Times New Roman" w:hAnsi="Times New Roman"/>
          <w:b/>
          <w:bCs/>
          <w:sz w:val="24"/>
          <w:szCs w:val="24"/>
          <w:u w:val="single"/>
          <w:lang w:eastAsia="sk-SK"/>
        </w:rPr>
        <w:lastRenderedPageBreak/>
        <w:t>Osobitná časť</w:t>
      </w:r>
    </w:p>
    <w:p w:rsidR="005F34E6" w:rsidRPr="00847FC6" w:rsidRDefault="005F34E6" w:rsidP="005F34E6">
      <w:pPr>
        <w:rPr>
          <w:rFonts w:ascii="Times New Roman" w:hAnsi="Times New Roman"/>
          <w:sz w:val="24"/>
          <w:szCs w:val="24"/>
        </w:rPr>
      </w:pPr>
    </w:p>
    <w:p w:rsidR="005F34E6" w:rsidRPr="00734702" w:rsidRDefault="005F34E6" w:rsidP="00734702">
      <w:pPr>
        <w:keepNext/>
        <w:outlineLvl w:val="0"/>
        <w:rPr>
          <w:rFonts w:ascii="Times New Roman" w:hAnsi="Times New Roman"/>
          <w:b/>
          <w:bCs/>
          <w:sz w:val="24"/>
          <w:szCs w:val="24"/>
          <w:lang w:eastAsia="sk-SK"/>
        </w:rPr>
      </w:pPr>
      <w:r w:rsidRPr="00847FC6">
        <w:rPr>
          <w:rFonts w:ascii="Times New Roman" w:hAnsi="Times New Roman"/>
          <w:b/>
          <w:bCs/>
          <w:sz w:val="24"/>
          <w:szCs w:val="24"/>
          <w:lang w:eastAsia="sk-SK"/>
        </w:rPr>
        <w:t>K článku I</w:t>
      </w:r>
    </w:p>
    <w:p w:rsidR="005F34E6" w:rsidRPr="003610AD" w:rsidRDefault="005F34E6" w:rsidP="00734702">
      <w:pPr>
        <w:spacing w:after="0" w:line="240" w:lineRule="auto"/>
        <w:rPr>
          <w:rFonts w:ascii="Times New Roman" w:hAnsi="Times New Roman"/>
          <w:b/>
          <w:sz w:val="24"/>
          <w:szCs w:val="24"/>
        </w:rPr>
      </w:pPr>
      <w:r>
        <w:rPr>
          <w:rFonts w:ascii="Times New Roman" w:hAnsi="Times New Roman"/>
          <w:b/>
          <w:sz w:val="24"/>
          <w:szCs w:val="24"/>
        </w:rPr>
        <w:t>K bodu 1</w:t>
      </w:r>
    </w:p>
    <w:p w:rsidR="00734702" w:rsidRDefault="005F34E6" w:rsidP="00734702">
      <w:pPr>
        <w:spacing w:after="0" w:line="240" w:lineRule="auto"/>
        <w:jc w:val="both"/>
        <w:rPr>
          <w:rFonts w:ascii="Times New Roman" w:hAnsi="Times New Roman"/>
          <w:sz w:val="24"/>
          <w:szCs w:val="24"/>
        </w:rPr>
      </w:pPr>
      <w:r w:rsidRPr="00F22BDB">
        <w:rPr>
          <w:rFonts w:ascii="Times New Roman" w:hAnsi="Times New Roman"/>
          <w:sz w:val="24"/>
          <w:szCs w:val="24"/>
        </w:rPr>
        <w:t xml:space="preserve">Z dôvodu odstránenia tvrdosti zákona sa navrhuje zrušiť špeciálne posúdenie používania </w:t>
      </w:r>
      <w:r>
        <w:rPr>
          <w:rFonts w:ascii="Times New Roman" w:hAnsi="Times New Roman"/>
          <w:sz w:val="24"/>
          <w:szCs w:val="24"/>
        </w:rPr>
        <w:t>úžitkových vozidiel, ktorými sú</w:t>
      </w:r>
      <w:r w:rsidRPr="00F22BDB">
        <w:rPr>
          <w:rFonts w:ascii="Times New Roman" w:hAnsi="Times New Roman"/>
          <w:sz w:val="24"/>
          <w:szCs w:val="24"/>
        </w:rPr>
        <w:t xml:space="preserve"> ťahač a osobitne náves</w:t>
      </w:r>
      <w:r>
        <w:rPr>
          <w:rFonts w:ascii="Times New Roman" w:hAnsi="Times New Roman"/>
          <w:sz w:val="24"/>
          <w:szCs w:val="24"/>
        </w:rPr>
        <w:t>,</w:t>
      </w:r>
      <w:r w:rsidRPr="00F22BDB">
        <w:rPr>
          <w:rFonts w:ascii="Times New Roman" w:hAnsi="Times New Roman"/>
          <w:sz w:val="24"/>
          <w:szCs w:val="24"/>
        </w:rPr>
        <w:t xml:space="preserve"> </w:t>
      </w:r>
      <w:r>
        <w:rPr>
          <w:rFonts w:ascii="Times New Roman" w:hAnsi="Times New Roman"/>
          <w:sz w:val="24"/>
          <w:szCs w:val="24"/>
        </w:rPr>
        <w:t xml:space="preserve">nutne </w:t>
      </w:r>
      <w:r w:rsidRPr="00F22BDB">
        <w:rPr>
          <w:rFonts w:ascii="Times New Roman" w:hAnsi="Times New Roman"/>
          <w:sz w:val="24"/>
          <w:szCs w:val="24"/>
        </w:rPr>
        <w:t>v jednej návesovej jazdnej súprave.</w:t>
      </w:r>
      <w:r>
        <w:rPr>
          <w:rFonts w:ascii="Times New Roman" w:hAnsi="Times New Roman"/>
          <w:sz w:val="24"/>
          <w:szCs w:val="24"/>
        </w:rPr>
        <w:t xml:space="preserve"> Súčasne sa</w:t>
      </w:r>
      <w:r w:rsidRPr="00F22BDB">
        <w:rPr>
          <w:rFonts w:ascii="Times New Roman" w:hAnsi="Times New Roman"/>
          <w:sz w:val="24"/>
          <w:szCs w:val="24"/>
        </w:rPr>
        <w:t xml:space="preserve"> </w:t>
      </w:r>
      <w:r>
        <w:rPr>
          <w:rFonts w:ascii="Times New Roman" w:hAnsi="Times New Roman"/>
          <w:sz w:val="24"/>
          <w:szCs w:val="24"/>
        </w:rPr>
        <w:t>n</w:t>
      </w:r>
      <w:r w:rsidRPr="00F22BDB">
        <w:rPr>
          <w:rFonts w:ascii="Times New Roman" w:hAnsi="Times New Roman"/>
          <w:sz w:val="24"/>
          <w:szCs w:val="24"/>
        </w:rPr>
        <w:t xml:space="preserve">avrhuje </w:t>
      </w:r>
      <w:r>
        <w:rPr>
          <w:rFonts w:ascii="Times New Roman" w:hAnsi="Times New Roman"/>
          <w:sz w:val="24"/>
          <w:szCs w:val="24"/>
        </w:rPr>
        <w:t xml:space="preserve">pre tieto vozidlá, bez ohľadu či vytvárajú návesovú jazdnú súpravu, </w:t>
      </w:r>
      <w:r w:rsidRPr="00F22BDB">
        <w:rPr>
          <w:rFonts w:ascii="Times New Roman" w:hAnsi="Times New Roman"/>
          <w:sz w:val="24"/>
          <w:szCs w:val="24"/>
        </w:rPr>
        <w:t>prirad</w:t>
      </w:r>
      <w:r>
        <w:rPr>
          <w:rFonts w:ascii="Times New Roman" w:hAnsi="Times New Roman"/>
          <w:sz w:val="24"/>
          <w:szCs w:val="24"/>
        </w:rPr>
        <w:t>enie takých</w:t>
      </w:r>
      <w:r w:rsidRPr="00F22BDB">
        <w:rPr>
          <w:rFonts w:ascii="Times New Roman" w:hAnsi="Times New Roman"/>
          <w:sz w:val="24"/>
          <w:szCs w:val="24"/>
        </w:rPr>
        <w:t xml:space="preserve"> ročn</w:t>
      </w:r>
      <w:r>
        <w:rPr>
          <w:rFonts w:ascii="Times New Roman" w:hAnsi="Times New Roman"/>
          <w:sz w:val="24"/>
          <w:szCs w:val="24"/>
        </w:rPr>
        <w:t>ých</w:t>
      </w:r>
      <w:r w:rsidRPr="00F22BDB">
        <w:rPr>
          <w:rFonts w:ascii="Times New Roman" w:hAnsi="Times New Roman"/>
          <w:sz w:val="24"/>
          <w:szCs w:val="24"/>
        </w:rPr>
        <w:t xml:space="preserve"> sadz</w:t>
      </w:r>
      <w:r>
        <w:rPr>
          <w:rFonts w:ascii="Times New Roman" w:hAnsi="Times New Roman"/>
          <w:sz w:val="24"/>
          <w:szCs w:val="24"/>
        </w:rPr>
        <w:t>ie</w:t>
      </w:r>
      <w:r w:rsidRPr="00F22BDB">
        <w:rPr>
          <w:rFonts w:ascii="Times New Roman" w:hAnsi="Times New Roman"/>
          <w:sz w:val="24"/>
          <w:szCs w:val="24"/>
        </w:rPr>
        <w:t>b dane</w:t>
      </w:r>
      <w:r>
        <w:rPr>
          <w:rFonts w:ascii="Times New Roman" w:hAnsi="Times New Roman"/>
          <w:sz w:val="24"/>
          <w:szCs w:val="24"/>
        </w:rPr>
        <w:t xml:space="preserve"> podľa celkovej hmotnosti vozidla alebo najvyššej prípustnej celkovej hmotnosti v tonách, ktoré sú na tento účel ustanovené v novej samostatnej prílohe č. 1a zákona.</w:t>
      </w:r>
    </w:p>
    <w:p w:rsidR="00734702" w:rsidRPr="00734702" w:rsidRDefault="00734702" w:rsidP="00734702">
      <w:pPr>
        <w:spacing w:after="0" w:line="240" w:lineRule="auto"/>
        <w:jc w:val="both"/>
        <w:rPr>
          <w:rFonts w:ascii="Times New Roman" w:hAnsi="Times New Roman"/>
          <w:sz w:val="24"/>
          <w:szCs w:val="24"/>
        </w:rPr>
      </w:pPr>
    </w:p>
    <w:p w:rsidR="005F34E6" w:rsidRDefault="005F34E6" w:rsidP="00734702">
      <w:pPr>
        <w:spacing w:after="0" w:line="240" w:lineRule="auto"/>
        <w:rPr>
          <w:rFonts w:ascii="Times New Roman" w:hAnsi="Times New Roman"/>
          <w:b/>
          <w:sz w:val="24"/>
          <w:szCs w:val="24"/>
        </w:rPr>
      </w:pPr>
      <w:r w:rsidRPr="003610AD">
        <w:rPr>
          <w:rFonts w:ascii="Times New Roman" w:hAnsi="Times New Roman"/>
          <w:b/>
          <w:sz w:val="24"/>
          <w:szCs w:val="24"/>
        </w:rPr>
        <w:t>K bod</w:t>
      </w:r>
      <w:r>
        <w:rPr>
          <w:rFonts w:ascii="Times New Roman" w:hAnsi="Times New Roman"/>
          <w:b/>
          <w:sz w:val="24"/>
          <w:szCs w:val="24"/>
        </w:rPr>
        <w:t>u</w:t>
      </w:r>
      <w:r w:rsidRPr="003610AD">
        <w:rPr>
          <w:rFonts w:ascii="Times New Roman" w:hAnsi="Times New Roman"/>
          <w:b/>
          <w:sz w:val="24"/>
          <w:szCs w:val="24"/>
        </w:rPr>
        <w:t xml:space="preserve"> </w:t>
      </w:r>
      <w:r>
        <w:rPr>
          <w:rFonts w:ascii="Times New Roman" w:hAnsi="Times New Roman"/>
          <w:b/>
          <w:sz w:val="24"/>
          <w:szCs w:val="24"/>
        </w:rPr>
        <w:t>2</w:t>
      </w:r>
    </w:p>
    <w:p w:rsidR="005F34E6" w:rsidRDefault="005F34E6" w:rsidP="00734702">
      <w:pPr>
        <w:spacing w:after="0" w:line="240" w:lineRule="auto"/>
        <w:jc w:val="both"/>
        <w:rPr>
          <w:rFonts w:ascii="Times New Roman" w:hAnsi="Times New Roman"/>
          <w:sz w:val="24"/>
          <w:szCs w:val="24"/>
        </w:rPr>
      </w:pPr>
      <w:r w:rsidRPr="00CB507F">
        <w:rPr>
          <w:rFonts w:ascii="Times New Roman" w:hAnsi="Times New Roman"/>
          <w:sz w:val="24"/>
          <w:szCs w:val="24"/>
        </w:rPr>
        <w:t xml:space="preserve">Navrhuje sa </w:t>
      </w:r>
      <w:r>
        <w:rPr>
          <w:rFonts w:ascii="Times New Roman" w:hAnsi="Times New Roman"/>
          <w:sz w:val="24"/>
          <w:szCs w:val="24"/>
        </w:rPr>
        <w:t xml:space="preserve">prijatie úprav ročných sadzieb daní v závislosti od veku vozidla v členení podľa vymenovaných kategórii vozidiel. Samostatne sa navrhuje úprava ročných sadzieb daní pre vozidlá kategórie L, M1, N1, N2, O1 až O3, pre kategórie vozidiel M2, M3, N3 a samostatne aj pre kategórie O4. </w:t>
      </w:r>
    </w:p>
    <w:p w:rsidR="005F34E6" w:rsidRDefault="005F34E6" w:rsidP="00734702">
      <w:pPr>
        <w:spacing w:after="0" w:line="240" w:lineRule="auto"/>
        <w:jc w:val="both"/>
        <w:rPr>
          <w:rFonts w:ascii="Times New Roman" w:hAnsi="Times New Roman"/>
          <w:sz w:val="24"/>
          <w:szCs w:val="24"/>
        </w:rPr>
      </w:pPr>
      <w:r>
        <w:rPr>
          <w:rFonts w:ascii="Times New Roman" w:hAnsi="Times New Roman"/>
          <w:sz w:val="24"/>
          <w:szCs w:val="24"/>
        </w:rPr>
        <w:t>Úprava ročných sadzieb dane pre vozidlá kategórie L, M1, N1, N2, O1 až O3 sa zachováva na rovnakej úrovni, t. j. znižovaním ročnej sadzby dane počas 108 kalendárnych mesiacov veku vozidla postupne po 36 kalendárnych mesiacoch a to o 25%, 20% a 15%. Následne sa počas nasledujúcich 36 kalendárnych mesiacov uplatní ročná sadzba dane na tej úrovni ako je uvedená v prílohách č. 1 a č. 1a, t. j. od 109 kalendárnych mesiacov do 144 kalendárnych mesiacov. Po uplynutí 144 kalendárnych mesiacov po dobu 12 kalendárnych mesiacov (až do 156 kalendárnych mesiacov) sa ročná sadzba dane zvýši o 10% a po uplynutí času 156 kalendárnych mesiacov sa bude na neurčito uplatňovať zvýšená  ročná sadzba dane o 20%.</w:t>
      </w:r>
    </w:p>
    <w:p w:rsidR="005F34E6" w:rsidRDefault="005F34E6" w:rsidP="00734702">
      <w:pPr>
        <w:spacing w:after="0" w:line="240" w:lineRule="auto"/>
        <w:jc w:val="both"/>
        <w:rPr>
          <w:rFonts w:ascii="Times New Roman" w:hAnsi="Times New Roman"/>
          <w:sz w:val="24"/>
          <w:szCs w:val="24"/>
        </w:rPr>
      </w:pPr>
      <w:r>
        <w:rPr>
          <w:rFonts w:ascii="Times New Roman" w:hAnsi="Times New Roman"/>
          <w:sz w:val="24"/>
          <w:szCs w:val="24"/>
        </w:rPr>
        <w:t>Úprava ročných sadzieb daní pre kategórie vozidiel M2, M3 a N3 je nastavená na zvýhodnenie ročných sadzieb daní v rozsahu od 50% do 10% v trvaní 156 kalendárnych mesiacov počnúc mesiacom prvej evidencie vozidla (t. j. do 13 rokov veku vozidla). Konkrétne, počas prvých 36 kalendárnych mesiacov veku vozidla sa navrhuje uplatniť zníženie ročnej sadzby dane o 50%, po uplynutí ďalších 36 kalendárnych mesiacov (teda po dobu od 37 kalendárnych mesiacov do 72 kalendárnych mesiacov vrátane) sa navrhuje zníženie ročnej sadzby dane o 40%, a po uplynutí ďalších 36 kalendárnych mesiacov (teda po dobu od 73 do 108 kalendárnych mesiacov vrátane) sa navrhuje zníženie ročnej sadzby dane o 30%. Po uplynutí 108 kalendárnych mesiacov sa počas nasledujúcich 36 kalendárnych mesiacov (109 kalendárnych mesiacov až do 144 kalendárnych mesiacov vrátane) ročná sadzba dane zníži o 20%. Posledným znížením ročnej sadzby dane je zníženie o 10% počas 12 kalendárnych mesiacov, t. j. počas doby od 144 kalendárnych mesiacov veku vozidla do 156 kalendárnych mesiacov vrátane. Akonáhle uplynutie 156 kalendárnych mesiacov veku vozidla, navrhuje sa pre vozidlo kategórie M2, M3 a N3 uplatňovať ročnú sadzbu dane takú, aká je uvedená v príslušnej prílohe č. 1 alebo prílohe č. 1a k zákonu na neurčito.</w:t>
      </w:r>
    </w:p>
    <w:p w:rsidR="005F34E6" w:rsidRPr="0073595E" w:rsidRDefault="005F34E6" w:rsidP="00734702">
      <w:pPr>
        <w:spacing w:after="0" w:line="240" w:lineRule="auto"/>
        <w:rPr>
          <w:rFonts w:ascii="Times New Roman" w:hAnsi="Times New Roman"/>
          <w:sz w:val="24"/>
          <w:szCs w:val="24"/>
        </w:rPr>
      </w:pPr>
      <w:r>
        <w:rPr>
          <w:rFonts w:ascii="Times New Roman" w:hAnsi="Times New Roman"/>
          <w:sz w:val="24"/>
          <w:szCs w:val="24"/>
        </w:rPr>
        <w:t xml:space="preserve">Pre kategóriu O4 sa navrhuje zaviesť jednotnú úpravu a to zníženie o 60% vždy bez ohľadu na vek vozidla. </w:t>
      </w:r>
    </w:p>
    <w:p w:rsidR="00734702" w:rsidRDefault="00734702" w:rsidP="00734702">
      <w:pPr>
        <w:spacing w:after="0" w:line="240" w:lineRule="auto"/>
        <w:rPr>
          <w:rFonts w:ascii="Times New Roman" w:hAnsi="Times New Roman"/>
          <w:b/>
          <w:sz w:val="24"/>
          <w:szCs w:val="24"/>
        </w:rPr>
      </w:pPr>
    </w:p>
    <w:p w:rsidR="005F34E6" w:rsidRDefault="005F34E6" w:rsidP="00734702">
      <w:pPr>
        <w:spacing w:after="0" w:line="240" w:lineRule="auto"/>
        <w:rPr>
          <w:rFonts w:ascii="Times New Roman" w:hAnsi="Times New Roman"/>
          <w:b/>
          <w:sz w:val="24"/>
          <w:szCs w:val="24"/>
        </w:rPr>
      </w:pPr>
      <w:r>
        <w:rPr>
          <w:rFonts w:ascii="Times New Roman" w:hAnsi="Times New Roman"/>
          <w:b/>
          <w:sz w:val="24"/>
          <w:szCs w:val="24"/>
        </w:rPr>
        <w:t>K bodom 3 a 4</w:t>
      </w:r>
    </w:p>
    <w:p w:rsidR="005F34E6" w:rsidRPr="00854EC8" w:rsidRDefault="005F34E6" w:rsidP="00734702">
      <w:pPr>
        <w:spacing w:after="0" w:line="240" w:lineRule="auto"/>
        <w:jc w:val="both"/>
        <w:rPr>
          <w:rFonts w:ascii="Times New Roman" w:hAnsi="Times New Roman"/>
          <w:sz w:val="24"/>
          <w:szCs w:val="24"/>
        </w:rPr>
      </w:pPr>
      <w:r w:rsidRPr="00854EC8">
        <w:rPr>
          <w:rFonts w:ascii="Times New Roman" w:hAnsi="Times New Roman"/>
          <w:sz w:val="24"/>
          <w:szCs w:val="24"/>
        </w:rPr>
        <w:t xml:space="preserve">Ide o legislatívno-technické úpravy súvisiace s navrhovanou úpravou zákona. </w:t>
      </w:r>
    </w:p>
    <w:p w:rsidR="005F34E6" w:rsidRDefault="005F34E6" w:rsidP="00734702">
      <w:pPr>
        <w:spacing w:after="0" w:line="240" w:lineRule="auto"/>
        <w:jc w:val="both"/>
        <w:rPr>
          <w:rFonts w:ascii="Times New Roman" w:hAnsi="Times New Roman"/>
          <w:b/>
          <w:sz w:val="24"/>
          <w:szCs w:val="24"/>
        </w:rPr>
      </w:pPr>
    </w:p>
    <w:p w:rsidR="00734702" w:rsidRDefault="00734702" w:rsidP="00734702">
      <w:pPr>
        <w:spacing w:after="0" w:line="240" w:lineRule="auto"/>
        <w:jc w:val="both"/>
        <w:rPr>
          <w:rFonts w:ascii="Times New Roman" w:hAnsi="Times New Roman"/>
          <w:b/>
          <w:sz w:val="24"/>
          <w:szCs w:val="24"/>
        </w:rPr>
      </w:pPr>
    </w:p>
    <w:p w:rsidR="00734702" w:rsidRDefault="00734702" w:rsidP="00734702">
      <w:pPr>
        <w:spacing w:after="0" w:line="240" w:lineRule="auto"/>
        <w:jc w:val="both"/>
        <w:rPr>
          <w:rFonts w:ascii="Times New Roman" w:hAnsi="Times New Roman"/>
          <w:b/>
          <w:sz w:val="24"/>
          <w:szCs w:val="24"/>
        </w:rPr>
      </w:pPr>
    </w:p>
    <w:p w:rsidR="00734702" w:rsidRDefault="00734702" w:rsidP="00734702">
      <w:pPr>
        <w:spacing w:after="0" w:line="240" w:lineRule="auto"/>
        <w:jc w:val="both"/>
        <w:rPr>
          <w:rFonts w:ascii="Times New Roman" w:hAnsi="Times New Roman"/>
          <w:b/>
          <w:sz w:val="24"/>
          <w:szCs w:val="24"/>
        </w:rPr>
      </w:pPr>
    </w:p>
    <w:p w:rsidR="005F34E6" w:rsidRPr="003610AD" w:rsidRDefault="005F34E6" w:rsidP="00734702">
      <w:pPr>
        <w:spacing w:after="0" w:line="240" w:lineRule="auto"/>
        <w:jc w:val="both"/>
        <w:rPr>
          <w:rFonts w:ascii="Times New Roman" w:hAnsi="Times New Roman"/>
          <w:b/>
          <w:sz w:val="24"/>
          <w:szCs w:val="24"/>
        </w:rPr>
      </w:pPr>
      <w:r>
        <w:rPr>
          <w:rFonts w:ascii="Times New Roman" w:hAnsi="Times New Roman"/>
          <w:b/>
          <w:sz w:val="24"/>
          <w:szCs w:val="24"/>
        </w:rPr>
        <w:lastRenderedPageBreak/>
        <w:t>K bodu 5</w:t>
      </w:r>
    </w:p>
    <w:p w:rsidR="005F34E6" w:rsidRDefault="005F34E6" w:rsidP="00734702">
      <w:pPr>
        <w:spacing w:after="0" w:line="240" w:lineRule="auto"/>
        <w:jc w:val="both"/>
        <w:rPr>
          <w:rFonts w:ascii="Times New Roman" w:hAnsi="Times New Roman"/>
          <w:sz w:val="24"/>
          <w:szCs w:val="24"/>
        </w:rPr>
      </w:pPr>
      <w:r w:rsidRPr="00120D5E">
        <w:rPr>
          <w:rFonts w:ascii="Times New Roman" w:hAnsi="Times New Roman"/>
          <w:sz w:val="24"/>
          <w:szCs w:val="24"/>
        </w:rPr>
        <w:t xml:space="preserve">Navrhuje sa prijať prechodné ustanovenie s ohľadom </w:t>
      </w:r>
      <w:r>
        <w:rPr>
          <w:rFonts w:ascii="Times New Roman" w:hAnsi="Times New Roman"/>
          <w:sz w:val="24"/>
          <w:szCs w:val="24"/>
        </w:rPr>
        <w:t>na prijatie novej samostatnej prílohy č. 1a s ročnými sadzbami dane výlučne určenými pre vozidlá ťahače a návesy tak, aby sa tieto nové</w:t>
      </w:r>
      <w:r w:rsidRPr="00854EC8">
        <w:rPr>
          <w:rFonts w:ascii="Times New Roman" w:hAnsi="Times New Roman"/>
          <w:sz w:val="24"/>
          <w:szCs w:val="24"/>
        </w:rPr>
        <w:t xml:space="preserve"> </w:t>
      </w:r>
      <w:r>
        <w:rPr>
          <w:rFonts w:ascii="Times New Roman" w:hAnsi="Times New Roman"/>
          <w:sz w:val="24"/>
          <w:szCs w:val="24"/>
        </w:rPr>
        <w:t>ročné sadzby dane uplatnili už na zdaňovacie obdobie roku 2020.</w:t>
      </w:r>
    </w:p>
    <w:p w:rsidR="005F34E6" w:rsidRPr="006334C3" w:rsidRDefault="005F34E6" w:rsidP="0073470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Navrhuje sa tiež, aby ak má daňovník podať daňové priznanie počas roka 2020 po nadobudnutí účinnosti tohto zákona, aby ho podal na novom tlačive daňového priznania</w:t>
      </w:r>
      <w:r w:rsidRPr="001508ED">
        <w:rPr>
          <w:rFonts w:ascii="Times New Roman" w:hAnsi="Times New Roman"/>
          <w:color w:val="000000" w:themeColor="text1"/>
          <w:sz w:val="24"/>
          <w:szCs w:val="24"/>
        </w:rPr>
        <w:t xml:space="preserve">, </w:t>
      </w:r>
      <w:r>
        <w:rPr>
          <w:rFonts w:ascii="Times New Roman" w:hAnsi="Times New Roman"/>
          <w:color w:val="000000" w:themeColor="text1"/>
          <w:sz w:val="24"/>
          <w:szCs w:val="24"/>
        </w:rPr>
        <w:t>ktorého vzor uverejní</w:t>
      </w:r>
      <w:r w:rsidRPr="001508ED">
        <w:rPr>
          <w:rFonts w:ascii="Times New Roman" w:hAnsi="Times New Roman"/>
          <w:color w:val="000000" w:themeColor="text1"/>
          <w:sz w:val="24"/>
          <w:szCs w:val="24"/>
        </w:rPr>
        <w:t xml:space="preserve"> M</w:t>
      </w:r>
      <w:r>
        <w:rPr>
          <w:rFonts w:ascii="Times New Roman" w:hAnsi="Times New Roman"/>
          <w:color w:val="000000" w:themeColor="text1"/>
          <w:sz w:val="24"/>
          <w:szCs w:val="24"/>
        </w:rPr>
        <w:t>inisterstvo financií Slovenskej republiky</w:t>
      </w:r>
      <w:r w:rsidRPr="001508ED">
        <w:rPr>
          <w:rFonts w:ascii="Times New Roman" w:hAnsi="Times New Roman"/>
          <w:color w:val="000000" w:themeColor="text1"/>
          <w:sz w:val="24"/>
          <w:szCs w:val="24"/>
        </w:rPr>
        <w:t xml:space="preserve"> na </w:t>
      </w:r>
      <w:r>
        <w:rPr>
          <w:rFonts w:ascii="Times New Roman" w:hAnsi="Times New Roman"/>
          <w:color w:val="000000" w:themeColor="text1"/>
          <w:sz w:val="24"/>
          <w:szCs w:val="24"/>
        </w:rPr>
        <w:t xml:space="preserve">svojom webovom sídle. Lehota na podanie daňového priznania pre daňovníka, ktorý má povinnosť podať daňové priznanie počas roka z dôvodu vzniku skutočnosti podmieňujúcej iné ako ročné zdaňovacie obdobie (zrušenie daňovníka bez likvidácie, vyhlásenie konkurzu na majetok daňovníka, zrušenie daňovníka s likvidáciou, ukončenie podnikania, prerušenie podnikania alebo úmrtie daňovníka) sa predlžuje najneskôr </w:t>
      </w:r>
      <w:r w:rsidRPr="006334C3">
        <w:rPr>
          <w:rFonts w:ascii="Times New Roman" w:hAnsi="Times New Roman"/>
          <w:color w:val="000000" w:themeColor="text1"/>
          <w:sz w:val="24"/>
          <w:szCs w:val="24"/>
        </w:rPr>
        <w:t>do 31. januára 2021</w:t>
      </w:r>
      <w:r>
        <w:rPr>
          <w:rFonts w:ascii="Times New Roman" w:hAnsi="Times New Roman"/>
          <w:color w:val="000000" w:themeColor="text1"/>
          <w:sz w:val="24"/>
          <w:szCs w:val="24"/>
        </w:rPr>
        <w:t>.</w:t>
      </w:r>
      <w:r w:rsidRPr="001508ED">
        <w:rPr>
          <w:rFonts w:ascii="Times New Roman" w:hAnsi="Times New Roman"/>
          <w:color w:val="000000" w:themeColor="text1"/>
          <w:sz w:val="24"/>
          <w:szCs w:val="24"/>
        </w:rPr>
        <w:t xml:space="preserve"> </w:t>
      </w:r>
    </w:p>
    <w:p w:rsidR="005F34E6" w:rsidRDefault="005F34E6" w:rsidP="00734702">
      <w:pPr>
        <w:spacing w:after="0" w:line="240" w:lineRule="auto"/>
        <w:rPr>
          <w:rFonts w:ascii="Times New Roman" w:hAnsi="Times New Roman"/>
          <w:sz w:val="24"/>
          <w:szCs w:val="24"/>
        </w:rPr>
      </w:pPr>
    </w:p>
    <w:p w:rsidR="005F34E6" w:rsidRDefault="005F34E6" w:rsidP="00734702">
      <w:pPr>
        <w:spacing w:after="0" w:line="240" w:lineRule="auto"/>
        <w:rPr>
          <w:rFonts w:ascii="Times New Roman" w:hAnsi="Times New Roman"/>
          <w:sz w:val="24"/>
          <w:szCs w:val="24"/>
        </w:rPr>
      </w:pPr>
      <w:r w:rsidRPr="001C61BA">
        <w:rPr>
          <w:rFonts w:ascii="Times New Roman" w:hAnsi="Times New Roman"/>
          <w:b/>
          <w:sz w:val="24"/>
          <w:szCs w:val="24"/>
        </w:rPr>
        <w:t>K</w:t>
      </w:r>
      <w:r>
        <w:rPr>
          <w:rFonts w:ascii="Times New Roman" w:hAnsi="Times New Roman"/>
          <w:b/>
          <w:sz w:val="24"/>
          <w:szCs w:val="24"/>
        </w:rPr>
        <w:t> </w:t>
      </w:r>
      <w:r w:rsidRPr="001C61BA">
        <w:rPr>
          <w:rFonts w:ascii="Times New Roman" w:hAnsi="Times New Roman"/>
          <w:b/>
          <w:sz w:val="24"/>
          <w:szCs w:val="24"/>
        </w:rPr>
        <w:t>bod</w:t>
      </w:r>
      <w:r>
        <w:rPr>
          <w:rFonts w:ascii="Times New Roman" w:hAnsi="Times New Roman"/>
          <w:b/>
          <w:sz w:val="24"/>
          <w:szCs w:val="24"/>
        </w:rPr>
        <w:t>u 6</w:t>
      </w:r>
    </w:p>
    <w:p w:rsidR="005F34E6" w:rsidRDefault="005F34E6" w:rsidP="00734702">
      <w:pPr>
        <w:spacing w:after="0" w:line="240" w:lineRule="auto"/>
        <w:jc w:val="both"/>
        <w:rPr>
          <w:rFonts w:ascii="Times New Roman" w:hAnsi="Times New Roman"/>
          <w:sz w:val="24"/>
          <w:szCs w:val="24"/>
        </w:rPr>
      </w:pPr>
      <w:r>
        <w:rPr>
          <w:rFonts w:ascii="Times New Roman" w:hAnsi="Times New Roman"/>
          <w:sz w:val="24"/>
          <w:szCs w:val="24"/>
        </w:rPr>
        <w:t>Ide o legislatívno-technické spresnenie pomenovania hmotnosti ako i v nadväznosti na zavedenie novej prílohy č. 1a zavedenie správneho pomenovania jej využitia iba pre vozidlá ťahače a návesy.</w:t>
      </w:r>
    </w:p>
    <w:p w:rsidR="005F34E6" w:rsidRDefault="005F34E6" w:rsidP="00734702">
      <w:pPr>
        <w:spacing w:after="0" w:line="240" w:lineRule="auto"/>
        <w:rPr>
          <w:rFonts w:ascii="Times New Roman" w:hAnsi="Times New Roman"/>
          <w:sz w:val="24"/>
          <w:szCs w:val="24"/>
        </w:rPr>
      </w:pPr>
    </w:p>
    <w:p w:rsidR="005F34E6" w:rsidRDefault="005F34E6" w:rsidP="00734702">
      <w:pPr>
        <w:spacing w:after="0" w:line="240" w:lineRule="auto"/>
        <w:rPr>
          <w:rFonts w:ascii="Times New Roman" w:hAnsi="Times New Roman"/>
          <w:b/>
          <w:sz w:val="24"/>
          <w:szCs w:val="24"/>
        </w:rPr>
      </w:pPr>
      <w:r w:rsidRPr="007054B2">
        <w:rPr>
          <w:rFonts w:ascii="Times New Roman" w:hAnsi="Times New Roman"/>
          <w:b/>
          <w:sz w:val="24"/>
          <w:szCs w:val="24"/>
        </w:rPr>
        <w:t>K bodu 7</w:t>
      </w:r>
    </w:p>
    <w:p w:rsidR="005F34E6" w:rsidRDefault="005F34E6" w:rsidP="00734702">
      <w:pPr>
        <w:spacing w:after="0" w:line="240" w:lineRule="auto"/>
        <w:rPr>
          <w:rFonts w:ascii="Times New Roman" w:hAnsi="Times New Roman"/>
          <w:sz w:val="24"/>
          <w:szCs w:val="24"/>
        </w:rPr>
      </w:pPr>
      <w:r>
        <w:rPr>
          <w:rFonts w:ascii="Times New Roman" w:hAnsi="Times New Roman"/>
          <w:sz w:val="24"/>
          <w:szCs w:val="24"/>
        </w:rPr>
        <w:t>Navrhuje sa nová príloha č. 1a s ročnými sadzbami iba pre vozidlá ťahače a návesy.</w:t>
      </w:r>
    </w:p>
    <w:p w:rsidR="005F34E6" w:rsidRDefault="005F34E6" w:rsidP="005F34E6">
      <w:pPr>
        <w:rPr>
          <w:rFonts w:ascii="Times New Roman" w:hAnsi="Times New Roman"/>
          <w:sz w:val="24"/>
          <w:szCs w:val="24"/>
        </w:rPr>
      </w:pPr>
      <w:r>
        <w:rPr>
          <w:rFonts w:ascii="Times New Roman" w:hAnsi="Times New Roman"/>
          <w:sz w:val="24"/>
          <w:szCs w:val="24"/>
        </w:rPr>
        <w:t xml:space="preserve"> </w:t>
      </w:r>
    </w:p>
    <w:p w:rsidR="005F34E6" w:rsidRPr="00E85EF3" w:rsidRDefault="005F34E6" w:rsidP="00734702">
      <w:pPr>
        <w:spacing w:after="0" w:line="240" w:lineRule="auto"/>
        <w:rPr>
          <w:rFonts w:ascii="Times New Roman" w:hAnsi="Times New Roman"/>
          <w:b/>
          <w:sz w:val="24"/>
          <w:szCs w:val="24"/>
        </w:rPr>
      </w:pPr>
      <w:r w:rsidRPr="00E85EF3">
        <w:rPr>
          <w:rFonts w:ascii="Times New Roman" w:hAnsi="Times New Roman"/>
          <w:b/>
          <w:sz w:val="24"/>
          <w:szCs w:val="24"/>
        </w:rPr>
        <w:t>K čl. II</w:t>
      </w:r>
    </w:p>
    <w:p w:rsidR="005F34E6" w:rsidRPr="00D95DE7" w:rsidRDefault="005F34E6" w:rsidP="00734702">
      <w:pPr>
        <w:spacing w:after="0" w:line="240" w:lineRule="auto"/>
        <w:rPr>
          <w:rFonts w:ascii="Times New Roman" w:hAnsi="Times New Roman"/>
          <w:sz w:val="24"/>
          <w:szCs w:val="24"/>
        </w:rPr>
      </w:pPr>
      <w:r w:rsidRPr="00EA778C">
        <w:rPr>
          <w:rFonts w:ascii="Times New Roman" w:hAnsi="Times New Roman"/>
          <w:sz w:val="24"/>
          <w:szCs w:val="24"/>
        </w:rPr>
        <w:t>Navrh</w:t>
      </w:r>
      <w:r>
        <w:rPr>
          <w:rFonts w:ascii="Times New Roman" w:hAnsi="Times New Roman"/>
          <w:sz w:val="24"/>
          <w:szCs w:val="24"/>
        </w:rPr>
        <w:t>uje sa ú</w:t>
      </w:r>
      <w:r w:rsidRPr="00EA778C">
        <w:rPr>
          <w:rFonts w:ascii="Times New Roman" w:hAnsi="Times New Roman"/>
          <w:sz w:val="24"/>
          <w:szCs w:val="24"/>
        </w:rPr>
        <w:t xml:space="preserve">činnosť </w:t>
      </w:r>
      <w:r>
        <w:rPr>
          <w:rFonts w:ascii="Times New Roman" w:hAnsi="Times New Roman"/>
          <w:sz w:val="24"/>
          <w:szCs w:val="24"/>
        </w:rPr>
        <w:t>zákona dňom jeho vyhlásenia.</w:t>
      </w:r>
    </w:p>
    <w:p w:rsidR="005F34E6" w:rsidRDefault="005F34E6" w:rsidP="005F34E6">
      <w:pPr>
        <w:pStyle w:val="Nzov"/>
        <w:rPr>
          <w:sz w:val="24"/>
          <w:szCs w:val="24"/>
        </w:rPr>
      </w:pPr>
    </w:p>
    <w:p w:rsidR="005F34E6" w:rsidRDefault="005F34E6" w:rsidP="005F34E6">
      <w:pPr>
        <w:pStyle w:val="Nzov"/>
        <w:rPr>
          <w:sz w:val="24"/>
          <w:szCs w:val="24"/>
        </w:rPr>
      </w:pPr>
    </w:p>
    <w:p w:rsidR="005F34E6" w:rsidRPr="00646C37" w:rsidRDefault="005F34E6" w:rsidP="005F34E6">
      <w:pPr>
        <w:spacing w:after="120"/>
        <w:ind w:left="360"/>
        <w:jc w:val="both"/>
        <w:rPr>
          <w:rFonts w:ascii="Times New Roman" w:hAnsi="Times New Roman"/>
          <w:sz w:val="24"/>
          <w:szCs w:val="24"/>
        </w:rPr>
      </w:pPr>
      <w:r>
        <w:rPr>
          <w:rFonts w:ascii="Times New Roman" w:hAnsi="Times New Roman"/>
          <w:sz w:val="24"/>
          <w:szCs w:val="24"/>
        </w:rPr>
        <w:t>Schválené na rokovaní vlády Slovenskej republiky dňa 7. októbra 2020</w:t>
      </w:r>
      <w:r w:rsidR="007A06C8">
        <w:rPr>
          <w:rFonts w:ascii="Times New Roman" w:hAnsi="Times New Roman"/>
          <w:sz w:val="24"/>
          <w:szCs w:val="24"/>
        </w:rPr>
        <w:t>.</w:t>
      </w:r>
      <w:bookmarkStart w:id="1" w:name="_GoBack"/>
      <w:bookmarkEnd w:id="1"/>
    </w:p>
    <w:p w:rsidR="002C46B3" w:rsidRDefault="002C46B3"/>
    <w:p w:rsidR="005F34E6" w:rsidRDefault="005F34E6"/>
    <w:p w:rsidR="005F34E6" w:rsidRPr="005F34E6" w:rsidRDefault="005F34E6" w:rsidP="00734702">
      <w:pPr>
        <w:spacing w:after="0" w:line="240" w:lineRule="auto"/>
        <w:jc w:val="center"/>
        <w:rPr>
          <w:rFonts w:ascii="Times New Roman" w:hAnsi="Times New Roman"/>
          <w:sz w:val="24"/>
          <w:szCs w:val="24"/>
          <w:lang w:eastAsia="sk-SK"/>
        </w:rPr>
      </w:pPr>
      <w:r w:rsidRPr="005F34E6">
        <w:rPr>
          <w:rFonts w:ascii="Times New Roman" w:hAnsi="Times New Roman"/>
          <w:color w:val="000000"/>
          <w:sz w:val="24"/>
          <w:szCs w:val="24"/>
          <w:lang w:eastAsia="sk-SK"/>
        </w:rPr>
        <w:t>Igor Matovič</w:t>
      </w:r>
      <w:r w:rsidR="00987B75">
        <w:rPr>
          <w:rFonts w:ascii="Times New Roman" w:hAnsi="Times New Roman"/>
          <w:color w:val="000000"/>
          <w:sz w:val="24"/>
          <w:szCs w:val="24"/>
          <w:lang w:eastAsia="sk-SK"/>
        </w:rPr>
        <w:t>, v.r.</w:t>
      </w:r>
      <w:r w:rsidRPr="005F34E6">
        <w:rPr>
          <w:rFonts w:ascii="Times New Roman" w:hAnsi="Times New Roman"/>
          <w:color w:val="000000"/>
          <w:sz w:val="24"/>
          <w:szCs w:val="24"/>
          <w:lang w:eastAsia="sk-SK"/>
        </w:rPr>
        <w:t xml:space="preserve"> </w:t>
      </w:r>
    </w:p>
    <w:p w:rsidR="005F34E6" w:rsidRPr="005F34E6" w:rsidRDefault="005F34E6" w:rsidP="00734702">
      <w:pPr>
        <w:spacing w:after="0" w:line="240" w:lineRule="auto"/>
        <w:jc w:val="center"/>
        <w:rPr>
          <w:rFonts w:ascii="Times New Roman" w:hAnsi="Times New Roman"/>
          <w:sz w:val="24"/>
          <w:szCs w:val="24"/>
          <w:lang w:eastAsia="sk-SK"/>
        </w:rPr>
      </w:pPr>
      <w:r w:rsidRPr="005F34E6">
        <w:rPr>
          <w:rFonts w:ascii="Times New Roman" w:hAnsi="Times New Roman"/>
          <w:color w:val="000000"/>
          <w:sz w:val="24"/>
          <w:szCs w:val="24"/>
          <w:lang w:eastAsia="sk-SK"/>
        </w:rPr>
        <w:t>predseda vlády Slovenskej republiky</w:t>
      </w:r>
    </w:p>
    <w:p w:rsidR="005F34E6" w:rsidRDefault="005F34E6" w:rsidP="005F34E6">
      <w:pPr>
        <w:spacing w:after="0" w:line="240" w:lineRule="auto"/>
        <w:rPr>
          <w:rFonts w:ascii="Times New Roman" w:hAnsi="Times New Roman"/>
          <w:color w:val="000000"/>
          <w:sz w:val="24"/>
          <w:szCs w:val="24"/>
          <w:lang w:eastAsia="sk-SK"/>
        </w:rPr>
      </w:pPr>
    </w:p>
    <w:p w:rsidR="005F34E6" w:rsidRDefault="005F34E6" w:rsidP="005F34E6">
      <w:pPr>
        <w:spacing w:after="0" w:line="240" w:lineRule="auto"/>
        <w:rPr>
          <w:rFonts w:ascii="Times New Roman" w:hAnsi="Times New Roman"/>
          <w:color w:val="000000"/>
          <w:sz w:val="24"/>
          <w:szCs w:val="24"/>
          <w:lang w:eastAsia="sk-SK"/>
        </w:rPr>
      </w:pPr>
    </w:p>
    <w:p w:rsidR="00734702" w:rsidRDefault="00734702" w:rsidP="005F34E6">
      <w:pPr>
        <w:spacing w:after="0" w:line="240" w:lineRule="auto"/>
        <w:rPr>
          <w:rFonts w:ascii="Times New Roman" w:hAnsi="Times New Roman"/>
          <w:color w:val="000000"/>
          <w:sz w:val="24"/>
          <w:szCs w:val="24"/>
          <w:lang w:eastAsia="sk-SK"/>
        </w:rPr>
      </w:pPr>
    </w:p>
    <w:p w:rsidR="00734702" w:rsidRDefault="00734702" w:rsidP="005F34E6">
      <w:pPr>
        <w:spacing w:after="0" w:line="240" w:lineRule="auto"/>
        <w:rPr>
          <w:rFonts w:ascii="Times New Roman" w:hAnsi="Times New Roman"/>
          <w:color w:val="000000"/>
          <w:sz w:val="24"/>
          <w:szCs w:val="24"/>
          <w:lang w:eastAsia="sk-SK"/>
        </w:rPr>
      </w:pPr>
    </w:p>
    <w:p w:rsidR="00734702" w:rsidRDefault="00734702" w:rsidP="005F34E6">
      <w:pPr>
        <w:spacing w:after="0" w:line="240" w:lineRule="auto"/>
        <w:rPr>
          <w:rFonts w:ascii="Times New Roman" w:hAnsi="Times New Roman"/>
          <w:color w:val="000000"/>
          <w:sz w:val="24"/>
          <w:szCs w:val="24"/>
          <w:lang w:eastAsia="sk-SK"/>
        </w:rPr>
      </w:pPr>
    </w:p>
    <w:p w:rsidR="005F34E6" w:rsidRPr="005F34E6" w:rsidRDefault="005F34E6" w:rsidP="00734702">
      <w:pPr>
        <w:spacing w:after="0" w:line="240" w:lineRule="auto"/>
        <w:jc w:val="center"/>
        <w:rPr>
          <w:rFonts w:ascii="Times New Roman" w:hAnsi="Times New Roman"/>
          <w:sz w:val="24"/>
          <w:szCs w:val="24"/>
          <w:lang w:eastAsia="sk-SK"/>
        </w:rPr>
      </w:pPr>
      <w:r w:rsidRPr="005F34E6">
        <w:rPr>
          <w:rFonts w:ascii="Times New Roman" w:hAnsi="Times New Roman"/>
          <w:color w:val="000000"/>
          <w:sz w:val="24"/>
          <w:szCs w:val="24"/>
          <w:lang w:eastAsia="sk-SK"/>
        </w:rPr>
        <w:t>Eduard Heger</w:t>
      </w:r>
      <w:r w:rsidR="00987B75">
        <w:rPr>
          <w:rFonts w:ascii="Times New Roman" w:hAnsi="Times New Roman"/>
          <w:color w:val="000000"/>
          <w:sz w:val="24"/>
          <w:szCs w:val="24"/>
          <w:lang w:eastAsia="sk-SK"/>
        </w:rPr>
        <w:t>, v.r.</w:t>
      </w:r>
      <w:r w:rsidRPr="005F34E6">
        <w:rPr>
          <w:rFonts w:ascii="Times New Roman" w:hAnsi="Times New Roman"/>
          <w:color w:val="000000"/>
          <w:sz w:val="24"/>
          <w:szCs w:val="24"/>
          <w:lang w:eastAsia="sk-SK"/>
        </w:rPr>
        <w:t xml:space="preserve"> </w:t>
      </w:r>
    </w:p>
    <w:p w:rsidR="005F34E6" w:rsidRPr="005F34E6" w:rsidRDefault="005F34E6" w:rsidP="00734702">
      <w:pPr>
        <w:spacing w:after="0" w:line="240" w:lineRule="auto"/>
        <w:jc w:val="center"/>
        <w:rPr>
          <w:rFonts w:ascii="Times New Roman" w:hAnsi="Times New Roman"/>
          <w:sz w:val="24"/>
          <w:szCs w:val="24"/>
          <w:lang w:eastAsia="sk-SK"/>
        </w:rPr>
      </w:pPr>
      <w:r w:rsidRPr="005F34E6">
        <w:rPr>
          <w:rFonts w:ascii="Times New Roman" w:hAnsi="Times New Roman"/>
          <w:color w:val="000000"/>
          <w:sz w:val="24"/>
          <w:szCs w:val="24"/>
          <w:lang w:eastAsia="sk-SK"/>
        </w:rPr>
        <w:t>podpredseda vlády a minister financií Slovenskej republiky</w:t>
      </w:r>
    </w:p>
    <w:p w:rsidR="005F34E6" w:rsidRDefault="005F34E6"/>
    <w:sectPr w:rsidR="005F34E6" w:rsidSect="001210A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19" w:rsidRDefault="00CC4919" w:rsidP="00B30BB0">
      <w:pPr>
        <w:spacing w:after="0" w:line="240" w:lineRule="auto"/>
      </w:pPr>
      <w:r>
        <w:separator/>
      </w:r>
    </w:p>
  </w:endnote>
  <w:endnote w:type="continuationSeparator" w:id="0">
    <w:p w:rsidR="00CC4919" w:rsidRDefault="00CC4919" w:rsidP="00B3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9" w:rsidRDefault="001111E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111E9" w:rsidRDefault="001111E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9" w:rsidRDefault="001111E9">
    <w:pPr>
      <w:pStyle w:val="Pta"/>
      <w:jc w:val="right"/>
    </w:pPr>
    <w:r>
      <w:fldChar w:fldCharType="begin"/>
    </w:r>
    <w:r>
      <w:instrText>PAGE   \* MERGEFORMAT</w:instrText>
    </w:r>
    <w:r>
      <w:fldChar w:fldCharType="separate"/>
    </w:r>
    <w:r w:rsidR="007A06C8">
      <w:rPr>
        <w:noProof/>
      </w:rPr>
      <w:t>23</w:t>
    </w:r>
    <w:r>
      <w:fldChar w:fldCharType="end"/>
    </w:r>
  </w:p>
  <w:p w:rsidR="001111E9" w:rsidRDefault="001111E9">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9" w:rsidRDefault="001111E9">
    <w:pPr>
      <w:pStyle w:val="Pta"/>
      <w:jc w:val="right"/>
    </w:pPr>
    <w:r>
      <w:fldChar w:fldCharType="begin"/>
    </w:r>
    <w:r>
      <w:instrText>PAGE   \* MERGEFORMAT</w:instrText>
    </w:r>
    <w:r>
      <w:fldChar w:fldCharType="separate"/>
    </w:r>
    <w:r>
      <w:rPr>
        <w:noProof/>
      </w:rPr>
      <w:t>0</w:t>
    </w:r>
    <w:r>
      <w:fldChar w:fldCharType="end"/>
    </w:r>
  </w:p>
  <w:p w:rsidR="001111E9" w:rsidRDefault="001111E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19" w:rsidRDefault="00CC4919" w:rsidP="00B30BB0">
      <w:pPr>
        <w:spacing w:after="0" w:line="240" w:lineRule="auto"/>
      </w:pPr>
      <w:r>
        <w:separator/>
      </w:r>
    </w:p>
  </w:footnote>
  <w:footnote w:type="continuationSeparator" w:id="0">
    <w:p w:rsidR="00CC4919" w:rsidRDefault="00CC4919" w:rsidP="00B30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9" w:rsidRDefault="001111E9" w:rsidP="00B30BB0">
    <w:pPr>
      <w:pStyle w:val="Hlavika"/>
      <w:jc w:val="right"/>
      <w:rPr>
        <w:sz w:val="24"/>
        <w:szCs w:val="24"/>
      </w:rPr>
    </w:pPr>
    <w:r>
      <w:rPr>
        <w:sz w:val="24"/>
        <w:szCs w:val="24"/>
      </w:rPr>
      <w:t>Príloha č. 2</w:t>
    </w:r>
  </w:p>
  <w:p w:rsidR="001111E9" w:rsidRPr="00EB59C8" w:rsidRDefault="001111E9" w:rsidP="00B30BB0">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9" w:rsidRPr="0024067A" w:rsidRDefault="001111E9">
    <w:pPr>
      <w:pStyle w:val="Hlavika"/>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1E9" w:rsidRPr="000A15AE" w:rsidRDefault="001111E9" w:rsidP="00B30BB0">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44774E3"/>
    <w:multiLevelType w:val="hybridMultilevel"/>
    <w:tmpl w:val="E50A55E2"/>
    <w:lvl w:ilvl="0" w:tplc="041B0001">
      <w:start w:val="1"/>
      <w:numFmt w:val="bullet"/>
      <w:lvlText w:val=""/>
      <w:lvlJc w:val="left"/>
      <w:pPr>
        <w:ind w:left="1477" w:hanging="360"/>
      </w:pPr>
      <w:rPr>
        <w:rFonts w:ascii="Symbol" w:hAnsi="Symbol" w:hint="default"/>
      </w:rPr>
    </w:lvl>
    <w:lvl w:ilvl="1" w:tplc="041B0003" w:tentative="1">
      <w:start w:val="1"/>
      <w:numFmt w:val="bullet"/>
      <w:lvlText w:val="o"/>
      <w:lvlJc w:val="left"/>
      <w:pPr>
        <w:ind w:left="2197" w:hanging="360"/>
      </w:pPr>
      <w:rPr>
        <w:rFonts w:ascii="Courier New" w:hAnsi="Courier New" w:hint="default"/>
      </w:rPr>
    </w:lvl>
    <w:lvl w:ilvl="2" w:tplc="041B0005" w:tentative="1">
      <w:start w:val="1"/>
      <w:numFmt w:val="bullet"/>
      <w:lvlText w:val=""/>
      <w:lvlJc w:val="left"/>
      <w:pPr>
        <w:ind w:left="2917" w:hanging="360"/>
      </w:pPr>
      <w:rPr>
        <w:rFonts w:ascii="Wingdings" w:hAnsi="Wingdings" w:hint="default"/>
      </w:rPr>
    </w:lvl>
    <w:lvl w:ilvl="3" w:tplc="041B0001" w:tentative="1">
      <w:start w:val="1"/>
      <w:numFmt w:val="bullet"/>
      <w:lvlText w:val=""/>
      <w:lvlJc w:val="left"/>
      <w:pPr>
        <w:ind w:left="3637" w:hanging="360"/>
      </w:pPr>
      <w:rPr>
        <w:rFonts w:ascii="Symbol" w:hAnsi="Symbol" w:hint="default"/>
      </w:rPr>
    </w:lvl>
    <w:lvl w:ilvl="4" w:tplc="041B0003" w:tentative="1">
      <w:start w:val="1"/>
      <w:numFmt w:val="bullet"/>
      <w:lvlText w:val="o"/>
      <w:lvlJc w:val="left"/>
      <w:pPr>
        <w:ind w:left="4357" w:hanging="360"/>
      </w:pPr>
      <w:rPr>
        <w:rFonts w:ascii="Courier New" w:hAnsi="Courier New" w:hint="default"/>
      </w:rPr>
    </w:lvl>
    <w:lvl w:ilvl="5" w:tplc="041B0005" w:tentative="1">
      <w:start w:val="1"/>
      <w:numFmt w:val="bullet"/>
      <w:lvlText w:val=""/>
      <w:lvlJc w:val="left"/>
      <w:pPr>
        <w:ind w:left="5077" w:hanging="360"/>
      </w:pPr>
      <w:rPr>
        <w:rFonts w:ascii="Wingdings" w:hAnsi="Wingdings" w:hint="default"/>
      </w:rPr>
    </w:lvl>
    <w:lvl w:ilvl="6" w:tplc="041B0001" w:tentative="1">
      <w:start w:val="1"/>
      <w:numFmt w:val="bullet"/>
      <w:lvlText w:val=""/>
      <w:lvlJc w:val="left"/>
      <w:pPr>
        <w:ind w:left="5797" w:hanging="360"/>
      </w:pPr>
      <w:rPr>
        <w:rFonts w:ascii="Symbol" w:hAnsi="Symbol" w:hint="default"/>
      </w:rPr>
    </w:lvl>
    <w:lvl w:ilvl="7" w:tplc="041B0003" w:tentative="1">
      <w:start w:val="1"/>
      <w:numFmt w:val="bullet"/>
      <w:lvlText w:val="o"/>
      <w:lvlJc w:val="left"/>
      <w:pPr>
        <w:ind w:left="6517" w:hanging="360"/>
      </w:pPr>
      <w:rPr>
        <w:rFonts w:ascii="Courier New" w:hAnsi="Courier New" w:hint="default"/>
      </w:rPr>
    </w:lvl>
    <w:lvl w:ilvl="8" w:tplc="041B0005" w:tentative="1">
      <w:start w:val="1"/>
      <w:numFmt w:val="bullet"/>
      <w:lvlText w:val=""/>
      <w:lvlJc w:val="left"/>
      <w:pPr>
        <w:ind w:left="7237" w:hanging="360"/>
      </w:pPr>
      <w:rPr>
        <w:rFonts w:ascii="Wingdings" w:hAnsi="Wingdings" w:hint="default"/>
      </w:rPr>
    </w:lvl>
  </w:abstractNum>
  <w:abstractNum w:abstractNumId="2" w15:restartNumberingAfterBreak="0">
    <w:nsid w:val="3798015F"/>
    <w:multiLevelType w:val="hybridMultilevel"/>
    <w:tmpl w:val="18944192"/>
    <w:lvl w:ilvl="0" w:tplc="4F749A9E">
      <w:start w:val="1"/>
      <w:numFmt w:val="upperLetter"/>
      <w:lvlText w:val="%1."/>
      <w:lvlJc w:val="left"/>
      <w:pPr>
        <w:ind w:left="644" w:hanging="360"/>
      </w:pPr>
      <w:rPr>
        <w:rFonts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3"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4" w15:restartNumberingAfterBreak="0">
    <w:nsid w:val="4E067BF5"/>
    <w:multiLevelType w:val="hybridMultilevel"/>
    <w:tmpl w:val="4BA8BA4A"/>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5"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7"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7BDE54EF"/>
    <w:multiLevelType w:val="hybridMultilevel"/>
    <w:tmpl w:val="FACAC62C"/>
    <w:lvl w:ilvl="0" w:tplc="6D2A791E">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4"/>
  </w:num>
  <w:num w:numId="6">
    <w:abstractNumId w:val="7"/>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46"/>
    <w:rsid w:val="000D36DC"/>
    <w:rsid w:val="001111E9"/>
    <w:rsid w:val="001210A3"/>
    <w:rsid w:val="002C46B3"/>
    <w:rsid w:val="00376898"/>
    <w:rsid w:val="005F34E6"/>
    <w:rsid w:val="00734702"/>
    <w:rsid w:val="007A06C8"/>
    <w:rsid w:val="00873D6B"/>
    <w:rsid w:val="00897B76"/>
    <w:rsid w:val="00987B75"/>
    <w:rsid w:val="00B30BB0"/>
    <w:rsid w:val="00B91B2D"/>
    <w:rsid w:val="00BA6146"/>
    <w:rsid w:val="00CC4919"/>
    <w:rsid w:val="00D338CD"/>
    <w:rsid w:val="00D81139"/>
    <w:rsid w:val="00DC0E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B0145-2F62-4788-B077-0A0163FE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34E6"/>
    <w:pPr>
      <w:spacing w:after="200" w:line="276" w:lineRule="auto"/>
    </w:pPr>
    <w:rPr>
      <w:rFonts w:ascii="Arial Narrow" w:eastAsia="Times New Roman"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5F34E6"/>
    <w:pPr>
      <w:spacing w:after="120"/>
    </w:pPr>
  </w:style>
  <w:style w:type="character" w:customStyle="1" w:styleId="ZkladntextChar">
    <w:name w:val="Základný text Char"/>
    <w:basedOn w:val="Predvolenpsmoodseku"/>
    <w:link w:val="Zkladntext"/>
    <w:uiPriority w:val="99"/>
    <w:semiHidden/>
    <w:rsid w:val="005F34E6"/>
    <w:rPr>
      <w:rFonts w:ascii="Arial Narrow" w:eastAsia="Times New Roman" w:hAnsi="Arial Narrow" w:cs="Times New Roman"/>
      <w:szCs w:val="36"/>
    </w:rPr>
  </w:style>
  <w:style w:type="character" w:customStyle="1" w:styleId="OdsekzoznamuChar">
    <w:name w:val="Odsek zoznamu Char"/>
    <w:aliases w:val="body Char,Odsek zoznamu2 Char,Odsek zoznamu1 Char,Odsek Char"/>
    <w:basedOn w:val="Predvolenpsmoodseku"/>
    <w:link w:val="Odsekzoznamu"/>
    <w:uiPriority w:val="34"/>
    <w:locked/>
    <w:rsid w:val="005F34E6"/>
    <w:rPr>
      <w:rFonts w:ascii="Calibri" w:hAnsi="Calibri" w:cs="Times New Roman"/>
    </w:rPr>
  </w:style>
  <w:style w:type="paragraph" w:styleId="Odsekzoznamu">
    <w:name w:val="List Paragraph"/>
    <w:aliases w:val="body,Odsek zoznamu2,Odsek zoznamu1,Odsek"/>
    <w:basedOn w:val="Normlny"/>
    <w:link w:val="OdsekzoznamuChar"/>
    <w:uiPriority w:val="34"/>
    <w:qFormat/>
    <w:rsid w:val="005F34E6"/>
    <w:pPr>
      <w:ind w:left="720"/>
      <w:contextualSpacing/>
    </w:pPr>
    <w:rPr>
      <w:rFonts w:ascii="Calibri" w:eastAsiaTheme="minorHAnsi" w:hAnsi="Calibri"/>
      <w:szCs w:val="22"/>
    </w:rPr>
  </w:style>
  <w:style w:type="character" w:styleId="Zstupntext">
    <w:name w:val="Placeholder Text"/>
    <w:basedOn w:val="Predvolenpsmoodseku"/>
    <w:uiPriority w:val="99"/>
    <w:semiHidden/>
    <w:rsid w:val="005F34E6"/>
    <w:rPr>
      <w:rFonts w:ascii="Times New Roman" w:hAnsi="Times New Roman" w:cs="Times New Roman" w:hint="default"/>
      <w:color w:val="808080"/>
    </w:rPr>
  </w:style>
  <w:style w:type="paragraph" w:styleId="Zarkazkladnhotextu">
    <w:name w:val="Body Text Indent"/>
    <w:basedOn w:val="Normlny"/>
    <w:link w:val="ZarkazkladnhotextuChar"/>
    <w:uiPriority w:val="99"/>
    <w:semiHidden/>
    <w:unhideWhenUsed/>
    <w:rsid w:val="005F34E6"/>
    <w:pPr>
      <w:spacing w:after="120"/>
      <w:ind w:left="283"/>
    </w:pPr>
  </w:style>
  <w:style w:type="character" w:customStyle="1" w:styleId="ZarkazkladnhotextuChar">
    <w:name w:val="Zarážka základného textu Char"/>
    <w:basedOn w:val="Predvolenpsmoodseku"/>
    <w:link w:val="Zarkazkladnhotextu"/>
    <w:uiPriority w:val="99"/>
    <w:semiHidden/>
    <w:rsid w:val="005F34E6"/>
    <w:rPr>
      <w:rFonts w:ascii="Arial Narrow" w:eastAsia="Times New Roman" w:hAnsi="Arial Narrow" w:cs="Times New Roman"/>
      <w:szCs w:val="36"/>
    </w:rPr>
  </w:style>
  <w:style w:type="paragraph" w:styleId="Normlnywebov">
    <w:name w:val="Normal (Web)"/>
    <w:aliases w:val="webb"/>
    <w:basedOn w:val="Normlny"/>
    <w:uiPriority w:val="99"/>
    <w:unhideWhenUsed/>
    <w:qFormat/>
    <w:rsid w:val="005F34E6"/>
    <w:pPr>
      <w:spacing w:after="120" w:line="240" w:lineRule="auto"/>
    </w:pPr>
    <w:rPr>
      <w:rFonts w:ascii="Times New Roman" w:hAnsi="Times New Roman"/>
      <w:sz w:val="24"/>
      <w:szCs w:val="24"/>
      <w:lang w:eastAsia="sk-SK"/>
    </w:rPr>
  </w:style>
  <w:style w:type="paragraph" w:customStyle="1" w:styleId="Zkladntext0">
    <w:name w:val="Zkladn text"/>
    <w:rsid w:val="005F34E6"/>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character" w:styleId="Zvraznenie">
    <w:name w:val="Emphasis"/>
    <w:basedOn w:val="Predvolenpsmoodseku"/>
    <w:uiPriority w:val="20"/>
    <w:qFormat/>
    <w:rsid w:val="005F34E6"/>
    <w:rPr>
      <w:rFonts w:cs="Times New Roman"/>
      <w:i/>
      <w:iCs/>
    </w:rPr>
  </w:style>
  <w:style w:type="paragraph" w:customStyle="1" w:styleId="Normlny1">
    <w:name w:val="Normálny1"/>
    <w:rsid w:val="005F34E6"/>
    <w:pPr>
      <w:keepNext/>
      <w:spacing w:before="60" w:after="60" w:line="240" w:lineRule="auto"/>
      <w:jc w:val="both"/>
    </w:pPr>
    <w:rPr>
      <w:rFonts w:ascii="Times New Roman" w:eastAsia="ヒラギノ角ゴ Pro W3" w:hAnsi="Times New Roman" w:cs="Times New Roman"/>
      <w:color w:val="000000"/>
      <w:sz w:val="24"/>
      <w:szCs w:val="24"/>
      <w:lang w:val="cs-CZ" w:eastAsia="sk-SK"/>
    </w:rPr>
  </w:style>
  <w:style w:type="paragraph" w:styleId="Hlavika">
    <w:name w:val="header"/>
    <w:basedOn w:val="Normlny"/>
    <w:link w:val="HlavikaChar"/>
    <w:uiPriority w:val="99"/>
    <w:unhideWhenUsed/>
    <w:rsid w:val="005F34E6"/>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F34E6"/>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5F34E6"/>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rsid w:val="005F34E6"/>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5F34E6"/>
    <w:rPr>
      <w:rFonts w:cs="Times New Roman"/>
    </w:rPr>
  </w:style>
  <w:style w:type="table" w:styleId="Mriekatabuky">
    <w:name w:val="Table Grid"/>
    <w:basedOn w:val="Normlnatabuka"/>
    <w:uiPriority w:val="59"/>
    <w:rsid w:val="005F34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rsid w:val="005F34E6"/>
    <w:pPr>
      <w:spacing w:after="0" w:line="240" w:lineRule="auto"/>
      <w:jc w:val="center"/>
    </w:pPr>
    <w:rPr>
      <w:rFonts w:ascii="Times New Roman" w:hAnsi="Times New Roman"/>
      <w:b/>
      <w:bCs/>
      <w:sz w:val="28"/>
      <w:szCs w:val="28"/>
      <w:lang w:eastAsia="sk-SK"/>
    </w:rPr>
  </w:style>
  <w:style w:type="character" w:customStyle="1" w:styleId="NzovChar">
    <w:name w:val="Názov Char"/>
    <w:basedOn w:val="Predvolenpsmoodseku"/>
    <w:link w:val="Nzov"/>
    <w:uiPriority w:val="10"/>
    <w:rsid w:val="005F34E6"/>
    <w:rPr>
      <w:rFonts w:ascii="Times New Roman" w:eastAsia="Times New Roman" w:hAnsi="Times New Roman" w:cs="Times New Roman"/>
      <w:b/>
      <w:bCs/>
      <w:sz w:val="28"/>
      <w:szCs w:val="28"/>
      <w:lang w:eastAsia="sk-SK"/>
    </w:rPr>
  </w:style>
  <w:style w:type="character" w:customStyle="1" w:styleId="awspan1">
    <w:name w:val="awspan1"/>
    <w:basedOn w:val="Predvolenpsmoodseku"/>
    <w:rsid w:val="005F34E6"/>
    <w:rPr>
      <w:color w:val="000000"/>
      <w:sz w:val="24"/>
      <w:szCs w:val="24"/>
    </w:rPr>
  </w:style>
  <w:style w:type="paragraph" w:styleId="Revzia">
    <w:name w:val="Revision"/>
    <w:hidden/>
    <w:uiPriority w:val="99"/>
    <w:semiHidden/>
    <w:rsid w:val="00873D6B"/>
    <w:pPr>
      <w:spacing w:after="0" w:line="240" w:lineRule="auto"/>
    </w:pPr>
    <w:rPr>
      <w:rFonts w:ascii="Arial Narrow" w:eastAsia="Times New Roman" w:hAnsi="Arial Narrow" w:cs="Times New Roman"/>
      <w:szCs w:val="36"/>
    </w:rPr>
  </w:style>
  <w:style w:type="paragraph" w:styleId="Textbubliny">
    <w:name w:val="Balloon Text"/>
    <w:basedOn w:val="Normlny"/>
    <w:link w:val="TextbublinyChar"/>
    <w:uiPriority w:val="99"/>
    <w:semiHidden/>
    <w:unhideWhenUsed/>
    <w:rsid w:val="00D338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38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7425">
      <w:bodyDiv w:val="1"/>
      <w:marLeft w:val="0"/>
      <w:marRight w:val="0"/>
      <w:marTop w:val="0"/>
      <w:marBottom w:val="0"/>
      <w:divBdr>
        <w:top w:val="none" w:sz="0" w:space="0" w:color="auto"/>
        <w:left w:val="none" w:sz="0" w:space="0" w:color="auto"/>
        <w:bottom w:val="none" w:sz="0" w:space="0" w:color="auto"/>
        <w:right w:val="none" w:sz="0" w:space="0" w:color="auto"/>
      </w:divBdr>
    </w:div>
    <w:div w:id="1381398262">
      <w:bodyDiv w:val="1"/>
      <w:marLeft w:val="0"/>
      <w:marRight w:val="0"/>
      <w:marTop w:val="0"/>
      <w:marBottom w:val="0"/>
      <w:divBdr>
        <w:top w:val="none" w:sz="0" w:space="0" w:color="auto"/>
        <w:left w:val="none" w:sz="0" w:space="0" w:color="auto"/>
        <w:bottom w:val="none" w:sz="0" w:space="0" w:color="auto"/>
        <w:right w:val="none" w:sz="0" w:space="0" w:color="auto"/>
      </w:divBdr>
      <w:divsChild>
        <w:div w:id="1089347927">
          <w:marLeft w:val="0"/>
          <w:marRight w:val="0"/>
          <w:marTop w:val="0"/>
          <w:marBottom w:val="0"/>
          <w:divBdr>
            <w:top w:val="none" w:sz="0" w:space="0" w:color="auto"/>
            <w:left w:val="none" w:sz="0" w:space="0" w:color="auto"/>
            <w:bottom w:val="none" w:sz="0" w:space="0" w:color="auto"/>
            <w:right w:val="none" w:sz="0" w:space="0" w:color="auto"/>
          </w:divBdr>
          <w:divsChild>
            <w:div w:id="1501046148">
              <w:marLeft w:val="0"/>
              <w:marRight w:val="0"/>
              <w:marTop w:val="0"/>
              <w:marBottom w:val="0"/>
              <w:divBdr>
                <w:top w:val="none" w:sz="0" w:space="0" w:color="auto"/>
                <w:left w:val="none" w:sz="0" w:space="0" w:color="auto"/>
                <w:bottom w:val="none" w:sz="0" w:space="0" w:color="auto"/>
                <w:right w:val="none" w:sz="0" w:space="0" w:color="auto"/>
              </w:divBdr>
              <w:divsChild>
                <w:div w:id="11658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004">
          <w:marLeft w:val="0"/>
          <w:marRight w:val="0"/>
          <w:marTop w:val="0"/>
          <w:marBottom w:val="0"/>
          <w:divBdr>
            <w:top w:val="none" w:sz="0" w:space="0" w:color="auto"/>
            <w:left w:val="none" w:sz="0" w:space="0" w:color="auto"/>
            <w:bottom w:val="none" w:sz="0" w:space="0" w:color="auto"/>
            <w:right w:val="none" w:sz="0" w:space="0" w:color="auto"/>
          </w:divBdr>
          <w:divsChild>
            <w:div w:id="175965074">
              <w:marLeft w:val="0"/>
              <w:marRight w:val="0"/>
              <w:marTop w:val="0"/>
              <w:marBottom w:val="0"/>
              <w:divBdr>
                <w:top w:val="none" w:sz="0" w:space="0" w:color="auto"/>
                <w:left w:val="none" w:sz="0" w:space="0" w:color="auto"/>
                <w:bottom w:val="none" w:sz="0" w:space="0" w:color="auto"/>
                <w:right w:val="none" w:sz="0" w:space="0" w:color="auto"/>
              </w:divBdr>
            </w:div>
            <w:div w:id="1804695379">
              <w:marLeft w:val="0"/>
              <w:marRight w:val="0"/>
              <w:marTop w:val="0"/>
              <w:marBottom w:val="0"/>
              <w:divBdr>
                <w:top w:val="none" w:sz="0" w:space="0" w:color="auto"/>
                <w:left w:val="none" w:sz="0" w:space="0" w:color="auto"/>
                <w:bottom w:val="none" w:sz="0" w:space="0" w:color="auto"/>
                <w:right w:val="none" w:sz="0" w:space="0" w:color="auto"/>
              </w:divBdr>
              <w:divsChild>
                <w:div w:id="153765454">
                  <w:marLeft w:val="0"/>
                  <w:marRight w:val="0"/>
                  <w:marTop w:val="0"/>
                  <w:marBottom w:val="0"/>
                  <w:divBdr>
                    <w:top w:val="none" w:sz="0" w:space="0" w:color="auto"/>
                    <w:left w:val="none" w:sz="0" w:space="0" w:color="auto"/>
                    <w:bottom w:val="none" w:sz="0" w:space="0" w:color="auto"/>
                    <w:right w:val="none" w:sz="0" w:space="0" w:color="auto"/>
                  </w:divBdr>
                </w:div>
                <w:div w:id="739061639">
                  <w:marLeft w:val="0"/>
                  <w:marRight w:val="0"/>
                  <w:marTop w:val="0"/>
                  <w:marBottom w:val="0"/>
                  <w:divBdr>
                    <w:top w:val="none" w:sz="0" w:space="0" w:color="auto"/>
                    <w:left w:val="none" w:sz="0" w:space="0" w:color="auto"/>
                    <w:bottom w:val="none" w:sz="0" w:space="0" w:color="auto"/>
                    <w:right w:val="none" w:sz="0" w:space="0" w:color="auto"/>
                  </w:divBdr>
                </w:div>
                <w:div w:id="15779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23</Pages>
  <Words>5065</Words>
  <Characters>28875</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Istokova Iveta</dc:creator>
  <cp:keywords/>
  <dc:description/>
  <cp:lastModifiedBy>Fulopova Jana</cp:lastModifiedBy>
  <cp:revision>14</cp:revision>
  <cp:lastPrinted>2020-10-07T08:37:00Z</cp:lastPrinted>
  <dcterms:created xsi:type="dcterms:W3CDTF">2020-10-02T11:53:00Z</dcterms:created>
  <dcterms:modified xsi:type="dcterms:W3CDTF">2020-10-08T10:10:00Z</dcterms:modified>
</cp:coreProperties>
</file>