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theme/theme1.xml" ContentType="application/vnd.openxmlformats-officedocument.theme+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Dôvodová správa</w:t>
      </w:r>
    </w:p>
    <w:p>
      <w:pPr>
        <w:pStyle w:val="Normal"/>
        <w:spacing w:lineRule="auto" w:line="240" w:before="0" w:after="0"/>
        <w:jc w:val="both"/>
        <w:rPr>
          <w:rFonts w:ascii="Times New Roman" w:hAnsi="Times New Roman"/>
          <w:bCs/>
          <w:sz w:val="24"/>
          <w:szCs w:val="24"/>
        </w:rPr>
      </w:pPr>
      <w:r>
        <w:rPr>
          <w:rFonts w:ascii="Times New Roman" w:hAnsi="Times New Roman"/>
          <w:bCs/>
          <w:sz w:val="24"/>
          <w:szCs w:val="24"/>
        </w:rPr>
      </w:r>
    </w:p>
    <w:p>
      <w:pPr>
        <w:pStyle w:val="Normal"/>
        <w:spacing w:lineRule="auto" w:line="240" w:before="0" w:after="0"/>
        <w:jc w:val="both"/>
        <w:rPr>
          <w:rFonts w:ascii="Times New Roman" w:hAnsi="Times New Roman"/>
          <w:bCs/>
          <w:sz w:val="24"/>
          <w:szCs w:val="24"/>
        </w:rPr>
      </w:pPr>
      <w:r>
        <w:rPr>
          <w:rFonts w:ascii="Times New Roman" w:hAnsi="Times New Roman"/>
          <w:bCs/>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t>A. Všeobecná časť</w:t>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t>Návrh zákona, ktorým sa mení a dopĺňa zákon č. 461/2003 Z. z. o sociálnom poistení v znení neskorších predpisov a ktorým sa menia a dopĺňajú niektoré zákony (ďalej len „návrh zákona“) predkladajú do legislatívneho procesu poslanci Národnej rady Slovenskej republiky Michal Šipoš, Anna Andrejuvová, Lucia Drábiková, Anna Mierna a Marek Šefčík</w:t>
      </w:r>
      <w:bookmarkStart w:id="0" w:name="_GoBack"/>
      <w:bookmarkEnd w:id="0"/>
      <w:r>
        <w:rPr>
          <w:rFonts w:ascii="Times New Roman" w:hAnsi="Times New Roman"/>
          <w:sz w:val="24"/>
          <w:szCs w:val="24"/>
          <w:lang w:eastAsia="sk-SK"/>
        </w:rPr>
        <w:t>.</w:t>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t xml:space="preserve">Predmetom návrhu zákona je zavedenie nového druhu nemocenskej dávky „tehotenské“ novelou zákona č. 461/2003 Z. z. o sociálnom poistení v znení neskorších predpisov (čl. I). Jej účelom je zabezpečenie príjmu na úhradu zvýšených výdavkov spojených s tehotenstvom podľa uváženia poistenkyne, akými sú napr. strava, ošatenie a iné. </w:t>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r>
    </w:p>
    <w:p>
      <w:pPr>
        <w:pStyle w:val="Normal"/>
        <w:spacing w:lineRule="auto" w:line="240" w:before="0" w:after="0"/>
        <w:ind w:firstLine="567"/>
        <w:jc w:val="both"/>
        <w:rPr>
          <w:rFonts w:ascii="Times New Roman" w:hAnsi="Times New Roman"/>
          <w:sz w:val="24"/>
          <w:szCs w:val="24"/>
        </w:rPr>
      </w:pPr>
      <w:r>
        <w:rPr>
          <w:rFonts w:ascii="Times New Roman" w:hAnsi="Times New Roman"/>
          <w:sz w:val="24"/>
          <w:szCs w:val="24"/>
          <w:lang w:eastAsia="sk-SK"/>
        </w:rPr>
        <w:t>S uvedeným zámerom zabezpečiť príjem na úhradu zvýšených výdavkov spojených s tehotenstvom súvisia aj navrhované zmeny v zákone č. </w:t>
      </w:r>
      <w:r>
        <w:rPr>
          <w:rFonts w:ascii="Times New Roman" w:hAnsi="Times New Roman"/>
          <w:sz w:val="24"/>
          <w:szCs w:val="24"/>
        </w:rPr>
        <w:t>131/2002 Z. z. o vysokých školách a o zmene a doplnení niektorých zákonov v znení neskorších predpisov (čl. II), zákone č. 328/2002 Z. z. o sociálnom zabezpečení policajtov a vojakov a o zmene a doplnení niektorých zákonov v znení neskorších predpisov (čl. III) a zákone č. 245/2008 Z. z. o výchove a vzdelávaní (školský zákon) a o zmene a doplnení niektorých zákonov v znení neskorších predpisov (čl. IV). Novelami predmetných právnych predpisov sa navrhuje tehotenské štipendium, ktoré má byť za podmienok uvedených v zákone vyplácané tehotnej študentke vysokej školy, resp. plnoletej tehotnej žiačke strednej školy, ako aj zavedenie dávky tehotenské v systéme sociálneho zabezpečenia policajtov a vojakov.</w:t>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sz w:val="24"/>
          <w:szCs w:val="24"/>
          <w:lang w:eastAsia="sk-SK"/>
        </w:rPr>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Predložený návrh zákona bude mať pozitívny vplyv na manželstvo, rodičovstvo a rodinu. Sledované vybrané vplyvy navrhovaného opatrenia podľa Jednotnej metodiky na posudzovanie vybraných vplyvov sú zhodnotené v priloženej doložke vybraných vplyvov, v analýze vplyvov na rozpočet verejnej správy a v analýze sociálnych vplyvov.</w:t>
      </w:r>
    </w:p>
    <w:p>
      <w:pPr>
        <w:pStyle w:val="Normal"/>
        <w:spacing w:lineRule="auto" w:line="240" w:before="0" w:after="0"/>
        <w:ind w:firstLine="567"/>
        <w:jc w:val="both"/>
        <w:rPr>
          <w:rFonts w:ascii="Times New Roman" w:hAnsi="Times New Roman"/>
          <w:color w:val="000000"/>
          <w:sz w:val="24"/>
          <w:szCs w:val="24"/>
          <w:lang w:eastAsia="sk-SK"/>
        </w:rPr>
      </w:pPr>
      <w:r>
        <w:rPr>
          <w:rFonts w:ascii="Times New Roman" w:hAnsi="Times New Roman"/>
          <w:color w:val="000000"/>
          <w:sz w:val="24"/>
          <w:szCs w:val="24"/>
          <w:lang w:eastAsia="sk-SK"/>
        </w:rPr>
      </w:r>
    </w:p>
    <w:p>
      <w:pPr>
        <w:pStyle w:val="Normal"/>
        <w:spacing w:lineRule="auto" w:line="240" w:before="0" w:after="0"/>
        <w:ind w:firstLine="567"/>
        <w:jc w:val="both"/>
        <w:rPr>
          <w:rFonts w:ascii="Times New Roman" w:hAnsi="Times New Roman"/>
          <w:sz w:val="24"/>
          <w:szCs w:val="24"/>
          <w:lang w:eastAsia="sk-SK"/>
        </w:rPr>
      </w:pPr>
      <w:r>
        <w:rPr>
          <w:rFonts w:ascii="Times New Roman" w:hAnsi="Times New Roman"/>
          <w:color w:val="000000"/>
          <w:sz w:val="24"/>
          <w:szCs w:val="24"/>
          <w:lang w:eastAsia="sk-SK"/>
        </w:rPr>
        <w:t>Návrh</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zákona</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je</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v</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súlade</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s</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Ústavou</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Slovenskej</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republiky,</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ústavnými</w:t>
      </w:r>
      <w:r>
        <w:rPr>
          <w:rFonts w:ascii="Times New Roman" w:hAnsi="Times New Roman"/>
          <w:color w:val="000000"/>
          <w:spacing w:val="10"/>
          <w:sz w:val="24"/>
          <w:szCs w:val="24"/>
          <w:lang w:eastAsia="sk-SK"/>
        </w:rPr>
        <w:t xml:space="preserve"> </w:t>
      </w:r>
      <w:r>
        <w:rPr>
          <w:rFonts w:ascii="Times New Roman" w:hAnsi="Times New Roman"/>
          <w:color w:val="000000"/>
          <w:sz w:val="24"/>
          <w:szCs w:val="24"/>
          <w:lang w:eastAsia="sk-SK"/>
        </w:rPr>
        <w:t>zákonmi a nálezmi</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Ústavného</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súdu</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Slovenskej</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republiky</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a</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zákonmi,</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ako</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aj</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s</w:t>
      </w:r>
      <w:r>
        <w:rPr>
          <w:rFonts w:ascii="Times New Roman" w:hAnsi="Times New Roman"/>
          <w:color w:val="000000"/>
          <w:spacing w:val="86"/>
          <w:sz w:val="24"/>
          <w:szCs w:val="24"/>
          <w:lang w:eastAsia="sk-SK"/>
        </w:rPr>
        <w:t xml:space="preserve"> </w:t>
      </w:r>
      <w:r>
        <w:rPr>
          <w:rFonts w:ascii="Times New Roman" w:hAnsi="Times New Roman"/>
          <w:color w:val="000000"/>
          <w:sz w:val="24"/>
          <w:szCs w:val="24"/>
          <w:lang w:eastAsia="sk-SK"/>
        </w:rPr>
        <w:t>medzinárodnými zmluvami,</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ktorými</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je</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Slovenská</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republika</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viazaná</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a</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súčasne</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je</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v</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súlade</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s</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právom</w:t>
      </w:r>
      <w:r>
        <w:rPr>
          <w:rFonts w:ascii="Times New Roman" w:hAnsi="Times New Roman"/>
          <w:color w:val="000000"/>
          <w:spacing w:val="12"/>
          <w:sz w:val="24"/>
          <w:szCs w:val="24"/>
          <w:lang w:eastAsia="sk-SK"/>
        </w:rPr>
        <w:t xml:space="preserve"> </w:t>
      </w:r>
      <w:r>
        <w:rPr>
          <w:rFonts w:ascii="Times New Roman" w:hAnsi="Times New Roman"/>
          <w:color w:val="000000"/>
          <w:sz w:val="24"/>
          <w:szCs w:val="24"/>
          <w:lang w:eastAsia="sk-SK"/>
        </w:rPr>
        <w:t>Európskej únie.</w:t>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pStyle w:val="Telotextu"/>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ascii="Times New Roman" w:hAnsi="Times New Roman"/>
          <w:b/>
          <w:sz w:val="24"/>
          <w:szCs w:val="24"/>
        </w:rPr>
        <w:t>B. Osobitná časť</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b/>
          <w:sz w:val="24"/>
          <w:szCs w:val="24"/>
          <w:u w:val="single"/>
        </w:rPr>
        <w:t>K čl. I (novela zákona č. 461/2003 Z. z. o sociálnom poistení)</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sz w:val="24"/>
          <w:szCs w:val="24"/>
        </w:rPr>
      </w:pPr>
      <w:r>
        <w:rPr>
          <w:rFonts w:cs="Times New Roman" w:ascii="Times New Roman" w:hAnsi="Times New Roman"/>
          <w:b/>
          <w:sz w:val="24"/>
          <w:szCs w:val="24"/>
          <w:lang w:eastAsia="sk-SK"/>
        </w:rPr>
        <w:t>K bodu 1 [§ 13 ods. 1 písm. d)]</w:t>
      </w:r>
    </w:p>
    <w:p>
      <w:pPr>
        <w:pStyle w:val="NoSpacing"/>
        <w:jc w:val="both"/>
        <w:rPr>
          <w:rFonts w:ascii="Times New Roman" w:hAnsi="Times New Roman"/>
          <w:sz w:val="24"/>
          <w:szCs w:val="24"/>
        </w:rPr>
      </w:pPr>
      <w:r>
        <w:rPr>
          <w:rFonts w:cs="Times New Roman" w:ascii="Times New Roman" w:hAnsi="Times New Roman"/>
          <w:sz w:val="24"/>
          <w:szCs w:val="24"/>
          <w:lang w:eastAsia="sk-SK"/>
        </w:rPr>
        <w:tab/>
        <w:t xml:space="preserve">Navrhuje sa rozšíriť okruh dávok poskytovaných z nemocenského poistenia o „tehotenské“, účelom ktorého bude zabezpečiť poistenkyni príjem na zvýšené výdavky spojené s tehotenstvom, podľa uváženia poistenkyne, napr. na stravu, oblečenie, bývanie a podobne. </w:t>
      </w:r>
    </w:p>
    <w:p>
      <w:pPr>
        <w:pStyle w:val="NoSpacing"/>
        <w:jc w:val="both"/>
        <w:rPr>
          <w:rFonts w:ascii="Times New Roman" w:hAnsi="Times New Roman"/>
          <w:sz w:val="24"/>
          <w:szCs w:val="24"/>
        </w:rPr>
      </w:pPr>
      <w:r>
        <w:rPr>
          <w:rFonts w:cs="Times New Roman" w:ascii="Times New Roman" w:hAnsi="Times New Roman"/>
          <w:sz w:val="24"/>
          <w:szCs w:val="24"/>
          <w:lang w:eastAsia="sk-SK"/>
        </w:rPr>
        <w:tab/>
      </w:r>
    </w:p>
    <w:p>
      <w:pPr>
        <w:pStyle w:val="NoSpacing"/>
        <w:jc w:val="both"/>
        <w:rPr>
          <w:rFonts w:ascii="Times New Roman" w:hAnsi="Times New Roman"/>
          <w:sz w:val="24"/>
          <w:szCs w:val="24"/>
        </w:rPr>
      </w:pPr>
      <w:r>
        <w:rPr>
          <w:rFonts w:cs="Times New Roman" w:ascii="Times New Roman" w:hAnsi="Times New Roman"/>
          <w:b/>
          <w:sz w:val="24"/>
          <w:szCs w:val="24"/>
          <w:lang w:eastAsia="sk-SK"/>
        </w:rPr>
        <w:t>K bodu 2 (§ 32 nový odsek 5)</w:t>
      </w:r>
    </w:p>
    <w:p>
      <w:pPr>
        <w:pStyle w:val="NoSpacing"/>
        <w:jc w:val="both"/>
        <w:rPr>
          <w:rFonts w:ascii="Times New Roman" w:hAnsi="Times New Roman"/>
          <w:sz w:val="24"/>
          <w:szCs w:val="24"/>
        </w:rPr>
      </w:pPr>
      <w:r>
        <w:rPr>
          <w:rFonts w:cs="Times New Roman" w:ascii="Times New Roman" w:hAnsi="Times New Roman"/>
          <w:sz w:val="24"/>
          <w:szCs w:val="24"/>
          <w:lang w:eastAsia="sk-SK"/>
        </w:rPr>
        <w:tab/>
        <w:t>Navrhuje sa, aby v prípade zániku nemocenského poistenia tehotnej poistenkyne, ktorá by splnila podmienky nároku na tehotenské vo všeobecnom systéme sociálneho poistenia (vrátane podmienky získania 270 dní nemocenského poistenia) v ochrannej lehote, ktorá jej má zaniknúť z dôvodu, že sa na ňu začal vzťahovať osobitný systém sociálneho zabezpečenia policajtov a vojakov, sa ochranná lehota zachovala, t.j.  aby jej vznikol nárok na tehotenské zo systému sociálneho poistenia.</w:t>
      </w:r>
    </w:p>
    <w:p>
      <w:pPr>
        <w:pStyle w:val="NoSpacing"/>
        <w:jc w:val="both"/>
        <w:rPr>
          <w:rFonts w:ascii="Times New Roman" w:hAnsi="Times New Roman" w:cs="Times New Roman"/>
          <w:b/>
          <w:b/>
          <w:sz w:val="24"/>
          <w:szCs w:val="24"/>
          <w:lang w:eastAsia="sk-SK"/>
        </w:rPr>
      </w:pPr>
      <w:r>
        <w:rPr>
          <w:rFonts w:cs="Times New Roman" w:ascii="Times New Roman" w:hAnsi="Times New Roman"/>
          <w:b/>
          <w:sz w:val="24"/>
          <w:szCs w:val="24"/>
          <w:lang w:eastAsia="sk-SK"/>
        </w:rPr>
      </w:r>
    </w:p>
    <w:p>
      <w:pPr>
        <w:pStyle w:val="NoSpacing"/>
        <w:jc w:val="both"/>
        <w:rPr>
          <w:rFonts w:ascii="Times New Roman" w:hAnsi="Times New Roman"/>
          <w:sz w:val="24"/>
          <w:szCs w:val="24"/>
        </w:rPr>
      </w:pPr>
      <w:r>
        <w:rPr>
          <w:rFonts w:cs="Times New Roman" w:ascii="Times New Roman" w:hAnsi="Times New Roman"/>
          <w:b/>
          <w:sz w:val="24"/>
          <w:szCs w:val="24"/>
          <w:lang w:eastAsia="sk-SK"/>
        </w:rPr>
        <w:t>K bodu 3 [§ 47a  až § 47c]</w:t>
      </w:r>
    </w:p>
    <w:p>
      <w:pPr>
        <w:pStyle w:val="NoSpacing"/>
        <w:jc w:val="both"/>
        <w:rPr>
          <w:rFonts w:ascii="Times New Roman" w:hAnsi="Times New Roman"/>
          <w:sz w:val="24"/>
          <w:szCs w:val="24"/>
        </w:rPr>
      </w:pPr>
      <w:r>
        <w:rPr>
          <w:rFonts w:cs="Times New Roman" w:ascii="Times New Roman" w:hAnsi="Times New Roman"/>
          <w:sz w:val="24"/>
          <w:szCs w:val="24"/>
          <w:lang w:eastAsia="sk-SK"/>
        </w:rPr>
        <w:t xml:space="preserve">§ 47a ods. 1 </w:t>
      </w:r>
    </w:p>
    <w:p>
      <w:pPr>
        <w:pStyle w:val="NoSpacing"/>
        <w:jc w:val="both"/>
        <w:rPr>
          <w:rFonts w:ascii="Times New Roman" w:hAnsi="Times New Roman"/>
          <w:sz w:val="24"/>
          <w:szCs w:val="24"/>
        </w:rPr>
      </w:pPr>
      <w:r>
        <w:rPr>
          <w:rFonts w:cs="Times New Roman" w:ascii="Times New Roman" w:hAnsi="Times New Roman"/>
          <w:sz w:val="24"/>
          <w:szCs w:val="24"/>
          <w:lang w:eastAsia="sk-SK"/>
        </w:rPr>
        <w:tab/>
        <w:t xml:space="preserve">Obdobne ako v prípade materského sa navrhuje, aby podmienkou nároku na tehotenské bolo získanie aspoň 270 dní nemocenského poistenia v posledných dvoch rokoch ku dňu, od ktorého začína plynúť </w:t>
      </w:r>
      <w:r>
        <w:rPr>
          <w:rFonts w:cs="Times New Roman" w:ascii="Times New Roman" w:hAnsi="Times New Roman"/>
          <w:bCs/>
          <w:iCs/>
          <w:sz w:val="24"/>
          <w:szCs w:val="24"/>
          <w:lang w:eastAsia="sk-SK"/>
        </w:rPr>
        <w:t>27. týždeň pred predpokladaným lekárom určeným dňom pôrodu</w:t>
      </w:r>
      <w:r>
        <w:rPr>
          <w:rFonts w:cs="Times New Roman" w:ascii="Times New Roman" w:hAnsi="Times New Roman"/>
          <w:sz w:val="24"/>
          <w:szCs w:val="24"/>
          <w:lang w:eastAsia="sk-SK"/>
        </w:rPr>
        <w:t>. Uvedené má za cieľ prechádzať účelovým vznikom nemocenského poistenia v záujme získania nároku na tehotenské.</w:t>
      </w:r>
      <w:r>
        <w:rPr>
          <w:rFonts w:cs="Times New Roman" w:ascii="Times New Roman" w:hAnsi="Times New Roman"/>
          <w:sz w:val="24"/>
          <w:szCs w:val="24"/>
        </w:rPr>
        <w:t xml:space="preserve"> </w:t>
      </w:r>
      <w:r>
        <w:rPr>
          <w:rFonts w:cs="Times New Roman" w:ascii="Times New Roman" w:hAnsi="Times New Roman"/>
          <w:sz w:val="24"/>
          <w:szCs w:val="24"/>
          <w:lang w:eastAsia="sk-SK"/>
        </w:rPr>
        <w:t>Rovnako ako pri materskom, aj pri tehotenskom sa navrhuje započítavať do obdobia 270 dní nemocenského poistenia potrebného na vznik nároku aj obdobie prerušenia povinného nemocenského poistenia z dôvodu čerpania rodičovskej dovolenky pri zamestnancovi, ako aj obdobie prerušenia povinného nemocenského poistenia samostatne zárobkovo činnej osoby, ktorá má nárok na rodičovský príspevok a nevykonáva činnosť povinne nemocensky a povinne  dôchodkovo poistenej samostatne zárobkovo činnej osoby. Uvedené sa navrhuje, aby aj v prípade „reťazových pôrodov“ bol zachovaný nárok na tehotenské rovnako ako pri materskom.</w:t>
      </w:r>
    </w:p>
    <w:p>
      <w:pPr>
        <w:pStyle w:val="NoSpacing"/>
        <w:jc w:val="both"/>
        <w:rPr>
          <w:rFonts w:ascii="Times New Roman" w:hAnsi="Times New Roman" w:cs="Times New Roman"/>
          <w:bCs/>
          <w:iCs/>
          <w:sz w:val="24"/>
          <w:szCs w:val="24"/>
          <w:lang w:eastAsia="sk-SK"/>
        </w:rPr>
      </w:pPr>
      <w:r>
        <w:rPr>
          <w:rFonts w:cs="Times New Roman" w:ascii="Times New Roman" w:hAnsi="Times New Roman"/>
          <w:bCs/>
          <w:iCs/>
          <w:sz w:val="24"/>
          <w:szCs w:val="24"/>
          <w:lang w:eastAsia="sk-SK"/>
        </w:rPr>
      </w:r>
    </w:p>
    <w:p>
      <w:pPr>
        <w:pStyle w:val="NoSpacing"/>
        <w:jc w:val="both"/>
        <w:rPr>
          <w:rFonts w:ascii="Times New Roman" w:hAnsi="Times New Roman"/>
          <w:sz w:val="24"/>
          <w:szCs w:val="24"/>
        </w:rPr>
      </w:pPr>
      <w:r>
        <w:rPr>
          <w:rFonts w:cs="Times New Roman" w:ascii="Times New Roman" w:hAnsi="Times New Roman"/>
          <w:bCs/>
          <w:iCs/>
          <w:sz w:val="24"/>
          <w:szCs w:val="24"/>
          <w:lang w:eastAsia="sk-SK"/>
        </w:rPr>
        <w:t>§ 47a ods. 2</w:t>
      </w:r>
    </w:p>
    <w:p>
      <w:pPr>
        <w:pStyle w:val="NoSpacing"/>
        <w:jc w:val="both"/>
        <w:rPr>
          <w:rFonts w:ascii="Times New Roman" w:hAnsi="Times New Roman"/>
          <w:sz w:val="24"/>
          <w:szCs w:val="24"/>
        </w:rPr>
      </w:pPr>
      <w:r>
        <w:rPr>
          <w:rFonts w:cs="Times New Roman" w:ascii="Times New Roman" w:hAnsi="Times New Roman"/>
          <w:sz w:val="24"/>
          <w:szCs w:val="24"/>
          <w:lang w:eastAsia="sk-SK"/>
        </w:rPr>
        <w:tab/>
        <w:t>Navrhuje sa, aby nárok na tehotenské vznikol od prvého dňa 27. týždňa</w:t>
      </w:r>
      <w:r>
        <w:rPr>
          <w:rFonts w:cs="Times New Roman" w:ascii="Times New Roman" w:hAnsi="Times New Roman"/>
          <w:sz w:val="24"/>
          <w:szCs w:val="24"/>
        </w:rPr>
        <w:t xml:space="preserve"> </w:t>
      </w:r>
      <w:r>
        <w:rPr>
          <w:rFonts w:cs="Times New Roman" w:ascii="Times New Roman" w:hAnsi="Times New Roman"/>
          <w:sz w:val="24"/>
          <w:szCs w:val="24"/>
          <w:lang w:eastAsia="sk-SK"/>
        </w:rPr>
        <w:t xml:space="preserve">pred  predpokladaným lekárom určeným dňom pôrodu  a zanikol dňom ukončenia tehotenstva (dňom kedy došlo k potratu alebo k umelému prerušeniu tehotenstva, resp. najneskôr dňom pôrodu).   Podmienka vzniku nároku od  27.  týždňa pred predpokladaným lekárom určeným dňom pôrodu bola navrhnutá s ohľadom na hranicu, do kedy možno v zmysle zákona č. 73/1986 Zb. o umelom prerušení tehotenstva v znení neskorších predpisov vykonať umelé prerušenie tehotenstva, ako aj s ohľadom na častejšie riziko spontánneho potratu počas prvých 12 týždňov tehotenstva. </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sz w:val="24"/>
          <w:szCs w:val="24"/>
          <w:lang w:eastAsia="sk-SK"/>
        </w:rPr>
        <w:tab/>
        <w:t xml:space="preserve">Deň začatia poskytovania tehotenského sa určí odpočítaním 27 týždňov od predpokladaného lekárom určeného dňa pôrodu. Lekárom určený predpokladaný deň pôrodu je inštitút zaužívaný v právnom poriadku. Preto sa navrhuje od neho odvíjať nárok na tehotenské, čím sa sleduje zjednodušenie určenia dňa, od ktorého bude vznikať nárok na tehotenské.  </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bCs/>
          <w:iCs/>
          <w:sz w:val="24"/>
          <w:szCs w:val="24"/>
          <w:lang w:eastAsia="sk-SK"/>
        </w:rPr>
        <w:t>§ 47a ods. 3</w:t>
      </w:r>
    </w:p>
    <w:p>
      <w:pPr>
        <w:pStyle w:val="NoSpacing"/>
        <w:jc w:val="both"/>
        <w:rPr>
          <w:rFonts w:ascii="Times New Roman" w:hAnsi="Times New Roman"/>
          <w:sz w:val="24"/>
          <w:szCs w:val="24"/>
        </w:rPr>
      </w:pPr>
      <w:r>
        <w:rPr>
          <w:rFonts w:cs="Times New Roman" w:ascii="Times New Roman" w:hAnsi="Times New Roman"/>
          <w:bCs/>
          <w:iCs/>
          <w:sz w:val="24"/>
          <w:szCs w:val="24"/>
          <w:lang w:eastAsia="sk-SK"/>
        </w:rPr>
        <w:tab/>
        <w:t xml:space="preserve">Navrhujeme ustanovenie, ktoré umožní poskytovanie tehotenského aj mamičkám, ktoré otehotnejú v čase prerušenia nemocenského poistenia v zásade z dôvodu poberania rodičovského príspevku na skôr narodené dieťa. V spojení s ustanovením odseku 1 sa zabezpečí, aby v prípade „reťazových pôrodov“ vznikol nárok na tehotenské. </w:t>
      </w:r>
    </w:p>
    <w:p>
      <w:pPr>
        <w:pStyle w:val="NoSpacing"/>
        <w:jc w:val="both"/>
        <w:rPr>
          <w:rFonts w:ascii="Times New Roman" w:hAnsi="Times New Roman" w:cs="Times New Roman"/>
          <w:bCs/>
          <w:iCs/>
          <w:sz w:val="24"/>
          <w:szCs w:val="24"/>
          <w:lang w:eastAsia="sk-SK"/>
        </w:rPr>
      </w:pPr>
      <w:r>
        <w:rPr>
          <w:rFonts w:cs="Times New Roman" w:ascii="Times New Roman" w:hAnsi="Times New Roman"/>
          <w:bCs/>
          <w:iCs/>
          <w:sz w:val="24"/>
          <w:szCs w:val="24"/>
          <w:lang w:eastAsia="sk-SK"/>
        </w:rPr>
      </w:r>
    </w:p>
    <w:p>
      <w:pPr>
        <w:pStyle w:val="NoSpacing"/>
        <w:jc w:val="both"/>
        <w:rPr>
          <w:rFonts w:ascii="Times New Roman" w:hAnsi="Times New Roman"/>
          <w:sz w:val="24"/>
          <w:szCs w:val="24"/>
        </w:rPr>
      </w:pPr>
      <w:r>
        <w:rPr>
          <w:rFonts w:cs="Times New Roman" w:ascii="Times New Roman" w:hAnsi="Times New Roman"/>
          <w:bCs/>
          <w:iCs/>
          <w:sz w:val="24"/>
          <w:szCs w:val="24"/>
          <w:lang w:eastAsia="sk-SK"/>
        </w:rPr>
        <w:t>§ 47b</w:t>
      </w:r>
    </w:p>
    <w:p>
      <w:pPr>
        <w:pStyle w:val="NoSpacing"/>
        <w:jc w:val="both"/>
        <w:rPr>
          <w:rFonts w:ascii="Times New Roman" w:hAnsi="Times New Roman"/>
          <w:sz w:val="24"/>
          <w:szCs w:val="24"/>
        </w:rPr>
      </w:pPr>
      <w:r>
        <w:rPr>
          <w:rFonts w:cs="Times New Roman" w:ascii="Times New Roman" w:hAnsi="Times New Roman"/>
          <w:sz w:val="24"/>
          <w:szCs w:val="24"/>
          <w:lang w:eastAsia="sk-SK"/>
        </w:rPr>
        <w:tab/>
        <w:t>Navrhuje sa ustanoviť, aby sa tehotenské, rovnako, ako ostatné dávky nemocenského poistenia, poskytovalo za kalendárne dni.</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bCs/>
          <w:iCs/>
          <w:sz w:val="24"/>
          <w:szCs w:val="24"/>
          <w:lang w:eastAsia="sk-SK"/>
        </w:rPr>
        <w:t xml:space="preserve">§ 47c </w:t>
      </w:r>
    </w:p>
    <w:p>
      <w:pPr>
        <w:pStyle w:val="NoSpacing"/>
        <w:jc w:val="both"/>
        <w:rPr>
          <w:rFonts w:ascii="Times New Roman" w:hAnsi="Times New Roman"/>
          <w:sz w:val="24"/>
          <w:szCs w:val="24"/>
        </w:rPr>
      </w:pPr>
      <w:r>
        <w:rPr>
          <w:rFonts w:cs="Times New Roman" w:ascii="Times New Roman" w:hAnsi="Times New Roman"/>
          <w:sz w:val="24"/>
          <w:szCs w:val="24"/>
          <w:lang w:eastAsia="sk-SK"/>
        </w:rPr>
        <w:tab/>
        <w:t>Výška tehotenského sa navrhuje určiť na úrovni 15 % denného vymeriavacieho základu na určenie výšky nemocenskej dávky (denný vymeriavací základ). Zároveň sa navrhuje, aby výška tehotenského nebola nižšia ako 10 % maximálneho denného vymeriavacieho základu, čo bude v roku 2021 pri 30-dňovom mesiaci predstavovať sumu 215,50 eura. Minimálna výška platí rovnako bez ohľadu na skutočnosť, či nárok na tehotenské vznikol z jedného poistenia alebo z viacerých poistení. Uvedené sa navrhuje ako minimálny štandard zabezpečenia navýšenia príjmu na úhradu zvýšených výdavkov súvisiacich s tehotenstvom.</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b/>
          <w:sz w:val="24"/>
          <w:szCs w:val="24"/>
          <w:lang w:eastAsia="sk-SK"/>
        </w:rPr>
        <w:t>K bodu 4 (§ 54 ods. 5)</w:t>
      </w:r>
    </w:p>
    <w:p>
      <w:pPr>
        <w:pStyle w:val="NoSpacing"/>
        <w:jc w:val="both"/>
        <w:rPr>
          <w:rFonts w:ascii="Times New Roman" w:hAnsi="Times New Roman"/>
          <w:sz w:val="24"/>
          <w:szCs w:val="24"/>
        </w:rPr>
      </w:pPr>
      <w:r>
        <w:rPr>
          <w:rFonts w:cs="Times New Roman" w:ascii="Times New Roman" w:hAnsi="Times New Roman"/>
          <w:sz w:val="24"/>
          <w:szCs w:val="24"/>
          <w:lang w:eastAsia="sk-SK"/>
        </w:rPr>
        <w:tab/>
        <w:t>Ak nárok na tehotenské vznikne poistenkyni, ktorá je z dôvodu tehotenstva alebo materstva preradená na inú, horšie platenú prácu, navrhuje sa určiť sumu tehotenského  z vymeriavacích základov zistených za obdobie pred preradením.</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b/>
          <w:sz w:val="24"/>
          <w:szCs w:val="24"/>
          <w:lang w:eastAsia="sk-SK"/>
        </w:rPr>
        <w:t>K bodom 5 a 6 (§ 156 a § 233)</w:t>
      </w:r>
    </w:p>
    <w:p>
      <w:pPr>
        <w:pStyle w:val="NoSpacing"/>
        <w:jc w:val="both"/>
        <w:rPr>
          <w:rFonts w:ascii="Times New Roman" w:hAnsi="Times New Roman"/>
          <w:sz w:val="24"/>
          <w:szCs w:val="24"/>
        </w:rPr>
      </w:pPr>
      <w:r>
        <w:rPr>
          <w:rFonts w:cs="Times New Roman" w:ascii="Times New Roman" w:hAnsi="Times New Roman"/>
          <w:sz w:val="24"/>
          <w:szCs w:val="24"/>
          <w:lang w:eastAsia="sk-SK"/>
        </w:rPr>
        <w:tab/>
        <w:t>Navrhuje sa zaviesť povinnosť  poskytovateľom zdravotnej starostlivosti potvrdzovať očakávaný deň pôrodu a skončenie tehotenstva na tlačive určenom Sociálnou poisťovňou.  Bez takéhoto ustanovenia by Sociálna poisťovňa nemala právny  základ na získanie informácie o očakávanom dni pôrodu na žiadosti o tehotenské. V súčasnosti má poskytovateľ zdravotnej starostlivosti povinnosť potvrdiť iba dočasnú pracovnú neschopnosť z dôvodu tehotenstva a materstva. Poistenkyne, ktoré si budú chcieť uplatniť nárok na tehotenské, nie sú dočasne práceneschopné.</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ind w:firstLine="708"/>
        <w:jc w:val="both"/>
        <w:rPr>
          <w:rFonts w:ascii="Times New Roman" w:hAnsi="Times New Roman"/>
          <w:sz w:val="24"/>
          <w:szCs w:val="24"/>
        </w:rPr>
      </w:pPr>
      <w:r>
        <w:rPr>
          <w:rFonts w:cs="Times New Roman" w:ascii="Times New Roman" w:hAnsi="Times New Roman"/>
          <w:sz w:val="24"/>
          <w:szCs w:val="24"/>
          <w:lang w:eastAsia="sk-SK"/>
        </w:rPr>
        <w:t xml:space="preserve">Rovnako je na účely tehotenského nevyhnutný údaj  o ukončení tehotenstva,  najmä ak sa tehotenstvo neskončí pôrodom. </w:t>
      </w:r>
    </w:p>
    <w:p>
      <w:pPr>
        <w:pStyle w:val="NoSpacing"/>
        <w:jc w:val="both"/>
        <w:rPr>
          <w:rFonts w:ascii="Times New Roman" w:hAnsi="Times New Roman" w:cs="Times New Roman"/>
          <w:sz w:val="24"/>
          <w:szCs w:val="24"/>
          <w:lang w:eastAsia="sk-SK"/>
        </w:rPr>
      </w:pPr>
      <w:r>
        <w:rPr>
          <w:rFonts w:cs="Times New Roman" w:ascii="Times New Roman" w:hAnsi="Times New Roman"/>
          <w:sz w:val="24"/>
          <w:szCs w:val="24"/>
          <w:lang w:eastAsia="sk-SK"/>
        </w:rPr>
      </w:r>
    </w:p>
    <w:p>
      <w:pPr>
        <w:pStyle w:val="NoSpacing"/>
        <w:jc w:val="both"/>
        <w:rPr>
          <w:rFonts w:ascii="Times New Roman" w:hAnsi="Times New Roman"/>
          <w:sz w:val="24"/>
          <w:szCs w:val="24"/>
        </w:rPr>
      </w:pPr>
      <w:r>
        <w:rPr>
          <w:rFonts w:cs="Times New Roman" w:ascii="Times New Roman" w:hAnsi="Times New Roman"/>
          <w:b/>
          <w:sz w:val="24"/>
          <w:szCs w:val="24"/>
          <w:lang w:eastAsia="sk-SK"/>
        </w:rPr>
        <w:t>K bodu 7 (prechodné ustanovenie § 293ff)</w:t>
      </w:r>
    </w:p>
    <w:p>
      <w:pPr>
        <w:pStyle w:val="NoSpacing"/>
        <w:jc w:val="both"/>
        <w:rPr>
          <w:rFonts w:ascii="Times New Roman" w:hAnsi="Times New Roman"/>
          <w:sz w:val="24"/>
          <w:szCs w:val="24"/>
        </w:rPr>
      </w:pPr>
      <w:r>
        <w:rPr>
          <w:rFonts w:cs="Times New Roman" w:ascii="Times New Roman" w:hAnsi="Times New Roman"/>
          <w:sz w:val="24"/>
          <w:szCs w:val="24"/>
          <w:lang w:eastAsia="sk-SK"/>
        </w:rPr>
        <w:tab/>
        <w:t xml:space="preserve">Navrhuje sa, aby od účinnosti právnej úpravy priznávania novej dávky tehotenského vznikol nárok na túto dávku aj tehotným mamičkám, ktoré sú v čase nadobudnutia účinnosti novely vo vyššom štádiu tehotenstva, ako vyžaduje zákon, ale k tomuto dňu spĺňajú všetky podmienky na vznik nároku na tehotenské. Ich nárok na základe žiadosti o tehotenské Sociálna poisťovňa posúdi a určí výšku tehotenského nie k prvému dňu 27. týždňa pred lekárom určeným predpokladaným dňom pôrodu, ale ku dňu účinnosti zákona, ktorým bude tehotenské zavedené do právneho poriadku SR. </w:t>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contextualSpacing/>
        <w:jc w:val="both"/>
        <w:rPr>
          <w:rFonts w:ascii="Times New Roman" w:hAnsi="Times New Roman"/>
          <w:sz w:val="24"/>
          <w:szCs w:val="24"/>
        </w:rPr>
      </w:pPr>
      <w:r>
        <w:rPr>
          <w:rFonts w:ascii="Times New Roman" w:hAnsi="Times New Roman"/>
          <w:b/>
          <w:sz w:val="24"/>
          <w:szCs w:val="24"/>
          <w:u w:val="single"/>
        </w:rPr>
        <w:t>K čl. II (novela zákona č. 131/2002 Z. z. o vysokých školách)</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b/>
          <w:sz w:val="24"/>
          <w:szCs w:val="24"/>
        </w:rPr>
        <w:t>K bodom 1 až 4</w:t>
      </w:r>
    </w:p>
    <w:p>
      <w:pPr>
        <w:pStyle w:val="NoSpacing"/>
        <w:jc w:val="both"/>
        <w:rPr>
          <w:rFonts w:ascii="Times New Roman" w:hAnsi="Times New Roman"/>
          <w:sz w:val="24"/>
          <w:szCs w:val="24"/>
        </w:rPr>
      </w:pPr>
      <w:r>
        <w:rPr>
          <w:rFonts w:cs="Times New Roman" w:ascii="Times New Roman" w:hAnsi="Times New Roman"/>
          <w:sz w:val="24"/>
          <w:szCs w:val="24"/>
        </w:rPr>
        <w:tab/>
        <w:t>Vzhľadom na to, že novonavrhované štipendium sa má poskytovať z prostriedkov štátneho rozpočtu, je potrebné ho zahrnúť do dotácie na sociálnu podporu študentov a následne aj do štipendijného fondu vysokej školy, keďže sú v nich zohľadňované aj ostatné štipendiá poskytované z prostriedkov štátneho rozpočtu. Zároveň je potrebné jeho poskytovanie evidovať aj v registri študentov.</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b/>
          <w:sz w:val="24"/>
          <w:szCs w:val="24"/>
        </w:rPr>
        <w:t>K bodu 5</w:t>
      </w:r>
    </w:p>
    <w:p>
      <w:pPr>
        <w:pStyle w:val="NoSpacing"/>
        <w:jc w:val="both"/>
        <w:rPr>
          <w:rFonts w:ascii="Times New Roman" w:hAnsi="Times New Roman"/>
          <w:sz w:val="24"/>
          <w:szCs w:val="24"/>
        </w:rPr>
      </w:pPr>
      <w:r>
        <w:rPr>
          <w:rFonts w:cs="Times New Roman" w:ascii="Times New Roman" w:hAnsi="Times New Roman"/>
          <w:sz w:val="24"/>
          <w:szCs w:val="24"/>
        </w:rPr>
        <w:tab/>
        <w:t>V nadväznosti na návrh poskytovania tehotenského príspevku sa obdobným spôsobom navrhuje poskytovanie tehotenského štipendia, t.j. od začiatku 27. týždňa pred očakávaným dňom pôrodu určeným lekárom (t.j. od skončenia 12. týždňa tehotenstva) mesačne 200 eur. Zároveň vzhľadom na možnú potrebu úpravy výšky príspevku sa navrhuje, aby výšku príspevku mohla meniť vláda nariadením (obdobne ako sa menia sumy životného minima opatrením).</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Okruhom oprávnených sú všetky tehotné študentky, bez ohľadu na formu štúdia a stupeň štúdia, ako aj bez ohľadu na to, či ide o verejnú, štátnu alebo súkromnú vysokú školu.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Tehotenské štipendium sa navrhuje priznávať a poskytovať obdobným mechanizmom ako sociálne štipendiá s jedným rozdielom – navrhuje sa, aby sa na jeho priznávanie nevzťahoval správny poriadok (t.j. rovnako, ako pri motivačných štipendiách).</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Zároveň sa navrhuje, aby nedochádzalo k súbežnému poskytovaniu tehotenského štipendia a tehotenského (vyplácaného Sociálnou poisťovňou).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ascii="Times New Roman" w:hAnsi="Times New Roman"/>
          <w:b/>
          <w:sz w:val="24"/>
          <w:szCs w:val="24"/>
          <w:u w:val="single"/>
        </w:rPr>
        <w:t>K čl. III (novela zákona č. 328/2002 Z. z. o sociálnom zabezpečení policajtov a vojakov)</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V systéme sociálneho zabezpečenia policajtov a vojakov sa zavádza „tehotenské“ ako nový druh dávky nemocenského zabezpečenia pre policajtky a profesionálne vojačky vo výške 200 eur mesačne. Jej účelom je, podobne ako v prípade obdobnej dávky podľa zákona č. 461/2003 Z. z. o sociálnom poistení v znení neskorších predpisov, zabezpečenie príjmu na úhradu zvýšených výdavkov spojených s tehotenstvom, akými sú napr. strava, ošatenie, zdravotná starostlivosť a riešenie problematiky demografického vývoja. Výpočet predpokladaných nákladov na výplatu tehotenského vychádza z priemerného počtu tehotných profesionálnych vojačiek v roku 2019 (105), pričom sa očakáva, že dávku bude profesionálna vojačka poberať 5 ukončených mesiacov.</w:t>
      </w:r>
    </w:p>
    <w:p>
      <w:pPr>
        <w:pStyle w:val="NoSpacing"/>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0"/>
        <w:contextualSpacing/>
        <w:jc w:val="both"/>
        <w:rPr>
          <w:rFonts w:ascii="Times New Roman" w:hAnsi="Times New Roman"/>
          <w:sz w:val="24"/>
          <w:szCs w:val="24"/>
        </w:rPr>
      </w:pPr>
      <w:r>
        <w:rPr>
          <w:rFonts w:ascii="Times New Roman" w:hAnsi="Times New Roman"/>
          <w:b/>
          <w:sz w:val="24"/>
          <w:szCs w:val="24"/>
          <w:u w:val="single"/>
        </w:rPr>
        <w:t>K čl. IV (novela zákona č. 245/2008 Z. z. o výchove a vzdelávaní (školský zákon)</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sz w:val="24"/>
          <w:szCs w:val="24"/>
        </w:rPr>
      </w:pPr>
      <w:r>
        <w:rPr>
          <w:rFonts w:cs="Times New Roman" w:ascii="Times New Roman" w:hAnsi="Times New Roman"/>
          <w:b/>
          <w:sz w:val="24"/>
          <w:szCs w:val="24"/>
        </w:rPr>
        <w:t>K bodu 1</w:t>
      </w:r>
    </w:p>
    <w:p>
      <w:pPr>
        <w:pStyle w:val="NoSpacing"/>
        <w:jc w:val="both"/>
        <w:rPr>
          <w:rFonts w:ascii="Times New Roman" w:hAnsi="Times New Roman"/>
          <w:sz w:val="24"/>
          <w:szCs w:val="24"/>
        </w:rPr>
      </w:pPr>
      <w:r>
        <w:rPr>
          <w:rFonts w:cs="Times New Roman" w:ascii="Times New Roman" w:hAnsi="Times New Roman"/>
          <w:sz w:val="24"/>
          <w:szCs w:val="24"/>
        </w:rPr>
        <w:tab/>
        <w:t>Vzhľadom na to, že na policajné školy sa nevzťahuje § 149 zákona č. 245/2008 Z. z., t.j. ustanovenie o doterajších „stredoškolských“ štipendiách, navrhuje sa toto obmedzenie zachovať aj pri novonavrhovanom štipendium.</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Iná situácia platí pri školách požiarnej ochrany, na ktoré sa ustanovenie o doterajších štipendiách vzťahuje primerane. Preto sa navrhuje rovnaký prístup aj pri novonavrhovanom štipendiu.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b/>
          <w:sz w:val="24"/>
          <w:szCs w:val="24"/>
        </w:rPr>
        <w:t>K bodu 2</w:t>
      </w:r>
    </w:p>
    <w:p>
      <w:pPr>
        <w:pStyle w:val="NoSpacing"/>
        <w:jc w:val="both"/>
        <w:rPr>
          <w:rFonts w:ascii="Times New Roman" w:hAnsi="Times New Roman"/>
          <w:sz w:val="24"/>
          <w:szCs w:val="24"/>
        </w:rPr>
      </w:pPr>
      <w:r>
        <w:rPr>
          <w:rFonts w:cs="Times New Roman" w:ascii="Times New Roman" w:hAnsi="Times New Roman"/>
          <w:sz w:val="24"/>
          <w:szCs w:val="24"/>
        </w:rPr>
        <w:tab/>
        <w:t xml:space="preserve">V nadväznosti na návrh poskytovania tehotenského príspevku sa obdobným spôsobom navrhuje poskytovanie tehotenského štipendia, t.j. od začiatku 27. týždňa pred očakávaným dňom pôrodu určeným lekárom (t.j. od skončenia 12. týždňa tehotenstva) mesačne 200 eur.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Zároveň vzhľadom na možnú potrebu úpravy výšky sa navrhuje, aby výšku mohla meniť vláda nariadením (obdobne ako sa menia sumy životného minima opatrením).</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Okruhom oprávnených sú tehotné žiačky stredných škôl po dovŕšení 18. roku veku, bez ohľadu na formu štúdia, ako aj bez ohľadu na to, kto je zriaďovateľom strednej školy.</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Tehotenské štipendium sa navrhuje priznávať a poskytovať obdobným mechanizmom ako študentkám vysokých škôl s tým, že rozhodovať bude riaditeľ školy. Keďže pri rozhodovaní riaditeľa strednej školy o priznaní štipendia podľa § 149 zákona č. 245/2008 Z. z. sa postupuje podľa Správneho poriadku, navrhuje sa zachovanie tohto princípu aj pri rozhodovaní o tehotenskom štipendiu.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cs="Times New Roman" w:ascii="Times New Roman" w:hAnsi="Times New Roman"/>
          <w:sz w:val="24"/>
          <w:szCs w:val="24"/>
        </w:rPr>
        <w:tab/>
        <w:t>Zároveň sa navrhuje, aby nedochádzalo k súbežnému poskytovaniu tehotenského štipendia a tehotenského (vyplácaného Sociálnou poisťovňou).</w:t>
      </w:r>
    </w:p>
    <w:p>
      <w:pPr>
        <w:pStyle w:val="Normal"/>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ascii="Times New Roman" w:hAnsi="Times New Roman"/>
          <w:b/>
          <w:sz w:val="24"/>
          <w:szCs w:val="24"/>
          <w:u w:val="single"/>
        </w:rPr>
        <w:t>K čl. V (novela zákon č. 467/2019 Z. z., ktorým sa mení a dopĺňa zákon č. 461/2003 Z. z. o sociálnom poistení v znení neskorších predpisov a ktorým sa menia a dopĺňajú niektoré zákony)</w:t>
      </w:r>
    </w:p>
    <w:p>
      <w:pPr>
        <w:pStyle w:val="Normal"/>
        <w:spacing w:lineRule="auto" w:line="240" w:before="0" w:after="0"/>
        <w:contextualSpacing/>
        <w:jc w:val="both"/>
        <w:rPr>
          <w:rFonts w:ascii="Times New Roman" w:hAnsi="Times New Roman"/>
          <w:b/>
          <w:b/>
          <w:sz w:val="24"/>
          <w:szCs w:val="24"/>
          <w:u w:val="single"/>
        </w:rPr>
      </w:pPr>
      <w:r>
        <w:rPr>
          <w:rFonts w:ascii="Times New Roman" w:hAnsi="Times New Roman"/>
          <w:b/>
          <w:sz w:val="24"/>
          <w:szCs w:val="24"/>
          <w:u w:val="single"/>
        </w:rPr>
      </w:r>
    </w:p>
    <w:p>
      <w:pPr>
        <w:pStyle w:val="Telotextu"/>
        <w:rPr>
          <w:rFonts w:ascii="Times New Roman" w:hAnsi="Times New Roman"/>
          <w:sz w:val="24"/>
          <w:szCs w:val="24"/>
        </w:rPr>
      </w:pPr>
      <w:r>
        <w:rPr>
          <w:rFonts w:ascii="Times New Roman" w:hAnsi="Times New Roman"/>
          <w:sz w:val="24"/>
          <w:szCs w:val="24"/>
        </w:rPr>
        <w:tab/>
        <w:t>Navrhuje sa posunutie účinnosti právnej úpravy poskytovania tzv. dlhodobého ošetrovného, právnej úpravy predĺženia poskytovania tzv. krátkodobého ošetrovného z doterajších 10 na 14 dní a právnej úpravy prerušenia povinného poistenia a odpustenia povinnosti zaplatiť poistné z dôvodu potreby ošetrovania, a to z 1. januára 2021 na 1. apríl 2021.</w:t>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b/>
          <w:sz w:val="24"/>
          <w:szCs w:val="24"/>
          <w:u w:val="single"/>
        </w:rPr>
        <w:t>K čl. VI (účinnosť)</w:t>
      </w:r>
    </w:p>
    <w:p>
      <w:pPr>
        <w:pStyle w:val="Telotextu"/>
        <w:rPr>
          <w:rFonts w:ascii="Times New Roman" w:hAnsi="Times New Roman"/>
          <w:b/>
          <w:b/>
          <w:sz w:val="24"/>
          <w:szCs w:val="24"/>
        </w:rPr>
      </w:pPr>
      <w:r>
        <w:rPr>
          <w:rFonts w:ascii="Times New Roman" w:hAnsi="Times New Roman"/>
          <w:b/>
          <w:sz w:val="24"/>
          <w:szCs w:val="24"/>
        </w:rPr>
      </w:r>
    </w:p>
    <w:p>
      <w:pPr>
        <w:pStyle w:val="Telotextu"/>
        <w:rPr>
          <w:rFonts w:ascii="Times New Roman" w:hAnsi="Times New Roman"/>
          <w:sz w:val="24"/>
          <w:szCs w:val="24"/>
        </w:rPr>
      </w:pPr>
      <w:r>
        <w:rPr>
          <w:rFonts w:ascii="Times New Roman" w:hAnsi="Times New Roman"/>
          <w:sz w:val="24"/>
          <w:szCs w:val="24"/>
        </w:rPr>
        <w:tab/>
        <w:t>Navrhuje sa, aby návrh zákona nadobudol účinnosť 31. decembra 2020 okrem čl. I až IV, obsahujúcich právnu úpravu tehotenského, resp. tehotenského štipendia, ktorých účinnosť sa navrhuje od 1. apríla 2021.</w:t>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pStyle w:val="Telotextu"/>
        <w:rPr>
          <w:rFonts w:ascii="Times New Roman" w:hAnsi="Times New Roman"/>
          <w:sz w:val="24"/>
          <w:szCs w:val="24"/>
        </w:rPr>
      </w:pPr>
      <w:r>
        <w:rPr>
          <w:rFonts w:ascii="Times New Roman" w:hAnsi="Times New Roman"/>
          <w:sz w:val="24"/>
          <w:szCs w:val="24"/>
        </w:rPr>
      </w:r>
    </w:p>
    <w:p>
      <w:pPr>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096"/>
        </w:sectPr>
        <w:pStyle w:val="Telotextu"/>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caps/>
          <w:spacing w:val="30"/>
          <w:sz w:val="24"/>
          <w:szCs w:val="24"/>
        </w:rPr>
        <w:t>Doložka zlučiteľnosti</w:t>
      </w:r>
    </w:p>
    <w:p>
      <w:pPr>
        <w:pStyle w:val="Normal"/>
        <w:jc w:val="center"/>
        <w:rPr>
          <w:rFonts w:ascii="Times New Roman" w:hAnsi="Times New Roman"/>
          <w:sz w:val="24"/>
          <w:szCs w:val="24"/>
        </w:rPr>
      </w:pPr>
      <w:r>
        <w:rPr>
          <w:rFonts w:ascii="Times New Roman" w:hAnsi="Times New Roman"/>
          <w:b/>
          <w:sz w:val="24"/>
          <w:szCs w:val="24"/>
        </w:rPr>
        <w:t>návrhu zákona s právom Európskej únie</w:t>
      </w:r>
    </w:p>
    <w:p>
      <w:pPr>
        <w:pStyle w:val="Normal"/>
        <w:ind w:left="425" w:hanging="0"/>
        <w:jc w:val="center"/>
        <w:rPr>
          <w:rFonts w:ascii="Times New Roman" w:hAnsi="Times New Roman"/>
          <w:b/>
          <w:b/>
          <w:sz w:val="24"/>
          <w:szCs w:val="24"/>
        </w:rPr>
      </w:pPr>
      <w:r>
        <w:rPr>
          <w:rFonts w:ascii="Times New Roman" w:hAnsi="Times New Roman"/>
          <w:b/>
          <w:sz w:val="24"/>
          <w:szCs w:val="24"/>
        </w:rPr>
      </w:r>
    </w:p>
    <w:p>
      <w:pPr>
        <w:pStyle w:val="Normal"/>
        <w:widowControl/>
        <w:numPr>
          <w:ilvl w:val="0"/>
          <w:numId w:val="1"/>
        </w:numPr>
        <w:jc w:val="both"/>
        <w:rPr>
          <w:rFonts w:ascii="Times New Roman" w:hAnsi="Times New Roman"/>
          <w:sz w:val="24"/>
          <w:szCs w:val="24"/>
        </w:rPr>
      </w:pPr>
      <w:r>
        <w:rPr>
          <w:rFonts w:ascii="Times New Roman" w:hAnsi="Times New Roman"/>
          <w:b/>
          <w:bCs/>
          <w:sz w:val="24"/>
          <w:szCs w:val="24"/>
        </w:rPr>
        <w:t>Navrhovateľ zákona:</w:t>
      </w:r>
      <w:r>
        <w:rPr>
          <w:rFonts w:ascii="Times New Roman" w:hAnsi="Times New Roman"/>
          <w:sz w:val="24"/>
          <w:szCs w:val="24"/>
        </w:rPr>
        <w:t xml:space="preserve"> </w:t>
      </w:r>
      <w:bookmarkStart w:id="1" w:name="_GoBack1"/>
      <w:bookmarkEnd w:id="1"/>
      <w:r>
        <w:rPr>
          <w:rFonts w:ascii="Times New Roman" w:hAnsi="Times New Roman"/>
          <w:sz w:val="24"/>
          <w:szCs w:val="24"/>
        </w:rPr>
        <w:t>poslanci Národnej rady Slovenskej republiky Michal Šipoš, Anna Andrejuvová, Lucia Drábiková, Anna Mierna a Marek Šefčík</w:t>
      </w:r>
    </w:p>
    <w:p>
      <w:pPr>
        <w:pStyle w:val="Normal"/>
        <w:jc w:val="both"/>
        <w:rPr>
          <w:rFonts w:ascii="Times New Roman" w:hAnsi="Times New Roman"/>
          <w:bCs/>
          <w:sz w:val="24"/>
          <w:szCs w:val="24"/>
        </w:rPr>
      </w:pPr>
      <w:r>
        <w:rPr>
          <w:rFonts w:ascii="Times New Roman" w:hAnsi="Times New Roman"/>
          <w:bCs/>
          <w:sz w:val="24"/>
          <w:szCs w:val="24"/>
        </w:rPr>
      </w:r>
    </w:p>
    <w:p>
      <w:pPr>
        <w:pStyle w:val="Normal"/>
        <w:widowControl/>
        <w:numPr>
          <w:ilvl w:val="0"/>
          <w:numId w:val="1"/>
        </w:numPr>
        <w:jc w:val="both"/>
        <w:rPr>
          <w:rFonts w:ascii="Times New Roman" w:hAnsi="Times New Roman"/>
          <w:sz w:val="24"/>
          <w:szCs w:val="24"/>
        </w:rPr>
      </w:pPr>
      <w:r>
        <w:rPr>
          <w:rFonts w:ascii="Times New Roman" w:hAnsi="Times New Roman"/>
          <w:b/>
          <w:bCs/>
          <w:sz w:val="24"/>
          <w:szCs w:val="24"/>
        </w:rPr>
        <w:t xml:space="preserve">Názov návrhu zákona: </w:t>
      </w:r>
      <w:r>
        <w:rPr>
          <w:rFonts w:ascii="Times New Roman" w:hAnsi="Times New Roman"/>
          <w:sz w:val="24"/>
          <w:szCs w:val="24"/>
        </w:rPr>
        <w:t>Návrh zákona, ktorým sa mení a dopĺňa zákon č. 461/2003 Z. z. o sociálnom poistení v znení neskorších predpisov a ktorým sa menia a dopĺňajú niektoré zákony</w:t>
      </w:r>
    </w:p>
    <w:p>
      <w:pPr>
        <w:pStyle w:val="Normal"/>
        <w:widowControl/>
        <w:jc w:val="both"/>
        <w:rPr>
          <w:rFonts w:ascii="Times New Roman" w:hAnsi="Times New Roman"/>
          <w:sz w:val="24"/>
          <w:szCs w:val="24"/>
        </w:rPr>
      </w:pPr>
      <w:r>
        <w:rPr>
          <w:rFonts w:ascii="Times New Roman" w:hAnsi="Times New Roman"/>
          <w:sz w:val="24"/>
          <w:szCs w:val="24"/>
        </w:rPr>
      </w:r>
    </w:p>
    <w:p>
      <w:pPr>
        <w:pStyle w:val="Normal"/>
        <w:widowControl/>
        <w:numPr>
          <w:ilvl w:val="0"/>
          <w:numId w:val="1"/>
        </w:numPr>
        <w:jc w:val="both"/>
        <w:rPr>
          <w:rFonts w:ascii="Times New Roman" w:hAnsi="Times New Roman"/>
          <w:sz w:val="24"/>
          <w:szCs w:val="24"/>
        </w:rPr>
      </w:pPr>
      <w:r>
        <w:rPr>
          <w:rFonts w:ascii="Times New Roman" w:hAnsi="Times New Roman"/>
          <w:b/>
          <w:bCs/>
          <w:sz w:val="24"/>
          <w:szCs w:val="24"/>
        </w:rPr>
        <w:t>Predmet návrhu zákona je upravený v práve Európskej únie:</w:t>
      </w:r>
    </w:p>
    <w:p>
      <w:pPr>
        <w:pStyle w:val="Telotextu"/>
        <w:numPr>
          <w:ilvl w:val="1"/>
          <w:numId w:val="1"/>
        </w:numPr>
        <w:spacing w:before="0" w:after="0"/>
        <w:rPr>
          <w:rFonts w:ascii="Times New Roman" w:hAnsi="Times New Roman"/>
          <w:sz w:val="24"/>
          <w:szCs w:val="24"/>
        </w:rPr>
      </w:pPr>
      <w:r>
        <w:rPr>
          <w:rFonts w:ascii="Times New Roman" w:hAnsi="Times New Roman"/>
          <w:sz w:val="24"/>
          <w:szCs w:val="24"/>
        </w:rPr>
        <w:t>v primárnom práve, a to</w:t>
      </w:r>
    </w:p>
    <w:p>
      <w:pPr>
        <w:pStyle w:val="Telotextu"/>
        <w:spacing w:before="0" w:after="0"/>
        <w:ind w:left="850" w:hanging="0"/>
        <w:jc w:val="both"/>
        <w:rPr>
          <w:rFonts w:ascii="Times New Roman" w:hAnsi="Times New Roman"/>
          <w:sz w:val="24"/>
          <w:szCs w:val="24"/>
        </w:rPr>
      </w:pPr>
      <w:r>
        <w:rPr>
          <w:rFonts w:ascii="Times New Roman" w:hAnsi="Times New Roman"/>
          <w:i/>
          <w:sz w:val="24"/>
          <w:szCs w:val="24"/>
        </w:rPr>
        <w:t>čl. 8, 9, 107, 108, 151 a 153 Zmluvy o fungovaní Európskej únie (Ú. v. ES C 202, 7. 6. 2016)</w:t>
      </w:r>
    </w:p>
    <w:p>
      <w:pPr>
        <w:pStyle w:val="Telotextu"/>
        <w:spacing w:before="0" w:after="0"/>
        <w:ind w:left="850" w:hanging="0"/>
        <w:jc w:val="both"/>
        <w:rPr>
          <w:rFonts w:ascii="Times New Roman" w:hAnsi="Times New Roman"/>
          <w:sz w:val="24"/>
          <w:szCs w:val="24"/>
        </w:rPr>
      </w:pPr>
      <w:r>
        <w:rPr>
          <w:rFonts w:ascii="Times New Roman" w:hAnsi="Times New Roman"/>
          <w:i/>
          <w:sz w:val="24"/>
          <w:szCs w:val="24"/>
        </w:rPr>
        <w:t>čl. 3 ods. 3 a čl. 6 Zmluvy o Európskej únii (Ú. v. ES C 202, 7.6.2016)</w:t>
      </w:r>
    </w:p>
    <w:p>
      <w:pPr>
        <w:pStyle w:val="Telotextu"/>
        <w:spacing w:before="0" w:after="0"/>
        <w:ind w:left="850" w:hanging="0"/>
        <w:jc w:val="both"/>
        <w:rPr>
          <w:rFonts w:ascii="Times New Roman" w:hAnsi="Times New Roman"/>
          <w:sz w:val="24"/>
          <w:szCs w:val="24"/>
        </w:rPr>
      </w:pPr>
      <w:r>
        <w:rPr>
          <w:rFonts w:ascii="Times New Roman" w:hAnsi="Times New Roman"/>
          <w:i/>
          <w:sz w:val="24"/>
          <w:szCs w:val="24"/>
        </w:rPr>
        <w:t xml:space="preserve">čl. 21, 23, 24, 33 a 34 Charty základných práv Európskej únie (Ú. v. ES C 202, 7.6.2016) a </w:t>
      </w:r>
    </w:p>
    <w:p>
      <w:pPr>
        <w:pStyle w:val="Telotextu"/>
        <w:numPr>
          <w:ilvl w:val="1"/>
          <w:numId w:val="1"/>
        </w:numPr>
        <w:spacing w:before="0" w:after="0"/>
        <w:rPr>
          <w:rFonts w:ascii="Times New Roman" w:hAnsi="Times New Roman"/>
          <w:sz w:val="24"/>
          <w:szCs w:val="24"/>
        </w:rPr>
      </w:pPr>
      <w:r>
        <w:rPr>
          <w:rFonts w:ascii="Times New Roman" w:hAnsi="Times New Roman"/>
          <w:sz w:val="24"/>
          <w:szCs w:val="24"/>
        </w:rPr>
        <w:t xml:space="preserve">v sekundárnom práve, a to  </w:t>
      </w:r>
    </w:p>
    <w:p>
      <w:pPr>
        <w:pStyle w:val="Telotextu"/>
        <w:numPr>
          <w:ilvl w:val="0"/>
          <w:numId w:val="2"/>
        </w:numPr>
        <w:spacing w:before="0" w:after="0"/>
        <w:ind w:left="1210" w:hanging="360"/>
        <w:jc w:val="both"/>
        <w:rPr>
          <w:rFonts w:ascii="Times New Roman" w:hAnsi="Times New Roman"/>
          <w:sz w:val="24"/>
          <w:szCs w:val="24"/>
        </w:rPr>
      </w:pPr>
      <w:r>
        <w:rPr>
          <w:rFonts w:ascii="Times New Roman" w:hAnsi="Times New Roman"/>
          <w:i/>
          <w:sz w:val="24"/>
          <w:szCs w:val="24"/>
        </w:rPr>
        <w:t>Nariadenie (ES) Európskeho parlamentu a Rady 883/2004 z 29. apríla 2004 o koordinácii systémov sociálneho zabezpečenia (Ú. v. EÚ L 166, 30.4.2004; Mimoriadne vydanie Ú. v. EÚ, kap. 5/zv. 5) v platnom znení, gestor: MPSVaR SR,</w:t>
      </w:r>
    </w:p>
    <w:p>
      <w:pPr>
        <w:pStyle w:val="Telotextu"/>
        <w:numPr>
          <w:ilvl w:val="0"/>
          <w:numId w:val="2"/>
        </w:numPr>
        <w:spacing w:before="0" w:after="0"/>
        <w:ind w:left="1210" w:hanging="360"/>
        <w:jc w:val="both"/>
        <w:rPr>
          <w:rFonts w:ascii="Times New Roman" w:hAnsi="Times New Roman"/>
          <w:sz w:val="24"/>
          <w:szCs w:val="24"/>
        </w:rPr>
      </w:pPr>
      <w:r>
        <w:rPr>
          <w:rFonts w:ascii="Times New Roman" w:hAnsi="Times New Roman"/>
          <w:i/>
          <w:sz w:val="24"/>
          <w:szCs w:val="24"/>
        </w:rPr>
        <w:t>Nariadenie Európskeho parlamentu a Rady (ES) č. 987/2009 zo 16. septembra 2009, ktorým sa stanovuje postup vykonávania nariadenia (ES) č. 883/2004 o koordinácii systémov sociálneho zabezpečenia (Ú. v. EÚ L 284, 30.10.2009) v platnom znení, gestor: MPSVaR SR,</w:t>
      </w:r>
    </w:p>
    <w:p>
      <w:pPr>
        <w:pStyle w:val="Telotextu"/>
        <w:numPr>
          <w:ilvl w:val="1"/>
          <w:numId w:val="1"/>
        </w:numPr>
        <w:spacing w:before="0" w:after="0"/>
        <w:ind w:left="896" w:hanging="425"/>
        <w:jc w:val="both"/>
        <w:rPr>
          <w:rFonts w:ascii="Times New Roman" w:hAnsi="Times New Roman"/>
          <w:sz w:val="24"/>
          <w:szCs w:val="24"/>
        </w:rPr>
      </w:pPr>
      <w:r>
        <w:rPr>
          <w:rFonts w:ascii="Times New Roman" w:hAnsi="Times New Roman"/>
          <w:sz w:val="24"/>
          <w:szCs w:val="24"/>
        </w:rPr>
        <w:t xml:space="preserve">judikatúre Súdneho dvora Európskej únie </w:t>
      </w:r>
    </w:p>
    <w:p>
      <w:pPr>
        <w:pStyle w:val="Normal"/>
        <w:ind w:left="896" w:hanging="0"/>
        <w:jc w:val="both"/>
        <w:rPr>
          <w:rFonts w:ascii="Times New Roman" w:hAnsi="Times New Roman"/>
          <w:sz w:val="24"/>
          <w:szCs w:val="24"/>
        </w:rPr>
      </w:pPr>
      <w:r>
        <w:rPr>
          <w:rFonts w:ascii="Times New Roman" w:hAnsi="Times New Roman"/>
          <w:i/>
          <w:sz w:val="24"/>
          <w:szCs w:val="24"/>
        </w:rPr>
        <w:t>nie je upravená.</w:t>
      </w:r>
    </w:p>
    <w:p>
      <w:pPr>
        <w:pStyle w:val="Normal"/>
        <w:jc w:val="both"/>
        <w:rPr>
          <w:rFonts w:ascii="Times New Roman" w:hAnsi="Times New Roman"/>
          <w:sz w:val="24"/>
          <w:szCs w:val="24"/>
        </w:rPr>
      </w:pPr>
      <w:r>
        <w:rPr>
          <w:rFonts w:ascii="Times New Roman" w:hAnsi="Times New Roman"/>
          <w:sz w:val="24"/>
          <w:szCs w:val="24"/>
        </w:rPr>
      </w:r>
    </w:p>
    <w:p>
      <w:pPr>
        <w:pStyle w:val="Normal"/>
        <w:widowControl/>
        <w:numPr>
          <w:ilvl w:val="0"/>
          <w:numId w:val="1"/>
        </w:numPr>
        <w:tabs>
          <w:tab w:val="clear" w:pos="708"/>
          <w:tab w:val="left" w:pos="340" w:leader="none"/>
        </w:tabs>
        <w:jc w:val="both"/>
        <w:rPr>
          <w:rFonts w:ascii="Times New Roman" w:hAnsi="Times New Roman"/>
          <w:sz w:val="24"/>
          <w:szCs w:val="24"/>
        </w:rPr>
      </w:pPr>
      <w:r>
        <w:rPr>
          <w:rFonts w:ascii="Times New Roman" w:hAnsi="Times New Roman"/>
          <w:b/>
          <w:bCs/>
          <w:sz w:val="24"/>
          <w:szCs w:val="24"/>
        </w:rPr>
        <w:t>Záväzky Slovenskej republiky vo vzťahu k Európskej únii:</w:t>
      </w:r>
    </w:p>
    <w:p>
      <w:pPr>
        <w:pStyle w:val="Normal"/>
        <w:tabs>
          <w:tab w:val="clear" w:pos="708"/>
          <w:tab w:val="left" w:pos="340" w:leader="none"/>
        </w:tabs>
        <w:ind w:left="425" w:hanging="0"/>
        <w:jc w:val="both"/>
        <w:rPr>
          <w:rFonts w:ascii="Times New Roman" w:hAnsi="Times New Roman"/>
          <w:b/>
          <w:b/>
          <w:bCs/>
          <w:sz w:val="24"/>
          <w:szCs w:val="24"/>
        </w:rPr>
      </w:pPr>
      <w:r>
        <w:rPr>
          <w:rFonts w:ascii="Times New Roman" w:hAnsi="Times New Roman"/>
          <w:b/>
          <w:bCs/>
          <w:sz w:val="24"/>
          <w:szCs w:val="24"/>
        </w:rPr>
      </w:r>
    </w:p>
    <w:p>
      <w:pPr>
        <w:pStyle w:val="Telotextu"/>
        <w:numPr>
          <w:ilvl w:val="1"/>
          <w:numId w:val="1"/>
        </w:numPr>
        <w:tabs>
          <w:tab w:val="clear" w:pos="708"/>
          <w:tab w:val="left" w:pos="360" w:leader="none"/>
        </w:tabs>
        <w:spacing w:before="0" w:after="0"/>
        <w:jc w:val="both"/>
        <w:rPr>
          <w:rFonts w:ascii="Times New Roman" w:hAnsi="Times New Roman"/>
          <w:sz w:val="24"/>
          <w:szCs w:val="24"/>
        </w:rPr>
      </w:pPr>
      <w:r>
        <w:rPr>
          <w:rFonts w:ascii="Times New Roman" w:hAnsi="Times New Roman"/>
          <w:bCs/>
          <w:sz w:val="24"/>
          <w:szCs w:val="24"/>
        </w:rPr>
        <w:t>Lehota na prebranie príslušného právneho aktu Európskej únie, príp. aj osobitná lehota účinnosti jeho ustanovení</w:t>
      </w:r>
      <w:r>
        <w:rPr>
          <w:rFonts w:ascii="Times New Roman" w:hAnsi="Times New Roman"/>
          <w:sz w:val="24"/>
          <w:szCs w:val="24"/>
        </w:rPr>
        <w:t xml:space="preserve"> </w:t>
      </w:r>
    </w:p>
    <w:p>
      <w:pPr>
        <w:pStyle w:val="Telotextu"/>
        <w:tabs>
          <w:tab w:val="clear" w:pos="708"/>
          <w:tab w:val="left" w:pos="360" w:leader="none"/>
        </w:tabs>
        <w:spacing w:before="0" w:after="0"/>
        <w:ind w:left="850" w:hanging="0"/>
        <w:jc w:val="both"/>
        <w:rPr>
          <w:rFonts w:ascii="Times New Roman" w:hAnsi="Times New Roman"/>
          <w:sz w:val="24"/>
          <w:szCs w:val="24"/>
        </w:rPr>
      </w:pPr>
      <w:r>
        <w:rPr>
          <w:rFonts w:ascii="Times New Roman" w:hAnsi="Times New Roman"/>
          <w:i/>
          <w:sz w:val="24"/>
          <w:szCs w:val="24"/>
        </w:rPr>
        <w:t>bezpredmetné,</w:t>
      </w:r>
    </w:p>
    <w:p>
      <w:pPr>
        <w:pStyle w:val="Telotextu"/>
        <w:numPr>
          <w:ilvl w:val="1"/>
          <w:numId w:val="1"/>
        </w:numPr>
        <w:tabs>
          <w:tab w:val="clear" w:pos="708"/>
          <w:tab w:val="left" w:pos="360" w:leader="none"/>
        </w:tabs>
        <w:spacing w:before="0" w:after="0"/>
        <w:jc w:val="both"/>
        <w:rPr>
          <w:rFonts w:ascii="Times New Roman" w:hAnsi="Times New Roman"/>
          <w:sz w:val="24"/>
          <w:szCs w:val="24"/>
        </w:rPr>
      </w:pPr>
      <w:r>
        <w:rPr>
          <w:rFonts w:ascii="Times New Roman" w:hAnsi="Times New Roman"/>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pPr>
        <w:pStyle w:val="Telotextu"/>
        <w:tabs>
          <w:tab w:val="clear" w:pos="708"/>
          <w:tab w:val="left" w:pos="360" w:leader="none"/>
        </w:tabs>
        <w:spacing w:before="0" w:after="0"/>
        <w:ind w:left="850" w:hanging="0"/>
        <w:jc w:val="both"/>
        <w:rPr>
          <w:rFonts w:ascii="Times New Roman" w:hAnsi="Times New Roman"/>
          <w:sz w:val="24"/>
          <w:szCs w:val="24"/>
        </w:rPr>
      </w:pPr>
      <w:r>
        <w:rPr>
          <w:rFonts w:ascii="Times New Roman" w:hAnsi="Times New Roman"/>
          <w:i/>
          <w:sz w:val="24"/>
          <w:szCs w:val="24"/>
        </w:rPr>
        <w:t>bezpredmetné,</w:t>
      </w:r>
    </w:p>
    <w:p>
      <w:pPr>
        <w:pStyle w:val="Telotextu"/>
        <w:numPr>
          <w:ilvl w:val="1"/>
          <w:numId w:val="1"/>
        </w:numPr>
        <w:tabs>
          <w:tab w:val="clear" w:pos="708"/>
          <w:tab w:val="left" w:pos="360" w:leader="none"/>
        </w:tabs>
        <w:spacing w:before="0" w:after="0"/>
        <w:jc w:val="both"/>
        <w:rPr>
          <w:rFonts w:ascii="Times New Roman" w:hAnsi="Times New Roman"/>
          <w:sz w:val="24"/>
          <w:szCs w:val="24"/>
        </w:rPr>
      </w:pPr>
      <w:r>
        <w:rPr>
          <w:rFonts w:ascii="Times New Roman" w:hAnsi="Times New Roman"/>
          <w:bCs/>
          <w:sz w:val="24"/>
          <w:szCs w:val="24"/>
        </w:rPr>
        <w:t xml:space="preserve">Informácia o právnych predpisoch, v ktorých sú uvádzané právne akty Európskej únie už prebrané, spolu s uvedením rozsahu ich prebrania, príp. potreby prijatia ďalších úprav  </w:t>
      </w:r>
    </w:p>
    <w:p>
      <w:pPr>
        <w:pStyle w:val="Telotextu"/>
        <w:tabs>
          <w:tab w:val="clear" w:pos="708"/>
          <w:tab w:val="left" w:pos="360" w:leader="none"/>
        </w:tabs>
        <w:spacing w:before="0" w:after="0"/>
        <w:ind w:left="850" w:hanging="0"/>
        <w:jc w:val="both"/>
        <w:rPr>
          <w:rFonts w:ascii="Times New Roman" w:hAnsi="Times New Roman"/>
          <w:sz w:val="24"/>
          <w:szCs w:val="24"/>
        </w:rPr>
      </w:pPr>
      <w:r>
        <w:rPr>
          <w:rFonts w:ascii="Times New Roman" w:hAnsi="Times New Roman"/>
          <w:i/>
          <w:sz w:val="24"/>
          <w:szCs w:val="24"/>
        </w:rPr>
        <w:t>bezpredmetné.</w:t>
      </w:r>
    </w:p>
    <w:p>
      <w:pPr>
        <w:pStyle w:val="Telotextu"/>
        <w:tabs>
          <w:tab w:val="clear" w:pos="708"/>
          <w:tab w:val="left" w:pos="360" w:leader="none"/>
        </w:tabs>
        <w:spacing w:before="0" w:after="0"/>
        <w:jc w:val="both"/>
        <w:rPr>
          <w:rFonts w:ascii="Times New Roman" w:hAnsi="Times New Roman"/>
          <w:bCs/>
          <w:sz w:val="24"/>
          <w:szCs w:val="24"/>
        </w:rPr>
      </w:pPr>
      <w:r>
        <w:rPr>
          <w:rFonts w:ascii="Times New Roman" w:hAnsi="Times New Roman"/>
          <w:bCs/>
          <w:sz w:val="24"/>
          <w:szCs w:val="24"/>
        </w:rPr>
      </w:r>
    </w:p>
    <w:p>
      <w:pPr>
        <w:pStyle w:val="Normal"/>
        <w:widowControl/>
        <w:numPr>
          <w:ilvl w:val="0"/>
          <w:numId w:val="1"/>
        </w:numPr>
        <w:jc w:val="both"/>
        <w:rPr>
          <w:rFonts w:ascii="Times New Roman" w:hAnsi="Times New Roman"/>
          <w:sz w:val="24"/>
          <w:szCs w:val="24"/>
        </w:rPr>
      </w:pPr>
      <w:r>
        <w:rPr>
          <w:rFonts w:ascii="Times New Roman" w:hAnsi="Times New Roman"/>
          <w:b/>
          <w:bCs/>
          <w:sz w:val="24"/>
          <w:szCs w:val="24"/>
        </w:rPr>
        <w:t xml:space="preserve">Návrh zákona je zlučiteľný s právom Európskej únie:  </w:t>
      </w:r>
      <w:r>
        <w:rPr>
          <w:rFonts w:ascii="Times New Roman" w:hAnsi="Times New Roman"/>
          <w:bCs/>
          <w:i/>
          <w:sz w:val="24"/>
          <w:szCs w:val="24"/>
        </w:rPr>
        <w:t>úplne.</w:t>
      </w:r>
      <w:r>
        <w:rPr>
          <w:rFonts w:ascii="Times New Roman" w:hAnsi="Times New Roman"/>
          <w:sz w:val="24"/>
          <w:szCs w:val="24"/>
        </w:rPr>
        <w:t xml:space="preserve"> </w:t>
      </w:r>
    </w:p>
    <w:p>
      <w:pPr>
        <w:pStyle w:val="Normal"/>
        <w:widowControl/>
        <w:ind w:left="851" w:hanging="0"/>
        <w:jc w:val="both"/>
        <w:rPr>
          <w:rFonts w:ascii="Times New Roman" w:hAnsi="Times New Roman"/>
          <w:sz w:val="24"/>
          <w:szCs w:val="24"/>
        </w:rPr>
      </w:pPr>
      <w:r>
        <w:rPr>
          <w:rFonts w:ascii="Times New Roman" w:hAnsi="Times New Roman"/>
          <w:sz w:val="24"/>
          <w:szCs w:val="24"/>
        </w:rPr>
        <w:t xml:space="preserve"> </w:t>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widowControl/>
        <w:ind w:left="851" w:hanging="0"/>
        <w:jc w:val="both"/>
        <w:rPr>
          <w:rFonts w:ascii="Times New Roman" w:hAnsi="Times New Roman"/>
          <w:sz w:val="24"/>
          <w:szCs w:val="24"/>
        </w:rPr>
      </w:pPr>
      <w:r>
        <w:rPr>
          <w:rFonts w:ascii="Times New Roman" w:hAnsi="Times New Roman"/>
          <w:sz w:val="24"/>
          <w:szCs w:val="24"/>
        </w:rPr>
      </w:r>
    </w:p>
    <w:p>
      <w:pPr>
        <w:pStyle w:val="Normal"/>
        <w:spacing w:lineRule="auto" w:line="276" w:before="120" w:after="0"/>
        <w:jc w:val="center"/>
        <w:rPr>
          <w:rFonts w:ascii="Times New Roman" w:hAnsi="Times New Roman"/>
          <w:sz w:val="24"/>
          <w:szCs w:val="24"/>
        </w:rPr>
      </w:pPr>
      <w:r>
        <w:rPr>
          <w:rFonts w:ascii="Times New Roman" w:hAnsi="Times New Roman"/>
          <w:b/>
          <w:bCs/>
          <w:caps/>
          <w:color w:val="000000"/>
          <w:spacing w:val="30"/>
          <w:sz w:val="24"/>
          <w:szCs w:val="24"/>
        </w:rPr>
        <w:t>Doložka</w:t>
      </w:r>
    </w:p>
    <w:p>
      <w:pPr>
        <w:pStyle w:val="Normal"/>
        <w:spacing w:lineRule="auto" w:line="276" w:before="120" w:after="0"/>
        <w:jc w:val="center"/>
        <w:rPr>
          <w:rFonts w:ascii="Times New Roman" w:hAnsi="Times New Roman"/>
          <w:sz w:val="24"/>
          <w:szCs w:val="24"/>
        </w:rPr>
      </w:pPr>
      <w:r>
        <w:rPr>
          <w:rFonts w:ascii="Times New Roman" w:hAnsi="Times New Roman"/>
          <w:b/>
          <w:bCs/>
          <w:color w:val="000000"/>
          <w:sz w:val="24"/>
          <w:szCs w:val="24"/>
        </w:rPr>
        <w:t>vybraných vplyvov</w:t>
      </w:r>
    </w:p>
    <w:p>
      <w:pPr>
        <w:pStyle w:val="Normal"/>
        <w:spacing w:lineRule="auto" w:line="276" w:before="12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before="120" w:after="0"/>
        <w:jc w:val="both"/>
        <w:rPr>
          <w:rFonts w:ascii="Times New Roman" w:hAnsi="Times New Roman"/>
          <w:sz w:val="24"/>
          <w:szCs w:val="24"/>
        </w:rPr>
      </w:pPr>
      <w:r>
        <w:rPr>
          <w:rFonts w:ascii="Times New Roman" w:hAnsi="Times New Roman"/>
          <w:b/>
          <w:bCs/>
          <w:color w:val="000000"/>
          <w:sz w:val="24"/>
          <w:szCs w:val="24"/>
        </w:rPr>
        <w:t xml:space="preserve">A.1. Názov materiálu: </w:t>
      </w:r>
      <w:r>
        <w:rPr>
          <w:rFonts w:ascii="Times New Roman" w:hAnsi="Times New Roman"/>
          <w:b w:val="false"/>
          <w:bCs w:val="false"/>
          <w:color w:val="000000"/>
          <w:sz w:val="24"/>
          <w:szCs w:val="24"/>
        </w:rPr>
        <w:t>Návrh zákona, ktorým sa mení a dopĺňa zákon č. 461/2003 Z. z. o sociálnom poistení v znení neskorších predpisov a ktorým sa menia a dopĺňajú niektoré zákony</w:t>
      </w:r>
    </w:p>
    <w:p>
      <w:pPr>
        <w:pStyle w:val="Normal"/>
        <w:spacing w:lineRule="auto" w:line="276" w:before="120" w:after="0"/>
        <w:jc w:val="both"/>
        <w:rPr>
          <w:rFonts w:ascii="Times New Roman" w:hAnsi="Times New Roman"/>
          <w:sz w:val="24"/>
          <w:szCs w:val="24"/>
        </w:rPr>
      </w:pPr>
      <w:r>
        <w:rPr>
          <w:rFonts w:ascii="Times New Roman" w:hAnsi="Times New Roman"/>
          <w:b/>
          <w:bCs/>
          <w:color w:val="000000"/>
          <w:sz w:val="24"/>
          <w:szCs w:val="24"/>
        </w:rPr>
        <w:t xml:space="preserve">Termín začatia a ukončenia PPK: </w:t>
      </w:r>
      <w:r>
        <w:rPr>
          <w:rFonts w:ascii="Times New Roman" w:hAnsi="Times New Roman"/>
          <w:i/>
          <w:iCs/>
          <w:color w:val="000000"/>
          <w:sz w:val="24"/>
          <w:szCs w:val="24"/>
        </w:rPr>
        <w:t>bezpredmetné</w:t>
      </w:r>
    </w:p>
    <w:p>
      <w:pPr>
        <w:pStyle w:val="Normal"/>
        <w:spacing w:lineRule="auto" w:line="276" w:before="120" w:after="0"/>
        <w:jc w:val="both"/>
        <w:rPr>
          <w:rFonts w:ascii="Times New Roman" w:hAnsi="Times New Roman"/>
          <w:sz w:val="24"/>
          <w:szCs w:val="24"/>
        </w:rPr>
      </w:pPr>
      <w:r>
        <w:rPr>
          <w:rFonts w:ascii="Times New Roman" w:hAnsi="Times New Roman"/>
          <w:b/>
          <w:bCs/>
          <w:color w:val="000000"/>
          <w:sz w:val="24"/>
          <w:szCs w:val="24"/>
        </w:rPr>
        <w:t>A.2. Vplyvy:</w:t>
      </w:r>
    </w:p>
    <w:tbl>
      <w:tblPr>
        <w:tblW w:w="5000" w:type="pct"/>
        <w:jc w:val="left"/>
        <w:tblInd w:w="1" w:type="dxa"/>
        <w:tblCellMar>
          <w:top w:w="0" w:type="dxa"/>
          <w:left w:w="0" w:type="dxa"/>
          <w:bottom w:w="0" w:type="dxa"/>
          <w:right w:w="22" w:type="dxa"/>
        </w:tblCellMar>
        <w:tblLook w:firstRow="1" w:noVBand="1" w:lastRow="0" w:firstColumn="1" w:lastColumn="0" w:noHBand="0" w:val="04a0"/>
      </w:tblPr>
      <w:tblGrid>
        <w:gridCol w:w="5507"/>
        <w:gridCol w:w="1188"/>
        <w:gridCol w:w="1179"/>
        <w:gridCol w:w="1197"/>
      </w:tblGrid>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color w:val="000000"/>
                <w:sz w:val="24"/>
                <w:szCs w:val="24"/>
              </w:rPr>
            </w:pPr>
            <w:r>
              <w:rPr>
                <w:rFonts w:ascii="Times New Roman" w:hAnsi="Times New Roman"/>
                <w:color w:val="000000"/>
                <w:sz w:val="24"/>
                <w:szCs w:val="24"/>
              </w:rPr>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color w:val="000000"/>
                <w:sz w:val="24"/>
                <w:szCs w:val="24"/>
              </w:rPr>
              <w:t>Pozitívne </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color w:val="000000"/>
                <w:sz w:val="24"/>
                <w:szCs w:val="24"/>
              </w:rPr>
              <w:t>Žiadne </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color w:val="000000"/>
                <w:sz w:val="24"/>
                <w:szCs w:val="24"/>
              </w:rPr>
              <w:t>Negatívne </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1. Vplyvy na rozpočet verejnej správy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color w:val="000000"/>
              </w:rPr>
            </w:pPr>
            <w:r>
              <w:rPr>
                <w:rFonts w:ascii="Times New Roman" w:hAnsi="Times New Roman"/>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t>x</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2. Vplyvy na podnikateľské prostredie – dochádza k zvýšeniu regulačného zaťaženia?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sz w:val="24"/>
                <w:szCs w:val="24"/>
              </w:rPr>
            </w:pPr>
            <w:r>
              <w:rPr>
                <w:rFonts w:ascii="Times New Roman" w:hAnsi="Times New Roman"/>
                <w:color w:val="000000"/>
                <w:sz w:val="24"/>
                <w:szCs w:val="24"/>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3. Sociálne vplyvy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t>x</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color w:val="000000"/>
              </w:rPr>
            </w:pPr>
            <w:r>
              <w:rPr>
                <w:rFonts w:ascii="Times New Roman" w:hAnsi="Times New Roman"/>
                <w:sz w:val="24"/>
                <w:szCs w:val="24"/>
              </w:rPr>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vplyvy na hospodárenie obyvateľstva,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t>x</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color w:val="000000"/>
              </w:rPr>
            </w:pPr>
            <w:r>
              <w:rPr>
                <w:rFonts w:ascii="Times New Roman" w:hAnsi="Times New Roman"/>
                <w:sz w:val="24"/>
                <w:szCs w:val="24"/>
              </w:rPr>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sociálnu exklúziu,</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sz w:val="24"/>
                <w:szCs w:val="24"/>
              </w:rPr>
            </w:pPr>
            <w:r>
              <w:rPr>
                <w:rFonts w:ascii="Times New Roman" w:hAnsi="Times New Roman"/>
                <w:color w:val="000000"/>
                <w:sz w:val="24"/>
                <w:szCs w:val="24"/>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rovnosť príležitostí a rodovú rovnosť a vplyvy na zamestnanosť</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sz w:val="24"/>
                <w:szCs w:val="24"/>
              </w:rPr>
            </w:pPr>
            <w:r>
              <w:rPr>
                <w:rFonts w:ascii="Times New Roman" w:hAnsi="Times New Roman"/>
                <w:color w:val="000000"/>
                <w:sz w:val="24"/>
                <w:szCs w:val="24"/>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4. Vplyvy na životné prostredie</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sz w:val="24"/>
                <w:szCs w:val="24"/>
              </w:rPr>
            </w:pPr>
            <w:r>
              <w:rPr>
                <w:rFonts w:ascii="Times New Roman" w:hAnsi="Times New Roman"/>
                <w:color w:val="000000"/>
                <w:sz w:val="24"/>
                <w:szCs w:val="24"/>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Times New Roman" w:hAnsi="Times New Roman"/>
                <w:sz w:val="24"/>
                <w:szCs w:val="24"/>
              </w:rPr>
            </w:pPr>
            <w:r>
              <w:rPr>
                <w:rFonts w:ascii="Times New Roman" w:hAnsi="Times New Roman"/>
                <w:color w:val="000000"/>
                <w:sz w:val="24"/>
                <w:szCs w:val="24"/>
              </w:rPr>
              <w:t>5. Vplyvy na informatizáciu spoločnosti</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sz w:val="24"/>
                <w:szCs w:val="24"/>
              </w:rPr>
            </w:pPr>
            <w:r>
              <w:rPr>
                <w:rFonts w:ascii="Times New Roman" w:hAnsi="Times New Roman"/>
                <w:color w:val="000000"/>
                <w:sz w:val="24"/>
                <w:szCs w:val="24"/>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76" w:before="120" w:after="0"/>
        <w:jc w:val="both"/>
        <w:rPr>
          <w:rFonts w:ascii="Times New Roman" w:hAnsi="Times New Roman"/>
          <w:sz w:val="24"/>
          <w:szCs w:val="24"/>
        </w:rPr>
      </w:pPr>
      <w:r>
        <w:rPr>
          <w:rFonts w:ascii="Times New Roman" w:hAnsi="Times New Roman"/>
          <w:b/>
          <w:bCs/>
          <w:color w:val="000000"/>
          <w:sz w:val="24"/>
          <w:szCs w:val="24"/>
        </w:rPr>
        <w:t>A.3. Poznámky</w:t>
      </w:r>
    </w:p>
    <w:p>
      <w:pPr>
        <w:pStyle w:val="Normal"/>
        <w:spacing w:lineRule="auto" w:line="276" w:before="120" w:after="0"/>
        <w:jc w:val="both"/>
        <w:rPr>
          <w:rFonts w:ascii="Times New Roman" w:hAnsi="Times New Roman"/>
          <w:sz w:val="24"/>
          <w:szCs w:val="24"/>
        </w:rPr>
      </w:pPr>
      <w:r>
        <w:rPr>
          <w:rFonts w:ascii="Times New Roman" w:hAnsi="Times New Roman"/>
          <w:i/>
          <w:iCs/>
          <w:color w:val="000000"/>
          <w:sz w:val="24"/>
          <w:szCs w:val="24"/>
        </w:rPr>
        <w:t xml:space="preserve">Od návrhu zákona sa očakáva negatívny dopad na rozpočet verejnej správy, pričom v roku negatívne vplyvy na rozpočet verejnej správy sa v roku 2021 predpokladajú vo výške 40 924 272 eur, v roku 2022 vo výške 64 175 965 eur a v roku 2023 vo výške 67 911 597 eur. </w:t>
      </w:r>
    </w:p>
    <w:p>
      <w:pPr>
        <w:pStyle w:val="Normal"/>
        <w:spacing w:lineRule="auto" w:line="276" w:before="120" w:after="0"/>
        <w:jc w:val="both"/>
        <w:rPr>
          <w:rFonts w:ascii="Times New Roman" w:hAnsi="Times New Roman"/>
          <w:sz w:val="24"/>
          <w:szCs w:val="24"/>
        </w:rPr>
      </w:pPr>
      <w:r>
        <w:rPr>
          <w:rFonts w:ascii="Times New Roman" w:hAnsi="Times New Roman"/>
          <w:i/>
          <w:iCs/>
          <w:color w:val="000000"/>
          <w:sz w:val="24"/>
          <w:szCs w:val="24"/>
        </w:rPr>
        <w:t>Tehotenské ako nemocenská dávka bude poskytované z prostriedkov Sociálnej poisťovne, tehotenské štipendium bude poskytované z prostriedkov štátneho rozpočtu. Výdavky MŠVVŠ SR, MO SR, MV SR, MS SR, MF SR, NBÚ, SIS a Sociálnej poisťovne súvisiace s realizáciou predmetného materiálu budú zabezpečené v rámci prípravy návrhu rozpočtu verejnej správy na roky 2021 až 2023.</w:t>
      </w:r>
    </w:p>
    <w:p>
      <w:pPr>
        <w:pStyle w:val="Normal"/>
        <w:spacing w:lineRule="auto" w:line="276" w:before="120" w:after="0"/>
        <w:jc w:val="both"/>
        <w:rPr>
          <w:rFonts w:ascii="Times New Roman" w:hAnsi="Times New Roman"/>
          <w:sz w:val="24"/>
          <w:szCs w:val="24"/>
        </w:rPr>
      </w:pPr>
      <w:r>
        <w:rPr>
          <w:rFonts w:ascii="Times New Roman" w:hAnsi="Times New Roman"/>
          <w:i/>
          <w:iCs/>
          <w:color w:val="000000"/>
          <w:sz w:val="24"/>
          <w:szCs w:val="24"/>
        </w:rPr>
        <w:t xml:space="preserve">Navrhovaná zmena sa pozitívne dotkne tehotných poistenkýň a tehotných študentiek stredných a vysokých škôl. Predpokladá sa, že sa navrhovaná zmena bude týkať viac ako 20 tisíc poistenkýň. Čo sa týka predpokladaného počtu poberateliek tehotenského štipendia, ten je odhadovaný na zhruba 750 osôb mesačne. Pri stanovení tohto počtu sme vychádzali z počtu poberateľov rodičovského príspevku, na ktorých je súčasne vyplácaný príspevok na dieťa – nezaopatrené dieťa pripravujúce sa na budúce povolanie. </w:t>
      </w:r>
    </w:p>
    <w:p>
      <w:pPr>
        <w:pStyle w:val="Normal"/>
        <w:spacing w:lineRule="auto" w:line="276" w:before="120" w:after="0"/>
        <w:jc w:val="both"/>
        <w:rPr>
          <w:rFonts w:ascii="Times New Roman" w:hAnsi="Times New Roman"/>
          <w:sz w:val="24"/>
          <w:szCs w:val="24"/>
        </w:rPr>
      </w:pPr>
      <w:r>
        <w:rPr>
          <w:rFonts w:ascii="Times New Roman" w:hAnsi="Times New Roman"/>
          <w:i/>
          <w:iCs/>
          <w:color w:val="000000"/>
          <w:sz w:val="24"/>
          <w:szCs w:val="24"/>
        </w:rPr>
        <w:t>Návrh zákona nebude mať žiaden vplyv na podnikateľské prostredie, životné prostredie a ani na informatizáciu spoločnosti.</w:t>
      </w:r>
    </w:p>
    <w:p>
      <w:pPr>
        <w:pStyle w:val="Normal"/>
        <w:spacing w:lineRule="auto" w:line="276" w:before="120" w:after="0"/>
        <w:jc w:val="both"/>
        <w:rPr>
          <w:rFonts w:ascii="Times New Roman" w:hAnsi="Times New Roman"/>
          <w:sz w:val="24"/>
          <w:szCs w:val="24"/>
        </w:rPr>
      </w:pPr>
      <w:r>
        <w:rPr>
          <w:rFonts w:ascii="Times New Roman" w:hAnsi="Times New Roman"/>
          <w:b/>
          <w:bCs/>
          <w:color w:val="000000"/>
          <w:sz w:val="24"/>
          <w:szCs w:val="24"/>
        </w:rPr>
        <w:t>A.4. Alternatívne riešenia</w:t>
      </w:r>
    </w:p>
    <w:p>
      <w:pPr>
        <w:pStyle w:val="Normal"/>
        <w:spacing w:lineRule="auto" w:line="276" w:before="120" w:after="0"/>
        <w:jc w:val="both"/>
        <w:rPr>
          <w:rFonts w:ascii="Times New Roman" w:hAnsi="Times New Roman"/>
          <w:sz w:val="24"/>
          <w:szCs w:val="24"/>
        </w:rPr>
      </w:pPr>
      <w:r>
        <w:rPr>
          <w:rFonts w:ascii="Times New Roman" w:hAnsi="Times New Roman"/>
          <w:i/>
          <w:color w:val="000000"/>
          <w:sz w:val="24"/>
          <w:szCs w:val="24"/>
        </w:rPr>
        <w:t>bezpredmetné</w:t>
      </w:r>
    </w:p>
    <w:p>
      <w:pPr>
        <w:pStyle w:val="Normal"/>
        <w:spacing w:lineRule="auto" w:line="276" w:before="120" w:after="0"/>
        <w:jc w:val="both"/>
        <w:rPr>
          <w:rFonts w:ascii="Times New Roman" w:hAnsi="Times New Roman"/>
          <w:sz w:val="24"/>
          <w:szCs w:val="24"/>
        </w:rPr>
      </w:pPr>
      <w:r>
        <w:rPr>
          <w:rFonts w:ascii="Times New Roman" w:hAnsi="Times New Roman"/>
          <w:i/>
          <w:color w:val="000000"/>
          <w:sz w:val="24"/>
          <w:szCs w:val="24"/>
        </w:rPr>
        <w:t> </w:t>
      </w:r>
      <w:r>
        <w:rPr>
          <w:rFonts w:ascii="Times New Roman" w:hAnsi="Times New Roman"/>
          <w:b/>
          <w:bCs/>
          <w:sz w:val="24"/>
          <w:szCs w:val="24"/>
        </w:rPr>
        <w:t xml:space="preserve">A.5. </w:t>
        <w:tab/>
        <w:t>Stanovisko gestorov</w:t>
      </w:r>
    </w:p>
    <w:p>
      <w:pPr>
        <w:pStyle w:val="NormalWeb"/>
        <w:widowControl/>
        <w:spacing w:lineRule="auto" w:line="276" w:before="120" w:after="0"/>
        <w:ind w:hanging="0"/>
        <w:jc w:val="both"/>
        <w:rPr>
          <w:rFonts w:ascii="Times New Roman" w:hAnsi="Times New Roman"/>
          <w:sz w:val="24"/>
          <w:szCs w:val="24"/>
        </w:rPr>
      </w:pPr>
      <w:r>
        <w:rPr>
          <w:rFonts w:ascii="Times New Roman" w:hAnsi="Times New Roman"/>
          <w:i/>
          <w:iCs/>
          <w:color w:val="000000"/>
          <w:sz w:val="24"/>
          <w:szCs w:val="24"/>
        </w:rPr>
        <w:t>Návrh zákona bol zaslaný na vyjadrenie Ministerstvu financií SR a stanovisko tohto ministerstva tvorí súčasť predkladaného materiálu.</w:t>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9</w:t>
    </w:r>
    <w:r>
      <w:rPr/>
      <w:fldChar w:fldCharType="end"/>
    </w:r>
  </w:p>
  <w:p>
    <w:pPr>
      <w:pStyle w:val="Pt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9</w:t>
    </w:r>
    <w:r>
      <w:rPr/>
      <w:fldChar w:fldCharType="end"/>
    </w:r>
  </w:p>
  <w:p>
    <w:pPr>
      <w:pStyle w:val="Pt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9</w:t>
    </w:r>
    <w:r>
      <w:rPr/>
      <w:fldChar w:fldCharType="end"/>
    </w:r>
  </w:p>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
    <w:lvl w:ilvl="0">
      <w:start w:val="1"/>
      <w:numFmt w:val="bullet"/>
      <w:lvlText w:val=""/>
      <w:lvlJc w:val="left"/>
      <w:pPr>
        <w:ind w:left="1570" w:hanging="360"/>
      </w:pPr>
      <w:rPr>
        <w:rFonts w:ascii="Symbol" w:hAnsi="Symbol" w:cs="Symbol" w:hint="default"/>
      </w:rPr>
    </w:lvl>
    <w:lvl w:ilvl="1">
      <w:start w:val="1"/>
      <w:numFmt w:val="bullet"/>
      <w:lvlText w:val="o"/>
      <w:lvlJc w:val="left"/>
      <w:pPr>
        <w:ind w:left="2290" w:hanging="360"/>
      </w:pPr>
      <w:rPr>
        <w:rFonts w:ascii="Courier New" w:hAnsi="Courier New" w:cs="Courier New" w:hint="default"/>
        <w:rFonts w:cs="Courier New"/>
      </w:rPr>
    </w:lvl>
    <w:lvl w:ilvl="2">
      <w:start w:val="1"/>
      <w:numFmt w:val="bullet"/>
      <w:lvlText w:val=""/>
      <w:lvlJc w:val="left"/>
      <w:pPr>
        <w:ind w:left="3010" w:hanging="360"/>
      </w:pPr>
      <w:rPr>
        <w:rFonts w:ascii="Wingdings" w:hAnsi="Wingdings" w:cs="Wingdings" w:hint="default"/>
      </w:rPr>
    </w:lvl>
    <w:lvl w:ilvl="3">
      <w:start w:val="1"/>
      <w:numFmt w:val="bullet"/>
      <w:lvlText w:val=""/>
      <w:lvlJc w:val="left"/>
      <w:pPr>
        <w:ind w:left="3730" w:hanging="360"/>
      </w:pPr>
      <w:rPr>
        <w:rFonts w:ascii="Symbol" w:hAnsi="Symbol" w:cs="Symbol" w:hint="default"/>
      </w:rPr>
    </w:lvl>
    <w:lvl w:ilvl="4">
      <w:start w:val="1"/>
      <w:numFmt w:val="bullet"/>
      <w:lvlText w:val="o"/>
      <w:lvlJc w:val="left"/>
      <w:pPr>
        <w:ind w:left="4450" w:hanging="360"/>
      </w:pPr>
      <w:rPr>
        <w:rFonts w:ascii="Courier New" w:hAnsi="Courier New" w:cs="Courier New" w:hint="default"/>
        <w:rFonts w:cs="Courier New"/>
      </w:rPr>
    </w:lvl>
    <w:lvl w:ilvl="5">
      <w:start w:val="1"/>
      <w:numFmt w:val="bullet"/>
      <w:lvlText w:val=""/>
      <w:lvlJc w:val="left"/>
      <w:pPr>
        <w:ind w:left="5170" w:hanging="360"/>
      </w:pPr>
      <w:rPr>
        <w:rFonts w:ascii="Wingdings" w:hAnsi="Wingdings" w:cs="Wingdings" w:hint="default"/>
      </w:rPr>
    </w:lvl>
    <w:lvl w:ilvl="6">
      <w:start w:val="1"/>
      <w:numFmt w:val="bullet"/>
      <w:lvlText w:val=""/>
      <w:lvlJc w:val="left"/>
      <w:pPr>
        <w:ind w:left="5890" w:hanging="360"/>
      </w:pPr>
      <w:rPr>
        <w:rFonts w:ascii="Symbol" w:hAnsi="Symbol" w:cs="Symbol" w:hint="default"/>
      </w:rPr>
    </w:lvl>
    <w:lvl w:ilvl="7">
      <w:start w:val="1"/>
      <w:numFmt w:val="bullet"/>
      <w:lvlText w:val="o"/>
      <w:lvlJc w:val="left"/>
      <w:pPr>
        <w:ind w:left="6610" w:hanging="360"/>
      </w:pPr>
      <w:rPr>
        <w:rFonts w:ascii="Courier New" w:hAnsi="Courier New" w:cs="Courier New" w:hint="default"/>
        <w:rFonts w:cs="Courier New"/>
      </w:rPr>
    </w:lvl>
    <w:lvl w:ilvl="8">
      <w:start w:val="1"/>
      <w:numFmt w:val="bullet"/>
      <w:lvlText w:val=""/>
      <w:lvlJc w:val="left"/>
      <w:pPr>
        <w:ind w:left="733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00c6"/>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sk-SK" w:eastAsia="en-US" w:bidi="ar-SA"/>
    </w:rPr>
  </w:style>
  <w:style w:type="paragraph" w:styleId="Nadpis1">
    <w:name w:val="Heading 1"/>
    <w:basedOn w:val="Normal"/>
    <w:next w:val="Normal"/>
    <w:link w:val="Nadpis1Char"/>
    <w:qFormat/>
    <w:rsid w:val="003a095c"/>
    <w:pPr>
      <w:keepNext w:val="true"/>
      <w:spacing w:lineRule="auto" w:line="240" w:before="0" w:after="0"/>
      <w:jc w:val="center"/>
      <w:outlineLvl w:val="0"/>
    </w:pPr>
    <w:rPr>
      <w:rFonts w:ascii="Times New Roman" w:hAnsi="Times New Roman"/>
      <w:b/>
      <w:bCs/>
      <w:sz w:val="24"/>
      <w:szCs w:val="24"/>
      <w:lang w:eastAsia="sk-SK"/>
    </w:rPr>
  </w:style>
  <w:style w:type="paragraph" w:styleId="Nadpis3">
    <w:name w:val="Heading 3"/>
    <w:basedOn w:val="Normal"/>
    <w:next w:val="Normal"/>
    <w:link w:val="Nadpis3Char"/>
    <w:uiPriority w:val="9"/>
    <w:semiHidden/>
    <w:unhideWhenUsed/>
    <w:qFormat/>
    <w:rsid w:val="00d21a25"/>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ZkladntextChar" w:customStyle="1">
    <w:name w:val="Základný text Char"/>
    <w:basedOn w:val="DefaultParagraphFont"/>
    <w:link w:val="Zkladntext"/>
    <w:uiPriority w:val="99"/>
    <w:qFormat/>
    <w:rsid w:val="00d12bc0"/>
    <w:rPr>
      <w:rFonts w:ascii="Times New Roman" w:hAnsi="Times New Roman" w:eastAsia="Times New Roman" w:cs="Times New Roman"/>
      <w:sz w:val="24"/>
      <w:szCs w:val="24"/>
      <w:lang w:eastAsia="sk-SK"/>
    </w:rPr>
  </w:style>
  <w:style w:type="character" w:styleId="TextkomentraChar" w:customStyle="1">
    <w:name w:val="Text komentára Char"/>
    <w:basedOn w:val="DefaultParagraphFont"/>
    <w:link w:val="Textkomentra"/>
    <w:uiPriority w:val="99"/>
    <w:semiHidden/>
    <w:qFormat/>
    <w:rsid w:val="00d12bc0"/>
    <w:rPr>
      <w:rFonts w:ascii="Calibri" w:hAnsi="Calibri" w:eastAsia="Times New Roman" w:cs="Times New Roman"/>
      <w:sz w:val="20"/>
      <w:szCs w:val="20"/>
    </w:rPr>
  </w:style>
  <w:style w:type="character" w:styleId="PtaChar" w:customStyle="1">
    <w:name w:val="Päta Char"/>
    <w:basedOn w:val="DefaultParagraphFont"/>
    <w:link w:val="Pta"/>
    <w:uiPriority w:val="99"/>
    <w:qFormat/>
    <w:rsid w:val="00d12bc0"/>
    <w:rPr>
      <w:rFonts w:ascii="Calibri" w:hAnsi="Calibri" w:eastAsia="Times New Roman" w:cs="Times New Roman"/>
    </w:rPr>
  </w:style>
  <w:style w:type="character" w:styleId="TextbublinyChar" w:customStyle="1">
    <w:name w:val="Text bubliny Char"/>
    <w:basedOn w:val="DefaultParagraphFont"/>
    <w:link w:val="Textbubliny"/>
    <w:uiPriority w:val="99"/>
    <w:semiHidden/>
    <w:qFormat/>
    <w:rsid w:val="00980920"/>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ef7927"/>
    <w:rPr>
      <w:sz w:val="16"/>
      <w:szCs w:val="16"/>
    </w:rPr>
  </w:style>
  <w:style w:type="character" w:styleId="PredmetkomentraChar" w:customStyle="1">
    <w:name w:val="Predmet komentára Char"/>
    <w:basedOn w:val="TextkomentraChar"/>
    <w:link w:val="Predmetkomentra"/>
    <w:uiPriority w:val="99"/>
    <w:semiHidden/>
    <w:qFormat/>
    <w:rsid w:val="00ef7927"/>
    <w:rPr>
      <w:rFonts w:ascii="Calibri" w:hAnsi="Calibri" w:eastAsia="Times New Roman" w:cs="Times New Roman"/>
      <w:b/>
      <w:bCs/>
      <w:sz w:val="20"/>
      <w:szCs w:val="20"/>
    </w:rPr>
  </w:style>
  <w:style w:type="character" w:styleId="Nadpis1Char" w:customStyle="1">
    <w:name w:val="Nadpis 1 Char"/>
    <w:basedOn w:val="DefaultParagraphFont"/>
    <w:link w:val="Nadpis1"/>
    <w:qFormat/>
    <w:rsid w:val="003a095c"/>
    <w:rPr>
      <w:rFonts w:ascii="Times New Roman" w:hAnsi="Times New Roman" w:eastAsia="Times New Roman" w:cs="Times New Roman"/>
      <w:b/>
      <w:bCs/>
      <w:sz w:val="24"/>
      <w:szCs w:val="24"/>
      <w:lang w:eastAsia="sk-SK"/>
    </w:rPr>
  </w:style>
  <w:style w:type="character" w:styleId="OdsekzoznamuChar" w:customStyle="1">
    <w:name w:val="Odsek zoznamu Char"/>
    <w:link w:val="Odsekzoznamu"/>
    <w:uiPriority w:val="34"/>
    <w:qFormat/>
    <w:locked/>
    <w:rsid w:val="006300c6"/>
    <w:rPr>
      <w:rFonts w:ascii="Calibri" w:hAnsi="Calibri" w:eastAsia="Times New Roman" w:cs="Times New Roman"/>
    </w:rPr>
  </w:style>
  <w:style w:type="character" w:styleId="Nadpis3Char" w:customStyle="1">
    <w:name w:val="Nadpis 3 Char"/>
    <w:basedOn w:val="DefaultParagraphFont"/>
    <w:link w:val="Nadpis3"/>
    <w:uiPriority w:val="9"/>
    <w:semiHidden/>
    <w:qFormat/>
    <w:rsid w:val="00d21a25"/>
    <w:rPr>
      <w:rFonts w:ascii="Cambria" w:hAnsi="Cambria" w:eastAsia="" w:cs="" w:asciiTheme="majorHAnsi" w:cstheme="majorBidi" w:eastAsiaTheme="majorEastAsia" w:hAnsiTheme="majorHAnsi"/>
      <w:b/>
      <w:bCs/>
      <w:color w:val="4F81BD" w:themeColor="accent1"/>
    </w:rPr>
  </w:style>
  <w:style w:type="character" w:styleId="Internetovodkaz">
    <w:name w:val="Internetový odkaz"/>
    <w:basedOn w:val="DefaultParagraphFont"/>
    <w:uiPriority w:val="99"/>
    <w:semiHidden/>
    <w:unhideWhenUsed/>
    <w:rsid w:val="006801b7"/>
    <w:rPr>
      <w:color w:val="0000FF"/>
      <w:u w:val="single"/>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
      <w:b w:val="false"/>
      <w:i w:val="false"/>
      <w:color w:val="auto"/>
      <w:sz w:val="24"/>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unhideWhenUsed/>
    <w:rsid w:val="00d12bc0"/>
    <w:pPr>
      <w:spacing w:lineRule="auto" w:line="240" w:before="0" w:after="0"/>
      <w:jc w:val="both"/>
    </w:pPr>
    <w:rPr>
      <w:rFonts w:ascii="Times New Roman" w:hAnsi="Times New Roman"/>
      <w:sz w:val="24"/>
      <w:szCs w:val="24"/>
      <w:lang w:eastAsia="sk-SK"/>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Annotationtext">
    <w:name w:val="annotation text"/>
    <w:basedOn w:val="Normal"/>
    <w:link w:val="TextkomentraChar"/>
    <w:uiPriority w:val="99"/>
    <w:semiHidden/>
    <w:unhideWhenUsed/>
    <w:qFormat/>
    <w:rsid w:val="00d12bc0"/>
    <w:pPr>
      <w:spacing w:lineRule="auto" w:line="240"/>
    </w:pPr>
    <w:rPr>
      <w:sz w:val="20"/>
      <w:szCs w:val="20"/>
    </w:rPr>
  </w:style>
  <w:style w:type="paragraph" w:styleId="Pta">
    <w:name w:val="Footer"/>
    <w:basedOn w:val="Normal"/>
    <w:link w:val="PtaChar"/>
    <w:uiPriority w:val="99"/>
    <w:unhideWhenUsed/>
    <w:rsid w:val="00d12bc0"/>
    <w:pPr>
      <w:tabs>
        <w:tab w:val="clear" w:pos="708"/>
        <w:tab w:val="center" w:pos="4536" w:leader="none"/>
        <w:tab w:val="right" w:pos="9072" w:leader="none"/>
      </w:tabs>
      <w:spacing w:lineRule="auto" w:line="240" w:before="0" w:after="0"/>
    </w:pPr>
    <w:rPr/>
  </w:style>
  <w:style w:type="paragraph" w:styleId="ListParagraph">
    <w:name w:val="List Paragraph"/>
    <w:basedOn w:val="Normal"/>
    <w:link w:val="OdsekzoznamuChar"/>
    <w:uiPriority w:val="34"/>
    <w:qFormat/>
    <w:rsid w:val="00d12bc0"/>
    <w:pPr>
      <w:spacing w:before="0" w:after="200"/>
      <w:ind w:left="720" w:hanging="0"/>
      <w:contextualSpacing/>
    </w:pPr>
    <w:rPr/>
  </w:style>
  <w:style w:type="paragraph" w:styleId="BalloonText">
    <w:name w:val="Balloon Text"/>
    <w:basedOn w:val="Normal"/>
    <w:link w:val="TextbublinyChar"/>
    <w:uiPriority w:val="99"/>
    <w:semiHidden/>
    <w:unhideWhenUsed/>
    <w:qFormat/>
    <w:rsid w:val="00980920"/>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PredmetkomentraChar"/>
    <w:uiPriority w:val="99"/>
    <w:semiHidden/>
    <w:unhideWhenUsed/>
    <w:qFormat/>
    <w:rsid w:val="00ef7927"/>
    <w:pPr/>
    <w:rPr>
      <w:b/>
      <w:bCs/>
    </w:rPr>
  </w:style>
  <w:style w:type="paragraph" w:styleId="NoSpacing">
    <w:name w:val="No Spacing"/>
    <w:uiPriority w:val="1"/>
    <w:qFormat/>
    <w:rsid w:val="005719d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ormalWeb">
    <w:name w:val="Normal (Web)"/>
    <w:basedOn w:val="Normal"/>
    <w:qFormat/>
    <w:pPr>
      <w:spacing w:before="280" w:after="280"/>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EF24-0C24-499E-BD74-596CF8AC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LibreOffice/6.2.3.2$Windows_X86_64 LibreOffice_project/aecc05fe267cc68dde00352a451aa867b3b546ac</Application>
  <Pages>9</Pages>
  <Words>2459</Words>
  <Characters>14229</Characters>
  <CharactersWithSpaces>16642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2020-10-01T14:37:00Z</dcterms:created>
  <dc:creator>Banas František Jozef</dc:creator>
  <dc:description/>
  <dc:language>sk-SK</dc:language>
  <cp:lastModifiedBy>Igor Dušenka</cp:lastModifiedBy>
  <cp:lastPrinted>2020-08-21T07:48:00Z</cp:lastPrinted>
  <dcterms:modified xsi:type="dcterms:W3CDTF">2020-10-02T14:10:49Z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