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BAB12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14:paraId="56DE9F9E" w14:textId="77777777" w:rsidR="00C32C87" w:rsidRPr="00EB7674" w:rsidRDefault="00600DAF">
      <w:pPr>
        <w:pStyle w:val="Nadpis1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 w:val="0"/>
          <w:bCs/>
          <w:sz w:val="22"/>
          <w:szCs w:val="22"/>
        </w:rPr>
        <w:t> </w:t>
      </w:r>
    </w:p>
    <w:p w14:paraId="359E4538" w14:textId="77777777" w:rsidR="00C32C87" w:rsidRPr="00EB7674" w:rsidRDefault="00600DAF">
      <w:pPr>
        <w:pStyle w:val="Nadpis1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A. Všeobecná časť</w:t>
      </w:r>
    </w:p>
    <w:p w14:paraId="13D24080" w14:textId="77777777" w:rsidR="00921224" w:rsidRDefault="00600DAF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 xml:space="preserve">Návrh zákona, </w:t>
      </w:r>
      <w:r w:rsidRPr="00EB7674">
        <w:rPr>
          <w:rFonts w:ascii="Book Antiqua" w:hAnsi="Book Antiqua"/>
          <w:bCs/>
          <w:sz w:val="22"/>
          <w:szCs w:val="22"/>
        </w:rPr>
        <w:t xml:space="preserve">ktorým sa mení a dopĺňa zákon č. </w:t>
      </w:r>
      <w:r w:rsidR="003D48EA">
        <w:rPr>
          <w:rFonts w:ascii="Book Antiqua" w:hAnsi="Book Antiqua"/>
          <w:bCs/>
          <w:sz w:val="22"/>
          <w:szCs w:val="22"/>
        </w:rPr>
        <w:t>274/2007</w:t>
      </w:r>
      <w:r w:rsidRPr="00EB7674">
        <w:rPr>
          <w:rFonts w:ascii="Book Antiqua" w:hAnsi="Book Antiqua"/>
          <w:bCs/>
          <w:sz w:val="22"/>
          <w:szCs w:val="22"/>
        </w:rPr>
        <w:t xml:space="preserve"> Z. z. o</w:t>
      </w:r>
      <w:r w:rsidR="003D48EA">
        <w:rPr>
          <w:rFonts w:ascii="Book Antiqua" w:hAnsi="Book Antiqua"/>
          <w:bCs/>
          <w:sz w:val="22"/>
          <w:szCs w:val="22"/>
        </w:rPr>
        <w:t> príplatku k dôchodku politickým väzňom v znení neskorších predpisov a ktorým sa dopĺňa</w:t>
      </w:r>
      <w:r w:rsidR="00921224">
        <w:rPr>
          <w:rFonts w:ascii="Book Antiqua" w:hAnsi="Book Antiqua"/>
          <w:bCs/>
          <w:sz w:val="22"/>
          <w:szCs w:val="22"/>
        </w:rPr>
        <w:t xml:space="preserve">jú niektoré zákony </w:t>
      </w:r>
      <w:r w:rsidRPr="00EB7674">
        <w:rPr>
          <w:rFonts w:ascii="Book Antiqua" w:hAnsi="Book Antiqua"/>
          <w:sz w:val="22"/>
          <w:szCs w:val="22"/>
        </w:rPr>
        <w:t xml:space="preserve">(ďalej len „návrh zákona“) predkladá </w:t>
      </w:r>
      <w:r w:rsidR="00921224">
        <w:rPr>
          <w:rFonts w:ascii="Book Antiqua" w:hAnsi="Book Antiqua"/>
          <w:sz w:val="22"/>
          <w:szCs w:val="22"/>
        </w:rPr>
        <w:t xml:space="preserve">skupina </w:t>
      </w:r>
      <w:r w:rsidRPr="00EB7674">
        <w:rPr>
          <w:rFonts w:ascii="Book Antiqua" w:hAnsi="Book Antiqua"/>
          <w:sz w:val="22"/>
          <w:szCs w:val="22"/>
        </w:rPr>
        <w:t>poslan</w:t>
      </w:r>
      <w:r w:rsidR="00921224">
        <w:rPr>
          <w:rFonts w:ascii="Book Antiqua" w:hAnsi="Book Antiqua"/>
          <w:sz w:val="22"/>
          <w:szCs w:val="22"/>
        </w:rPr>
        <w:t>cov</w:t>
      </w:r>
      <w:r w:rsidRPr="00EB7674">
        <w:rPr>
          <w:rFonts w:ascii="Book Antiqua" w:hAnsi="Book Antiqua"/>
          <w:sz w:val="22"/>
          <w:szCs w:val="22"/>
        </w:rPr>
        <w:t xml:space="preserve"> Národnej rady Slovenskej republiky</w:t>
      </w:r>
      <w:r w:rsidR="00921224">
        <w:rPr>
          <w:rFonts w:ascii="Book Antiqua" w:hAnsi="Book Antiqua"/>
          <w:sz w:val="22"/>
          <w:szCs w:val="22"/>
        </w:rPr>
        <w:t>.</w:t>
      </w:r>
    </w:p>
    <w:p w14:paraId="7B87B982" w14:textId="66C9CC9B" w:rsidR="00887C2E" w:rsidRPr="00887C2E" w:rsidRDefault="00887C2E" w:rsidP="00887C2E">
      <w:pPr>
        <w:shd w:val="clear" w:color="auto" w:fill="FFFFFF"/>
        <w:jc w:val="both"/>
        <w:rPr>
          <w:rFonts w:ascii="Book Antiqua" w:hAnsi="Book Antiqua" w:cs="Arial"/>
          <w:b/>
          <w:bCs/>
          <w:color w:val="222222"/>
          <w:sz w:val="22"/>
          <w:szCs w:val="22"/>
        </w:rPr>
      </w:pPr>
      <w:r w:rsidRPr="00887C2E">
        <w:rPr>
          <w:rFonts w:ascii="Book Antiqua" w:hAnsi="Book Antiqua" w:cs="Arial"/>
          <w:b/>
          <w:bCs/>
          <w:color w:val="222222"/>
          <w:sz w:val="22"/>
          <w:szCs w:val="22"/>
        </w:rPr>
        <w:t>„Hlavným účelom návrhu zákona je vyzdvihnúť význam obetí tých, ktorí sa postavili na o</w:t>
      </w:r>
      <w:r>
        <w:rPr>
          <w:rFonts w:ascii="Book Antiqua" w:hAnsi="Book Antiqua" w:cs="Arial"/>
          <w:b/>
          <w:bCs/>
          <w:color w:val="222222"/>
          <w:sz w:val="22"/>
          <w:szCs w:val="22"/>
        </w:rPr>
        <w:t>d</w:t>
      </w:r>
      <w:r w:rsidRPr="00887C2E">
        <w:rPr>
          <w:rFonts w:ascii="Book Antiqua" w:hAnsi="Book Antiqua" w:cs="Arial"/>
          <w:b/>
          <w:bCs/>
          <w:color w:val="222222"/>
          <w:sz w:val="22"/>
          <w:szCs w:val="22"/>
        </w:rPr>
        <w:t>por proti  komunistickému režimu a následne bola ich osobná sloboda obmedzená. Ich príklad môže byť vzorom či inšpiráciou najmä pre mladých ľudí, aby si vážili hodnoty demokracie a slobody.“</w:t>
      </w:r>
    </w:p>
    <w:p w14:paraId="04012919" w14:textId="67BC27E4" w:rsidR="00921224" w:rsidRDefault="00C242EC">
      <w:pPr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EB7674">
        <w:rPr>
          <w:rFonts w:ascii="Book Antiqua" w:hAnsi="Book Antiqua"/>
          <w:b/>
          <w:sz w:val="22"/>
          <w:szCs w:val="22"/>
        </w:rPr>
        <w:t xml:space="preserve"> Návrh zákona si berie za cieľ</w:t>
      </w:r>
      <w:r w:rsidR="00921224">
        <w:rPr>
          <w:rFonts w:ascii="Book Antiqua" w:hAnsi="Book Antiqua"/>
          <w:b/>
          <w:sz w:val="22"/>
          <w:szCs w:val="22"/>
        </w:rPr>
        <w:t>:</w:t>
      </w:r>
    </w:p>
    <w:p w14:paraId="3B925935" w14:textId="674918C1" w:rsidR="00C242EC" w:rsidRDefault="00C242EC" w:rsidP="00921224">
      <w:pPr>
        <w:pStyle w:val="Odsekzoznamu"/>
        <w:numPr>
          <w:ilvl w:val="0"/>
          <w:numId w:val="7"/>
        </w:numPr>
        <w:spacing w:before="120"/>
        <w:jc w:val="both"/>
        <w:rPr>
          <w:rFonts w:ascii="Book Antiqua" w:hAnsi="Book Antiqua"/>
          <w:b/>
        </w:rPr>
      </w:pPr>
      <w:r w:rsidRPr="00921224">
        <w:rPr>
          <w:rFonts w:ascii="Book Antiqua" w:hAnsi="Book Antiqua"/>
          <w:b/>
        </w:rPr>
        <w:t>priznať jednorazový prí</w:t>
      </w:r>
      <w:r w:rsidR="004B032B">
        <w:rPr>
          <w:rFonts w:ascii="Book Antiqua" w:hAnsi="Book Antiqua"/>
          <w:b/>
        </w:rPr>
        <w:t>platok k dôchodku</w:t>
      </w:r>
      <w:r w:rsidRPr="00921224">
        <w:rPr>
          <w:rFonts w:ascii="Book Antiqua" w:hAnsi="Book Antiqua"/>
          <w:b/>
        </w:rPr>
        <w:t xml:space="preserve"> </w:t>
      </w:r>
      <w:r w:rsidR="004B032B">
        <w:rPr>
          <w:rFonts w:ascii="Book Antiqua" w:hAnsi="Book Antiqua"/>
          <w:b/>
        </w:rPr>
        <w:t>veteránom protikomunistického odboja</w:t>
      </w:r>
      <w:r w:rsidRPr="00921224">
        <w:rPr>
          <w:rFonts w:ascii="Book Antiqua" w:hAnsi="Book Antiqua"/>
          <w:b/>
        </w:rPr>
        <w:t>, ich vdovám</w:t>
      </w:r>
      <w:r w:rsidR="004B032B">
        <w:rPr>
          <w:rFonts w:ascii="Book Antiqua" w:hAnsi="Book Antiqua"/>
          <w:b/>
        </w:rPr>
        <w:t xml:space="preserve">, </w:t>
      </w:r>
      <w:r w:rsidRPr="00921224">
        <w:rPr>
          <w:rFonts w:ascii="Book Antiqua" w:hAnsi="Book Antiqua"/>
          <w:b/>
        </w:rPr>
        <w:t>vdovcom</w:t>
      </w:r>
      <w:r w:rsidR="004B032B">
        <w:rPr>
          <w:rFonts w:ascii="Book Antiqua" w:hAnsi="Book Antiqua"/>
          <w:b/>
        </w:rPr>
        <w:t xml:space="preserve"> a sirotám </w:t>
      </w:r>
      <w:r w:rsidRPr="00921224">
        <w:rPr>
          <w:rFonts w:ascii="Book Antiqua" w:hAnsi="Book Antiqua"/>
          <w:b/>
        </w:rPr>
        <w:t>v</w:t>
      </w:r>
      <w:r w:rsidR="004B032B">
        <w:rPr>
          <w:rFonts w:ascii="Book Antiqua" w:hAnsi="Book Antiqua"/>
          <w:b/>
        </w:rPr>
        <w:t xml:space="preserve"> symbolickej </w:t>
      </w:r>
      <w:r w:rsidRPr="00921224">
        <w:rPr>
          <w:rFonts w:ascii="Book Antiqua" w:hAnsi="Book Antiqua"/>
          <w:b/>
        </w:rPr>
        <w:t xml:space="preserve">výške 1 </w:t>
      </w:r>
      <w:r w:rsidR="004B032B">
        <w:rPr>
          <w:rFonts w:ascii="Book Antiqua" w:hAnsi="Book Antiqua"/>
          <w:b/>
        </w:rPr>
        <w:t>989</w:t>
      </w:r>
      <w:r w:rsidRPr="00921224">
        <w:rPr>
          <w:rFonts w:ascii="Book Antiqua" w:hAnsi="Book Antiqua"/>
          <w:b/>
        </w:rPr>
        <w:t xml:space="preserve"> eur</w:t>
      </w:r>
      <w:r w:rsidR="004B032B">
        <w:rPr>
          <w:rFonts w:ascii="Book Antiqua" w:hAnsi="Book Antiqua"/>
          <w:b/>
        </w:rPr>
        <w:t>,</w:t>
      </w:r>
    </w:p>
    <w:p w14:paraId="7A47A031" w14:textId="7197CD44" w:rsidR="004B032B" w:rsidRDefault="004B032B" w:rsidP="00921224">
      <w:pPr>
        <w:pStyle w:val="Odsekzoznamu"/>
        <w:numPr>
          <w:ilvl w:val="0"/>
          <w:numId w:val="7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zvýšiť veteránom protikomunistického odboja príplatok k dôchodku zo súčasných 5 eur na 10 eur za každý mesiac obmedzenia osobnej slobody,</w:t>
      </w:r>
    </w:p>
    <w:p w14:paraId="70F47249" w14:textId="397304D5" w:rsidR="004B032B" w:rsidRPr="00921224" w:rsidRDefault="004B032B" w:rsidP="00921224">
      <w:pPr>
        <w:pStyle w:val="Odsekzoznamu"/>
        <w:numPr>
          <w:ilvl w:val="0"/>
          <w:numId w:val="7"/>
        </w:numPr>
        <w:spacing w:before="1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dosiahnuť spravodlivosť aj pre tých, ktorí boli internovaní v centralizovaných kláštoroch počas akcií K a R.</w:t>
      </w:r>
    </w:p>
    <w:p w14:paraId="515B91F2" w14:textId="354CE5C4" w:rsidR="00003B7B" w:rsidRDefault="00137EB7" w:rsidP="008045AB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EB7674">
        <w:rPr>
          <w:rFonts w:ascii="Book Antiqua" w:hAnsi="Book Antiqua"/>
          <w:sz w:val="22"/>
          <w:szCs w:val="22"/>
          <w:shd w:val="clear" w:color="auto" w:fill="FFFFFF"/>
        </w:rPr>
        <w:t>Návrh zákona sa prekladá v súlade s Programovým vyhlásením vlády,</w:t>
      </w:r>
      <w:r w:rsidR="001B2BCB" w:rsidRPr="00EB7674">
        <w:rPr>
          <w:rFonts w:ascii="Book Antiqua" w:hAnsi="Book Antiqua"/>
          <w:sz w:val="22"/>
          <w:szCs w:val="22"/>
          <w:shd w:val="clear" w:color="auto" w:fill="FFFFFF"/>
        </w:rPr>
        <w:t xml:space="preserve"> v ktorom sa vláda SR zaviazala vyplatiť osobitné príplatky k dôchodkom obetiam komunistického režimu na Slovensku alebo ich príbuzným.</w:t>
      </w:r>
      <w:r w:rsidRPr="00EB7674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</w:p>
    <w:p w14:paraId="787517C6" w14:textId="27926C52" w:rsidR="008045AB" w:rsidRPr="00EB7674" w:rsidRDefault="00C242EC" w:rsidP="008045AB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Považuje sa za</w:t>
      </w:r>
      <w:r w:rsidR="00600DAF"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potrebné </w:t>
      </w:r>
      <w:r w:rsidR="009024F4">
        <w:rPr>
          <w:rFonts w:ascii="Book Antiqua" w:hAnsi="Book Antiqua"/>
          <w:bCs/>
          <w:sz w:val="22"/>
          <w:szCs w:val="22"/>
          <w:shd w:val="clear" w:color="auto" w:fill="FFFFFF"/>
        </w:rPr>
        <w:t>prvýkrát v histórií v</w:t>
      </w:r>
      <w:r w:rsidR="00600DAF"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zdať</w:t>
      </w:r>
      <w:r w:rsidR="00600DAF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úctu</w:t>
      </w:r>
      <w:r w:rsidR="009024F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a oceniť činnosť</w:t>
      </w:r>
      <w:r w:rsidR="00600DAF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</w:t>
      </w:r>
      <w:r w:rsidR="00EB7674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>rehoľníko</w:t>
      </w:r>
      <w:r w:rsidR="009024F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v </w:t>
      </w:r>
      <w:r w:rsidR="00EB7674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>a kňazom vykonávajúcich svoju službu v období od 6.</w:t>
      </w:r>
      <w:r w:rsidR="00F266BC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októbra </w:t>
      </w:r>
      <w:r w:rsidR="00EB7674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>1944 do 17.</w:t>
      </w:r>
      <w:r w:rsidR="00F266BC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novembra </w:t>
      </w:r>
      <w:r w:rsidR="00EB7674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>1989</w:t>
      </w:r>
      <w:r w:rsidR="009024F4">
        <w:rPr>
          <w:rFonts w:ascii="Book Antiqua" w:hAnsi="Book Antiqua"/>
          <w:bCs/>
          <w:sz w:val="22"/>
          <w:szCs w:val="22"/>
          <w:shd w:val="clear" w:color="auto" w:fill="FFFFFF"/>
        </w:rPr>
        <w:t>. R</w:t>
      </w:r>
      <w:r w:rsidR="00EB7674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ovnako </w:t>
      </w:r>
      <w:r w:rsidR="009024F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je zámerom vyzdvihnúť tých politických väzňov, ktorým bolo priznané postavenie veterána </w:t>
      </w:r>
      <w:r w:rsidR="009024F4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>protikomunistického odboja</w:t>
      </w:r>
      <w:r w:rsidR="00600DAF" w:rsidRPr="009024F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, </w:t>
      </w:r>
      <w:r w:rsidR="00600DAF"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ako aj vdovám</w:t>
      </w:r>
      <w:r w:rsidR="009024F4">
        <w:rPr>
          <w:rFonts w:ascii="Book Antiqua" w:hAnsi="Book Antiqua"/>
          <w:bCs/>
          <w:sz w:val="22"/>
          <w:szCs w:val="22"/>
          <w:shd w:val="clear" w:color="auto" w:fill="FFFFFF"/>
        </w:rPr>
        <w:t>, v</w:t>
      </w:r>
      <w:r w:rsidR="00600DAF"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dovcom</w:t>
      </w:r>
      <w:r w:rsidR="009024F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a sirotám,</w:t>
      </w:r>
      <w:r w:rsidR="00600DAF"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ktorí boli rovnako vystavení perzekúciám, v ťažkých podmienkach bojovali často o holé prežitie svojich rodín a spolu s nimi boli vystavení biede, politickému prenasledovaniu a sociálnemu vylúčeniu.</w:t>
      </w:r>
      <w:r w:rsidR="00EB7674" w:rsidRPr="00EB7674">
        <w:rPr>
          <w:rFonts w:ascii="Book Antiqua" w:hAnsi="Book Antiqua"/>
          <w:bCs/>
          <w:sz w:val="22"/>
          <w:szCs w:val="22"/>
          <w:shd w:val="clear" w:color="auto" w:fill="FFFFFF"/>
        </w:rPr>
        <w:t xml:space="preserve"> </w:t>
      </w:r>
      <w:r w:rsidR="00600DAF" w:rsidRPr="00EB7674">
        <w:rPr>
          <w:rFonts w:ascii="Book Antiqua" w:hAnsi="Book Antiqua"/>
          <w:sz w:val="22"/>
          <w:szCs w:val="22"/>
          <w:shd w:val="clear" w:color="auto" w:fill="FFFFFF"/>
        </w:rPr>
        <w:t xml:space="preserve">Dnes je najvyšší čas na prijatie takejto právnej úpravy, keďže </w:t>
      </w:r>
      <w:r w:rsidR="009024F4">
        <w:rPr>
          <w:rFonts w:ascii="Book Antiqua" w:hAnsi="Book Antiqua"/>
          <w:sz w:val="22"/>
          <w:szCs w:val="22"/>
          <w:shd w:val="clear" w:color="auto" w:fill="FFFFFF"/>
        </w:rPr>
        <w:t>veteráni protikomunistického odboja</w:t>
      </w:r>
      <w:r w:rsidR="00600DAF" w:rsidRPr="00EB7674">
        <w:rPr>
          <w:rFonts w:ascii="Book Antiqua" w:hAnsi="Book Antiqua"/>
          <w:sz w:val="22"/>
          <w:szCs w:val="22"/>
          <w:shd w:val="clear" w:color="auto" w:fill="FFFFFF"/>
        </w:rPr>
        <w:t xml:space="preserve"> aj z dôvodu podlomeného zdravia, napríklad z nútených prác v uránových baniach, sa dožívajú veľmi nízkeho veku</w:t>
      </w:r>
      <w:r w:rsidR="009024F4">
        <w:rPr>
          <w:rFonts w:ascii="Book Antiqua" w:hAnsi="Book Antiqua"/>
          <w:sz w:val="22"/>
          <w:szCs w:val="22"/>
          <w:shd w:val="clear" w:color="auto" w:fill="FFFFFF"/>
        </w:rPr>
        <w:t xml:space="preserve"> a  ich počet</w:t>
      </w:r>
      <w:r w:rsidR="009024F4" w:rsidRPr="009024F4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="009024F4">
        <w:rPr>
          <w:rFonts w:ascii="Book Antiqua" w:hAnsi="Book Antiqua"/>
          <w:sz w:val="22"/>
          <w:szCs w:val="22"/>
          <w:shd w:val="clear" w:color="auto" w:fill="FFFFFF"/>
        </w:rPr>
        <w:t>klesá každým mesiacom.</w:t>
      </w:r>
    </w:p>
    <w:p w14:paraId="3F1DF8BF" w14:textId="77777777" w:rsidR="00C32C87" w:rsidRPr="00EB7674" w:rsidRDefault="00600DAF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Predkladaný návrh zákona vyvoláva pozitívne sociálne vplyvy, nezakladá žiadne vplyvy na podnikateľské prostredie, na životné prostredie, ani na informatizáciu spoločnosti a</w:t>
      </w:r>
      <w:r w:rsidR="008045AB" w:rsidRPr="00EB7674">
        <w:rPr>
          <w:rFonts w:ascii="Book Antiqua" w:hAnsi="Book Antiqua"/>
          <w:sz w:val="22"/>
          <w:szCs w:val="22"/>
        </w:rPr>
        <w:t xml:space="preserve"> má negatívny </w:t>
      </w:r>
      <w:r w:rsidRPr="00EB7674">
        <w:rPr>
          <w:rFonts w:ascii="Book Antiqua" w:hAnsi="Book Antiqua"/>
          <w:sz w:val="22"/>
          <w:szCs w:val="22"/>
        </w:rPr>
        <w:t>vplyv na rozpočet verejnej správy.</w:t>
      </w:r>
    </w:p>
    <w:p w14:paraId="7BDC8DED" w14:textId="77777777" w:rsidR="00C32C87" w:rsidRPr="00EB7674" w:rsidRDefault="00600DAF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14:paraId="573DB56E" w14:textId="77777777" w:rsidR="00C32C87" w:rsidRPr="00EB7674" w:rsidRDefault="00C32C87">
      <w:pPr>
        <w:pStyle w:val="Normlnywebov"/>
        <w:spacing w:before="120" w:beforeAutospacing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7566325F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br w:type="page"/>
      </w:r>
    </w:p>
    <w:p w14:paraId="6CA7588D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14:paraId="6AFD04BE" w14:textId="77777777" w:rsidR="00C32C87" w:rsidRPr="00EB7674" w:rsidRDefault="00C32C87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07ABE00B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K Čl. I</w:t>
      </w:r>
    </w:p>
    <w:p w14:paraId="67BEB294" w14:textId="11D6CFF3" w:rsidR="00C32C87" w:rsidRPr="00EB7674" w:rsidRDefault="00600DAF">
      <w:pPr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EB7674">
        <w:rPr>
          <w:rFonts w:ascii="Book Antiqua" w:hAnsi="Book Antiqua"/>
          <w:sz w:val="22"/>
          <w:szCs w:val="22"/>
          <w:u w:val="single"/>
        </w:rPr>
        <w:t>K bodu 1</w:t>
      </w:r>
      <w:r w:rsidR="009C014E">
        <w:rPr>
          <w:rFonts w:ascii="Book Antiqua" w:hAnsi="Book Antiqua"/>
          <w:sz w:val="22"/>
          <w:szCs w:val="22"/>
          <w:u w:val="single"/>
        </w:rPr>
        <w:t xml:space="preserve"> a 2</w:t>
      </w:r>
    </w:p>
    <w:p w14:paraId="19D5B488" w14:textId="16519657" w:rsidR="00C32C87" w:rsidRPr="0022771B" w:rsidRDefault="0022771B" w:rsidP="0022771B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 § 1 </w:t>
      </w:r>
      <w:r w:rsidRPr="00EB7674">
        <w:rPr>
          <w:rFonts w:ascii="Book Antiqua" w:hAnsi="Book Antiqua"/>
          <w:sz w:val="22"/>
          <w:szCs w:val="22"/>
        </w:rPr>
        <w:t>zákona</w:t>
      </w:r>
      <w:r>
        <w:rPr>
          <w:rFonts w:ascii="Book Antiqua" w:hAnsi="Book Antiqua"/>
          <w:bCs/>
          <w:sz w:val="22"/>
          <w:szCs w:val="22"/>
        </w:rPr>
        <w:t xml:space="preserve"> č.</w:t>
      </w:r>
      <w:r w:rsidRPr="00EB7674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274/2007</w:t>
      </w:r>
      <w:r w:rsidRPr="00EB7674">
        <w:rPr>
          <w:rFonts w:ascii="Book Antiqua" w:hAnsi="Book Antiqua"/>
          <w:bCs/>
          <w:sz w:val="22"/>
          <w:szCs w:val="22"/>
        </w:rPr>
        <w:t xml:space="preserve"> Z. z. o</w:t>
      </w:r>
      <w:r>
        <w:rPr>
          <w:rFonts w:ascii="Book Antiqua" w:hAnsi="Book Antiqua"/>
          <w:bCs/>
          <w:sz w:val="22"/>
          <w:szCs w:val="22"/>
        </w:rPr>
        <w:t xml:space="preserve"> príplatku k dôchodku politickým väzňom v znení neskorších predpisov (ďalej len „zákon“) </w:t>
      </w:r>
      <w:r>
        <w:rPr>
          <w:rFonts w:ascii="Book Antiqua" w:hAnsi="Book Antiqua"/>
          <w:sz w:val="22"/>
          <w:szCs w:val="22"/>
        </w:rPr>
        <w:t xml:space="preserve">je potrebné rozšíriť predmet zákona o skutočnosť, že </w:t>
      </w:r>
      <w:r w:rsidR="00600DAF" w:rsidRPr="00EB7674">
        <w:rPr>
          <w:rFonts w:ascii="Book Antiqua" w:hAnsi="Book Antiqua"/>
          <w:sz w:val="22"/>
          <w:szCs w:val="22"/>
        </w:rPr>
        <w:t xml:space="preserve">sa navrhuje priznanie jednorazového </w:t>
      </w:r>
      <w:r>
        <w:rPr>
          <w:rFonts w:ascii="Book Antiqua" w:hAnsi="Book Antiqua"/>
          <w:sz w:val="22"/>
          <w:szCs w:val="22"/>
        </w:rPr>
        <w:t>príplatku k dôchodku (ďalej len „</w:t>
      </w:r>
      <w:r w:rsidR="009C014E">
        <w:rPr>
          <w:rFonts w:ascii="Book Antiqua" w:hAnsi="Book Antiqua"/>
          <w:sz w:val="22"/>
          <w:szCs w:val="22"/>
        </w:rPr>
        <w:t xml:space="preserve">jednorazový </w:t>
      </w:r>
      <w:r>
        <w:rPr>
          <w:rFonts w:ascii="Book Antiqua" w:hAnsi="Book Antiqua"/>
          <w:sz w:val="22"/>
          <w:szCs w:val="22"/>
        </w:rPr>
        <w:t>príplat</w:t>
      </w:r>
      <w:r w:rsidR="009C014E">
        <w:rPr>
          <w:rFonts w:ascii="Book Antiqua" w:hAnsi="Book Antiqua"/>
          <w:sz w:val="22"/>
          <w:szCs w:val="22"/>
        </w:rPr>
        <w:t>ok</w:t>
      </w:r>
      <w:r>
        <w:rPr>
          <w:rFonts w:ascii="Book Antiqua" w:hAnsi="Book Antiqua"/>
          <w:sz w:val="22"/>
          <w:szCs w:val="22"/>
        </w:rPr>
        <w:t>“)</w:t>
      </w:r>
      <w:r w:rsidR="00600DAF" w:rsidRPr="00EB7674">
        <w:rPr>
          <w:rFonts w:ascii="Book Antiqua" w:hAnsi="Book Antiqua"/>
          <w:sz w:val="22"/>
          <w:szCs w:val="22"/>
        </w:rPr>
        <w:t xml:space="preserve"> pre </w:t>
      </w:r>
      <w:r>
        <w:rPr>
          <w:rFonts w:ascii="Book Antiqua" w:hAnsi="Book Antiqua"/>
          <w:sz w:val="22"/>
          <w:szCs w:val="22"/>
        </w:rPr>
        <w:t>veteránov protikomunistického odboja a súčasne sa týmto veteránom priznáva aj zvýšený nárok na príplatok k dôchodku (</w:t>
      </w:r>
      <w:r w:rsidR="00024BD0">
        <w:rPr>
          <w:rFonts w:ascii="Book Antiqua" w:hAnsi="Book Antiqua"/>
          <w:sz w:val="22"/>
          <w:szCs w:val="22"/>
        </w:rPr>
        <w:t xml:space="preserve">viď </w:t>
      </w:r>
      <w:r>
        <w:rPr>
          <w:rFonts w:ascii="Book Antiqua" w:hAnsi="Book Antiqua"/>
          <w:sz w:val="22"/>
          <w:szCs w:val="22"/>
        </w:rPr>
        <w:t>bod 4 návrhu zákona).</w:t>
      </w:r>
      <w:r w:rsidR="009C014E">
        <w:rPr>
          <w:rFonts w:ascii="Book Antiqua" w:hAnsi="Book Antiqua"/>
          <w:sz w:val="22"/>
          <w:szCs w:val="22"/>
        </w:rPr>
        <w:t xml:space="preserve"> Návrhom zákona sa diferencuje medzi politickým väzňom ako takým a politickým väzňom, ktorému bolo priznané postavenie veterána protikomunistického odboja, v dôsledku čoho bolo potrebné odlíšiť aj odkazy nad jednotlivými pojmami a prečíslovať nadväzujúce poznámky pod čiarou. </w:t>
      </w:r>
    </w:p>
    <w:p w14:paraId="367B73F0" w14:textId="330F9082" w:rsidR="00C32C87" w:rsidRPr="00EB7674" w:rsidRDefault="00600DAF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B7674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004C3F">
        <w:rPr>
          <w:rFonts w:ascii="Book Antiqua" w:hAnsi="Book Antiqua"/>
          <w:bCs/>
          <w:sz w:val="22"/>
          <w:szCs w:val="22"/>
          <w:u w:val="single"/>
        </w:rPr>
        <w:t>3</w:t>
      </w:r>
    </w:p>
    <w:p w14:paraId="391B904F" w14:textId="12D0520E" w:rsidR="0022771B" w:rsidRDefault="0022771B" w:rsidP="00A763ED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Keďže v zákone </w:t>
      </w:r>
      <w:r w:rsidR="00024BD0">
        <w:rPr>
          <w:rFonts w:ascii="Book Antiqua" w:hAnsi="Book Antiqua"/>
          <w:sz w:val="22"/>
          <w:szCs w:val="22"/>
        </w:rPr>
        <w:t>sa navrhuje zaviesť novú formu príplatku</w:t>
      </w:r>
      <w:r w:rsidR="00004C3F">
        <w:rPr>
          <w:rFonts w:ascii="Book Antiqua" w:hAnsi="Book Antiqua"/>
          <w:sz w:val="22"/>
          <w:szCs w:val="22"/>
        </w:rPr>
        <w:t xml:space="preserve"> k dôchodku</w:t>
      </w:r>
      <w:r w:rsidR="00A763ED">
        <w:rPr>
          <w:rFonts w:ascii="Book Antiqua" w:hAnsi="Book Antiqua"/>
          <w:sz w:val="22"/>
          <w:szCs w:val="22"/>
        </w:rPr>
        <w:t xml:space="preserve"> s názvom </w:t>
      </w:r>
      <w:r w:rsidR="00004C3F">
        <w:rPr>
          <w:rFonts w:ascii="Book Antiqua" w:hAnsi="Book Antiqua"/>
          <w:sz w:val="22"/>
          <w:szCs w:val="22"/>
        </w:rPr>
        <w:t>jednorazový príplatok k dôchodku</w:t>
      </w:r>
      <w:r w:rsidR="00A763ED">
        <w:rPr>
          <w:rFonts w:ascii="Book Antiqua" w:hAnsi="Book Antiqua"/>
          <w:sz w:val="22"/>
          <w:szCs w:val="22"/>
        </w:rPr>
        <w:t>, z hľadiska prehľadnosti a zrozumiteľnosti právneho predpisu je potrebné odlíšiť, ktoré ustanovenia pojednávajú o</w:t>
      </w:r>
      <w:r w:rsidR="00004C3F">
        <w:rPr>
          <w:rFonts w:ascii="Book Antiqua" w:hAnsi="Book Antiqua"/>
          <w:sz w:val="22"/>
          <w:szCs w:val="22"/>
        </w:rPr>
        <w:t> </w:t>
      </w:r>
      <w:r w:rsidR="00A763ED">
        <w:rPr>
          <w:rFonts w:ascii="Book Antiqua" w:hAnsi="Book Antiqua"/>
          <w:sz w:val="22"/>
          <w:szCs w:val="22"/>
        </w:rPr>
        <w:t>príplatku</w:t>
      </w:r>
      <w:r w:rsidR="00004C3F">
        <w:rPr>
          <w:rFonts w:ascii="Book Antiqua" w:hAnsi="Book Antiqua"/>
          <w:sz w:val="22"/>
          <w:szCs w:val="22"/>
        </w:rPr>
        <w:t xml:space="preserve"> k dôchodku (ako pravidelne opakujúcej sa dávky) </w:t>
      </w:r>
      <w:r w:rsidR="00A763ED">
        <w:rPr>
          <w:rFonts w:ascii="Book Antiqua" w:hAnsi="Book Antiqua"/>
          <w:sz w:val="22"/>
          <w:szCs w:val="22"/>
        </w:rPr>
        <w:t>a o </w:t>
      </w:r>
      <w:r w:rsidR="00004C3F">
        <w:rPr>
          <w:rFonts w:ascii="Book Antiqua" w:hAnsi="Book Antiqua"/>
          <w:sz w:val="22"/>
          <w:szCs w:val="22"/>
        </w:rPr>
        <w:t>jednorazovom</w:t>
      </w:r>
      <w:r w:rsidR="00A763ED">
        <w:rPr>
          <w:rFonts w:ascii="Book Antiqua" w:hAnsi="Book Antiqua"/>
          <w:sz w:val="22"/>
          <w:szCs w:val="22"/>
        </w:rPr>
        <w:t> príplatku</w:t>
      </w:r>
      <w:r w:rsidR="00004C3F">
        <w:rPr>
          <w:rFonts w:ascii="Book Antiqua" w:hAnsi="Book Antiqua"/>
          <w:sz w:val="22"/>
          <w:szCs w:val="22"/>
        </w:rPr>
        <w:t xml:space="preserve"> k dôchodku</w:t>
      </w:r>
      <w:r w:rsidR="00A763ED">
        <w:rPr>
          <w:rFonts w:ascii="Book Antiqua" w:hAnsi="Book Antiqua"/>
          <w:sz w:val="22"/>
          <w:szCs w:val="22"/>
        </w:rPr>
        <w:t xml:space="preserve">. </w:t>
      </w:r>
    </w:p>
    <w:p w14:paraId="717C0388" w14:textId="62D37940" w:rsidR="002668DC" w:rsidRPr="002668DC" w:rsidRDefault="002668DC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B7674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004C3F">
        <w:rPr>
          <w:rFonts w:ascii="Book Antiqua" w:hAnsi="Book Antiqua"/>
          <w:bCs/>
          <w:sz w:val="22"/>
          <w:szCs w:val="22"/>
          <w:u w:val="single"/>
        </w:rPr>
        <w:t>4</w:t>
      </w:r>
    </w:p>
    <w:p w14:paraId="3DA07AA2" w14:textId="310ADCDD" w:rsidR="002668DC" w:rsidRDefault="00F058CD" w:rsidP="002668DC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Vzhľadom na</w:t>
      </w:r>
      <w:r w:rsidR="002668DC">
        <w:rPr>
          <w:rFonts w:ascii="Book Antiqua" w:hAnsi="Book Antiqua"/>
          <w:sz w:val="22"/>
          <w:szCs w:val="22"/>
        </w:rPr>
        <w:t xml:space="preserve"> náz</w:t>
      </w:r>
      <w:r>
        <w:rPr>
          <w:rFonts w:ascii="Book Antiqua" w:hAnsi="Book Antiqua"/>
          <w:sz w:val="22"/>
          <w:szCs w:val="22"/>
        </w:rPr>
        <w:t>ov</w:t>
      </w:r>
      <w:r w:rsidR="002668DC">
        <w:rPr>
          <w:rFonts w:ascii="Book Antiqua" w:hAnsi="Book Antiqua"/>
          <w:sz w:val="22"/>
          <w:szCs w:val="22"/>
        </w:rPr>
        <w:t xml:space="preserve"> zákona, oprávnenou osobou na uplatnenie nároku na príplatok je politický väzeň. Definíciu pojmu politického väzňa poskytuje § 6 zákona č. 219/2006 Z. z. o protikomunistickom odboji v znení zákona č. 58/2009 Z. z. (ďalej len „zákon o protikomunistickom odboji“), podľa ktorého ide o osobu, ktorá bola v rozhodnom období obmedzená na osobnej slobode napr. aj z náboženských dôvodov. </w:t>
      </w:r>
    </w:p>
    <w:p w14:paraId="508D6700" w14:textId="7A4B7B64" w:rsidR="00B01444" w:rsidRDefault="005A4ABF" w:rsidP="005A4ABF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Navrhuje sa, aby sa explicitne do § 2 ods. 1 </w:t>
      </w:r>
      <w:r w:rsidR="00F058CD">
        <w:rPr>
          <w:rFonts w:ascii="Book Antiqua" w:hAnsi="Book Antiqua"/>
          <w:sz w:val="22"/>
          <w:szCs w:val="22"/>
        </w:rPr>
        <w:t xml:space="preserve">písm. c) </w:t>
      </w:r>
      <w:r>
        <w:rPr>
          <w:rFonts w:ascii="Book Antiqua" w:hAnsi="Book Antiqua"/>
          <w:sz w:val="22"/>
          <w:szCs w:val="22"/>
        </w:rPr>
        <w:t xml:space="preserve">zákona uviedlo, že oprávnenou osobou na </w:t>
      </w:r>
      <w:r w:rsidRPr="005A4ABF">
        <w:rPr>
          <w:rFonts w:ascii="Book Antiqua" w:hAnsi="Book Antiqua"/>
          <w:sz w:val="22"/>
          <w:szCs w:val="22"/>
        </w:rPr>
        <w:t>uplatnenie nároku na príplatok je aj fyzická osoba, ktorá o.i. bola najmenej tri mesiace internovaná v</w:t>
      </w:r>
      <w:r w:rsidR="00F058CD">
        <w:rPr>
          <w:rFonts w:ascii="Book Antiqua" w:hAnsi="Book Antiqua"/>
          <w:sz w:val="22"/>
          <w:szCs w:val="22"/>
        </w:rPr>
        <w:t xml:space="preserve"> centralizovaných </w:t>
      </w:r>
      <w:r w:rsidRPr="005A4ABF">
        <w:rPr>
          <w:rFonts w:ascii="Book Antiqua" w:hAnsi="Book Antiqua"/>
          <w:sz w:val="22"/>
          <w:szCs w:val="22"/>
        </w:rPr>
        <w:t>kláštoroch</w:t>
      </w:r>
      <w:r w:rsidR="00F058CD">
        <w:rPr>
          <w:rFonts w:ascii="Book Antiqua" w:hAnsi="Book Antiqua"/>
          <w:sz w:val="22"/>
          <w:szCs w:val="22"/>
        </w:rPr>
        <w:t xml:space="preserve">. </w:t>
      </w:r>
      <w:r w:rsidR="00F266BC" w:rsidRPr="005A4ABF">
        <w:rPr>
          <w:rFonts w:ascii="Book Antiqua" w:hAnsi="Book Antiqua"/>
          <w:sz w:val="22"/>
          <w:szCs w:val="22"/>
        </w:rPr>
        <w:t xml:space="preserve">Boli to práve rehoľníci a kňazi, ktorí boli </w:t>
      </w:r>
      <w:r w:rsidR="005901C2" w:rsidRPr="005A4ABF">
        <w:rPr>
          <w:rFonts w:ascii="Book Antiqua" w:hAnsi="Book Antiqua"/>
          <w:sz w:val="22"/>
          <w:szCs w:val="22"/>
        </w:rPr>
        <w:t xml:space="preserve">v komunistickom Československu </w:t>
      </w:r>
      <w:r w:rsidR="00F266BC" w:rsidRPr="005A4ABF">
        <w:rPr>
          <w:rFonts w:ascii="Book Antiqua" w:hAnsi="Book Antiqua"/>
          <w:sz w:val="22"/>
          <w:szCs w:val="22"/>
        </w:rPr>
        <w:t>permanentne prenasledovaní</w:t>
      </w:r>
      <w:r w:rsidR="005901C2" w:rsidRPr="005A4ABF">
        <w:rPr>
          <w:rFonts w:ascii="Book Antiqua" w:hAnsi="Book Antiqua"/>
          <w:sz w:val="22"/>
          <w:szCs w:val="22"/>
        </w:rPr>
        <w:t xml:space="preserve">, </w:t>
      </w:r>
      <w:r w:rsidR="00F266BC" w:rsidRPr="005A4ABF">
        <w:rPr>
          <w:rFonts w:ascii="Book Antiqua" w:hAnsi="Book Antiqua"/>
          <w:sz w:val="22"/>
          <w:szCs w:val="22"/>
        </w:rPr>
        <w:t>šikanovaní zo strany štátnej moci</w:t>
      </w:r>
      <w:r w:rsidR="007572DA" w:rsidRPr="005A4ABF">
        <w:rPr>
          <w:rFonts w:ascii="Book Antiqua" w:hAnsi="Book Antiqua"/>
          <w:sz w:val="22"/>
          <w:szCs w:val="22"/>
        </w:rPr>
        <w:t>, perzekvovaní pre svoje náboženské presvedčenie</w:t>
      </w:r>
      <w:r w:rsidR="00F058CD">
        <w:rPr>
          <w:rFonts w:ascii="Book Antiqua" w:hAnsi="Book Antiqua"/>
          <w:sz w:val="22"/>
          <w:szCs w:val="22"/>
        </w:rPr>
        <w:t xml:space="preserve"> (napr. Akcie K a R). </w:t>
      </w:r>
    </w:p>
    <w:p w14:paraId="3CC9A71C" w14:textId="78827417" w:rsidR="00DB1836" w:rsidRDefault="00DB1836" w:rsidP="005A4ABF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Ďalej sa v § 2 ods. 1 písm. d) navrhuje vytvoriť „podskupinu“ politických väzňov, resp. rozlíšiť, či politickému väzňovi prizna</w:t>
      </w:r>
      <w:r w:rsidR="00556DD4">
        <w:rPr>
          <w:rFonts w:ascii="Book Antiqua" w:hAnsi="Book Antiqua"/>
          <w:sz w:val="22"/>
          <w:szCs w:val="22"/>
        </w:rPr>
        <w:t>l Ústav pamäti národa postavenie</w:t>
      </w:r>
      <w:r>
        <w:rPr>
          <w:rFonts w:ascii="Book Antiqua" w:hAnsi="Book Antiqua"/>
          <w:sz w:val="22"/>
          <w:szCs w:val="22"/>
        </w:rPr>
        <w:t xml:space="preserve"> veterána protikomunistického odboja, a to na účely </w:t>
      </w:r>
      <w:r w:rsidR="00556DD4">
        <w:rPr>
          <w:rFonts w:ascii="Book Antiqua" w:hAnsi="Book Antiqua"/>
          <w:sz w:val="22"/>
          <w:szCs w:val="22"/>
        </w:rPr>
        <w:t xml:space="preserve">nároku na </w:t>
      </w:r>
      <w:r>
        <w:rPr>
          <w:rFonts w:ascii="Book Antiqua" w:hAnsi="Book Antiqua"/>
          <w:sz w:val="22"/>
          <w:szCs w:val="22"/>
        </w:rPr>
        <w:t>zvýšen</w:t>
      </w:r>
      <w:r w:rsidR="00556DD4">
        <w:rPr>
          <w:rFonts w:ascii="Book Antiqua" w:hAnsi="Book Antiqua"/>
          <w:sz w:val="22"/>
          <w:szCs w:val="22"/>
        </w:rPr>
        <w:t>ú</w:t>
      </w:r>
      <w:r>
        <w:rPr>
          <w:rFonts w:ascii="Book Antiqua" w:hAnsi="Book Antiqua"/>
          <w:sz w:val="22"/>
          <w:szCs w:val="22"/>
        </w:rPr>
        <w:t xml:space="preserve"> výšk</w:t>
      </w:r>
      <w:r w:rsidR="00556DD4">
        <w:rPr>
          <w:rFonts w:ascii="Book Antiqua" w:hAnsi="Book Antiqua"/>
          <w:sz w:val="22"/>
          <w:szCs w:val="22"/>
        </w:rPr>
        <w:t>u</w:t>
      </w:r>
      <w:r>
        <w:rPr>
          <w:rFonts w:ascii="Book Antiqua" w:hAnsi="Book Antiqua"/>
          <w:sz w:val="22"/>
          <w:szCs w:val="22"/>
        </w:rPr>
        <w:t xml:space="preserve"> príplatku k dôchodku (bod 6 návrhu zákona).</w:t>
      </w:r>
    </w:p>
    <w:p w14:paraId="5BB55625" w14:textId="63F03A14" w:rsidR="00FE4381" w:rsidRDefault="00FE4381" w:rsidP="00FE4381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B7674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DB1836">
        <w:rPr>
          <w:rFonts w:ascii="Book Antiqua" w:hAnsi="Book Antiqua"/>
          <w:bCs/>
          <w:sz w:val="22"/>
          <w:szCs w:val="22"/>
          <w:u w:val="single"/>
        </w:rPr>
        <w:t>5</w:t>
      </w:r>
    </w:p>
    <w:p w14:paraId="53AE481D" w14:textId="417E1017" w:rsidR="00156F12" w:rsidRDefault="00156F12" w:rsidP="00156F12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Ide o l</w:t>
      </w:r>
      <w:r w:rsidRPr="00CC5838">
        <w:rPr>
          <w:rFonts w:ascii="Book Antiqua" w:hAnsi="Book Antiqua"/>
          <w:bCs/>
          <w:sz w:val="22"/>
          <w:szCs w:val="22"/>
        </w:rPr>
        <w:t>egislatívno-technick</w:t>
      </w:r>
      <w:r>
        <w:rPr>
          <w:rFonts w:ascii="Book Antiqua" w:hAnsi="Book Antiqua"/>
          <w:bCs/>
          <w:sz w:val="22"/>
          <w:szCs w:val="22"/>
        </w:rPr>
        <w:t>ú</w:t>
      </w:r>
      <w:r w:rsidRPr="00CC5838">
        <w:rPr>
          <w:rFonts w:ascii="Book Antiqua" w:hAnsi="Book Antiqua"/>
          <w:bCs/>
          <w:sz w:val="22"/>
          <w:szCs w:val="22"/>
        </w:rPr>
        <w:t xml:space="preserve"> úprav</w:t>
      </w:r>
      <w:r>
        <w:rPr>
          <w:rFonts w:ascii="Book Antiqua" w:hAnsi="Book Antiqua"/>
          <w:bCs/>
          <w:sz w:val="22"/>
          <w:szCs w:val="22"/>
        </w:rPr>
        <w:t>u</w:t>
      </w:r>
      <w:r w:rsidRPr="00CC5838">
        <w:rPr>
          <w:rFonts w:ascii="Book Antiqua" w:hAnsi="Book Antiqua"/>
          <w:bCs/>
          <w:sz w:val="22"/>
          <w:szCs w:val="22"/>
        </w:rPr>
        <w:t xml:space="preserve"> bezpro</w:t>
      </w:r>
      <w:r>
        <w:rPr>
          <w:rFonts w:ascii="Book Antiqua" w:hAnsi="Book Antiqua"/>
          <w:bCs/>
          <w:sz w:val="22"/>
          <w:szCs w:val="22"/>
        </w:rPr>
        <w:t>stredne súvisiacu s bodom 4 návrhu zákona.</w:t>
      </w:r>
    </w:p>
    <w:p w14:paraId="162A9B03" w14:textId="078D6B23" w:rsidR="00156F12" w:rsidRDefault="00156F12" w:rsidP="00156F12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B7674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>
        <w:rPr>
          <w:rFonts w:ascii="Book Antiqua" w:hAnsi="Book Antiqua"/>
          <w:bCs/>
          <w:sz w:val="22"/>
          <w:szCs w:val="22"/>
          <w:u w:val="single"/>
        </w:rPr>
        <w:t>6</w:t>
      </w:r>
    </w:p>
    <w:p w14:paraId="5753C653" w14:textId="2A2158F6" w:rsidR="00156F12" w:rsidRPr="00F93210" w:rsidRDefault="00F93210" w:rsidP="00F93210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F93210">
        <w:rPr>
          <w:rFonts w:ascii="Book Antiqua" w:hAnsi="Book Antiqua"/>
          <w:bCs/>
          <w:sz w:val="22"/>
          <w:szCs w:val="22"/>
        </w:rPr>
        <w:t xml:space="preserve">Ako už bolo naznačené, </w:t>
      </w:r>
      <w:r>
        <w:rPr>
          <w:rFonts w:ascii="Book Antiqua" w:hAnsi="Book Antiqua"/>
          <w:bCs/>
          <w:sz w:val="22"/>
          <w:szCs w:val="22"/>
        </w:rPr>
        <w:t xml:space="preserve">predkladaným návrhom zákona sa priznáva zvýšený nárok na príplatok veteránom protikomunistického odboja, a to zo súčasných 5 eur na 10 eur, a to za </w:t>
      </w:r>
      <w:r>
        <w:rPr>
          <w:rFonts w:ascii="Book Antiqua" w:hAnsi="Book Antiqua"/>
          <w:bCs/>
          <w:sz w:val="22"/>
          <w:szCs w:val="22"/>
        </w:rPr>
        <w:lastRenderedPageBreak/>
        <w:t>každý mesiac obmedzenia osobnej slobody v rôznych formách. Je potrebné podotknúť, že ostatné oprávnené osoby, vrátane osôb internovaných v centralizovaných kláštoroch, majú naďalej nárok na príplatok vo výške 5 eur za každý mesiac</w:t>
      </w:r>
      <w:r w:rsidR="008C4AA1">
        <w:rPr>
          <w:rFonts w:ascii="Book Antiqua" w:hAnsi="Book Antiqua"/>
          <w:bCs/>
          <w:sz w:val="22"/>
          <w:szCs w:val="22"/>
        </w:rPr>
        <w:t xml:space="preserve"> väzby, výkonu trestu odňatia slobody, zaradenia do táborov nútených prác, vojenských táborov nútených prác alebo protiprávneho násilného odvlečenia. </w:t>
      </w:r>
    </w:p>
    <w:p w14:paraId="446F29B0" w14:textId="1733AAC3" w:rsidR="00C0366D" w:rsidRDefault="00C0366D" w:rsidP="00C0366D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B7674">
        <w:rPr>
          <w:rFonts w:ascii="Book Antiqua" w:hAnsi="Book Antiqua"/>
          <w:bCs/>
          <w:sz w:val="22"/>
          <w:szCs w:val="22"/>
          <w:u w:val="single"/>
        </w:rPr>
        <w:t>K</w:t>
      </w:r>
      <w:r>
        <w:rPr>
          <w:rFonts w:ascii="Book Antiqua" w:hAnsi="Book Antiqua"/>
          <w:bCs/>
          <w:sz w:val="22"/>
          <w:szCs w:val="22"/>
          <w:u w:val="single"/>
        </w:rPr>
        <w:t> </w:t>
      </w:r>
      <w:r w:rsidRPr="00EB7674">
        <w:rPr>
          <w:rFonts w:ascii="Book Antiqua" w:hAnsi="Book Antiqua"/>
          <w:bCs/>
          <w:sz w:val="22"/>
          <w:szCs w:val="22"/>
          <w:u w:val="single"/>
        </w:rPr>
        <w:t>bod</w:t>
      </w:r>
      <w:r>
        <w:rPr>
          <w:rFonts w:ascii="Book Antiqua" w:hAnsi="Book Antiqua"/>
          <w:bCs/>
          <w:sz w:val="22"/>
          <w:szCs w:val="22"/>
          <w:u w:val="single"/>
        </w:rPr>
        <w:t>om 7 až 9</w:t>
      </w:r>
    </w:p>
    <w:p w14:paraId="17865977" w14:textId="40180562" w:rsidR="009F5597" w:rsidRPr="00C0366D" w:rsidRDefault="009C5A00" w:rsidP="00C0366D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Ide o l</w:t>
      </w:r>
      <w:r w:rsidR="00CC5838" w:rsidRPr="00CC5838">
        <w:rPr>
          <w:rFonts w:ascii="Book Antiqua" w:hAnsi="Book Antiqua"/>
          <w:bCs/>
          <w:sz w:val="22"/>
          <w:szCs w:val="22"/>
        </w:rPr>
        <w:t>egislatívno-technick</w:t>
      </w:r>
      <w:r>
        <w:rPr>
          <w:rFonts w:ascii="Book Antiqua" w:hAnsi="Book Antiqua"/>
          <w:bCs/>
          <w:sz w:val="22"/>
          <w:szCs w:val="22"/>
        </w:rPr>
        <w:t>é</w:t>
      </w:r>
      <w:r w:rsidR="00CC5838" w:rsidRPr="00CC5838">
        <w:rPr>
          <w:rFonts w:ascii="Book Antiqua" w:hAnsi="Book Antiqua"/>
          <w:bCs/>
          <w:sz w:val="22"/>
          <w:szCs w:val="22"/>
        </w:rPr>
        <w:t xml:space="preserve"> úprav</w:t>
      </w:r>
      <w:r w:rsidR="00CC5838">
        <w:rPr>
          <w:rFonts w:ascii="Book Antiqua" w:hAnsi="Book Antiqua"/>
          <w:bCs/>
          <w:sz w:val="22"/>
          <w:szCs w:val="22"/>
        </w:rPr>
        <w:t>y</w:t>
      </w:r>
      <w:r w:rsidR="00CC5838" w:rsidRPr="00CC5838">
        <w:rPr>
          <w:rFonts w:ascii="Book Antiqua" w:hAnsi="Book Antiqua"/>
          <w:bCs/>
          <w:sz w:val="22"/>
          <w:szCs w:val="22"/>
        </w:rPr>
        <w:t xml:space="preserve"> bezpro</w:t>
      </w:r>
      <w:r w:rsidR="00CC5838">
        <w:rPr>
          <w:rFonts w:ascii="Book Antiqua" w:hAnsi="Book Antiqua"/>
          <w:bCs/>
          <w:sz w:val="22"/>
          <w:szCs w:val="22"/>
        </w:rPr>
        <w:t>stredne súvisiace s</w:t>
      </w:r>
      <w:r w:rsidR="00C0366D">
        <w:rPr>
          <w:rFonts w:ascii="Book Antiqua" w:hAnsi="Book Antiqua"/>
          <w:bCs/>
          <w:sz w:val="22"/>
          <w:szCs w:val="22"/>
        </w:rPr>
        <w:t> </w:t>
      </w:r>
      <w:r w:rsidR="00CC5838">
        <w:rPr>
          <w:rFonts w:ascii="Book Antiqua" w:hAnsi="Book Antiqua"/>
          <w:bCs/>
          <w:sz w:val="22"/>
          <w:szCs w:val="22"/>
        </w:rPr>
        <w:t>bod</w:t>
      </w:r>
      <w:r w:rsidR="00C0366D">
        <w:rPr>
          <w:rFonts w:ascii="Book Antiqua" w:hAnsi="Book Antiqua"/>
          <w:bCs/>
          <w:sz w:val="22"/>
          <w:szCs w:val="22"/>
        </w:rPr>
        <w:t>om 4 návrhu zákona.</w:t>
      </w:r>
    </w:p>
    <w:p w14:paraId="1822F370" w14:textId="75651CB4" w:rsidR="00276551" w:rsidRDefault="00276551" w:rsidP="00276551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B7674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C0366D">
        <w:rPr>
          <w:rFonts w:ascii="Book Antiqua" w:hAnsi="Book Antiqua"/>
          <w:bCs/>
          <w:sz w:val="22"/>
          <w:szCs w:val="22"/>
          <w:u w:val="single"/>
        </w:rPr>
        <w:t>10</w:t>
      </w:r>
    </w:p>
    <w:p w14:paraId="742959CB" w14:textId="69327C64" w:rsidR="009E5E35" w:rsidRDefault="00C0366D" w:rsidP="00276551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0366D">
        <w:rPr>
          <w:rFonts w:ascii="Book Antiqua" w:hAnsi="Book Antiqua"/>
          <w:bCs/>
          <w:sz w:val="22"/>
          <w:szCs w:val="22"/>
        </w:rPr>
        <w:tab/>
      </w:r>
      <w:r w:rsidR="009E5E35">
        <w:rPr>
          <w:rFonts w:ascii="Book Antiqua" w:hAnsi="Book Antiqua"/>
          <w:bCs/>
          <w:sz w:val="22"/>
          <w:szCs w:val="22"/>
        </w:rPr>
        <w:t xml:space="preserve">Vytvára sa nový § 4a, ktorý pojednáva o jednorazovom príplatku k dôchodku </w:t>
      </w:r>
      <w:r w:rsidRPr="00C0366D">
        <w:rPr>
          <w:rFonts w:ascii="Book Antiqua" w:hAnsi="Book Antiqua"/>
          <w:bCs/>
          <w:sz w:val="22"/>
          <w:szCs w:val="22"/>
        </w:rPr>
        <w:t xml:space="preserve">Návrhom zákona sa priznáva </w:t>
      </w:r>
      <w:r>
        <w:rPr>
          <w:rFonts w:ascii="Book Antiqua" w:hAnsi="Book Antiqua"/>
          <w:bCs/>
          <w:sz w:val="22"/>
          <w:szCs w:val="22"/>
        </w:rPr>
        <w:t xml:space="preserve">jednorazový príplatok veteránom protikomunistického odboja v symbolickej výške 1 989 eur. Okrem veteránov protikomunistického odboja </w:t>
      </w:r>
      <w:r w:rsidR="009E5E35">
        <w:rPr>
          <w:rFonts w:ascii="Book Antiqua" w:hAnsi="Book Antiqua"/>
          <w:bCs/>
          <w:sz w:val="22"/>
          <w:szCs w:val="22"/>
        </w:rPr>
        <w:t>sú oprávnenými osobami</w:t>
      </w:r>
      <w:r>
        <w:rPr>
          <w:rFonts w:ascii="Book Antiqua" w:hAnsi="Book Antiqua"/>
          <w:bCs/>
          <w:sz w:val="22"/>
          <w:szCs w:val="22"/>
        </w:rPr>
        <w:t xml:space="preserve"> aj vdovy, vdovc</w:t>
      </w:r>
      <w:r w:rsidR="00135A2C">
        <w:rPr>
          <w:rFonts w:ascii="Book Antiqua" w:hAnsi="Book Antiqua"/>
          <w:bCs/>
          <w:sz w:val="22"/>
          <w:szCs w:val="22"/>
        </w:rPr>
        <w:t>i</w:t>
      </w:r>
      <w:r w:rsidR="009E5E35">
        <w:rPr>
          <w:rFonts w:ascii="Book Antiqua" w:hAnsi="Book Antiqua"/>
          <w:bCs/>
          <w:sz w:val="22"/>
          <w:szCs w:val="22"/>
        </w:rPr>
        <w:t xml:space="preserve"> a </w:t>
      </w:r>
      <w:r>
        <w:rPr>
          <w:rFonts w:ascii="Book Antiqua" w:hAnsi="Book Antiqua"/>
          <w:bCs/>
          <w:sz w:val="22"/>
          <w:szCs w:val="22"/>
        </w:rPr>
        <w:t>siroty</w:t>
      </w:r>
      <w:r w:rsidR="009E5E35">
        <w:rPr>
          <w:rFonts w:ascii="Book Antiqua" w:hAnsi="Book Antiqua"/>
          <w:bCs/>
          <w:sz w:val="22"/>
          <w:szCs w:val="22"/>
        </w:rPr>
        <w:t xml:space="preserve">, ktorí trpeli v konkrétnom čase obmedzenia osobnej slobody veterána protikomunistického odboja (§ 4a ods. 2). </w:t>
      </w:r>
    </w:p>
    <w:p w14:paraId="69ADF935" w14:textId="77777777" w:rsidR="009E5E35" w:rsidRDefault="009E5E35" w:rsidP="009E5E35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Priz</w:t>
      </w:r>
      <w:r w:rsidRPr="00EB7674">
        <w:rPr>
          <w:rFonts w:ascii="Book Antiqua" w:hAnsi="Book Antiqua"/>
          <w:sz w:val="22"/>
          <w:szCs w:val="22"/>
        </w:rPr>
        <w:t xml:space="preserve">návanie postavenia veteránov protikomunistického odboja alebo veteránov protikomunistického odboja </w:t>
      </w:r>
      <w:r w:rsidRPr="00135A2C">
        <w:rPr>
          <w:rFonts w:ascii="Book Antiqua" w:hAnsi="Book Antiqua"/>
          <w:i/>
          <w:iCs/>
          <w:sz w:val="22"/>
          <w:szCs w:val="22"/>
        </w:rPr>
        <w:t>in memoriam</w:t>
      </w:r>
      <w:r w:rsidRPr="00EB7674">
        <w:rPr>
          <w:rFonts w:ascii="Book Antiqua" w:hAnsi="Book Antiqua"/>
          <w:sz w:val="22"/>
          <w:szCs w:val="22"/>
        </w:rPr>
        <w:t xml:space="preserve"> nemožno považovať za uzatvorené a vyčerpané, pretože proces podávania žiadostí a priznávania postavenia stále prebieha. Je pravdepodobné, že o priznanie tohto statusu budú žiadať oprávnené osoby i naďalej, a to aj s prihliadnutím na možnosť priznania hmotnej satisfakcie. </w:t>
      </w:r>
    </w:p>
    <w:p w14:paraId="7D7A2118" w14:textId="18C571DD" w:rsidR="00C0366D" w:rsidRDefault="009E5E35" w:rsidP="009E5E35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Na vyplatenie jednorazového príplatku, rovnako ako v prípade výplaty príplatku k dôchodku, je príslušná Sociálna poisťovňa, resp. orgán príslušný na výplatu dôchodku podľa zákona č. 328/2002 Z. z. o sociálnom zabezpečení policajtov a vojakov a o zmene a doplnení niektorých zákonov v znení neskorších predpisov. </w:t>
      </w:r>
    </w:p>
    <w:p w14:paraId="11AB0128" w14:textId="303D242D" w:rsidR="00156F12" w:rsidRDefault="009E5E35" w:rsidP="009E5E35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Na rozdiel od príplatku k dôchodku, v prípade jednorazového príplatku nie je potrebné posielať žiadosť Sociálnej poisťovni, resp. príslušnému orgánu, ale tieto rozhodnú ex offo na základe doručenia údajov Ústavu pamäti národa. </w:t>
      </w:r>
    </w:p>
    <w:p w14:paraId="34A19DBA" w14:textId="5D335273" w:rsidR="009E5E35" w:rsidRDefault="009E5E35" w:rsidP="009E5E35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Stanovuje sa, že prvýkrát vyplatí jednorazový príplatok Sociálna poisťovňa alebo príslušný orgán </w:t>
      </w:r>
      <w:r w:rsidR="004F0F91">
        <w:rPr>
          <w:rFonts w:ascii="Book Antiqua" w:hAnsi="Book Antiqua"/>
          <w:bCs/>
          <w:sz w:val="22"/>
          <w:szCs w:val="22"/>
        </w:rPr>
        <w:t>dňa 1. januára 2021, v ostatných prípadoch sa stanovuje lehota 60 dní (napr. v prípade dodatočného priznania postavenia veterána protikomunistického odboja po nadobudnutí účinnosti tohto návrhu zákona).</w:t>
      </w:r>
    </w:p>
    <w:p w14:paraId="6CE67395" w14:textId="4F67545B" w:rsidR="00AB3968" w:rsidRDefault="00AB3968" w:rsidP="00AB3968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B7674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>
        <w:rPr>
          <w:rFonts w:ascii="Book Antiqua" w:hAnsi="Book Antiqua"/>
          <w:bCs/>
          <w:sz w:val="22"/>
          <w:szCs w:val="22"/>
          <w:u w:val="single"/>
        </w:rPr>
        <w:t>11</w:t>
      </w:r>
    </w:p>
    <w:p w14:paraId="4A1C1487" w14:textId="003D9366" w:rsidR="00AB3968" w:rsidRPr="00AB3968" w:rsidRDefault="00AB3968" w:rsidP="00AB3968">
      <w:pPr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B3968">
        <w:rPr>
          <w:rFonts w:ascii="Book Antiqua" w:hAnsi="Book Antiqua"/>
          <w:bCs/>
          <w:sz w:val="22"/>
          <w:szCs w:val="22"/>
        </w:rPr>
        <w:t>V</w:t>
      </w:r>
      <w:r>
        <w:rPr>
          <w:rFonts w:ascii="Book Antiqua" w:hAnsi="Book Antiqua"/>
          <w:bCs/>
          <w:sz w:val="22"/>
          <w:szCs w:val="22"/>
        </w:rPr>
        <w:t> </w:t>
      </w:r>
      <w:r w:rsidRPr="00AB3968">
        <w:rPr>
          <w:rFonts w:ascii="Book Antiqua" w:hAnsi="Book Antiqua"/>
          <w:bCs/>
          <w:sz w:val="22"/>
          <w:szCs w:val="22"/>
        </w:rPr>
        <w:t>nadväznosti</w:t>
      </w:r>
      <w:r>
        <w:rPr>
          <w:rFonts w:ascii="Book Antiqua" w:hAnsi="Book Antiqua"/>
          <w:bCs/>
          <w:sz w:val="22"/>
          <w:szCs w:val="22"/>
        </w:rPr>
        <w:t xml:space="preserve"> na zavedenie jednorazového príplatku sa explicitne stanovuje, že finančné prostriedky poskytnuté štátom na osobitný účet Sociálnej poisťovne, resp. orgánu príslušnému na výplatu príplatku k dôchodku podľa osobitného predpisu, sa použijú nielen na úhradu príplatku k dôchodku, ale aj jednorazového príplatku. </w:t>
      </w:r>
    </w:p>
    <w:p w14:paraId="6CA4C052" w14:textId="357EE024" w:rsidR="00AB3968" w:rsidRDefault="00AB3968" w:rsidP="00AB3968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B7674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>
        <w:rPr>
          <w:rFonts w:ascii="Book Antiqua" w:hAnsi="Book Antiqua"/>
          <w:bCs/>
          <w:sz w:val="22"/>
          <w:szCs w:val="22"/>
          <w:u w:val="single"/>
        </w:rPr>
        <w:t>12</w:t>
      </w:r>
    </w:p>
    <w:p w14:paraId="24E8CA70" w14:textId="1A455E88" w:rsidR="00156F12" w:rsidRPr="00EB7674" w:rsidRDefault="00AC417F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C417F"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>Uvádzajú sa prechodné ustanovenia, v zmysle ktorých politický väzeň, ktorému bolo priznané postavenie veterána protikomunistického odboja a poberá príplatok k dôchodku , bude zvýšený príplatok vyplatený najskôr 1. januára 2021.</w:t>
      </w:r>
    </w:p>
    <w:p w14:paraId="58721CFD" w14:textId="77777777" w:rsidR="0038483D" w:rsidRDefault="0038483D">
      <w:pPr>
        <w:pStyle w:val="Zoznam"/>
        <w:spacing w:before="120" w:line="276" w:lineRule="auto"/>
        <w:ind w:left="0" w:firstLine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402C540E" w14:textId="72483DA7" w:rsidR="00880D41" w:rsidRDefault="00600DAF">
      <w:pPr>
        <w:pStyle w:val="Zoznam"/>
        <w:spacing w:before="120" w:line="276" w:lineRule="auto"/>
        <w:ind w:left="0" w:firstLine="0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lastRenderedPageBreak/>
        <w:t>K Čl. I</w:t>
      </w:r>
      <w:r w:rsidR="00880D41">
        <w:rPr>
          <w:rFonts w:ascii="Book Antiqua" w:hAnsi="Book Antiqua"/>
          <w:b/>
          <w:bCs/>
          <w:sz w:val="22"/>
          <w:szCs w:val="22"/>
        </w:rPr>
        <w:t>I</w:t>
      </w:r>
      <w:r w:rsidR="00AC417F">
        <w:rPr>
          <w:rFonts w:ascii="Book Antiqua" w:hAnsi="Book Antiqua"/>
          <w:b/>
          <w:bCs/>
          <w:sz w:val="22"/>
          <w:szCs w:val="22"/>
        </w:rPr>
        <w:t xml:space="preserve"> a III</w:t>
      </w:r>
    </w:p>
    <w:p w14:paraId="4EC190AC" w14:textId="0D870A5F" w:rsidR="00AC417F" w:rsidRPr="00F940DD" w:rsidRDefault="00F940DD" w:rsidP="00F940DD">
      <w:pPr>
        <w:pStyle w:val="Zoznam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F940DD">
        <w:rPr>
          <w:rFonts w:ascii="Book Antiqua" w:hAnsi="Book Antiqua"/>
          <w:sz w:val="22"/>
          <w:szCs w:val="22"/>
        </w:rPr>
        <w:t>V</w:t>
      </w:r>
      <w:r>
        <w:rPr>
          <w:rFonts w:ascii="Book Antiqua" w:hAnsi="Book Antiqua"/>
          <w:sz w:val="22"/>
          <w:szCs w:val="22"/>
        </w:rPr>
        <w:t> </w:t>
      </w:r>
      <w:r w:rsidRPr="00F940DD">
        <w:rPr>
          <w:rFonts w:ascii="Book Antiqua" w:hAnsi="Book Antiqua"/>
          <w:sz w:val="22"/>
          <w:szCs w:val="22"/>
        </w:rPr>
        <w:t>snahe</w:t>
      </w:r>
      <w:r>
        <w:rPr>
          <w:rFonts w:ascii="Book Antiqua" w:hAnsi="Book Antiqua"/>
          <w:sz w:val="22"/>
          <w:szCs w:val="22"/>
        </w:rPr>
        <w:t xml:space="preserve"> dosiahnuť jednoznačnosť právnej úpravy a aj s cieľom</w:t>
      </w:r>
      <w:r w:rsidRPr="00F940DD">
        <w:rPr>
          <w:rFonts w:ascii="Book Antiqua" w:hAnsi="Book Antiqua"/>
          <w:sz w:val="22"/>
          <w:szCs w:val="22"/>
        </w:rPr>
        <w:t xml:space="preserve"> vyhnúť sa </w:t>
      </w:r>
      <w:r>
        <w:rPr>
          <w:rFonts w:ascii="Book Antiqua" w:hAnsi="Book Antiqua"/>
          <w:sz w:val="22"/>
          <w:szCs w:val="22"/>
        </w:rPr>
        <w:t xml:space="preserve">prípadnej nepriamej novelizácii právneho predpisu sa považuje za potrebné novelizovať zákon č. 461/2003 Z. z. o sociálnom poistení v znení neskorších predpisov (Čl. II) a súčasne aj zákon č. </w:t>
      </w:r>
      <w:r>
        <w:rPr>
          <w:rFonts w:ascii="Book Antiqua" w:hAnsi="Book Antiqua"/>
          <w:bCs/>
          <w:sz w:val="22"/>
          <w:szCs w:val="22"/>
        </w:rPr>
        <w:t xml:space="preserve">328/2002 Z. z. o sociálnom zabezpečení policajtov a vojakov a o zmene a doplnení niektorých zákonov v znení neskorších predpisov (Čl. III). V oboch prípadoch sa stanovuje, že štátom pridelené finančné prostriedky alokované na osobitných účtoch príslušných orgánov sa použijú </w:t>
      </w:r>
      <w:r w:rsidR="0038483D">
        <w:rPr>
          <w:rFonts w:ascii="Book Antiqua" w:hAnsi="Book Antiqua"/>
          <w:bCs/>
          <w:sz w:val="22"/>
          <w:szCs w:val="22"/>
        </w:rPr>
        <w:t xml:space="preserve">nielen </w:t>
      </w:r>
      <w:r>
        <w:rPr>
          <w:rFonts w:ascii="Book Antiqua" w:hAnsi="Book Antiqua"/>
          <w:bCs/>
          <w:sz w:val="22"/>
          <w:szCs w:val="22"/>
        </w:rPr>
        <w:t xml:space="preserve">na úhradu príplatku k dôchodku, ale aj jednorazového príplatku k dôchodku.  </w:t>
      </w:r>
    </w:p>
    <w:p w14:paraId="7FA16BFB" w14:textId="77777777" w:rsidR="00880D41" w:rsidRDefault="00880D41">
      <w:pPr>
        <w:pStyle w:val="Zoznam"/>
        <w:spacing w:before="120" w:line="276" w:lineRule="auto"/>
        <w:ind w:left="0" w:firstLine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6EB886A6" w14:textId="69A1C93A" w:rsidR="00880D41" w:rsidRDefault="00880D41" w:rsidP="00880D41">
      <w:pPr>
        <w:pStyle w:val="Zoznam"/>
        <w:spacing w:before="120" w:line="276" w:lineRule="auto"/>
        <w:ind w:left="0" w:firstLine="0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K Čl. I</w:t>
      </w:r>
      <w:r w:rsidR="0038483D">
        <w:rPr>
          <w:rFonts w:ascii="Book Antiqua" w:hAnsi="Book Antiqua"/>
          <w:b/>
          <w:bCs/>
          <w:sz w:val="22"/>
          <w:szCs w:val="22"/>
        </w:rPr>
        <w:t>V</w:t>
      </w:r>
    </w:p>
    <w:p w14:paraId="7EB1A8A2" w14:textId="66B1E8F1" w:rsidR="0038483D" w:rsidRDefault="00390D19" w:rsidP="00390D19">
      <w:pPr>
        <w:pStyle w:val="Zoznam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  <w:r w:rsidRPr="00390D19">
        <w:rPr>
          <w:rFonts w:ascii="Book Antiqua" w:hAnsi="Book Antiqua"/>
          <w:sz w:val="22"/>
          <w:szCs w:val="22"/>
        </w:rPr>
        <w:t xml:space="preserve">V zákone </w:t>
      </w:r>
      <w:r>
        <w:rPr>
          <w:rFonts w:ascii="Book Antiqua" w:hAnsi="Book Antiqua"/>
          <w:sz w:val="22"/>
          <w:szCs w:val="22"/>
        </w:rPr>
        <w:t>č. 219/2006 Z. z. o protikomunistickom odboji v znení zákona č. 58/2009 Z. z.  sa stanovuje povinnosť Ústavu pamäti národa zasielať príslušným orgánom potrebné údaje o veteránoch protikomunistického odboja a veteránoch protikomunistického odboja in memoria</w:t>
      </w:r>
      <w:r w:rsidR="00620FC7">
        <w:rPr>
          <w:rFonts w:ascii="Book Antiqua" w:hAnsi="Book Antiqua"/>
          <w:sz w:val="22"/>
          <w:szCs w:val="22"/>
        </w:rPr>
        <w:t>m</w:t>
      </w:r>
      <w:r>
        <w:rPr>
          <w:rFonts w:ascii="Book Antiqua" w:hAnsi="Book Antiqua"/>
          <w:sz w:val="22"/>
          <w:szCs w:val="22"/>
        </w:rPr>
        <w:t xml:space="preserve">, ktoré sú potrebné na výplatu príplatku k dôchodku a jednorazového príplatku k dôchodku. </w:t>
      </w:r>
    </w:p>
    <w:p w14:paraId="2E4B2726" w14:textId="77777777" w:rsidR="00390D19" w:rsidRPr="00390D19" w:rsidRDefault="00390D19" w:rsidP="00390D19">
      <w:pPr>
        <w:pStyle w:val="Zoznam"/>
        <w:spacing w:before="120" w:line="276" w:lineRule="auto"/>
        <w:ind w:left="0" w:firstLine="708"/>
        <w:jc w:val="both"/>
        <w:rPr>
          <w:rFonts w:ascii="Book Antiqua" w:hAnsi="Book Antiqua"/>
          <w:sz w:val="22"/>
          <w:szCs w:val="22"/>
        </w:rPr>
      </w:pPr>
    </w:p>
    <w:p w14:paraId="04C30567" w14:textId="1429B021" w:rsidR="0038483D" w:rsidRDefault="0038483D" w:rsidP="00880D41">
      <w:pPr>
        <w:pStyle w:val="Zoznam"/>
        <w:spacing w:before="120" w:line="276" w:lineRule="auto"/>
        <w:ind w:left="0" w:firstLine="0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 xml:space="preserve">K Čl. </w:t>
      </w:r>
      <w:r>
        <w:rPr>
          <w:rFonts w:ascii="Book Antiqua" w:hAnsi="Book Antiqua"/>
          <w:b/>
          <w:bCs/>
          <w:sz w:val="22"/>
          <w:szCs w:val="22"/>
        </w:rPr>
        <w:t>V</w:t>
      </w:r>
    </w:p>
    <w:p w14:paraId="381281EB" w14:textId="15152692" w:rsidR="00C32C87" w:rsidRPr="00EB7674" w:rsidRDefault="00600DAF" w:rsidP="00880D41">
      <w:pPr>
        <w:pStyle w:val="Zoznam"/>
        <w:spacing w:before="120" w:line="276" w:lineRule="auto"/>
        <w:ind w:left="0"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</w:t>
      </w:r>
      <w:r w:rsidR="00535272">
        <w:rPr>
          <w:rFonts w:ascii="Book Antiqua" w:hAnsi="Book Antiqua"/>
          <w:bCs/>
          <w:sz w:val="22"/>
          <w:szCs w:val="22"/>
        </w:rPr>
        <w:t>n</w:t>
      </w:r>
      <w:r w:rsidRPr="00EB7674">
        <w:rPr>
          <w:rFonts w:ascii="Book Antiqua" w:hAnsi="Book Antiqua"/>
          <w:bCs/>
          <w:sz w:val="22"/>
          <w:szCs w:val="22"/>
        </w:rPr>
        <w:t>čnej lehoty</w:t>
      </w:r>
      <w:r w:rsidR="00CC5838">
        <w:rPr>
          <w:rFonts w:ascii="Book Antiqua" w:hAnsi="Book Antiqua"/>
          <w:bCs/>
          <w:sz w:val="22"/>
          <w:szCs w:val="22"/>
        </w:rPr>
        <w:t xml:space="preserve"> symbolicky</w:t>
      </w:r>
      <w:r w:rsidRPr="00EB7674">
        <w:rPr>
          <w:rFonts w:ascii="Book Antiqua" w:hAnsi="Book Antiqua"/>
          <w:bCs/>
          <w:sz w:val="22"/>
          <w:szCs w:val="22"/>
        </w:rPr>
        <w:t xml:space="preserve"> na</w:t>
      </w:r>
      <w:r w:rsidRPr="00EB7674">
        <w:rPr>
          <w:rFonts w:ascii="Book Antiqua" w:hAnsi="Book Antiqua"/>
          <w:sz w:val="22"/>
          <w:szCs w:val="22"/>
        </w:rPr>
        <w:t xml:space="preserve"> </w:t>
      </w:r>
      <w:r w:rsidR="00126A53">
        <w:rPr>
          <w:rFonts w:ascii="Book Antiqua" w:hAnsi="Book Antiqua"/>
          <w:sz w:val="22"/>
          <w:szCs w:val="22"/>
        </w:rPr>
        <w:t>1. januára 2021.</w:t>
      </w:r>
    </w:p>
    <w:p w14:paraId="390EF8B3" w14:textId="77777777" w:rsidR="00C32C87" w:rsidRPr="00EB7674" w:rsidRDefault="00600DAF">
      <w:pPr>
        <w:pStyle w:val="Normlnywebov"/>
        <w:spacing w:before="120" w:beforeAutospacing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B7674">
        <w:br w:type="page"/>
      </w:r>
    </w:p>
    <w:p w14:paraId="0E67CD30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3F375BF7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návrhu zákona</w:t>
      </w:r>
      <w:r w:rsidRPr="00EB7674">
        <w:rPr>
          <w:rFonts w:ascii="Book Antiqua" w:hAnsi="Book Antiqua"/>
          <w:sz w:val="22"/>
          <w:szCs w:val="22"/>
        </w:rPr>
        <w:t xml:space="preserve"> </w:t>
      </w:r>
      <w:r w:rsidRPr="00EB7674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49CFEF0B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 </w:t>
      </w:r>
    </w:p>
    <w:p w14:paraId="49124A71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EB7674">
        <w:rPr>
          <w:rFonts w:ascii="Book Antiqua" w:hAnsi="Book Antiqua"/>
          <w:sz w:val="22"/>
          <w:szCs w:val="22"/>
        </w:rPr>
        <w:t xml:space="preserve"> </w:t>
      </w:r>
      <w:r w:rsidR="001F5483">
        <w:rPr>
          <w:rFonts w:ascii="Book Antiqua" w:hAnsi="Book Antiqua"/>
          <w:sz w:val="22"/>
          <w:szCs w:val="22"/>
        </w:rPr>
        <w:t xml:space="preserve">skupina </w:t>
      </w:r>
      <w:r w:rsidRPr="00EB7674">
        <w:rPr>
          <w:rFonts w:ascii="Book Antiqua" w:hAnsi="Book Antiqua"/>
          <w:sz w:val="22"/>
          <w:szCs w:val="22"/>
        </w:rPr>
        <w:t>poslan</w:t>
      </w:r>
      <w:r w:rsidR="001F5483">
        <w:rPr>
          <w:rFonts w:ascii="Book Antiqua" w:hAnsi="Book Antiqua"/>
          <w:sz w:val="22"/>
          <w:szCs w:val="22"/>
        </w:rPr>
        <w:t>cov</w:t>
      </w:r>
      <w:r w:rsidRPr="00EB7674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5DBEBBE6" w14:textId="75A7D115" w:rsidR="00C32C87" w:rsidRPr="00EB7674" w:rsidRDefault="00600DAF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EB7674">
        <w:rPr>
          <w:rFonts w:ascii="Book Antiqua" w:hAnsi="Book Antiqua"/>
          <w:sz w:val="22"/>
          <w:szCs w:val="22"/>
        </w:rPr>
        <w:t xml:space="preserve">  </w:t>
      </w:r>
      <w:r w:rsidR="001F5483">
        <w:rPr>
          <w:rFonts w:ascii="Book Antiqua" w:hAnsi="Book Antiqua"/>
          <w:sz w:val="22"/>
          <w:szCs w:val="22"/>
        </w:rPr>
        <w:t>n</w:t>
      </w:r>
      <w:r w:rsidR="001F5483" w:rsidRPr="00EB7674">
        <w:rPr>
          <w:rFonts w:ascii="Book Antiqua" w:hAnsi="Book Antiqua"/>
          <w:sz w:val="22"/>
          <w:szCs w:val="22"/>
        </w:rPr>
        <w:t xml:space="preserve">ávrh zákona, </w:t>
      </w:r>
      <w:r w:rsidR="001F5483" w:rsidRPr="00EB7674">
        <w:rPr>
          <w:rFonts w:ascii="Book Antiqua" w:hAnsi="Book Antiqua"/>
          <w:bCs/>
          <w:sz w:val="22"/>
          <w:szCs w:val="22"/>
        </w:rPr>
        <w:t xml:space="preserve">ktorým sa mení a dopĺňa zákon č. </w:t>
      </w:r>
      <w:r w:rsidR="001F5483">
        <w:rPr>
          <w:rFonts w:ascii="Book Antiqua" w:hAnsi="Book Antiqua"/>
          <w:bCs/>
          <w:sz w:val="22"/>
          <w:szCs w:val="22"/>
        </w:rPr>
        <w:t>274/2007</w:t>
      </w:r>
      <w:r w:rsidR="001F5483" w:rsidRPr="00EB7674">
        <w:rPr>
          <w:rFonts w:ascii="Book Antiqua" w:hAnsi="Book Antiqua"/>
          <w:bCs/>
          <w:sz w:val="22"/>
          <w:szCs w:val="22"/>
        </w:rPr>
        <w:t xml:space="preserve"> Z. z. o</w:t>
      </w:r>
      <w:r w:rsidR="001F5483">
        <w:rPr>
          <w:rFonts w:ascii="Book Antiqua" w:hAnsi="Book Antiqua"/>
          <w:bCs/>
          <w:sz w:val="22"/>
          <w:szCs w:val="22"/>
        </w:rPr>
        <w:t xml:space="preserve"> príplatku k dôchodku politickým väzňom v znení neskorších predpisov </w:t>
      </w:r>
      <w:r w:rsidR="009C014E">
        <w:rPr>
          <w:rFonts w:ascii="Book Antiqua" w:hAnsi="Book Antiqua"/>
          <w:bCs/>
          <w:sz w:val="22"/>
          <w:szCs w:val="22"/>
        </w:rPr>
        <w:t>a ktorým sa dopĺňajú niektoré zákony</w:t>
      </w:r>
    </w:p>
    <w:p w14:paraId="793B4124" w14:textId="77777777" w:rsidR="00C32C87" w:rsidRPr="00EB7674" w:rsidRDefault="00C32C87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713EF311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 xml:space="preserve">3. Predmet návrhu zákona: </w:t>
      </w:r>
    </w:p>
    <w:p w14:paraId="16FFD016" w14:textId="77777777" w:rsidR="00C32C87" w:rsidRPr="00EB7674" w:rsidRDefault="00600DAF">
      <w:pPr>
        <w:pStyle w:val="Normlnywebov"/>
        <w:numPr>
          <w:ilvl w:val="0"/>
          <w:numId w:val="1"/>
        </w:numPr>
        <w:tabs>
          <w:tab w:val="left" w:pos="851"/>
        </w:tabs>
        <w:spacing w:before="120" w:beforeAutospacing="0" w:afterAutospacing="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>je upravený v primárnom práve Európskej únie, a to v článku 48</w:t>
      </w:r>
      <w:r w:rsidR="009A3EDF" w:rsidRPr="00EB7674">
        <w:rPr>
          <w:rFonts w:ascii="Book Antiqua" w:hAnsi="Book Antiqua"/>
          <w:bCs/>
          <w:sz w:val="22"/>
          <w:szCs w:val="22"/>
        </w:rPr>
        <w:t xml:space="preserve"> Zmluvy o fungovaní Európskej únie</w:t>
      </w:r>
      <w:r w:rsidRPr="00EB7674">
        <w:rPr>
          <w:rFonts w:ascii="Book Antiqua" w:hAnsi="Book Antiqua"/>
          <w:bCs/>
          <w:sz w:val="22"/>
          <w:szCs w:val="22"/>
        </w:rPr>
        <w:t xml:space="preserve"> (voľný pohyb osôb, služieb a kapitálu) a článku 34 Charty základných práv EÚ,</w:t>
      </w:r>
    </w:p>
    <w:p w14:paraId="6EDE87AC" w14:textId="77777777" w:rsidR="002F347A" w:rsidRPr="00EB7674" w:rsidRDefault="00600DAF" w:rsidP="003A0A30">
      <w:pPr>
        <w:pStyle w:val="Normlnywebov"/>
        <w:numPr>
          <w:ilvl w:val="0"/>
          <w:numId w:val="1"/>
        </w:numPr>
        <w:tabs>
          <w:tab w:val="left" w:pos="142"/>
          <w:tab w:val="left" w:pos="851"/>
        </w:tabs>
        <w:spacing w:before="120" w:beforeAutospacing="0" w:afterAutospacing="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 xml:space="preserve">je upravený v sekundárnom práve Európskej únie, a to v </w:t>
      </w:r>
      <w:r w:rsidRPr="00EB7674">
        <w:rPr>
          <w:rFonts w:ascii="Book Antiqua" w:hAnsi="Book Antiqua"/>
          <w:sz w:val="22"/>
          <w:szCs w:val="22"/>
        </w:rPr>
        <w:t xml:space="preserve">nariadení Európskeho parlamentu a Rady (ES) č. 883/2004 z 29. apríla 2004 o koordinácii systémov sociálneho zabezpečenia </w:t>
      </w:r>
      <w:r w:rsidRPr="00EB7674">
        <w:rPr>
          <w:rFonts w:ascii="Book Antiqua" w:hAnsi="Book Antiqua"/>
          <w:bCs/>
          <w:sz w:val="22"/>
          <w:szCs w:val="22"/>
        </w:rPr>
        <w:t xml:space="preserve">(Mimoriadne vydanie Ú. v. EÚ, kap. 5/zv. 05) </w:t>
      </w:r>
      <w:r w:rsidRPr="00EB7674">
        <w:rPr>
          <w:rFonts w:ascii="Book Antiqua" w:hAnsi="Book Antiqua"/>
          <w:sz w:val="22"/>
          <w:szCs w:val="22"/>
        </w:rPr>
        <w:t>v platnom znení - čl. 3 ods. 5 vylučuje zo svojej vecnej pôsobnosti dávky, kde členský štát preberá zodpovednosť za škody spôsobené osobám a poskytuje im odškodnenie, napr. v súvislosti s obeťami vojny alebo ich dôsledkov, obeťami trestných činov alebo obeťami znevýhodňovanými z politických alebo náboženských dôvodov,</w:t>
      </w:r>
    </w:p>
    <w:p w14:paraId="6A07CDB7" w14:textId="77777777" w:rsidR="00C32C87" w:rsidRPr="00EB7674" w:rsidRDefault="00600DAF">
      <w:pPr>
        <w:pStyle w:val="Normlnywebov"/>
        <w:numPr>
          <w:ilvl w:val="0"/>
          <w:numId w:val="1"/>
        </w:numPr>
        <w:tabs>
          <w:tab w:val="left" w:pos="851"/>
        </w:tabs>
        <w:spacing w:before="120" w:beforeAutospacing="0" w:afterAutospacing="0" w:line="276" w:lineRule="auto"/>
        <w:ind w:left="851" w:hanging="425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>je obsiahnutý v judikatúre Súdneho dvora Európskej únie, a to v:</w:t>
      </w:r>
    </w:p>
    <w:p w14:paraId="486BC59D" w14:textId="77777777" w:rsidR="00C32C87" w:rsidRPr="00EB7674" w:rsidRDefault="00600DAF">
      <w:pPr>
        <w:pStyle w:val="Normlnywebov"/>
        <w:spacing w:before="120" w:beforeAutospacing="0" w:afterAutospacing="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 xml:space="preserve">1. </w:t>
      </w:r>
      <w:r w:rsidRPr="00EB7674">
        <w:rPr>
          <w:rFonts w:ascii="Book Antiqua" w:hAnsi="Book Antiqua"/>
          <w:sz w:val="22"/>
          <w:szCs w:val="22"/>
        </w:rPr>
        <w:t xml:space="preserve">rozsudku Súdneho dvora vo veci C–386/02, </w:t>
      </w:r>
      <w:r w:rsidRPr="00EB7674">
        <w:rPr>
          <w:rFonts w:ascii="Book Antiqua" w:hAnsi="Book Antiqua"/>
          <w:bCs/>
          <w:sz w:val="22"/>
          <w:szCs w:val="22"/>
        </w:rPr>
        <w:t>Josef Baldinger/</w:t>
      </w:r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Pensionsversicherungsanstalt der Arbeiter</w:t>
      </w:r>
      <w:r w:rsidRPr="00EB7674">
        <w:rPr>
          <w:rFonts w:ascii="Book Antiqua" w:hAnsi="Book Antiqua"/>
          <w:bCs/>
          <w:sz w:val="22"/>
          <w:szCs w:val="22"/>
        </w:rPr>
        <w:t xml:space="preserve">, </w:t>
      </w:r>
      <w:r w:rsidRPr="00EB7674">
        <w:rPr>
          <w:rFonts w:ascii="Book Antiqua" w:hAnsi="Book Antiqua"/>
          <w:sz w:val="22"/>
          <w:szCs w:val="22"/>
        </w:rPr>
        <w:t>[2004] - vnútroštátna legislatíva môže odmietnuť poskytnutie príspevku na odškodnenie bývalého vojnového väzňa na základe toho, že v čase podania žiadosti nie je štátnym občanom,</w:t>
      </w:r>
    </w:p>
    <w:p w14:paraId="6988F398" w14:textId="77777777" w:rsidR="00C32C87" w:rsidRPr="00EB7674" w:rsidRDefault="00600DAF">
      <w:pPr>
        <w:pStyle w:val="Normlnywebov"/>
        <w:spacing w:before="120" w:beforeAutospacing="0" w:afterAutospacing="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 xml:space="preserve">2. rozsudku Súdneho dvora vo veci C-192/05, </w:t>
      </w:r>
      <w:r w:rsidRPr="00EB7674">
        <w:rPr>
          <w:rFonts w:ascii="Book Antiqua" w:hAnsi="Book Antiqua"/>
          <w:bCs/>
          <w:sz w:val="22"/>
          <w:szCs w:val="22"/>
          <w:shd w:val="clear" w:color="auto" w:fill="FFFFFF"/>
        </w:rPr>
        <w:t>K. Tas-Hagen and R. A. Tas/Raadskamer WUBO van de Pensioen- en Uitkeringsraad</w:t>
      </w:r>
      <w:r w:rsidRPr="00EB7674">
        <w:rPr>
          <w:rFonts w:ascii="Book Antiqua" w:hAnsi="Book Antiqua"/>
          <w:bCs/>
          <w:sz w:val="22"/>
          <w:szCs w:val="22"/>
        </w:rPr>
        <w:t xml:space="preserve">, </w:t>
      </w:r>
      <w:r w:rsidRPr="00EB7674">
        <w:rPr>
          <w:rFonts w:ascii="Book Antiqua" w:hAnsi="Book Antiqua"/>
          <w:sz w:val="22"/>
          <w:szCs w:val="22"/>
        </w:rPr>
        <w:t>[2006] - čl. 18 ods. 1 Zmluvy o založení ES (občianstvo EÚ) nepripúšťa takú právnu úpravu členského štátu, podľa ktorej tento štát neprizná svojmu štátnemu príslušníkovi nárok na dávku pre civilné obete vojny len preto, že v čase podania žiadosti nemá dotknutá osoba bydlisko na území tohto, ale iného členského štátu.</w:t>
      </w:r>
    </w:p>
    <w:p w14:paraId="0B60593D" w14:textId="77777777" w:rsidR="00C32C87" w:rsidRPr="00EB7674" w:rsidRDefault="00600DAF">
      <w:pPr>
        <w:numPr>
          <w:ilvl w:val="3"/>
          <w:numId w:val="3"/>
        </w:numPr>
        <w:tabs>
          <w:tab w:val="left" w:pos="284"/>
        </w:tabs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EB7674">
        <w:rPr>
          <w:rFonts w:ascii="Book Antiqua" w:hAnsi="Book Antiqua"/>
          <w:b/>
          <w:sz w:val="22"/>
          <w:szCs w:val="22"/>
        </w:rPr>
        <w:t>Záväzky Slovenskej republiky vo vzťahu k Európskej únii:</w:t>
      </w:r>
    </w:p>
    <w:p w14:paraId="0A4C29A4" w14:textId="77777777" w:rsidR="00C32C87" w:rsidRPr="00EB7674" w:rsidRDefault="00600DAF">
      <w:pPr>
        <w:pStyle w:val="Normlnywebov"/>
        <w:numPr>
          <w:ilvl w:val="0"/>
          <w:numId w:val="4"/>
        </w:numPr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>bezpredmetné,</w:t>
      </w:r>
    </w:p>
    <w:p w14:paraId="26E64010" w14:textId="77777777" w:rsidR="00C32C87" w:rsidRPr="00EB7674" w:rsidRDefault="00600DAF">
      <w:pPr>
        <w:pStyle w:val="Normlnywebov"/>
        <w:numPr>
          <w:ilvl w:val="0"/>
          <w:numId w:val="4"/>
        </w:numPr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14:paraId="6A34643A" w14:textId="77777777" w:rsidR="00C32C87" w:rsidRPr="00EB7674" w:rsidRDefault="00600DAF">
      <w:pPr>
        <w:pStyle w:val="Normlnywebov"/>
        <w:numPr>
          <w:ilvl w:val="0"/>
          <w:numId w:val="4"/>
        </w:numPr>
        <w:spacing w:before="120" w:beforeAutospacing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bezpredmetné</w:t>
      </w:r>
      <w:r w:rsidRPr="00EB7674">
        <w:rPr>
          <w:rFonts w:ascii="Book Antiqua" w:hAnsi="Book Antiqua"/>
          <w:bCs/>
          <w:sz w:val="22"/>
          <w:szCs w:val="22"/>
        </w:rPr>
        <w:t>.</w:t>
      </w:r>
    </w:p>
    <w:p w14:paraId="76F5EAAC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5. Stupeň zlučiteľnosti návrhu zákona s právom Európskej únie</w:t>
      </w:r>
    </w:p>
    <w:p w14:paraId="5338AE03" w14:textId="77777777" w:rsidR="00C32C87" w:rsidRPr="00EB7674" w:rsidRDefault="00600DAF">
      <w:pPr>
        <w:pStyle w:val="Normlnywebov"/>
        <w:spacing w:before="120" w:beforeAutospacing="0" w:afterAutospacing="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Cs/>
          <w:sz w:val="22"/>
          <w:szCs w:val="22"/>
        </w:rPr>
        <w:t>- úplný.</w:t>
      </w:r>
      <w:r w:rsidRPr="00EB7674">
        <w:br w:type="page"/>
      </w:r>
    </w:p>
    <w:p w14:paraId="407887B9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B7674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6AFBADDB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544988BE" w14:textId="77777777" w:rsidR="00C32C87" w:rsidRPr="00EB7674" w:rsidRDefault="00C32C87">
      <w:pPr>
        <w:pStyle w:val="Normlnywebov"/>
        <w:spacing w:before="120" w:beforeAutospacing="0" w:afterAutospacing="0" w:line="276" w:lineRule="auto"/>
        <w:jc w:val="center"/>
        <w:rPr>
          <w:rFonts w:ascii="Book Antiqua" w:hAnsi="Book Antiqua"/>
          <w:sz w:val="22"/>
          <w:szCs w:val="22"/>
        </w:rPr>
      </w:pPr>
    </w:p>
    <w:p w14:paraId="240FC74D" w14:textId="09143883" w:rsidR="00C32C87" w:rsidRPr="00EB7674" w:rsidRDefault="00600DAF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="004D6626">
        <w:rPr>
          <w:rFonts w:ascii="Book Antiqua" w:hAnsi="Book Antiqua"/>
          <w:sz w:val="22"/>
          <w:szCs w:val="22"/>
        </w:rPr>
        <w:t>n</w:t>
      </w:r>
      <w:r w:rsidR="004D6626" w:rsidRPr="00EB7674">
        <w:rPr>
          <w:rFonts w:ascii="Book Antiqua" w:hAnsi="Book Antiqua"/>
          <w:sz w:val="22"/>
          <w:szCs w:val="22"/>
        </w:rPr>
        <w:t xml:space="preserve">ávrh zákona, </w:t>
      </w:r>
      <w:r w:rsidR="004D6626" w:rsidRPr="00EB7674">
        <w:rPr>
          <w:rFonts w:ascii="Book Antiqua" w:hAnsi="Book Antiqua"/>
          <w:bCs/>
          <w:sz w:val="22"/>
          <w:szCs w:val="22"/>
        </w:rPr>
        <w:t xml:space="preserve">ktorým sa mení a dopĺňa zákon č. </w:t>
      </w:r>
      <w:r w:rsidR="004D6626">
        <w:rPr>
          <w:rFonts w:ascii="Book Antiqua" w:hAnsi="Book Antiqua"/>
          <w:bCs/>
          <w:sz w:val="22"/>
          <w:szCs w:val="22"/>
        </w:rPr>
        <w:t>274/2007</w:t>
      </w:r>
      <w:r w:rsidR="004D6626" w:rsidRPr="00EB7674">
        <w:rPr>
          <w:rFonts w:ascii="Book Antiqua" w:hAnsi="Book Antiqua"/>
          <w:bCs/>
          <w:sz w:val="22"/>
          <w:szCs w:val="22"/>
        </w:rPr>
        <w:t xml:space="preserve"> Z. z. o</w:t>
      </w:r>
      <w:r w:rsidR="004D6626">
        <w:rPr>
          <w:rFonts w:ascii="Book Antiqua" w:hAnsi="Book Antiqua"/>
          <w:bCs/>
          <w:sz w:val="22"/>
          <w:szCs w:val="22"/>
        </w:rPr>
        <w:t xml:space="preserve"> príplatku k dôchodku politickým väzňom v znení neskorších predpisov </w:t>
      </w:r>
      <w:r w:rsidR="009C014E">
        <w:rPr>
          <w:rFonts w:ascii="Book Antiqua" w:hAnsi="Book Antiqua"/>
          <w:bCs/>
          <w:sz w:val="22"/>
          <w:szCs w:val="22"/>
        </w:rPr>
        <w:t>a ktorým sa dopĺňajú niektoré zákony</w:t>
      </w:r>
    </w:p>
    <w:p w14:paraId="0C5DAC7E" w14:textId="77777777" w:rsidR="00C32C87" w:rsidRPr="00EB7674" w:rsidRDefault="00C32C87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00AF173F" w14:textId="77777777" w:rsidR="00C32C87" w:rsidRPr="00EB7674" w:rsidRDefault="00600DAF">
      <w:pPr>
        <w:spacing w:before="12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EB7674">
        <w:rPr>
          <w:rFonts w:ascii="Book Antiqua" w:hAnsi="Book Antiqua"/>
          <w:sz w:val="22"/>
          <w:szCs w:val="22"/>
        </w:rPr>
        <w:t xml:space="preserve"> </w:t>
      </w:r>
      <w:r w:rsidRPr="00EB7674">
        <w:rPr>
          <w:rFonts w:ascii="Book Antiqua" w:hAnsi="Book Antiqua"/>
          <w:i/>
          <w:iCs/>
          <w:sz w:val="22"/>
          <w:szCs w:val="22"/>
        </w:rPr>
        <w:t>bezpredmetné</w:t>
      </w:r>
    </w:p>
    <w:p w14:paraId="581B8B93" w14:textId="77777777" w:rsidR="00C32C87" w:rsidRPr="00EB7674" w:rsidRDefault="00C32C87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33C66F61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94"/>
        <w:gridCol w:w="1189"/>
        <w:gridCol w:w="1178"/>
        <w:gridCol w:w="1195"/>
      </w:tblGrid>
      <w:tr w:rsidR="00C32C87" w:rsidRPr="00EB7674" w14:paraId="39A8F8D5" w14:textId="77777777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BAD89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D3DAD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41F0B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7B2F3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C32C87" w:rsidRPr="00EB7674" w14:paraId="3521CE8D" w14:textId="77777777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ED414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ACECC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C1F2E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514F6" w14:textId="77777777" w:rsidR="00C32C87" w:rsidRPr="00EB7674" w:rsidRDefault="00B4601A" w:rsidP="00B4601A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 w:rsidR="00C32C87" w:rsidRPr="00EB7674" w14:paraId="06EA62CC" w14:textId="77777777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BF01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56F27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60F0C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C1E11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32C87" w:rsidRPr="00EB7674" w14:paraId="7C3EB843" w14:textId="77777777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CDFCF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2EEC6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F1552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1BA23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32C87" w:rsidRPr="00EB7674" w14:paraId="278A5203" w14:textId="77777777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FE398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AFE70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FB55A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D0D0B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32C87" w:rsidRPr="00EB7674" w14:paraId="797357E5" w14:textId="77777777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90FF7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62629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D2CBE9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586DB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32C87" w:rsidRPr="00EB7674" w14:paraId="0AC1C675" w14:textId="77777777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FF250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FC64B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72648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585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32C87" w:rsidRPr="00EB7674" w14:paraId="4D80CE31" w14:textId="77777777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722C9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E6046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1C73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01209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32C87" w:rsidRPr="00EB7674" w14:paraId="4F2805F7" w14:textId="77777777"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30F6E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3E2CE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0A544" w14:textId="77777777" w:rsidR="00C32C87" w:rsidRPr="00EB7674" w:rsidRDefault="00600DAF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B7674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116E3" w14:textId="77777777" w:rsidR="00C32C87" w:rsidRPr="00EB7674" w:rsidRDefault="00C32C87">
            <w:pPr>
              <w:pStyle w:val="Normlnywebov"/>
              <w:spacing w:before="120" w:beforeAutospacing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4D79A62D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sz w:val="22"/>
          <w:szCs w:val="22"/>
        </w:rPr>
        <w:t> </w:t>
      </w:r>
    </w:p>
    <w:p w14:paraId="4EE8F732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A.3. Poznámky</w:t>
      </w:r>
    </w:p>
    <w:p w14:paraId="4DE63EA1" w14:textId="49B1CDD3" w:rsidR="00E743EC" w:rsidRDefault="00E743EC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>
        <w:rPr>
          <w:rFonts w:ascii="Book Antiqua" w:hAnsi="Book Antiqua"/>
          <w:bCs/>
          <w:i/>
          <w:sz w:val="22"/>
          <w:szCs w:val="22"/>
        </w:rPr>
        <w:t>K 31. júlu 2020 sa eviduje 828 veteránov protikomunistického odboja. Jednorazové náklady na výplatu jednorazového príplatku k dôchodku by boli menej ako 1,7 mil. eur. V prípade, ak by o priznanie postavenia veterána protikomunistického odboja požiadali ďalší politickí väzni, nárast nákladov sa predpokladá v desať tisícoch eur.</w:t>
      </w:r>
    </w:p>
    <w:p w14:paraId="78426FCB" w14:textId="13741174" w:rsidR="00E743EC" w:rsidRDefault="00203805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>
        <w:rPr>
          <w:rFonts w:ascii="Book Antiqua" w:hAnsi="Book Antiqua"/>
          <w:bCs/>
          <w:i/>
          <w:sz w:val="22"/>
          <w:szCs w:val="22"/>
        </w:rPr>
        <w:t>Sociálna poisťovňa vypláca príplatok k priamemu dôchodku 1 022 politickým väzňom, v celkovej sume mesačných nákladov vo výške 173 100 eur. Počet poberateľov dôchodku, ktorým sa vypláca príplatok politického väzňa k pozostalostnému dôchodku, je 1 418, v celkovej sume mesačných nákladov 119 900 eur. Ak by sme predpokladali aj zdvojnásobenie celej sumy, celoročné náklady sa zvýšia o 3,5 mil. eur.</w:t>
      </w:r>
    </w:p>
    <w:p w14:paraId="0BE1C19E" w14:textId="77777777" w:rsidR="00203805" w:rsidRDefault="00203805" w:rsidP="00203805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>
        <w:rPr>
          <w:rFonts w:ascii="Book Antiqua" w:hAnsi="Book Antiqua"/>
          <w:bCs/>
          <w:i/>
          <w:sz w:val="22"/>
          <w:szCs w:val="22"/>
        </w:rPr>
        <w:t xml:space="preserve">V súčasnosti je 75,58% poberateľov príplatku k dôchodku vo výške 80 rokov a viac (19,84% vo veku 70-79 rokov a 3,87% vo veku 60-69 rokov). </w:t>
      </w:r>
    </w:p>
    <w:p w14:paraId="53446877" w14:textId="5E77D956" w:rsidR="00620FC7" w:rsidRDefault="00203805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>
        <w:rPr>
          <w:rFonts w:ascii="Book Antiqua" w:hAnsi="Book Antiqua"/>
          <w:bCs/>
          <w:i/>
          <w:sz w:val="22"/>
          <w:szCs w:val="22"/>
        </w:rPr>
        <w:t xml:space="preserve">Celková očakávaná suma výdavkov na zvýšený príplatok k dôchodku a jednorazový príplatok k dôchodku podľa predloženého návrhu zákona sa teda pohybuje na úrovni 5,2 mil. eur v roku 2021 (3,5 mil. eur v roku 2022 a 3,5 mil. eur v roku 2023). Vzhľadom na vekovú štruktúru obetí komunistického režimu </w:t>
      </w:r>
      <w:r>
        <w:rPr>
          <w:rFonts w:ascii="Book Antiqua" w:hAnsi="Book Antiqua"/>
          <w:bCs/>
          <w:i/>
          <w:sz w:val="22"/>
          <w:szCs w:val="22"/>
        </w:rPr>
        <w:lastRenderedPageBreak/>
        <w:t xml:space="preserve">sa, žiaľ, dá očakávať, že tieto výdavky budú klesať rýchlejšie. </w:t>
      </w:r>
      <w:r w:rsidR="00E743EC" w:rsidRPr="00550F63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>T</w:t>
      </w:r>
      <w:r w:rsidR="00E743EC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>iet</w:t>
      </w:r>
      <w:r w:rsidR="00E743EC" w:rsidRPr="00550F63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>o sum</w:t>
      </w:r>
      <w:r w:rsidR="00E743EC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>y</w:t>
      </w:r>
      <w:r w:rsidR="00E743EC" w:rsidRPr="00550F63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 xml:space="preserve"> by sa mal</w:t>
      </w:r>
      <w:r w:rsidR="00E743EC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>i</w:t>
      </w:r>
      <w:r w:rsidR="00E743EC" w:rsidRPr="00550F63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 xml:space="preserve"> v roku 20</w:t>
      </w:r>
      <w:r w:rsidR="00E743EC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>21</w:t>
      </w:r>
      <w:r w:rsidR="00E743EC" w:rsidRPr="00550F63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 xml:space="preserve">, ako aj v ďalších rozpočtových rokoch pokryť </w:t>
      </w:r>
      <w:r w:rsidR="00CB7B91">
        <w:rPr>
          <w:rFonts w:ascii="Book Antiqua" w:hAnsi="Book Antiqua" w:cs="Arial"/>
          <w:bCs/>
          <w:i/>
          <w:sz w:val="22"/>
          <w:szCs w:val="22"/>
          <w:shd w:val="clear" w:color="auto" w:fill="FFFFFF"/>
        </w:rPr>
        <w:t>v rámci výdavkov sociálnej inklúzie.</w:t>
      </w:r>
    </w:p>
    <w:p w14:paraId="32E29DBE" w14:textId="457EAB02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 w:rsidRPr="00EB7674">
        <w:rPr>
          <w:rFonts w:ascii="Book Antiqua" w:hAnsi="Book Antiqua"/>
          <w:bCs/>
          <w:i/>
          <w:sz w:val="22"/>
          <w:szCs w:val="22"/>
        </w:rPr>
        <w:t xml:space="preserve">Návrh zákona vyvoláva pozitívne sociálne vplyvy pre </w:t>
      </w:r>
      <w:r w:rsidR="00C74AC6">
        <w:rPr>
          <w:rFonts w:ascii="Book Antiqua" w:hAnsi="Book Antiqua"/>
          <w:bCs/>
          <w:i/>
          <w:sz w:val="22"/>
          <w:szCs w:val="22"/>
        </w:rPr>
        <w:t>veteránov protikomunistického odboja</w:t>
      </w:r>
      <w:r w:rsidRPr="00EB7674">
        <w:rPr>
          <w:rFonts w:ascii="Book Antiqua" w:hAnsi="Book Antiqua"/>
          <w:bCs/>
          <w:i/>
          <w:sz w:val="22"/>
          <w:szCs w:val="22"/>
        </w:rPr>
        <w:t xml:space="preserve"> a ich vdovy vdovcov</w:t>
      </w:r>
      <w:r w:rsidR="00203805">
        <w:rPr>
          <w:rFonts w:ascii="Book Antiqua" w:hAnsi="Book Antiqua"/>
          <w:bCs/>
          <w:i/>
          <w:sz w:val="22"/>
          <w:szCs w:val="22"/>
        </w:rPr>
        <w:t xml:space="preserve"> a </w:t>
      </w:r>
      <w:r w:rsidR="00203805" w:rsidRPr="00203805">
        <w:rPr>
          <w:rFonts w:ascii="Book Antiqua" w:hAnsi="Book Antiqua"/>
          <w:bCs/>
          <w:i/>
          <w:sz w:val="22"/>
          <w:szCs w:val="22"/>
        </w:rPr>
        <w:t>siroty</w:t>
      </w:r>
      <w:r w:rsidRPr="00203805">
        <w:rPr>
          <w:rFonts w:ascii="Book Antiqua" w:hAnsi="Book Antiqua"/>
          <w:bCs/>
          <w:i/>
          <w:sz w:val="22"/>
          <w:szCs w:val="22"/>
        </w:rPr>
        <w:t xml:space="preserve">, </w:t>
      </w:r>
      <w:r w:rsidR="0044789C" w:rsidRPr="00203805">
        <w:rPr>
          <w:rFonts w:ascii="Book Antiqua" w:hAnsi="Book Antiqua"/>
          <w:bCs/>
          <w:i/>
          <w:sz w:val="22"/>
          <w:szCs w:val="22"/>
        </w:rPr>
        <w:t>tiež pre rehoľníkov alebo kňazov slúžiacich v období od roku 1944 do roku 1989.</w:t>
      </w:r>
    </w:p>
    <w:p w14:paraId="3ACA5891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bCs/>
          <w:i/>
          <w:sz w:val="22"/>
          <w:szCs w:val="22"/>
        </w:rPr>
      </w:pPr>
      <w:r w:rsidRPr="00EB7674">
        <w:rPr>
          <w:rFonts w:ascii="Book Antiqua" w:hAnsi="Book Antiqua"/>
          <w:bCs/>
          <w:i/>
          <w:sz w:val="22"/>
          <w:szCs w:val="22"/>
        </w:rPr>
        <w:t xml:space="preserve">Návrh zákona nepredpokladá vplyv na životné prostredie ani na informatizáciu spoločnosti. </w:t>
      </w:r>
    </w:p>
    <w:p w14:paraId="7FB484A5" w14:textId="77777777" w:rsidR="00C32C87" w:rsidRPr="00EB7674" w:rsidRDefault="00C32C87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14:paraId="4B51A334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15EEE613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i/>
          <w:iCs/>
          <w:sz w:val="22"/>
          <w:szCs w:val="22"/>
        </w:rPr>
        <w:t>bezpredmetné</w:t>
      </w:r>
    </w:p>
    <w:p w14:paraId="08FD14C3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 </w:t>
      </w:r>
    </w:p>
    <w:p w14:paraId="7012369B" w14:textId="77777777" w:rsidR="00C32C87" w:rsidRPr="00EB7674" w:rsidRDefault="00600DAF">
      <w:pPr>
        <w:pStyle w:val="Normlnywebov"/>
        <w:spacing w:before="120" w:beforeAutospacing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B7674">
        <w:rPr>
          <w:rFonts w:ascii="Book Antiqua" w:hAnsi="Book Antiqua"/>
          <w:b/>
          <w:bCs/>
          <w:sz w:val="22"/>
          <w:szCs w:val="22"/>
        </w:rPr>
        <w:t>A.5. Stanovisko gestorov</w:t>
      </w:r>
    </w:p>
    <w:p w14:paraId="05C5DA3D" w14:textId="77777777" w:rsidR="00C32C87" w:rsidRDefault="00600DAF">
      <w:pPr>
        <w:pStyle w:val="Normlnywebov"/>
        <w:spacing w:before="120" w:beforeAutospacing="0" w:afterAutospacing="0" w:line="276" w:lineRule="auto"/>
        <w:jc w:val="both"/>
      </w:pPr>
      <w:r w:rsidRPr="00EB7674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C32C87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77753" w14:textId="77777777" w:rsidR="007B2977" w:rsidRDefault="007B2977">
      <w:r>
        <w:separator/>
      </w:r>
    </w:p>
  </w:endnote>
  <w:endnote w:type="continuationSeparator" w:id="0">
    <w:p w14:paraId="1E326B1A" w14:textId="77777777" w:rsidR="007B2977" w:rsidRDefault="007B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T*Toront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C7E4C" w14:textId="77777777" w:rsidR="00C32C87" w:rsidRDefault="00600DAF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4" behindDoc="0" locked="0" layoutInCell="1" allowOverlap="1" wp14:anchorId="7D02D0AC" wp14:editId="700C524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3BCD73E" w14:textId="77777777" w:rsidR="00C32C87" w:rsidRDefault="00C32C87">
                          <w:pPr>
                            <w:pStyle w:val="Pta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-50.05pt;margin-top:.05pt;width:1.15pt;height:11.55pt;z-index:1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" stroked="f">
              <v:fill opacity="0"/>
              <v:textbox style="mso-fit-shape-to-text:t" inset="0,0,0,0">
                <w:txbxContent>
                  <w:p w:rsidR="00C32C87" w:rsidRDefault="00C32C87">
                    <w:pPr>
                      <w:pStyle w:val="Foo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2EFC8" w14:textId="77777777" w:rsidR="007B2977" w:rsidRDefault="007B2977">
      <w:r>
        <w:separator/>
      </w:r>
    </w:p>
  </w:footnote>
  <w:footnote w:type="continuationSeparator" w:id="0">
    <w:p w14:paraId="1A335E1F" w14:textId="77777777" w:rsidR="007B2977" w:rsidRDefault="007B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56E7D"/>
    <w:multiLevelType w:val="hybridMultilevel"/>
    <w:tmpl w:val="200CDC18"/>
    <w:lvl w:ilvl="0" w:tplc="E52C55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D93DFB"/>
    <w:multiLevelType w:val="multilevel"/>
    <w:tmpl w:val="0C2E9D1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color w:val="30303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5634AC"/>
    <w:multiLevelType w:val="multilevel"/>
    <w:tmpl w:val="B40CBA5E"/>
    <w:lvl w:ilvl="0">
      <w:start w:val="1"/>
      <w:numFmt w:val="lowerLetter"/>
      <w:lvlText w:val="%1)"/>
      <w:lvlJc w:val="left"/>
      <w:pPr>
        <w:ind w:left="1629" w:hanging="705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3" w15:restartNumberingAfterBreak="0">
    <w:nsid w:val="3CE018C4"/>
    <w:multiLevelType w:val="multilevel"/>
    <w:tmpl w:val="7DAA41A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ascii="Book Antiqua" w:hAnsi="Book Antiqua" w:cs="Times New Roman"/>
        <w:b/>
        <w:i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F024C5"/>
    <w:multiLevelType w:val="multilevel"/>
    <w:tmpl w:val="84DC6E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5B22567"/>
    <w:multiLevelType w:val="hybridMultilevel"/>
    <w:tmpl w:val="3FDE811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14D7A1E"/>
    <w:multiLevelType w:val="multilevel"/>
    <w:tmpl w:val="251E452E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87"/>
    <w:rsid w:val="00003B7B"/>
    <w:rsid w:val="00004C3F"/>
    <w:rsid w:val="00024BD0"/>
    <w:rsid w:val="0009111C"/>
    <w:rsid w:val="00107600"/>
    <w:rsid w:val="00120D17"/>
    <w:rsid w:val="00126A53"/>
    <w:rsid w:val="00135A2C"/>
    <w:rsid w:val="00137EB7"/>
    <w:rsid w:val="00156F12"/>
    <w:rsid w:val="001B2BCB"/>
    <w:rsid w:val="001F5483"/>
    <w:rsid w:val="00203805"/>
    <w:rsid w:val="0022771B"/>
    <w:rsid w:val="002668DC"/>
    <w:rsid w:val="00270923"/>
    <w:rsid w:val="00276551"/>
    <w:rsid w:val="002D7B45"/>
    <w:rsid w:val="002F347A"/>
    <w:rsid w:val="00315049"/>
    <w:rsid w:val="0038483D"/>
    <w:rsid w:val="00390D19"/>
    <w:rsid w:val="003A0A30"/>
    <w:rsid w:val="003D48EA"/>
    <w:rsid w:val="003F0BE3"/>
    <w:rsid w:val="0044789C"/>
    <w:rsid w:val="004B032B"/>
    <w:rsid w:val="004D6626"/>
    <w:rsid w:val="004F0F91"/>
    <w:rsid w:val="004F503F"/>
    <w:rsid w:val="00533E4A"/>
    <w:rsid w:val="00535272"/>
    <w:rsid w:val="00556DD4"/>
    <w:rsid w:val="0056301E"/>
    <w:rsid w:val="005901C2"/>
    <w:rsid w:val="005A4ABF"/>
    <w:rsid w:val="005D1446"/>
    <w:rsid w:val="00600DAF"/>
    <w:rsid w:val="00620FC7"/>
    <w:rsid w:val="006C4ACF"/>
    <w:rsid w:val="006F62CE"/>
    <w:rsid w:val="007572DA"/>
    <w:rsid w:val="00766424"/>
    <w:rsid w:val="00781115"/>
    <w:rsid w:val="007A07CC"/>
    <w:rsid w:val="007B2977"/>
    <w:rsid w:val="007F62ED"/>
    <w:rsid w:val="008045AB"/>
    <w:rsid w:val="00880D41"/>
    <w:rsid w:val="0088301E"/>
    <w:rsid w:val="00887C2E"/>
    <w:rsid w:val="008C4AA1"/>
    <w:rsid w:val="009024F4"/>
    <w:rsid w:val="00921224"/>
    <w:rsid w:val="009A3EDF"/>
    <w:rsid w:val="009B38D7"/>
    <w:rsid w:val="009C014E"/>
    <w:rsid w:val="009C5A00"/>
    <w:rsid w:val="009D42D5"/>
    <w:rsid w:val="009E5E35"/>
    <w:rsid w:val="009F5597"/>
    <w:rsid w:val="00A763ED"/>
    <w:rsid w:val="00AB3968"/>
    <w:rsid w:val="00AC417F"/>
    <w:rsid w:val="00B01444"/>
    <w:rsid w:val="00B4601A"/>
    <w:rsid w:val="00BE4D90"/>
    <w:rsid w:val="00C0366D"/>
    <w:rsid w:val="00C242EC"/>
    <w:rsid w:val="00C32C87"/>
    <w:rsid w:val="00C74AC6"/>
    <w:rsid w:val="00CB7B91"/>
    <w:rsid w:val="00CC5838"/>
    <w:rsid w:val="00CD61DD"/>
    <w:rsid w:val="00CE5A90"/>
    <w:rsid w:val="00DB1836"/>
    <w:rsid w:val="00E743EC"/>
    <w:rsid w:val="00EB7674"/>
    <w:rsid w:val="00F058CD"/>
    <w:rsid w:val="00F266BC"/>
    <w:rsid w:val="00F93210"/>
    <w:rsid w:val="00F940DD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5AAB"/>
  <w15:docId w15:val="{15653F1F-FB04-9045-98BE-E6774FF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14E7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C14E7"/>
    <w:pPr>
      <w:keepNext/>
      <w:jc w:val="center"/>
      <w:outlineLvl w:val="0"/>
    </w:pPr>
    <w:rPr>
      <w:rFonts w:ascii="Cambria" w:hAnsi="Cambria"/>
      <w:b/>
      <w:kern w:val="2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sid w:val="000C14E7"/>
    <w:rPr>
      <w:rFonts w:ascii="Cambria" w:hAnsi="Cambria" w:cs="Times New Roman"/>
      <w:b/>
      <w:kern w:val="2"/>
      <w:sz w:val="20"/>
    </w:rPr>
  </w:style>
  <w:style w:type="character" w:customStyle="1" w:styleId="PtaChar">
    <w:name w:val="Päta Char"/>
    <w:basedOn w:val="Predvolenpsmoodseku"/>
    <w:link w:val="Pta"/>
    <w:uiPriority w:val="99"/>
    <w:semiHidden/>
    <w:qFormat/>
    <w:locked/>
    <w:rsid w:val="000C14E7"/>
    <w:rPr>
      <w:rFonts w:ascii="Times New Roman" w:hAnsi="Times New Roman" w:cs="Times New Roman"/>
      <w:sz w:val="20"/>
    </w:rPr>
  </w:style>
  <w:style w:type="character" w:styleId="slostrany">
    <w:name w:val="page number"/>
    <w:basedOn w:val="Predvolenpsmoodseku"/>
    <w:uiPriority w:val="99"/>
    <w:semiHidden/>
    <w:qFormat/>
    <w:rsid w:val="000C14E7"/>
    <w:rPr>
      <w:rFonts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locked/>
    <w:rsid w:val="000C14E7"/>
    <w:rPr>
      <w:rFonts w:ascii="Times New Roman" w:hAnsi="Times New Roman" w:cs="Times New Roman"/>
      <w:sz w:val="24"/>
      <w:lang w:val="x-none" w:eastAsia="sk-SK"/>
    </w:rPr>
  </w:style>
  <w:style w:type="character" w:customStyle="1" w:styleId="apple-converted-space">
    <w:name w:val="apple-converted-space"/>
    <w:qFormat/>
    <w:rsid w:val="00130A86"/>
  </w:style>
  <w:style w:type="character" w:customStyle="1" w:styleId="Internetovodkaz">
    <w:name w:val="Internetový odkaz"/>
    <w:basedOn w:val="Predvolenpsmoodseku"/>
    <w:uiPriority w:val="99"/>
    <w:semiHidden/>
    <w:unhideWhenUsed/>
    <w:rsid w:val="00130A86"/>
    <w:rPr>
      <w:rFonts w:cs="Times New Roman"/>
      <w:color w:val="0000FF"/>
      <w:u w:val="singl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sid w:val="007A7F39"/>
    <w:rPr>
      <w:rFonts w:ascii="Times New Roman" w:hAnsi="Times New Roman" w:cs="Times New Roman"/>
      <w:sz w:val="20"/>
      <w:lang w:val="x-none" w:eastAsia="ar-SA" w:bidi="ar-SA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7A7F39"/>
    <w:rPr>
      <w:rFonts w:cs="Times New Roman"/>
      <w:vertAlign w:val="superscript"/>
    </w:rPr>
  </w:style>
  <w:style w:type="character" w:customStyle="1" w:styleId="num">
    <w:name w:val="num"/>
    <w:qFormat/>
    <w:rsid w:val="00C918FF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A723B0"/>
    <w:rPr>
      <w:rFonts w:ascii="Tahoma" w:hAnsi="Tahoma" w:cs="Times New Roman"/>
      <w:sz w:val="16"/>
      <w:lang w:val="x-none" w:eastAsia="sk-SK"/>
    </w:rPr>
  </w:style>
  <w:style w:type="character" w:customStyle="1" w:styleId="ListLabel1">
    <w:name w:val="ListLabel 1"/>
    <w:qFormat/>
    <w:rPr>
      <w:rFonts w:ascii="Book Antiqua" w:hAnsi="Book Antiqua" w:cs="Times New Roman"/>
      <w:b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Book Antiqua" w:eastAsia="Times New Roman" w:hAnsi="Book Antiqua"/>
      <w:b/>
      <w:color w:val="303030"/>
      <w:sz w:val="22"/>
    </w:rPr>
  </w:style>
  <w:style w:type="character" w:customStyle="1" w:styleId="ListLabel11">
    <w:name w:val="ListLabel 11"/>
    <w:qFormat/>
    <w:rPr>
      <w:rFonts w:cs="Times New Roman"/>
      <w:b w:val="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  <w:b w:val="0"/>
      <w:i w:val="0"/>
    </w:rPr>
  </w:style>
  <w:style w:type="character" w:customStyle="1" w:styleId="ListLabel30">
    <w:name w:val="ListLabel 30"/>
    <w:qFormat/>
    <w:rPr>
      <w:rFonts w:ascii="Book Antiqua" w:hAnsi="Book Antiqua" w:cs="Times New Roman"/>
      <w:b/>
      <w:i w:val="0"/>
      <w:sz w:val="22"/>
    </w:rPr>
  </w:style>
  <w:style w:type="character" w:customStyle="1" w:styleId="ListLabel31">
    <w:name w:val="ListLabel 31"/>
    <w:qFormat/>
    <w:rPr>
      <w:rFonts w:ascii="Book Antiqua" w:hAnsi="Book Antiqua" w:cs="Times New Roman"/>
      <w:b/>
      <w:sz w:val="22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C14E7"/>
    <w:pPr>
      <w:spacing w:after="120"/>
    </w:pPr>
  </w:style>
  <w:style w:type="paragraph" w:styleId="Zoznam">
    <w:name w:val="List"/>
    <w:basedOn w:val="Normlny"/>
    <w:uiPriority w:val="99"/>
    <w:unhideWhenUsed/>
    <w:rsid w:val="000C14E7"/>
    <w:pPr>
      <w:ind w:left="283" w:hanging="283"/>
    </w:p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semiHidden/>
    <w:rsid w:val="000C14E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rmlnywebov">
    <w:name w:val="Normal (Web)"/>
    <w:basedOn w:val="Normlny"/>
    <w:uiPriority w:val="99"/>
    <w:qFormat/>
    <w:rsid w:val="000C14E7"/>
    <w:pPr>
      <w:spacing w:beforeAutospacing="1" w:afterAutospacing="1"/>
    </w:pPr>
  </w:style>
  <w:style w:type="paragraph" w:styleId="Zoznamsodrkami3">
    <w:name w:val="List Bullet 3"/>
    <w:basedOn w:val="Normlny"/>
    <w:uiPriority w:val="99"/>
    <w:semiHidden/>
    <w:unhideWhenUsed/>
    <w:rsid w:val="000C14E7"/>
    <w:pPr>
      <w:ind w:left="566" w:hanging="283"/>
      <w:contextualSpacing/>
    </w:pPr>
  </w:style>
  <w:style w:type="paragraph" w:styleId="Bezriadkovania">
    <w:name w:val="No Spacing"/>
    <w:uiPriority w:val="1"/>
    <w:qFormat/>
    <w:rsid w:val="000C14E7"/>
    <w:pPr>
      <w:textAlignment w:val="baseline"/>
    </w:pPr>
    <w:rPr>
      <w:rFonts w:ascii="AT*Toronto" w:hAnsi="AT*Toronto" w:cs="Times New Roman"/>
      <w:sz w:val="24"/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A7F39"/>
    <w:pPr>
      <w:widowControl w:val="0"/>
      <w:suppressAutoHyphens/>
    </w:pPr>
    <w:rPr>
      <w:sz w:val="20"/>
      <w:szCs w:val="20"/>
      <w:lang w:eastAsia="ar-SA"/>
    </w:rPr>
  </w:style>
  <w:style w:type="paragraph" w:customStyle="1" w:styleId="l4">
    <w:name w:val="l4"/>
    <w:basedOn w:val="Normlny"/>
    <w:qFormat/>
    <w:rsid w:val="00C918FF"/>
    <w:pPr>
      <w:spacing w:beforeAutospacing="1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A723B0"/>
    <w:rPr>
      <w:rFonts w:ascii="Tahoma" w:hAnsi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9759E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ar-SA"/>
    </w:rPr>
  </w:style>
  <w:style w:type="paragraph" w:customStyle="1" w:styleId="Obsahrmca">
    <w:name w:val="Obsah rámca"/>
    <w:basedOn w:val="Norm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2006</Words>
  <Characters>11436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Maťka</dc:creator>
  <dc:description/>
  <cp:lastModifiedBy>JUDr. Martin Toman</cp:lastModifiedBy>
  <cp:revision>4</cp:revision>
  <cp:lastPrinted>2014-11-05T11:45:00Z</cp:lastPrinted>
  <dcterms:created xsi:type="dcterms:W3CDTF">2020-10-02T07:30:00Z</dcterms:created>
  <dcterms:modified xsi:type="dcterms:W3CDTF">2020-10-02T08:17:00Z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