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F394B" w14:textId="77777777" w:rsidR="00074B3E" w:rsidRPr="00E2446E" w:rsidRDefault="00074B3E" w:rsidP="00074B3E">
      <w:pPr>
        <w:jc w:val="center"/>
      </w:pPr>
      <w:r w:rsidRPr="00E2446E">
        <w:rPr>
          <w:b/>
          <w:bCs/>
          <w:caps/>
          <w:spacing w:val="30"/>
        </w:rPr>
        <w:t>Dôvodová správa</w:t>
      </w:r>
    </w:p>
    <w:p w14:paraId="2885BCF4" w14:textId="77777777" w:rsidR="00074B3E" w:rsidRPr="00E2446E" w:rsidRDefault="00074B3E" w:rsidP="00074B3E">
      <w:pPr>
        <w:jc w:val="both"/>
      </w:pPr>
    </w:p>
    <w:p w14:paraId="2DAE93CA" w14:textId="77777777" w:rsidR="00E2446E" w:rsidRPr="00E2446E" w:rsidRDefault="00E2446E" w:rsidP="00E2446E">
      <w:pPr>
        <w:pStyle w:val="Odsekzoznamu"/>
        <w:ind w:left="0"/>
        <w:jc w:val="both"/>
      </w:pPr>
      <w:r w:rsidRPr="00E2446E">
        <w:rPr>
          <w:rFonts w:ascii="Times New Roman" w:hAnsi="Times New Roman" w:cs="Times New Roman"/>
          <w:b/>
          <w:bCs/>
        </w:rPr>
        <w:t>A. Všeobecná časť</w:t>
      </w:r>
    </w:p>
    <w:p w14:paraId="1D687A3C" w14:textId="62EA844F" w:rsidR="00E2446E" w:rsidRPr="00E2446E" w:rsidRDefault="00E2446E" w:rsidP="00E2446E">
      <w:pPr>
        <w:ind w:firstLine="708"/>
        <w:jc w:val="both"/>
      </w:pPr>
      <w:r w:rsidRPr="00E2446E">
        <w:t>Návrh zákona, ktorým sa mení zákon č. 309/2009 Z. z</w:t>
      </w:r>
      <w:r w:rsidRPr="00085194">
        <w:t>. o podpore obnoviteľných zdrojov energie a vysoko účinnej kombinovanej výroby a o zmene a doplnení niektorých zákonov v znení neskorších predpisov predkladá do legislatívneho procesu</w:t>
      </w:r>
      <w:r w:rsidRPr="00E2446E">
        <w:t xml:space="preserve"> skupina poslancov Národnej rady Slovenskej republiky. </w:t>
      </w:r>
    </w:p>
    <w:p w14:paraId="4C261F12" w14:textId="77777777" w:rsidR="00E2446E" w:rsidRPr="00E2446E" w:rsidRDefault="00E2446E" w:rsidP="00E2446E">
      <w:pPr>
        <w:jc w:val="both"/>
      </w:pPr>
    </w:p>
    <w:p w14:paraId="6D82D61F" w14:textId="65B4801A" w:rsidR="00E2446E" w:rsidRPr="00E2446E" w:rsidRDefault="00E2446E" w:rsidP="00E2446E">
      <w:pPr>
        <w:ind w:firstLine="708"/>
        <w:jc w:val="both"/>
      </w:pPr>
      <w:r w:rsidRPr="00E2446E">
        <w:rPr>
          <w:b/>
        </w:rPr>
        <w:t>Účelom predkladaného návrhu zákona je úprava povinnosti uvádzať na trh pohonné látky s obsahom pokročilých biopalív.</w:t>
      </w:r>
      <w:r w:rsidRPr="00E2446E">
        <w:t xml:space="preserve"> V súčasnosti je platná povinnosť, ktorá stanovuje, že fyzická a právnická osoba, ktorá uvádza na trh pohonné látky</w:t>
      </w:r>
      <w:r w:rsidR="00635802">
        <w:t>,</w:t>
      </w:r>
      <w:r w:rsidRPr="00E2446E">
        <w:t xml:space="preserve"> je povinná uvádzať na trh pohonné látky s obsahom pokročilých biopalív minimálne v referenčnej hodnote vypočítanej z energetického obsahu celkového množstva pohonných látok uvedených na trh, stanovená pre roky 2020 až 2024 na úroveň 0,5 %. Táto referenčná hodnota bola stanovená predbežne v smernici č. 2015/1513, ktorou sa mení smernica 2009/28/ES </w:t>
      </w:r>
      <w:r w:rsidR="00635802">
        <w:t xml:space="preserve">                       </w:t>
      </w:r>
      <w:r w:rsidRPr="00E2446E">
        <w:t>o podpore využívania energie z obnoviteľných zdrojov (tzv. RED I) ako motivačná hodnota pre rozvoj odvetvia výroby a používania pokročilých biopalív. S</w:t>
      </w:r>
      <w:r w:rsidR="00635802">
        <w:t>lovenská republika</w:t>
      </w:r>
      <w:r w:rsidRPr="00E2446E">
        <w:t xml:space="preserve"> tieto predbežné hodnoty v stanovenej lehote transponovala. Následne smernicou č. 2018/2001 </w:t>
      </w:r>
      <w:r w:rsidR="00635802">
        <w:t xml:space="preserve">                </w:t>
      </w:r>
      <w:r w:rsidRPr="00E2446E">
        <w:t xml:space="preserve">o podpore využívania energie z obnoviteľných zdrojov (tzv. RED II) došlo k úprave a prijatiu presnejších minimálnych hodnôt, a to konkrétne na úrovni 0,2 % v roku 2022, s možnosťou dvojitého započítania ich energetického obsahu. </w:t>
      </w:r>
    </w:p>
    <w:p w14:paraId="4F5D4245" w14:textId="77777777" w:rsidR="00E2446E" w:rsidRPr="00E2446E" w:rsidRDefault="00E2446E" w:rsidP="00E2446E">
      <w:pPr>
        <w:jc w:val="both"/>
      </w:pPr>
    </w:p>
    <w:p w14:paraId="47C43732" w14:textId="1B6F9F85" w:rsidR="00E2446E" w:rsidRPr="00E2446E" w:rsidRDefault="00E2446E" w:rsidP="00E2446E">
      <w:pPr>
        <w:ind w:firstLine="708"/>
        <w:jc w:val="both"/>
      </w:pPr>
      <w:r w:rsidRPr="00E2446E">
        <w:t xml:space="preserve">Predkladaný návrh zákona znižuje povinnosť uvádzať na trh pohonné látky s obsahom pokročilých biopalív pre roky 2021 a 2022 na úroveň 0,3 % (bez možnosti dvojitého započítania ich energetického obsahu) z dôvodu zohľadnenia zmeny legislatívy EÚ, </w:t>
      </w:r>
      <w:proofErr w:type="spellStart"/>
      <w:r w:rsidRPr="00E2446E">
        <w:t>t.j</w:t>
      </w:r>
      <w:proofErr w:type="spellEnd"/>
      <w:r w:rsidRPr="00E2446E">
        <w:t xml:space="preserve">. konkretizácie minimálnych hodnôt vyplývajúcich z RED II. Návrh by však tiež mal zabezpečiť dostatočnú stabilitu investičného prostredia s cieľom dosiahnuť postupné zvyšovanie podielu pokročilých biopalív do roku 2025, ktorý je pre tento rok stanovený </w:t>
      </w:r>
      <w:r w:rsidR="00635802">
        <w:t xml:space="preserve">                  </w:t>
      </w:r>
      <w:r w:rsidRPr="00E2446E">
        <w:t>v súčasnej legislatíve EU na úrovni 1 %, s možnosťou dvojitého započítania ich energetického obsahu.</w:t>
      </w:r>
    </w:p>
    <w:p w14:paraId="4D8642BE" w14:textId="77777777" w:rsidR="00E2446E" w:rsidRPr="00E2446E" w:rsidRDefault="00E2446E" w:rsidP="00E2446E">
      <w:pPr>
        <w:jc w:val="both"/>
      </w:pPr>
    </w:p>
    <w:p w14:paraId="32BB5B1A" w14:textId="77777777" w:rsidR="00E2446E" w:rsidRPr="00E2446E" w:rsidRDefault="00E2446E" w:rsidP="00635802">
      <w:pPr>
        <w:ind w:firstLine="708"/>
        <w:jc w:val="both"/>
      </w:pPr>
      <w:r w:rsidRPr="00E2446E">
        <w:t>Iniciatívny návrh skupiny poslancov sa nepredkladá z dôvodu systematického znižovania podielu pokročilých biopalív v doprave, vzhľadom na to, že Slovenská republika má eminentný záujem na ďalšom rozvoji obnoviteľnej energie, ktorá je už dnes aj v podobe primiešavania biopalív nevyhnutnou podmienkou a súčasťou plnenia cieľov v oblasti OZE a pri znižovaní emisií skleníkových plynov v doprave. Slovenská republika nemá záujem znižovať podiely pokročilých biopalív v doprave v SR v rokoch 2024 - 2030, ich prípadná úprava sa bude riešiť vo vzťahu k vývoju európskej legislatívy v tejto oblasti a po dôkladnej diskusii so všetkými zainteresovanými stranami.</w:t>
      </w:r>
    </w:p>
    <w:p w14:paraId="58A2B362" w14:textId="77777777" w:rsidR="00E2446E" w:rsidRPr="00E2446E" w:rsidRDefault="00E2446E" w:rsidP="00E2446E">
      <w:pPr>
        <w:jc w:val="both"/>
      </w:pPr>
    </w:p>
    <w:p w14:paraId="74C8A69E" w14:textId="629B713B" w:rsidR="00E2446E" w:rsidRPr="00E2446E" w:rsidRDefault="00E2446E" w:rsidP="00E2446E">
      <w:pPr>
        <w:ind w:firstLine="708"/>
        <w:jc w:val="both"/>
      </w:pPr>
      <w:r w:rsidRPr="00E2446E">
        <w:t>Predkladaný návrh zákona nebude mať vplyv na rozpočet verejnej správy</w:t>
      </w:r>
      <w:r w:rsidR="00635802">
        <w:t>,</w:t>
      </w:r>
      <w:r w:rsidRPr="00E2446E">
        <w:t xml:space="preserve"> </w:t>
      </w:r>
      <w:r w:rsidR="00251283">
        <w:t xml:space="preserve">nebude mať sociálne vplyvy ani vplyv na manželstvo, rodičovstvo a rodinu, nebude mať vplyvy </w:t>
      </w:r>
      <w:r w:rsidRPr="00E2446E">
        <w:t>na životné prostredie, na informatizáciu spoločnosti ani na služby verejnej správy pre občana. Od predkladaného návrhu zákona sa neočakáva dopad na podnikateľskú sféru.</w:t>
      </w:r>
      <w:r w:rsidR="00635802">
        <w:t xml:space="preserve"> </w:t>
      </w:r>
    </w:p>
    <w:p w14:paraId="50ACEA71" w14:textId="77777777" w:rsidR="00E2446E" w:rsidRPr="00E2446E" w:rsidRDefault="00E2446E" w:rsidP="00E2446E">
      <w:pPr>
        <w:jc w:val="both"/>
      </w:pPr>
    </w:p>
    <w:p w14:paraId="14AAD263" w14:textId="403B0657" w:rsidR="00E2446E" w:rsidRPr="00E2446E" w:rsidRDefault="00E2446E" w:rsidP="00E2446E">
      <w:pPr>
        <w:ind w:firstLine="708"/>
        <w:jc w:val="both"/>
      </w:pPr>
      <w:r w:rsidRPr="00E2446E">
        <w:t>Predkladaný návrh zákona je v súlade s Ústavou Slovenskej republiky, ústavnými zákonmi a zákonmi Slovenskej republiky, medzinárodnými zmluvami a inými medzinárodnými dokumentmi, ktorými je Slovenská republika viazaná, ako aj s právom Európskej únie.</w:t>
      </w:r>
      <w:r w:rsidR="00635802">
        <w:t xml:space="preserve"> </w:t>
      </w:r>
    </w:p>
    <w:p w14:paraId="5FC0A667" w14:textId="336EFEB7" w:rsidR="00074B3E" w:rsidRPr="00E2446E" w:rsidRDefault="00074B3E" w:rsidP="00635802">
      <w:pPr>
        <w:ind w:firstLine="708"/>
      </w:pPr>
      <w:r w:rsidRPr="00E2446E">
        <w:br w:type="page"/>
      </w:r>
      <w:r w:rsidRPr="00E2446E">
        <w:rPr>
          <w:b/>
          <w:bCs/>
        </w:rPr>
        <w:lastRenderedPageBreak/>
        <w:t xml:space="preserve">B. Osobitná časť </w:t>
      </w:r>
    </w:p>
    <w:p w14:paraId="7CBCAF9B" w14:textId="77777777" w:rsidR="00074B3E" w:rsidRPr="00E2446E" w:rsidRDefault="00074B3E" w:rsidP="00074B3E">
      <w:pPr>
        <w:jc w:val="both"/>
        <w:rPr>
          <w:b/>
          <w:bCs/>
        </w:rPr>
      </w:pPr>
    </w:p>
    <w:p w14:paraId="6DA9C69D" w14:textId="77777777" w:rsidR="00074B3E" w:rsidRPr="00E2446E" w:rsidRDefault="00074B3E" w:rsidP="00635802">
      <w:pPr>
        <w:ind w:firstLine="708"/>
        <w:jc w:val="both"/>
      </w:pPr>
      <w:r w:rsidRPr="00E2446E">
        <w:rPr>
          <w:b/>
        </w:rPr>
        <w:t>K čl. I</w:t>
      </w:r>
    </w:p>
    <w:p w14:paraId="453500B7" w14:textId="77777777" w:rsidR="00635802" w:rsidRDefault="00635802" w:rsidP="00635802">
      <w:pPr>
        <w:ind w:firstLine="708"/>
        <w:jc w:val="both"/>
        <w:rPr>
          <w:bCs/>
        </w:rPr>
      </w:pPr>
    </w:p>
    <w:p w14:paraId="2535783D" w14:textId="442E746B" w:rsidR="00BC7C49" w:rsidRPr="00E2446E" w:rsidRDefault="00BC7C49" w:rsidP="00635802">
      <w:pPr>
        <w:ind w:firstLine="708"/>
        <w:jc w:val="both"/>
        <w:rPr>
          <w:bCs/>
        </w:rPr>
      </w:pPr>
      <w:r w:rsidRPr="00E2446E">
        <w:rPr>
          <w:bCs/>
        </w:rPr>
        <w:t>Mení sa referenčná hodnota pre roky 2021 a 2022 z pôvodnej úrovne 0,5 % na úroveň 0,3 %.</w:t>
      </w:r>
    </w:p>
    <w:p w14:paraId="0F5271BD" w14:textId="77777777" w:rsidR="00074B3E" w:rsidRPr="00E2446E" w:rsidRDefault="00074B3E" w:rsidP="00074B3E">
      <w:pPr>
        <w:jc w:val="both"/>
      </w:pPr>
    </w:p>
    <w:p w14:paraId="68E20E43" w14:textId="77777777" w:rsidR="00074B3E" w:rsidRPr="00E2446E" w:rsidRDefault="00074B3E" w:rsidP="00635802">
      <w:pPr>
        <w:ind w:firstLine="708"/>
        <w:jc w:val="both"/>
      </w:pPr>
      <w:r w:rsidRPr="00E2446E">
        <w:rPr>
          <w:b/>
        </w:rPr>
        <w:t>K čl. II</w:t>
      </w:r>
    </w:p>
    <w:p w14:paraId="6C341884" w14:textId="77777777" w:rsidR="00635802" w:rsidRDefault="00635802" w:rsidP="00074B3E">
      <w:pPr>
        <w:jc w:val="both"/>
      </w:pPr>
    </w:p>
    <w:p w14:paraId="0DB28777" w14:textId="15CA8087" w:rsidR="00572AB7" w:rsidRPr="00E2446E" w:rsidRDefault="00572AB7" w:rsidP="00491854">
      <w:pPr>
        <w:ind w:firstLine="708"/>
        <w:jc w:val="both"/>
      </w:pPr>
      <w:r w:rsidRPr="00E2446E">
        <w:t xml:space="preserve">Dátum účinnosti návrhu zákona navrhujeme </w:t>
      </w:r>
      <w:r w:rsidR="00E2446E">
        <w:t>1. januára 2021</w:t>
      </w:r>
      <w:r w:rsidRPr="00E2446E">
        <w:t>.</w:t>
      </w:r>
    </w:p>
    <w:sectPr w:rsidR="00572AB7" w:rsidRPr="00E244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D6EB8" w14:textId="77777777" w:rsidR="00ED7733" w:rsidRDefault="00ED7733">
      <w:r>
        <w:separator/>
      </w:r>
    </w:p>
  </w:endnote>
  <w:endnote w:type="continuationSeparator" w:id="0">
    <w:p w14:paraId="5D873578" w14:textId="77777777" w:rsidR="00ED7733" w:rsidRDefault="00ED7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C12C6" w14:textId="77777777" w:rsidR="00A81475" w:rsidRDefault="00A8147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63508" w14:textId="77777777" w:rsidR="00773468" w:rsidRDefault="00ED7733">
    <w:pPr>
      <w:pStyle w:val="Pta"/>
    </w:pPr>
  </w:p>
  <w:p w14:paraId="75FD359E" w14:textId="77777777" w:rsidR="00773468" w:rsidRDefault="00ED7733">
    <w:pPr>
      <w:pStyle w:val="Pta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9BBD2" w14:textId="77777777" w:rsidR="00A81475" w:rsidRDefault="00A8147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1B38B" w14:textId="77777777" w:rsidR="00ED7733" w:rsidRDefault="00ED7733">
      <w:r>
        <w:separator/>
      </w:r>
    </w:p>
  </w:footnote>
  <w:footnote w:type="continuationSeparator" w:id="0">
    <w:p w14:paraId="2EEEFA92" w14:textId="77777777" w:rsidR="00ED7733" w:rsidRDefault="00ED7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BF4A2A" w14:textId="77777777" w:rsidR="00A81475" w:rsidRDefault="00A8147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707D1F" w14:textId="77777777" w:rsidR="00A81475" w:rsidRDefault="00A8147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0C6A0D" w14:textId="77777777" w:rsidR="00A81475" w:rsidRDefault="00A8147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A86BCA"/>
    <w:multiLevelType w:val="hybridMultilevel"/>
    <w:tmpl w:val="C7F45B16"/>
    <w:lvl w:ilvl="0" w:tplc="1D6AB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B0C25"/>
    <w:multiLevelType w:val="hybridMultilevel"/>
    <w:tmpl w:val="0E88B7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D603EC"/>
    <w:multiLevelType w:val="hybridMultilevel"/>
    <w:tmpl w:val="2952AC0C"/>
    <w:lvl w:ilvl="0" w:tplc="47DE867E">
      <w:start w:val="1"/>
      <w:numFmt w:val="bullet"/>
      <w:lvlText w:val="-"/>
      <w:lvlJc w:val="left"/>
      <w:pPr>
        <w:ind w:left="1425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D354FE3"/>
    <w:multiLevelType w:val="hybridMultilevel"/>
    <w:tmpl w:val="569AE3D4"/>
    <w:lvl w:ilvl="0" w:tplc="F558F3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0A42363"/>
    <w:multiLevelType w:val="hybridMultilevel"/>
    <w:tmpl w:val="66B00E34"/>
    <w:lvl w:ilvl="0" w:tplc="1D6AB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1172DB"/>
    <w:multiLevelType w:val="hybridMultilevel"/>
    <w:tmpl w:val="EC0AFB54"/>
    <w:lvl w:ilvl="0" w:tplc="1D6AB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B3E"/>
    <w:rsid w:val="00032E86"/>
    <w:rsid w:val="000352B7"/>
    <w:rsid w:val="0003553B"/>
    <w:rsid w:val="000561C9"/>
    <w:rsid w:val="00063299"/>
    <w:rsid w:val="00074B3E"/>
    <w:rsid w:val="00085194"/>
    <w:rsid w:val="000B3CA8"/>
    <w:rsid w:val="000C684F"/>
    <w:rsid w:val="000E5A3C"/>
    <w:rsid w:val="000F71FF"/>
    <w:rsid w:val="00136B3F"/>
    <w:rsid w:val="00140B0F"/>
    <w:rsid w:val="001C1644"/>
    <w:rsid w:val="001C5402"/>
    <w:rsid w:val="001C77D7"/>
    <w:rsid w:val="002311D0"/>
    <w:rsid w:val="00251283"/>
    <w:rsid w:val="002A5722"/>
    <w:rsid w:val="00355F02"/>
    <w:rsid w:val="00491854"/>
    <w:rsid w:val="004C5BE5"/>
    <w:rsid w:val="005317FA"/>
    <w:rsid w:val="0056088F"/>
    <w:rsid w:val="00572AB7"/>
    <w:rsid w:val="00586857"/>
    <w:rsid w:val="006002F1"/>
    <w:rsid w:val="00635802"/>
    <w:rsid w:val="00734F77"/>
    <w:rsid w:val="007B7C53"/>
    <w:rsid w:val="007C7411"/>
    <w:rsid w:val="007D6EF4"/>
    <w:rsid w:val="007F074C"/>
    <w:rsid w:val="00886511"/>
    <w:rsid w:val="00923F5C"/>
    <w:rsid w:val="009C624B"/>
    <w:rsid w:val="009C6CE6"/>
    <w:rsid w:val="009E38CB"/>
    <w:rsid w:val="009F22D4"/>
    <w:rsid w:val="00A1714D"/>
    <w:rsid w:val="00A5713E"/>
    <w:rsid w:val="00A81475"/>
    <w:rsid w:val="00BC7C49"/>
    <w:rsid w:val="00D42AB5"/>
    <w:rsid w:val="00E237D3"/>
    <w:rsid w:val="00E2446E"/>
    <w:rsid w:val="00E547BC"/>
    <w:rsid w:val="00E94136"/>
    <w:rsid w:val="00E963C1"/>
    <w:rsid w:val="00EA5B82"/>
    <w:rsid w:val="00EC4D21"/>
    <w:rsid w:val="00ED7733"/>
    <w:rsid w:val="00F06D56"/>
    <w:rsid w:val="00F14128"/>
    <w:rsid w:val="00F33F10"/>
    <w:rsid w:val="00F50FC8"/>
    <w:rsid w:val="00F82982"/>
    <w:rsid w:val="00FA55AB"/>
    <w:rsid w:val="00F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C16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74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taChar">
    <w:name w:val="Päta Char"/>
    <w:basedOn w:val="Predvolenpsmoodseku"/>
    <w:link w:val="Pta"/>
    <w:uiPriority w:val="99"/>
    <w:qFormat/>
    <w:rsid w:val="00074B3E"/>
  </w:style>
  <w:style w:type="character" w:styleId="slostrany">
    <w:name w:val="page number"/>
    <w:basedOn w:val="Predvolenpsmoodseku"/>
    <w:uiPriority w:val="99"/>
    <w:semiHidden/>
    <w:unhideWhenUsed/>
    <w:qFormat/>
    <w:rsid w:val="00074B3E"/>
  </w:style>
  <w:style w:type="paragraph" w:styleId="Odsekzoznamu">
    <w:name w:val="List Paragraph"/>
    <w:basedOn w:val="Normlny"/>
    <w:uiPriority w:val="34"/>
    <w:qFormat/>
    <w:rsid w:val="00074B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074B3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1">
    <w:name w:val="Päta Char1"/>
    <w:basedOn w:val="Predvolenpsmoodseku"/>
    <w:uiPriority w:val="99"/>
    <w:semiHidden/>
    <w:rsid w:val="00074B3E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qFormat/>
    <w:rsid w:val="00EC4D21"/>
    <w:pPr>
      <w:spacing w:beforeAutospacing="1" w:afterAutospacing="1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06D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6D56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A572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A5722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22F65-968C-4925-9E66-4500736AF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2020-10-01T11:28:00Z</dcterms:created>
  <dcterms:modified xsi:type="dcterms:W3CDTF">2020-10-02T09:22:00Z</dcterms:modified>
</cp:coreProperties>
</file>